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420" w:type="dxa"/>
        <w:tblCellMar>
          <w:top w:w="0" w:type="dxa"/>
          <w:left w:w="0" w:type="dxa"/>
          <w:bottom w:w="0" w:type="dxa"/>
          <w:right w:w="0" w:type="dxa"/>
        </w:tblCellMar>
      </w:tblPr>
      <w:tr>
        <w:trPr>
          <w:trHeight w:val="222"/>
        </w:trPr>
        <w:tc>
          <w:tcPr>
            <w:tcW w:w="4740" w:type="dxa"/>
            <w:vAlign w:val="bottom"/>
          </w:tcPr>
          <w:p>
            <w:pPr>
              <w:jc w:val="center"/>
              <w:ind w:right="1772"/>
              <w:spacing w:after="0"/>
              <w:rPr>
                <w:sz w:val="20"/>
                <w:szCs w:val="20"/>
                <w:color w:val="auto"/>
              </w:rPr>
            </w:pPr>
            <w:r>
              <w:rPr>
                <w:rFonts w:ascii="Arial" w:cs="Arial" w:eastAsia="Arial" w:hAnsi="Arial"/>
                <w:sz w:val="18"/>
                <w:szCs w:val="18"/>
                <w:b w:val="1"/>
                <w:bCs w:val="1"/>
                <w:color w:val="auto"/>
                <w:w w:val="96"/>
              </w:rPr>
              <w:t>PENNSYLVANIA</w:t>
            </w:r>
          </w:p>
        </w:tc>
        <w:tc>
          <w:tcPr>
            <w:tcW w:w="3180" w:type="dxa"/>
            <w:vAlign w:val="bottom"/>
          </w:tcPr>
          <w:p>
            <w:pPr>
              <w:jc w:val="center"/>
              <w:ind w:left="177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740" w:type="dxa"/>
            <w:vAlign w:val="bottom"/>
          </w:tcPr>
          <w:p>
            <w:pPr>
              <w:jc w:val="center"/>
              <w:ind w:right="1772"/>
              <w:spacing w:after="0"/>
              <w:rPr>
                <w:sz w:val="20"/>
                <w:szCs w:val="20"/>
                <w:color w:val="auto"/>
              </w:rPr>
            </w:pPr>
            <w:r>
              <w:rPr>
                <w:rFonts w:ascii="Arial" w:cs="Arial" w:eastAsia="Arial" w:hAnsi="Arial"/>
                <w:sz w:val="18"/>
                <w:szCs w:val="18"/>
                <w:color w:val="auto"/>
                <w:w w:val="90"/>
              </w:rPr>
              <w:t>(State or other jurisdiction of</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90"/>
              </w:rPr>
              <w:t>(I.R.S. Employer</w:t>
            </w:r>
          </w:p>
        </w:tc>
      </w:tr>
      <w:tr>
        <w:trPr>
          <w:trHeight w:val="222"/>
        </w:trPr>
        <w:tc>
          <w:tcPr>
            <w:tcW w:w="4740" w:type="dxa"/>
            <w:vAlign w:val="bottom"/>
          </w:tcPr>
          <w:p>
            <w:pPr>
              <w:jc w:val="center"/>
              <w:ind w:right="1772"/>
              <w:spacing w:after="0"/>
              <w:rPr>
                <w:sz w:val="20"/>
                <w:szCs w:val="20"/>
                <w:color w:val="auto"/>
              </w:rPr>
            </w:pPr>
            <w:r>
              <w:rPr>
                <w:rFonts w:ascii="Arial" w:cs="Arial" w:eastAsia="Arial" w:hAnsi="Arial"/>
                <w:sz w:val="18"/>
                <w:szCs w:val="18"/>
                <w:color w:val="auto"/>
                <w:w w:val="90"/>
              </w:rPr>
              <w:t>incorporation or organization)</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94"/>
              </w:rPr>
              <w:t>Identification No.)</w:t>
            </w:r>
          </w:p>
        </w:tc>
      </w:tr>
      <w:tr>
        <w:trPr>
          <w:trHeight w:val="439"/>
        </w:trPr>
        <w:tc>
          <w:tcPr>
            <w:tcW w:w="4740" w:type="dxa"/>
            <w:vAlign w:val="bottom"/>
          </w:tcPr>
          <w:p>
            <w:pPr>
              <w:jc w:val="center"/>
              <w:ind w:right="175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180" w:type="dxa"/>
            <w:vAlign w:val="bottom"/>
          </w:tcPr>
          <w:p>
            <w:pPr>
              <w:jc w:val="center"/>
              <w:ind w:left="177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740" w:type="dxa"/>
            <w:vAlign w:val="bottom"/>
          </w:tcPr>
          <w:p>
            <w:pPr>
              <w:jc w:val="center"/>
              <w:ind w:right="1752"/>
              <w:spacing w:after="0"/>
              <w:rPr>
                <w:sz w:val="20"/>
                <w:szCs w:val="20"/>
                <w:color w:val="auto"/>
              </w:rPr>
            </w:pPr>
            <w:r>
              <w:rPr>
                <w:rFonts w:ascii="Arial" w:cs="Arial" w:eastAsia="Arial" w:hAnsi="Arial"/>
                <w:sz w:val="18"/>
                <w:szCs w:val="18"/>
                <w:color w:val="auto"/>
                <w:w w:val="90"/>
              </w:rPr>
              <w:t>(Address of principal executive offices)</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380" w:firstLine="5"/>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June 30, 2013, there were 2,133,605,012 shares of our Class A common stock, 481,862,157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140" w:type="dxa"/>
            <w:vAlign w:val="bottom"/>
            <w:gridSpan w:val="17"/>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1140" w:type="dxa"/>
            <w:vAlign w:val="bottom"/>
            <w:tcBorders>
              <w:bottom w:val="single" w:sz="8" w:color="0000EE"/>
            </w:tcBorders>
            <w:gridSpan w:val="4"/>
          </w:tcPr>
          <w:p>
            <w:pPr>
              <w:spacing w:after="0" w:line="148"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Financial Statements</w:t>
              </w:r>
            </w:hyperlink>
          </w:p>
        </w:tc>
        <w:tc>
          <w:tcPr>
            <w:tcW w:w="7020" w:type="dxa"/>
            <w:vAlign w:val="bottom"/>
            <w:gridSpan w:val="11"/>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160" w:type="dxa"/>
            <w:vAlign w:val="bottom"/>
            <w:gridSpan w:val="15"/>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Condensed Consolidated Balance Sheet as of June 30, 2013 and December 31, 2012 (Unaudited)</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40" w:type="dxa"/>
            <w:vAlign w:val="bottom"/>
            <w:tcBorders>
              <w:top w:val="single" w:sz="8" w:color="0000EE"/>
            </w:tcBorders>
            <w:gridSpan w:val="10"/>
          </w:tcPr>
          <w:p>
            <w:pPr>
              <w:spacing w:after="0" w:line="129" w:lineRule="exact"/>
              <w:rPr>
                <w:rFonts w:ascii="Arial" w:cs="Arial" w:eastAsia="Arial" w:hAnsi="Arial"/>
                <w:sz w:val="14"/>
                <w:szCs w:val="14"/>
                <w:color w:val="0000EE"/>
                <w:w w:val="85"/>
              </w:rPr>
            </w:pPr>
            <w:hyperlink w:anchor="page4">
              <w:r>
                <w:rPr>
                  <w:rFonts w:ascii="Arial" w:cs="Arial" w:eastAsia="Arial" w:hAnsi="Arial"/>
                  <w:sz w:val="14"/>
                  <w:szCs w:val="14"/>
                  <w:color w:val="0000EE"/>
                  <w:w w:val="85"/>
                </w:rPr>
                <w:t>Condensed Consolidated Statement of Income for the Three and Six Months Ended June 30, 2013</w:t>
              </w:r>
            </w:hyperlink>
          </w:p>
        </w:tc>
        <w:tc>
          <w:tcPr>
            <w:tcW w:w="2920" w:type="dxa"/>
            <w:vAlign w:val="bottom"/>
            <w:gridSpan w:val="5"/>
          </w:tcPr>
          <w:p>
            <w:pPr>
              <w:ind w:left="100"/>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and 2012 (Unaudited)</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160" w:type="dxa"/>
            <w:vAlign w:val="bottom"/>
            <w:gridSpan w:val="15"/>
          </w:tcPr>
          <w:p>
            <w:pPr>
              <w:spacing w:after="0" w:line="129" w:lineRule="exact"/>
              <w:rPr>
                <w:rFonts w:ascii="Arial" w:cs="Arial" w:eastAsia="Arial" w:hAnsi="Arial"/>
                <w:sz w:val="14"/>
                <w:szCs w:val="14"/>
                <w:color w:val="0000EE"/>
                <w:w w:val="95"/>
              </w:rPr>
            </w:pPr>
            <w:hyperlink w:anchor="page5">
              <w:r>
                <w:rPr>
                  <w:rFonts w:ascii="Arial" w:cs="Arial" w:eastAsia="Arial" w:hAnsi="Arial"/>
                  <w:sz w:val="14"/>
                  <w:szCs w:val="14"/>
                  <w:color w:val="0000EE"/>
                  <w:w w:val="95"/>
                </w:rPr>
                <w:t>Condensed Consolidated Statement of Comprehensive Income for the Three and Six Months Ended June 30, 2013 and 2012 (Unaudited)</w:t>
              </w:r>
            </w:hyperlink>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180" w:type="dxa"/>
            <w:vAlign w:val="bottom"/>
            <w:tcBorders>
              <w:top w:val="single" w:sz="8" w:color="0000EE"/>
              <w:bottom w:val="single" w:sz="8" w:color="0000EE"/>
            </w:tcBorders>
            <w:gridSpan w:val="11"/>
          </w:tcPr>
          <w:p>
            <w:pPr>
              <w:spacing w:after="0" w:line="129" w:lineRule="exact"/>
              <w:rPr>
                <w:rFonts w:ascii="Arial" w:cs="Arial" w:eastAsia="Arial" w:hAnsi="Arial"/>
                <w:sz w:val="14"/>
                <w:szCs w:val="14"/>
                <w:color w:val="0000EE"/>
                <w:w w:val="86"/>
              </w:rPr>
            </w:pPr>
            <w:hyperlink w:anchor="page6">
              <w:r>
                <w:rPr>
                  <w:rFonts w:ascii="Arial" w:cs="Arial" w:eastAsia="Arial" w:hAnsi="Arial"/>
                  <w:sz w:val="14"/>
                  <w:szCs w:val="14"/>
                  <w:color w:val="0000EE"/>
                  <w:w w:val="86"/>
                </w:rPr>
                <w:t>Condensed Consolidated Statement of Cash Flows for the Six Months Ended June 30, 2013 and 2012 (Unaudited)</w:t>
              </w:r>
            </w:hyperlink>
          </w:p>
        </w:tc>
        <w:tc>
          <w:tcPr>
            <w:tcW w:w="1220" w:type="dxa"/>
            <w:vAlign w:val="bottom"/>
            <w:tcBorders>
              <w:top w:val="single" w:sz="8" w:color="0000EE"/>
            </w:tcBorders>
            <w:gridSpan w:val="3"/>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160" w:type="dxa"/>
            <w:vAlign w:val="bottom"/>
            <w:gridSpan w:val="15"/>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Six Months Ended June 30, 2013 and 2012 (Unaudited)</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54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620" w:type="dxa"/>
            <w:vAlign w:val="bottom"/>
            <w:gridSpan w:val="2"/>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3700" w:type="dxa"/>
            <w:vAlign w:val="bottom"/>
            <w:tcBorders>
              <w:top w:val="single" w:sz="8" w:color="0000EE"/>
            </w:tcBorders>
            <w:gridSpan w:val="8"/>
          </w:tcPr>
          <w:p>
            <w:pPr>
              <w:spacing w:after="0" w:line="129" w:lineRule="exact"/>
              <w:rPr>
                <w:rFonts w:ascii="Arial" w:cs="Arial" w:eastAsia="Arial" w:hAnsi="Arial"/>
                <w:sz w:val="14"/>
                <w:szCs w:val="14"/>
                <w:color w:val="0000EE"/>
                <w:w w:val="89"/>
              </w:rPr>
            </w:pPr>
            <w:hyperlink w:anchor="page31">
              <w:r>
                <w:rPr>
                  <w:rFonts w:ascii="Arial" w:cs="Arial" w:eastAsia="Arial" w:hAnsi="Arial"/>
                  <w:sz w:val="14"/>
                  <w:szCs w:val="14"/>
                  <w:color w:val="0000EE"/>
                  <w:w w:val="89"/>
                </w:rPr>
                <w:t>Management’s Discussion and Analysis of Financial Condition and</w:t>
              </w:r>
            </w:hyperlink>
          </w:p>
        </w:tc>
        <w:tc>
          <w:tcPr>
            <w:tcW w:w="4460" w:type="dxa"/>
            <w:vAlign w:val="bottom"/>
            <w:gridSpan w:val="7"/>
          </w:tcPr>
          <w:p>
            <w:pPr>
              <w:spacing w:after="0" w:line="129" w:lineRule="exact"/>
              <w:rPr>
                <w:rFonts w:ascii="Arial" w:cs="Arial" w:eastAsia="Arial" w:hAnsi="Arial"/>
                <w:sz w:val="14"/>
                <w:szCs w:val="14"/>
                <w:color w:val="0000EE"/>
              </w:rPr>
            </w:pPr>
            <w:hyperlink w:anchor="page31">
              <w:r>
                <w:rPr>
                  <w:rFonts w:ascii="Arial" w:cs="Arial" w:eastAsia="Arial" w:hAnsi="Arial"/>
                  <w:sz w:val="14"/>
                  <w:szCs w:val="14"/>
                  <w:color w:val="0000EE"/>
                </w:rPr>
                <w:t>Results of Operations</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Quantitative and Qualitative Disclosures About Market Risk</w:t>
              </w:r>
            </w:hyperlink>
          </w:p>
        </w:tc>
        <w:tc>
          <w:tcPr>
            <w:tcW w:w="3300" w:type="dxa"/>
            <w:vAlign w:val="bottom"/>
            <w:gridSpan w:val="6"/>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328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Controls and Procedures</w:t>
              </w:r>
            </w:hyperlink>
          </w:p>
        </w:tc>
        <w:tc>
          <w:tcPr>
            <w:tcW w:w="4880" w:type="dxa"/>
            <w:vAlign w:val="bottom"/>
            <w:gridSpan w:val="8"/>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PART II. OTHER INFORMATION</w:t>
            </w:r>
          </w:p>
        </w:tc>
        <w:tc>
          <w:tcPr>
            <w:tcW w:w="4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gridSpan w:val="2"/>
          </w:tcPr>
          <w:p>
            <w:pPr>
              <w:spacing w:after="0"/>
              <w:rPr>
                <w:sz w:val="11"/>
                <w:szCs w:val="11"/>
                <w:color w:val="auto"/>
              </w:rPr>
            </w:pPr>
          </w:p>
        </w:tc>
        <w:tc>
          <w:tcPr>
            <w:tcW w:w="1920" w:type="dxa"/>
            <w:vAlign w:val="bottom"/>
          </w:tcPr>
          <w:p>
            <w:pPr>
              <w:spacing w:after="0"/>
              <w:rPr>
                <w:sz w:val="11"/>
                <w:szCs w:val="11"/>
                <w:color w:val="auto"/>
              </w:rPr>
            </w:pPr>
          </w:p>
        </w:tc>
        <w:tc>
          <w:tcPr>
            <w:tcW w:w="4900" w:type="dxa"/>
            <w:vAlign w:val="bottom"/>
            <w:gridSpan w:val="9"/>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160" w:type="dxa"/>
            <w:vAlign w:val="bottom"/>
            <w:gridSpan w:val="15"/>
          </w:tcPr>
          <w:p>
            <w:pPr>
              <w:spacing w:after="0" w:line="148" w:lineRule="exact"/>
              <w:rPr>
                <w:rFonts w:ascii="Arial" w:cs="Arial" w:eastAsia="Arial" w:hAnsi="Arial"/>
                <w:sz w:val="14"/>
                <w:szCs w:val="14"/>
                <w:color w:val="0000EE"/>
              </w:rPr>
            </w:pPr>
            <w:hyperlink w:anchor="page46">
              <w:r>
                <w:rPr>
                  <w:rFonts w:ascii="Arial" w:cs="Arial" w:eastAsia="Arial" w:hAnsi="Arial"/>
                  <w:sz w:val="14"/>
                  <w:szCs w:val="14"/>
                  <w:color w:val="0000EE"/>
                </w:rPr>
                <w:t>Legal Proceedings</w:t>
              </w:r>
            </w:hyperlink>
          </w:p>
        </w:tc>
        <w:tc>
          <w:tcPr>
            <w:tcW w:w="1260" w:type="dxa"/>
            <w:vAlign w:val="bottom"/>
          </w:tcPr>
          <w:p>
            <w:pPr>
              <w:jc w:val="right"/>
              <w:spacing w:after="0" w:line="148"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4900" w:type="dxa"/>
            <w:vAlign w:val="bottom"/>
            <w:gridSpan w:val="9"/>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w w:val="82"/>
              </w:rPr>
            </w:pPr>
            <w:hyperlink w:anchor="page46">
              <w:r>
                <w:rPr>
                  <w:rFonts w:ascii="Arial" w:cs="Arial" w:eastAsia="Arial" w:hAnsi="Arial"/>
                  <w:sz w:val="14"/>
                  <w:szCs w:val="14"/>
                  <w:color w:val="0000EE"/>
                  <w:w w:val="82"/>
                </w:rPr>
                <w:t>Unregistered</w:t>
              </w:r>
            </w:hyperlink>
          </w:p>
        </w:tc>
        <w:tc>
          <w:tcPr>
            <w:tcW w:w="7480" w:type="dxa"/>
            <w:vAlign w:val="bottom"/>
            <w:gridSpan w:val="13"/>
          </w:tcPr>
          <w:p>
            <w:pPr>
              <w:ind w:left="60"/>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Sales of Equity Securities and Use of Proceeds</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Exhibits</w:t>
              </w:r>
            </w:hyperlink>
          </w:p>
        </w:tc>
        <w:tc>
          <w:tcPr>
            <w:tcW w:w="4900" w:type="dxa"/>
            <w:vAlign w:val="bottom"/>
            <w:gridSpan w:val="9"/>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rFonts w:ascii="Arial" w:cs="Arial" w:eastAsia="Arial" w:hAnsi="Arial"/>
                <w:sz w:val="14"/>
                <w:szCs w:val="14"/>
                <w:b w:val="1"/>
                <w:bCs w:val="1"/>
                <w:color w:val="0000EE"/>
              </w:rPr>
            </w:pPr>
            <w:hyperlink w:anchor="page48">
              <w:r>
                <w:rPr>
                  <w:rFonts w:ascii="Arial" w:cs="Arial" w:eastAsia="Arial" w:hAnsi="Arial"/>
                  <w:sz w:val="14"/>
                  <w:szCs w:val="14"/>
                  <w:b w:val="1"/>
                  <w:bCs w:val="1"/>
                  <w:color w:val="0000EE"/>
                </w:rPr>
                <w:t>SIGNATURES</w:t>
              </w:r>
            </w:hyperlink>
          </w:p>
        </w:tc>
        <w:tc>
          <w:tcPr>
            <w:tcW w:w="4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This Quarterly Report on Form 10-Q is for the three and six months ended June 30, 2013.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including NBCUniversal Media, LLC (“NBCUniversal”), as “we,” “us” and “our;” Comcast Cable Communications, LLC and its subsidiaries as “Comcast Cable;” Comcast Holdings Corporation as “Comcast Holdings;” and NBCUniversal, LLC as “NBCUniversal Holdings.”</w:t>
      </w:r>
    </w:p>
    <w:p>
      <w:pPr>
        <w:spacing w:after="0" w:line="18"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15"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businesses</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which is difficult to predict, and its businesses may be adversely affected if its content fails to achieve sufficient consumer acceptance or our costs to acquire content increase</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NBCUniversal’s programming distribution agreements, or the renewal of these agreements on less favorable terms, could adversely affect its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the outcome of various litigation matters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acquisitions and other strategic transactions present many risks, and we may not realize the financial and strategic goals that were contemplated at the time of any transaction</w:t>
      </w:r>
    </w:p>
    <w:p>
      <w:pPr>
        <w:spacing w:after="0" w:line="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color w:val="auto"/>
                <w:w w:val="81"/>
              </w:rPr>
              <w:t>June 30,</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90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380" w:type="dxa"/>
            <w:vAlign w:val="bottom"/>
          </w:tcPr>
          <w:p>
            <w:pPr>
              <w:spacing w:after="0"/>
              <w:rPr>
                <w:sz w:val="13"/>
                <w:szCs w:val="13"/>
                <w:color w:val="auto"/>
              </w:rPr>
            </w:pPr>
          </w:p>
        </w:tc>
        <w:tc>
          <w:tcPr>
            <w:tcW w:w="880" w:type="dxa"/>
            <w:vAlign w:val="bottom"/>
          </w:tcPr>
          <w:p>
            <w:pPr>
              <w:jc w:val="right"/>
              <w:ind w:right="413"/>
              <w:spacing w:after="0" w:line="159" w:lineRule="exact"/>
              <w:rPr>
                <w:sz w:val="20"/>
                <w:szCs w:val="20"/>
                <w:color w:val="auto"/>
              </w:rPr>
            </w:pPr>
            <w:r>
              <w:rPr>
                <w:rFonts w:ascii="Arial" w:cs="Arial" w:eastAsia="Arial" w:hAnsi="Arial"/>
                <w:sz w:val="14"/>
                <w:szCs w:val="14"/>
                <w:color w:val="auto"/>
              </w:rPr>
              <w:t>2013</w:t>
            </w:r>
          </w:p>
        </w:tc>
        <w:tc>
          <w:tcPr>
            <w:tcW w:w="380" w:type="dxa"/>
            <w:vAlign w:val="bottom"/>
          </w:tcPr>
          <w:p>
            <w:pPr>
              <w:spacing w:after="0"/>
              <w:rPr>
                <w:sz w:val="13"/>
                <w:szCs w:val="13"/>
                <w:color w:val="auto"/>
              </w:rPr>
            </w:pPr>
          </w:p>
        </w:tc>
        <w:tc>
          <w:tcPr>
            <w:tcW w:w="74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1,389</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3,765</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5,507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859</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1,215</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12,735</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4,340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5,299</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$41,089 and $39,425</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28,255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Franchise rights</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59,364</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27,075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$8,273 and $7,662</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17,440</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2,311</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86"/>
              </w:rPr>
              <w:t>156,819</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164,971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6,077</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1,625</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946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7,419</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2,535</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18,602</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44,114</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31,303</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12,461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853</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0"/>
              </w:rPr>
              <w:t>Class A common stock, $0.01 par value—authorized, 7,500,000,000 shares; issued, 2,499,065,762 and 2,487,739,385;</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outstanding, 2,133,605,012 and</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2,122,278,635</w:t>
            </w:r>
          </w:p>
        </w:tc>
        <w:tc>
          <w:tcPr>
            <w:tcW w:w="380" w:type="dxa"/>
            <w:vAlign w:val="bottom"/>
          </w:tcPr>
          <w:p>
            <w:pPr>
              <w:spacing w:after="0"/>
              <w:rPr>
                <w:sz w:val="19"/>
                <w:szCs w:val="19"/>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Special common stock, $0.01 par value—authorized, 7,500,000,000 shares; issued, 552,796,921 and</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578,704,227; outstanding, 481,862,157 and</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507,769,463</w:t>
            </w:r>
          </w:p>
        </w:tc>
        <w:tc>
          <w:tcPr>
            <w:tcW w:w="3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w:t>
            </w:r>
          </w:p>
        </w:tc>
        <w:tc>
          <w:tcPr>
            <w:tcW w:w="38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9"/>
              </w:rPr>
              <w:t>Class B common stock, $0.01 par value—authorized, 75,000,000 shares; issued and outstanding, 9,444,375</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38,991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17,509</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(7,517)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49,091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395</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49,486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49,796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86"/>
              </w:rPr>
              <w:t>156,819</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164,971</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3"/>
          </w:tcPr>
          <w:p>
            <w:pPr>
              <w:jc w:val="right"/>
              <w:ind w:right="393"/>
              <w:spacing w:after="0"/>
              <w:rPr>
                <w:sz w:val="20"/>
                <w:szCs w:val="20"/>
                <w:color w:val="auto"/>
              </w:rPr>
            </w:pPr>
            <w:r>
              <w:rPr>
                <w:rFonts w:ascii="Arial" w:cs="Arial" w:eastAsia="Arial" w:hAnsi="Arial"/>
                <w:sz w:val="14"/>
                <w:szCs w:val="14"/>
                <w:color w:val="auto"/>
                <w:w w:val="96"/>
              </w:rPr>
              <w:t>Three Months Ended</w:t>
            </w:r>
          </w:p>
        </w:tc>
        <w:tc>
          <w:tcPr>
            <w:tcW w:w="280" w:type="dxa"/>
            <w:vAlign w:val="bottom"/>
          </w:tcPr>
          <w:p>
            <w:pPr>
              <w:spacing w:after="0"/>
              <w:rPr>
                <w:sz w:val="14"/>
                <w:szCs w:val="14"/>
                <w:color w:val="auto"/>
              </w:rPr>
            </w:pPr>
          </w:p>
        </w:tc>
        <w:tc>
          <w:tcPr>
            <w:tcW w:w="1600" w:type="dxa"/>
            <w:vAlign w:val="bottom"/>
            <w:gridSpan w:val="3"/>
          </w:tcPr>
          <w:p>
            <w:pPr>
              <w:jc w:val="right"/>
              <w:ind w:right="31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495"/>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74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7"/>
              </w:rPr>
              <w:t>16,270</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83"/>
              </w:rPr>
              <w:t>15,211</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3"/>
              </w:rPr>
              <w:t>31,580</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30,089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4,968</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4,551</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9,631</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4,365</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1,291</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1,516</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409</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87"/>
              </w:rPr>
              <w:t>12,835</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83"/>
              </w:rPr>
              <w:t>12,132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83"/>
              </w:rPr>
              <w:t>25,078</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24,252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3,079</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(625)</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w w:val="91"/>
              </w:rPr>
              <w:t>(1,289)</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23</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29</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34</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(635)</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1"/>
              </w:rPr>
              <w:t>(1,140)</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2,444</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4"/>
              </w:rPr>
              <w:t>(1,048)</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(811)</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1"/>
              </w:rPr>
              <w:t>(1,973)</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(1,561)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1,633</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2"/>
              </w:rPr>
              <w:t>Net (income) loss attributable to noncontrolling interests and redeemable subsidiary preferred stock</w:t>
            </w: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(285)</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1,734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1,348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3,171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2,572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0.66</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0.50</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w w:val="99"/>
              </w:rPr>
              <w:t>Diluted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35"/>
              <w:spacing w:after="0"/>
              <w:rPr>
                <w:sz w:val="20"/>
                <w:szCs w:val="20"/>
                <w:color w:val="auto"/>
              </w:rPr>
            </w:pPr>
            <w:r>
              <w:rPr>
                <w:rFonts w:ascii="Arial" w:cs="Arial" w:eastAsia="Arial" w:hAnsi="Arial"/>
                <w:sz w:val="18"/>
                <w:szCs w:val="18"/>
                <w:b w:val="1"/>
                <w:bCs w:val="1"/>
                <w:color w:val="auto"/>
              </w:rPr>
              <w:t>0.65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173"/>
              <w:spacing w:after="0"/>
              <w:rPr>
                <w:sz w:val="20"/>
                <w:szCs w:val="20"/>
                <w:color w:val="auto"/>
              </w:rPr>
            </w:pPr>
            <w:r>
              <w:rPr>
                <w:rFonts w:ascii="Arial" w:cs="Arial" w:eastAsia="Arial" w:hAnsi="Arial"/>
                <w:sz w:val="18"/>
                <w:szCs w:val="18"/>
                <w:b w:val="1"/>
                <w:bCs w:val="1"/>
                <w:color w:val="auto"/>
              </w:rPr>
              <w:t>0.50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5"/>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5"/>
              </w:rPr>
              <w:t>Dividends declared per common share attributable to Comcast Corporation shareholders</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0.195</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83"/>
              </w:rPr>
              <w:t>0.1625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0.39</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0.325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320" w:type="dxa"/>
            <w:vAlign w:val="bottom"/>
            <w:gridSpan w:val="2"/>
          </w:tcPr>
          <w:p>
            <w:pPr>
              <w:jc w:val="right"/>
              <w:ind w:right="454"/>
              <w:spacing w:after="0"/>
              <w:rPr>
                <w:sz w:val="20"/>
                <w:szCs w:val="20"/>
                <w:color w:val="auto"/>
              </w:rPr>
            </w:pPr>
            <w:r>
              <w:rPr>
                <w:rFonts w:ascii="Arial" w:cs="Arial" w:eastAsia="Arial" w:hAnsi="Arial"/>
                <w:sz w:val="14"/>
                <w:szCs w:val="14"/>
                <w:color w:val="auto"/>
              </w:rPr>
              <w:t>Three Months Ended</w:t>
            </w:r>
          </w:p>
        </w:tc>
        <w:tc>
          <w:tcPr>
            <w:tcW w:w="1940" w:type="dxa"/>
            <w:vAlign w:val="bottom"/>
            <w:gridSpan w:val="2"/>
          </w:tcPr>
          <w:p>
            <w:pPr>
              <w:jc w:val="right"/>
              <w:ind w:right="31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1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6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2012</w:t>
            </w:r>
          </w:p>
        </w:tc>
        <w:tc>
          <w:tcPr>
            <w:tcW w:w="1260" w:type="dxa"/>
            <w:vAlign w:val="bottom"/>
            <w:tcBorders>
              <w:bottom w:val="single" w:sz="8" w:color="auto"/>
            </w:tcBorders>
          </w:tcPr>
          <w:p>
            <w:pPr>
              <w:jc w:val="right"/>
              <w:ind w:right="537"/>
              <w:spacing w:after="0" w:line="142" w:lineRule="exact"/>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716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$ 1,744</w:t>
            </w:r>
          </w:p>
        </w:tc>
        <w:tc>
          <w:tcPr>
            <w:tcW w:w="8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w w:val="89"/>
              </w:rPr>
              <w:t>$ 1,633</w:t>
            </w:r>
          </w:p>
        </w:tc>
        <w:tc>
          <w:tcPr>
            <w:tcW w:w="12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$ 3,389</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$ 3,080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w w:val="88"/>
              </w:rPr>
              <w:t>Unrealized gains (losses) on marketable securities, net of deferred taxes of $(59), $—, $(71) and $—</w:t>
            </w:r>
          </w:p>
        </w:tc>
        <w:tc>
          <w:tcPr>
            <w:tcW w:w="1460" w:type="dxa"/>
            <w:vAlign w:val="bottom"/>
          </w:tcPr>
          <w:p>
            <w:pPr>
              <w:jc w:val="right"/>
              <w:ind w:right="417"/>
              <w:spacing w:after="0"/>
              <w:rPr>
                <w:sz w:val="20"/>
                <w:szCs w:val="20"/>
                <w:color w:val="auto"/>
              </w:rPr>
            </w:pPr>
            <w:r>
              <w:rPr>
                <w:rFonts w:ascii="Arial" w:cs="Arial" w:eastAsia="Arial" w:hAnsi="Arial"/>
                <w:sz w:val="18"/>
                <w:szCs w:val="18"/>
                <w:color w:val="auto"/>
              </w:rPr>
              <w:t>97</w:t>
            </w: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17"/>
              <w:spacing w:after="0"/>
              <w:rPr>
                <w:sz w:val="20"/>
                <w:szCs w:val="20"/>
                <w:color w:val="auto"/>
              </w:rPr>
            </w:pPr>
            <w:r>
              <w:rPr>
                <w:rFonts w:ascii="Arial" w:cs="Arial" w:eastAsia="Arial" w:hAnsi="Arial"/>
                <w:sz w:val="18"/>
                <w:szCs w:val="18"/>
                <w:color w:val="auto"/>
              </w:rPr>
              <w:t>117</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E5E5E5"/>
          </w:tcPr>
          <w:p>
            <w:pPr>
              <w:spacing w:after="0"/>
              <w:rPr>
                <w:sz w:val="20"/>
                <w:szCs w:val="20"/>
                <w:color w:val="auto"/>
              </w:rPr>
            </w:pPr>
            <w:r>
              <w:rPr>
                <w:rFonts w:ascii="Arial" w:cs="Arial" w:eastAsia="Arial" w:hAnsi="Arial"/>
                <w:sz w:val="18"/>
                <w:szCs w:val="18"/>
                <w:color w:val="auto"/>
                <w:w w:val="98"/>
              </w:rPr>
              <w:t>Deferred gains (losses) on cash flow hedges, net of deferred taxes of $(1), $20, $20 and $9</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1</w:t>
            </w:r>
          </w:p>
        </w:tc>
        <w:tc>
          <w:tcPr>
            <w:tcW w:w="8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(35)</w:t>
            </w:r>
          </w:p>
        </w:tc>
        <w:tc>
          <w:tcPr>
            <w:tcW w:w="126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(35)</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88"/>
              </w:rPr>
              <w:t>Realized (gains) losses on marketable securities, net of deferred taxes of $—, $—, $12 and $—</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(23)</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w w:val="87"/>
              </w:rPr>
              <w:t>Realized (gains) losses on cash flow hedges, net of deferred taxes of $(1), $(10), $(28) and $(1)</w:t>
            </w:r>
          </w:p>
        </w:tc>
        <w:tc>
          <w:tcPr>
            <w:tcW w:w="1460" w:type="dxa"/>
            <w:vAlign w:val="bottom"/>
          </w:tcPr>
          <w:p>
            <w:pPr>
              <w:jc w:val="right"/>
              <w:ind w:right="417"/>
              <w:spacing w:after="0"/>
              <w:rPr>
                <w:sz w:val="20"/>
                <w:szCs w:val="20"/>
                <w:color w:val="auto"/>
              </w:rPr>
            </w:pPr>
            <w:r>
              <w:rPr>
                <w:rFonts w:ascii="Arial" w:cs="Arial" w:eastAsia="Arial" w:hAnsi="Arial"/>
                <w:sz w:val="18"/>
                <w:szCs w:val="18"/>
                <w:color w:val="auto"/>
              </w:rPr>
              <w:t>2</w:t>
            </w: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17</w:t>
            </w:r>
          </w:p>
        </w:tc>
        <w:tc>
          <w:tcPr>
            <w:tcW w:w="1260" w:type="dxa"/>
            <w:vAlign w:val="bottom"/>
          </w:tcPr>
          <w:p>
            <w:pPr>
              <w:jc w:val="right"/>
              <w:ind w:right="417"/>
              <w:spacing w:after="0"/>
              <w:rPr>
                <w:sz w:val="20"/>
                <w:szCs w:val="20"/>
                <w:color w:val="auto"/>
              </w:rPr>
            </w:pPr>
            <w:r>
              <w:rPr>
                <w:rFonts w:ascii="Arial" w:cs="Arial" w:eastAsia="Arial" w:hAnsi="Arial"/>
                <w:sz w:val="18"/>
                <w:szCs w:val="18"/>
                <w:color w:val="auto"/>
              </w:rPr>
              <w:t>48</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16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$(1), $1, $(2) and $1</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2</w:t>
            </w:r>
          </w:p>
        </w:tc>
        <w:tc>
          <w:tcPr>
            <w:tcW w:w="8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w:t>
            </w:r>
          </w:p>
        </w:tc>
        <w:tc>
          <w:tcPr>
            <w:tcW w:w="12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3</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$9, $2, $14 and $2</w:t>
            </w:r>
          </w:p>
        </w:tc>
        <w:tc>
          <w:tcPr>
            <w:tcW w:w="146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rPr>
              <w:t>(14)</w:t>
            </w: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color w:val="auto"/>
              </w:rPr>
              <w:t>(31)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716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1,832</w:t>
            </w:r>
          </w:p>
        </w:tc>
        <w:tc>
          <w:tcPr>
            <w:tcW w:w="8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1,603</w:t>
            </w:r>
          </w:p>
        </w:tc>
        <w:tc>
          <w:tcPr>
            <w:tcW w:w="12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3,468</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w w:val="90"/>
              </w:rPr>
              <w:t>Net (income) loss attributable to noncontrolling interests and redeemable subsidiary preferred stock</w:t>
            </w:r>
          </w:p>
        </w:tc>
        <w:tc>
          <w:tcPr>
            <w:tcW w:w="1460" w:type="dxa"/>
            <w:vAlign w:val="bottom"/>
          </w:tcPr>
          <w:p>
            <w:pPr>
              <w:jc w:val="right"/>
              <w:ind w:right="377"/>
              <w:spacing w:after="0"/>
              <w:rPr>
                <w:sz w:val="20"/>
                <w:szCs w:val="20"/>
                <w:color w:val="auto"/>
              </w:rPr>
            </w:pPr>
            <w:r>
              <w:rPr>
                <w:rFonts w:ascii="Arial" w:cs="Arial" w:eastAsia="Arial" w:hAnsi="Arial"/>
                <w:sz w:val="18"/>
                <w:szCs w:val="18"/>
                <w:color w:val="auto"/>
              </w:rPr>
              <w:t>(10)</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(285)</w:t>
            </w:r>
          </w:p>
        </w:tc>
        <w:tc>
          <w:tcPr>
            <w:tcW w:w="1260" w:type="dxa"/>
            <w:vAlign w:val="bottom"/>
          </w:tcPr>
          <w:p>
            <w:pPr>
              <w:jc w:val="right"/>
              <w:ind w:right="357"/>
              <w:spacing w:after="0"/>
              <w:rPr>
                <w:sz w:val="20"/>
                <w:szCs w:val="20"/>
                <w:color w:val="auto"/>
              </w:rPr>
            </w:pPr>
            <w:r>
              <w:rPr>
                <w:rFonts w:ascii="Arial" w:cs="Arial" w:eastAsia="Arial" w:hAnsi="Arial"/>
                <w:sz w:val="18"/>
                <w:szCs w:val="18"/>
                <w:color w:val="auto"/>
              </w:rPr>
              <w:t>(218)</w:t>
            </w:r>
          </w:p>
        </w:tc>
        <w:tc>
          <w:tcPr>
            <w:tcW w:w="68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46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8</w:t>
            </w:r>
          </w:p>
        </w:tc>
        <w:tc>
          <w:tcPr>
            <w:tcW w:w="126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9</w:t>
            </w: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4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$ 1,822</w:t>
            </w: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89"/>
              </w:rPr>
              <w:t>$ 1,326</w:t>
            </w: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$ 3,259</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$ 2,554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8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color w:val="auto"/>
                <w:w w:val="88"/>
              </w:rPr>
              <w:t>June 30</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2013</w:t>
            </w:r>
          </w:p>
        </w:tc>
        <w:tc>
          <w:tcPr>
            <w:tcW w:w="7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w w:val="76"/>
              </w:rPr>
              <w:t>2012</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7,685</w:t>
            </w:r>
          </w:p>
        </w:tc>
        <w:tc>
          <w:tcPr>
            <w:tcW w:w="760" w:type="dxa"/>
            <w:vAlign w:val="bottom"/>
            <w:tcBorders>
              <w:bottom w:val="single" w:sz="8" w:color="auto"/>
            </w:tcBorders>
            <w:shd w:val="clear" w:color="auto" w:fill="E5E5E5"/>
          </w:tcPr>
          <w:p>
            <w:pPr>
              <w:jc w:val="right"/>
              <w:ind w:right="39"/>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7,815</w:t>
            </w:r>
          </w:p>
        </w:tc>
        <w:tc>
          <w:tcPr>
            <w:tcW w:w="0" w:type="dxa"/>
            <w:vAlign w:val="bottom"/>
          </w:tcPr>
          <w:p>
            <w:pPr>
              <w:spacing w:after="0"/>
              <w:rPr>
                <w:sz w:val="1"/>
                <w:szCs w:val="1"/>
                <w:color w:val="auto"/>
              </w:rPr>
            </w:pPr>
          </w:p>
        </w:tc>
      </w:tr>
      <w:tr>
        <w:trPr>
          <w:trHeight w:val="210"/>
        </w:trPr>
        <w:tc>
          <w:tcPr>
            <w:tcW w:w="88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(2,867)</w:t>
            </w:r>
          </w:p>
        </w:tc>
        <w:tc>
          <w:tcPr>
            <w:tcW w:w="7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1"/>
              </w:rPr>
              <w:t>(2,461)</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 of 30 Rockefeller Plaza properties</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(1,311)</w:t>
            </w:r>
          </w:p>
        </w:tc>
        <w:tc>
          <w:tcPr>
            <w:tcW w:w="7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Proceeds from sales of businesses and investments</w:t>
            </w:r>
          </w:p>
        </w:tc>
        <w:tc>
          <w:tcPr>
            <w:tcW w:w="6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76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Return of capital from investees</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146</w:t>
            </w:r>
          </w:p>
        </w:tc>
        <w:tc>
          <w:tcPr>
            <w:tcW w:w="7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Purchases of investments</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(641)</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66</w:t>
            </w:r>
          </w:p>
        </w:tc>
        <w:tc>
          <w:tcPr>
            <w:tcW w:w="7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(4,960)</w:t>
            </w: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(2,829)</w:t>
            </w:r>
          </w:p>
        </w:tc>
        <w:tc>
          <w:tcPr>
            <w:tcW w:w="0" w:type="dxa"/>
            <w:vAlign w:val="bottom"/>
          </w:tcPr>
          <w:p>
            <w:pPr>
              <w:spacing w:after="0"/>
              <w:rPr>
                <w:sz w:val="1"/>
                <w:szCs w:val="1"/>
                <w:color w:val="auto"/>
              </w:rPr>
            </w:pPr>
          </w:p>
        </w:tc>
      </w:tr>
      <w:tr>
        <w:trPr>
          <w:trHeight w:val="210"/>
        </w:trPr>
        <w:tc>
          <w:tcPr>
            <w:tcW w:w="88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Proceeds from (repayments of) short-term borrowings, net</w:t>
            </w:r>
          </w:p>
        </w:tc>
        <w:tc>
          <w:tcPr>
            <w:tcW w:w="6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348</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borrowings</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2,933</w:t>
            </w:r>
          </w:p>
        </w:tc>
        <w:tc>
          <w:tcPr>
            <w:tcW w:w="7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(2,195)</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(1,692)</w:t>
            </w: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Repurchases and retirements of common stock</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1"/>
              </w:rPr>
              <w:t>(1,500)</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Issuances of common stock</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w:t>
            </w:r>
          </w:p>
        </w:tc>
        <w:tc>
          <w:tcPr>
            <w:tcW w:w="7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Purchase of NBCUniversal noncontrolling common equity interest</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(10,761)</w:t>
            </w:r>
          </w:p>
        </w:tc>
        <w:tc>
          <w:tcPr>
            <w:tcW w:w="76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w:t>
            </w:r>
          </w:p>
        </w:tc>
        <w:tc>
          <w:tcPr>
            <w:tcW w:w="7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Settlement of Station Venture liability</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w:t>
            </w:r>
          </w:p>
        </w:tc>
        <w:tc>
          <w:tcPr>
            <w:tcW w:w="76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24</w:t>
            </w:r>
          </w:p>
        </w:tc>
        <w:tc>
          <w:tcPr>
            <w:tcW w:w="7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(12,287)</w:t>
            </w: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(4,505)</w:t>
            </w:r>
          </w:p>
        </w:tc>
        <w:tc>
          <w:tcPr>
            <w:tcW w:w="0" w:type="dxa"/>
            <w:vAlign w:val="bottom"/>
          </w:tcPr>
          <w:p>
            <w:pPr>
              <w:spacing w:after="0"/>
              <w:rPr>
                <w:sz w:val="1"/>
                <w:szCs w:val="1"/>
                <w:color w:val="auto"/>
              </w:rPr>
            </w:pPr>
          </w:p>
        </w:tc>
      </w:tr>
      <w:tr>
        <w:trPr>
          <w:trHeight w:val="210"/>
        </w:trPr>
        <w:tc>
          <w:tcPr>
            <w:tcW w:w="880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(9,562)</w:t>
            </w:r>
          </w:p>
        </w:tc>
        <w:tc>
          <w:tcPr>
            <w:tcW w:w="7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10,951</w:t>
            </w: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7"/>
        </w:trPr>
        <w:tc>
          <w:tcPr>
            <w:tcW w:w="8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1,389</w:t>
            </w:r>
          </w:p>
        </w:tc>
        <w:tc>
          <w:tcPr>
            <w:tcW w:w="760" w:type="dxa"/>
            <w:vAlign w:val="bottom"/>
            <w:tcBorders>
              <w:bottom w:val="single" w:sz="8" w:color="auto"/>
            </w:tcBorders>
            <w:shd w:val="clear" w:color="auto" w:fill="E5E5E5"/>
          </w:tcPr>
          <w:p>
            <w:pPr>
              <w:jc w:val="right"/>
              <w:ind w:right="39"/>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2,101</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color w:val="auto"/>
                <w:w w:val="83"/>
              </w:rPr>
              <w:t>Redeemable</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700" w:type="dxa"/>
            <w:vAlign w:val="bottom"/>
            <w:gridSpan w:val="4"/>
          </w:tcPr>
          <w:p>
            <w:pPr>
              <w:ind w:left="540"/>
              <w:spacing w:after="0" w:line="149" w:lineRule="exact"/>
              <w:rPr>
                <w:sz w:val="20"/>
                <w:szCs w:val="20"/>
                <w:color w:val="auto"/>
              </w:rPr>
            </w:pPr>
            <w:r>
              <w:rPr>
                <w:rFonts w:ascii="Arial" w:cs="Arial" w:eastAsia="Arial" w:hAnsi="Arial"/>
                <w:sz w:val="14"/>
                <w:szCs w:val="14"/>
                <w:color w:val="auto"/>
              </w:rPr>
              <w:t>Noncontrolling</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6"/>
              </w:rPr>
              <w:t>Interests and</w:t>
            </w:r>
          </w:p>
        </w:tc>
        <w:tc>
          <w:tcPr>
            <w:tcW w:w="4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w w:val="89"/>
              </w:rPr>
              <w:t>Common Stock</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00" w:type="dxa"/>
            <w:vAlign w:val="bottom"/>
            <w:gridSpan w:val="3"/>
            <w:vMerge w:val="restart"/>
          </w:tcPr>
          <w:p>
            <w:pPr>
              <w:jc w:val="center"/>
              <w:ind w:right="400"/>
              <w:spacing w:after="0" w:line="149" w:lineRule="exact"/>
              <w:rPr>
                <w:sz w:val="20"/>
                <w:szCs w:val="20"/>
                <w:color w:val="auto"/>
              </w:rPr>
            </w:pPr>
            <w:r>
              <w:rPr>
                <w:rFonts w:ascii="Arial" w:cs="Arial" w:eastAsia="Arial" w:hAnsi="Arial"/>
                <w:sz w:val="14"/>
                <w:szCs w:val="14"/>
                <w:color w:val="auto"/>
                <w:w w:val="83"/>
              </w:rPr>
              <w:t>Redeemable</w:t>
            </w: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3"/>
            <w:vMerge w:val="restart"/>
          </w:tcPr>
          <w:p>
            <w:pPr>
              <w:jc w:val="center"/>
              <w:ind w:left="32"/>
              <w:spacing w:after="0" w:line="149" w:lineRule="exact"/>
              <w:rPr>
                <w:sz w:val="20"/>
                <w:szCs w:val="20"/>
                <w:color w:val="auto"/>
              </w:rPr>
            </w:pPr>
            <w:r>
              <w:rPr>
                <w:rFonts w:ascii="Arial" w:cs="Arial" w:eastAsia="Arial" w:hAnsi="Arial"/>
                <w:sz w:val="14"/>
                <w:szCs w:val="14"/>
                <w:color w:val="auto"/>
                <w:w w:val="88"/>
              </w:rPr>
              <w:t>Accumulated</w:t>
            </w: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40" w:type="dxa"/>
            <w:vAlign w:val="bottom"/>
            <w:tcBorders>
              <w:lef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8"/>
              </w:rPr>
              <w:t>Subsidiary</w:t>
            </w:r>
          </w:p>
        </w:tc>
        <w:tc>
          <w:tcPr>
            <w:tcW w:w="44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Additional</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7"/>
              </w:rPr>
              <w:t>Treasury</w:t>
            </w:r>
          </w:p>
        </w:tc>
        <w:tc>
          <w:tcPr>
            <w:tcW w:w="3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Other</w:t>
            </w:r>
          </w:p>
        </w:tc>
        <w:tc>
          <w:tcPr>
            <w:tcW w:w="2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5"/>
              </w:rPr>
              <w:t>Preferred</w:t>
            </w:r>
          </w:p>
        </w:tc>
        <w:tc>
          <w:tcPr>
            <w:tcW w:w="44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Paid-In</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Retained</w:t>
            </w:r>
          </w:p>
        </w:tc>
        <w:tc>
          <w:tcPr>
            <w:tcW w:w="7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Stock at</w:t>
            </w:r>
          </w:p>
        </w:tc>
        <w:tc>
          <w:tcPr>
            <w:tcW w:w="110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1"/>
              </w:rPr>
              <w:t>Comprehensive</w:t>
            </w:r>
          </w:p>
        </w:tc>
        <w:tc>
          <w:tcPr>
            <w:tcW w:w="8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controlling</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3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5"/>
                <w:szCs w:val="15"/>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color w:val="auto"/>
                <w:w w:val="85"/>
              </w:rPr>
              <w:t>Stock</w:t>
            </w:r>
          </w:p>
        </w:tc>
        <w:tc>
          <w:tcPr>
            <w:tcW w:w="440" w:type="dxa"/>
            <w:vAlign w:val="bottom"/>
            <w:tcBorders>
              <w:left w:val="single" w:sz="8" w:color="auto"/>
            </w:tcBorders>
          </w:tcPr>
          <w:p>
            <w:pPr>
              <w:jc w:val="center"/>
              <w:ind w:left="72"/>
              <w:spacing w:after="0"/>
              <w:rPr>
                <w:sz w:val="20"/>
                <w:szCs w:val="20"/>
                <w:color w:val="auto"/>
              </w:rPr>
            </w:pPr>
            <w:r>
              <w:rPr>
                <w:rFonts w:ascii="Arial" w:cs="Arial" w:eastAsia="Arial" w:hAnsi="Arial"/>
                <w:sz w:val="14"/>
                <w:szCs w:val="14"/>
                <w:color w:val="auto"/>
              </w:rPr>
              <w:t>A</w:t>
            </w: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A Special</w:t>
            </w:r>
          </w:p>
        </w:tc>
        <w:tc>
          <w:tcPr>
            <w:tcW w:w="340" w:type="dxa"/>
            <w:vAlign w:val="bottom"/>
          </w:tcPr>
          <w:p>
            <w:pPr>
              <w:jc w:val="center"/>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w w:val="87"/>
              </w:rPr>
              <w:t>Capital</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Earnings</w:t>
            </w:r>
          </w:p>
        </w:tc>
        <w:tc>
          <w:tcPr>
            <w:tcW w:w="24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Cost</w:t>
            </w:r>
          </w:p>
        </w:tc>
        <w:tc>
          <w:tcPr>
            <w:tcW w:w="1100" w:type="dxa"/>
            <w:vAlign w:val="bottom"/>
            <w:gridSpan w:val="3"/>
          </w:tcPr>
          <w:p>
            <w:pPr>
              <w:jc w:val="center"/>
              <w:ind w:left="32"/>
              <w:spacing w:after="0"/>
              <w:rPr>
                <w:sz w:val="20"/>
                <w:szCs w:val="20"/>
                <w:color w:val="auto"/>
              </w:rPr>
            </w:pPr>
            <w:r>
              <w:rPr>
                <w:rFonts w:ascii="Arial" w:cs="Arial" w:eastAsia="Arial" w:hAnsi="Arial"/>
                <w:sz w:val="14"/>
                <w:szCs w:val="14"/>
                <w:color w:val="auto"/>
                <w:w w:val="90"/>
              </w:rPr>
              <w:t>Income (Loss)</w:t>
            </w:r>
          </w:p>
        </w:tc>
        <w:tc>
          <w:tcPr>
            <w:tcW w:w="26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w w:val="78"/>
              </w:rPr>
              <w:t>Interests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January 1, 2012</w:t>
            </w:r>
          </w:p>
        </w:tc>
        <w:tc>
          <w:tcPr>
            <w:tcW w:w="600" w:type="dxa"/>
            <w:vAlign w:val="bottom"/>
            <w:tcBorders>
              <w:top w:val="single" w:sz="8" w:color="auto"/>
            </w:tcBorders>
            <w:shd w:val="clear" w:color="auto" w:fill="E5E5E5"/>
          </w:tcPr>
          <w:p>
            <w:pPr>
              <w:ind w:left="54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16,014</w:t>
            </w:r>
          </w:p>
        </w:tc>
        <w:tc>
          <w:tcPr>
            <w:tcW w:w="80" w:type="dxa"/>
            <w:vAlign w:val="bottom"/>
            <w:tcBorders>
              <w:top w:val="single" w:sz="8" w:color="E5E5E5"/>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440" w:type="dxa"/>
            <w:vAlign w:val="bottom"/>
            <w:tcBorders>
              <w:top w:val="single" w:sz="8" w:color="auto"/>
              <w:left w:val="single" w:sz="8" w:color="auto"/>
            </w:tcBorders>
            <w:shd w:val="clear" w:color="auto" w:fill="E5E5E5"/>
          </w:tcPr>
          <w:p>
            <w:pPr>
              <w:jc w:val="center"/>
              <w:ind w:left="52"/>
              <w:spacing w:after="0" w:line="142" w:lineRule="exact"/>
              <w:rPr>
                <w:sz w:val="20"/>
                <w:szCs w:val="20"/>
                <w:color w:val="auto"/>
              </w:rPr>
            </w:pPr>
            <w:r>
              <w:rPr>
                <w:rFonts w:ascii="Arial" w:cs="Arial" w:eastAsia="Arial" w:hAnsi="Arial"/>
                <w:sz w:val="14"/>
                <w:szCs w:val="14"/>
                <w:color w:val="auto"/>
                <w:w w:val="85"/>
              </w:rPr>
              <w:t>$25</w:t>
            </w:r>
          </w:p>
        </w:tc>
        <w:tc>
          <w:tcPr>
            <w:tcW w:w="42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7</w:t>
            </w:r>
          </w:p>
        </w:tc>
        <w:tc>
          <w:tcPr>
            <w:tcW w:w="34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w w:val="93"/>
              </w:rPr>
              <w:t>$ —</w:t>
            </w:r>
          </w:p>
        </w:tc>
        <w:tc>
          <w:tcPr>
            <w:tcW w:w="24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40,940</w:t>
            </w:r>
          </w:p>
        </w:tc>
        <w:tc>
          <w:tcPr>
            <w:tcW w:w="80" w:type="dxa"/>
            <w:vAlign w:val="bottom"/>
            <w:tcBorders>
              <w:top w:val="single" w:sz="8" w:color="E5E5E5"/>
            </w:tcBorders>
            <w:shd w:val="clear" w:color="auto" w:fill="E5E5E5"/>
          </w:tcPr>
          <w:p>
            <w:pPr>
              <w:spacing w:after="0"/>
              <w:rPr>
                <w:sz w:val="12"/>
                <w:szCs w:val="12"/>
                <w:color w:val="auto"/>
              </w:rPr>
            </w:pPr>
          </w:p>
        </w:tc>
        <w:tc>
          <w:tcPr>
            <w:tcW w:w="64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$ 13,971</w:t>
            </w:r>
          </w:p>
        </w:tc>
        <w:tc>
          <w:tcPr>
            <w:tcW w:w="100" w:type="dxa"/>
            <w:vAlign w:val="bottom"/>
            <w:tcBorders>
              <w:top w:val="single" w:sz="8" w:color="E5E5E5"/>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E5E5E5"/>
          </w:tcPr>
          <w:p>
            <w:pPr>
              <w:ind w:left="40"/>
              <w:spacing w:after="0" w:line="142" w:lineRule="exact"/>
              <w:rPr>
                <w:sz w:val="20"/>
                <w:szCs w:val="20"/>
                <w:color w:val="auto"/>
              </w:rPr>
            </w:pPr>
            <w:r>
              <w:rPr>
                <w:rFonts w:ascii="Arial" w:cs="Arial" w:eastAsia="Arial" w:hAnsi="Arial"/>
                <w:sz w:val="14"/>
                <w:szCs w:val="14"/>
                <w:color w:val="auto"/>
                <w:w w:val="76"/>
              </w:rPr>
              <w:t>(7,517)</w:t>
            </w:r>
          </w:p>
        </w:tc>
        <w:tc>
          <w:tcPr>
            <w:tcW w:w="80" w:type="dxa"/>
            <w:vAlign w:val="bottom"/>
            <w:tcBorders>
              <w:top w:val="single" w:sz="8" w:color="E5E5E5"/>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(152)</w:t>
            </w:r>
          </w:p>
        </w:tc>
        <w:tc>
          <w:tcPr>
            <w:tcW w:w="80" w:type="dxa"/>
            <w:vAlign w:val="bottom"/>
            <w:tcBorders>
              <w:top w:val="single" w:sz="8" w:color="E5E5E5"/>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381</w:t>
            </w:r>
          </w:p>
        </w:tc>
        <w:tc>
          <w:tcPr>
            <w:tcW w:w="80" w:type="dxa"/>
            <w:vAlign w:val="bottom"/>
            <w:tcBorders>
              <w:top w:val="single" w:sz="8" w:color="E5E5E5"/>
            </w:tcBorders>
            <w:shd w:val="clear" w:color="auto" w:fill="E5E5E5"/>
          </w:tcPr>
          <w:p>
            <w:pPr>
              <w:spacing w:after="0"/>
              <w:rPr>
                <w:sz w:val="12"/>
                <w:szCs w:val="12"/>
                <w:color w:val="auto"/>
              </w:rPr>
            </w:pPr>
          </w:p>
        </w:tc>
        <w:tc>
          <w:tcPr>
            <w:tcW w:w="6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$47,655</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60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40" w:type="dxa"/>
            <w:vAlign w:val="bottom"/>
            <w:tcBorders>
              <w:left w:val="single" w:sz="8" w:color="auto"/>
            </w:tcBorders>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(583)</w:t>
            </w:r>
          </w:p>
        </w:tc>
        <w:tc>
          <w:tcPr>
            <w:tcW w:w="74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(916)</w:t>
            </w:r>
          </w:p>
        </w:tc>
        <w:tc>
          <w:tcPr>
            <w:tcW w:w="2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70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60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40" w:type="dxa"/>
            <w:vAlign w:val="bottom"/>
            <w:tcBorders>
              <w:left w:val="single" w:sz="8" w:color="auto"/>
            </w:tcBorders>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74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(874)</w:t>
            </w:r>
          </w:p>
        </w:tc>
        <w:tc>
          <w:tcPr>
            <w:tcW w:w="2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70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Other comprehensive</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ind w:left="200"/>
              <w:spacing w:after="0" w:line="159" w:lineRule="exact"/>
              <w:rPr>
                <w:sz w:val="20"/>
                <w:szCs w:val="20"/>
                <w:color w:val="auto"/>
              </w:rPr>
            </w:pPr>
            <w:r>
              <w:rPr>
                <w:rFonts w:ascii="Arial" w:cs="Arial" w:eastAsia="Arial" w:hAnsi="Arial"/>
                <w:sz w:val="14"/>
                <w:szCs w:val="14"/>
                <w:color w:val="auto"/>
              </w:rPr>
              <w:t>income (loss)</w:t>
            </w:r>
          </w:p>
        </w:tc>
        <w:tc>
          <w:tcPr>
            <w:tcW w:w="600" w:type="dxa"/>
            <w:vAlign w:val="bottom"/>
          </w:tcPr>
          <w:p>
            <w:pPr>
              <w:spacing w:after="0"/>
              <w:rPr>
                <w:sz w:val="13"/>
                <w:szCs w:val="13"/>
                <w:color w:val="auto"/>
              </w:rPr>
            </w:pP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3"/>
                <w:szCs w:val="13"/>
                <w:color w:val="auto"/>
              </w:rPr>
            </w:pPr>
          </w:p>
        </w:tc>
        <w:tc>
          <w:tcPr>
            <w:tcW w:w="440" w:type="dxa"/>
            <w:vAlign w:val="bottom"/>
            <w:tcBorders>
              <w:lef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(18)</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 (distributions to)</w:t>
            </w:r>
          </w:p>
        </w:tc>
        <w:tc>
          <w:tcPr>
            <w:tcW w:w="60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40" w:type="dxa"/>
            <w:vAlign w:val="bottom"/>
            <w:tcBorders>
              <w:left w:val="single" w:sz="8" w:color="auto"/>
            </w:tcBorders>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noncontrolling interests, net</w:t>
            </w:r>
          </w:p>
        </w:tc>
        <w:tc>
          <w:tcPr>
            <w:tcW w:w="600" w:type="dxa"/>
            <w:vAlign w:val="bottom"/>
            <w:shd w:val="clear" w:color="auto" w:fill="E5E5E5"/>
          </w:tcPr>
          <w:p>
            <w:pPr>
              <w:spacing w:after="0"/>
              <w:rPr>
                <w:sz w:val="13"/>
                <w:szCs w:val="13"/>
                <w:color w:val="auto"/>
              </w:rPr>
            </w:pPr>
          </w:p>
        </w:tc>
        <w:tc>
          <w:tcPr>
            <w:tcW w:w="86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(132)</w:t>
            </w:r>
          </w:p>
        </w:tc>
        <w:tc>
          <w:tcPr>
            <w:tcW w:w="240" w:type="dxa"/>
            <w:vAlign w:val="bottom"/>
            <w:shd w:val="clear" w:color="auto" w:fill="E5E5E5"/>
          </w:tcPr>
          <w:p>
            <w:pPr>
              <w:spacing w:after="0"/>
              <w:rPr>
                <w:sz w:val="13"/>
                <w:szCs w:val="13"/>
                <w:color w:val="auto"/>
              </w:rPr>
            </w:pPr>
          </w:p>
        </w:tc>
        <w:tc>
          <w:tcPr>
            <w:tcW w:w="440" w:type="dxa"/>
            <w:vAlign w:val="bottom"/>
            <w:tcBorders>
              <w:left w:val="single" w:sz="8" w:color="auto"/>
            </w:tcBorders>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(85)</w:t>
            </w:r>
          </w:p>
        </w:tc>
        <w:tc>
          <w:tcPr>
            <w:tcW w:w="70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6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240" w:type="dxa"/>
            <w:vAlign w:val="bottom"/>
          </w:tcPr>
          <w:p>
            <w:pPr>
              <w:spacing w:after="0"/>
              <w:rPr>
                <w:sz w:val="12"/>
                <w:szCs w:val="12"/>
                <w:color w:val="auto"/>
              </w:rPr>
            </w:pPr>
          </w:p>
        </w:tc>
        <w:tc>
          <w:tcPr>
            <w:tcW w:w="44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60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449</w:t>
            </w:r>
          </w:p>
        </w:tc>
        <w:tc>
          <w:tcPr>
            <w:tcW w:w="8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440" w:type="dxa"/>
            <w:vAlign w:val="bottom"/>
            <w:tcBorders>
              <w:left w:val="single" w:sz="8" w:color="auto"/>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spacing w:after="0"/>
              <w:rPr>
                <w:sz w:val="12"/>
                <w:szCs w:val="12"/>
                <w:color w:val="auto"/>
              </w:rPr>
            </w:pPr>
          </w:p>
        </w:tc>
        <w:tc>
          <w:tcPr>
            <w:tcW w:w="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2,572</w:t>
            </w:r>
          </w:p>
        </w:tc>
        <w:tc>
          <w:tcPr>
            <w:tcW w:w="24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spacing w:after="0"/>
              <w:rPr>
                <w:sz w:val="12"/>
                <w:szCs w:val="12"/>
                <w:color w:val="auto"/>
              </w:rPr>
            </w:pPr>
          </w:p>
        </w:tc>
        <w:tc>
          <w:tcPr>
            <w:tcW w:w="8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spacing w:after="0"/>
              <w:rPr>
                <w:sz w:val="12"/>
                <w:szCs w:val="12"/>
                <w:color w:val="auto"/>
              </w:rPr>
            </w:pPr>
          </w:p>
        </w:tc>
        <w:tc>
          <w:tcPr>
            <w:tcW w:w="80" w:type="dxa"/>
            <w:vAlign w:val="bottom"/>
            <w:tcBorders>
              <w:bottom w:val="single" w:sz="8" w:color="auto"/>
            </w:tcBorders>
            <w:shd w:val="clear" w:color="auto" w:fill="E5E5E5"/>
          </w:tcPr>
          <w:p>
            <w:pPr>
              <w:spacing w:after="0"/>
              <w:rPr>
                <w:sz w:val="12"/>
                <w:szCs w:val="12"/>
                <w:color w:val="auto"/>
              </w:rPr>
            </w:pPr>
          </w:p>
        </w:tc>
        <w:tc>
          <w:tcPr>
            <w:tcW w:w="26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59</w:t>
            </w:r>
          </w:p>
        </w:tc>
        <w:tc>
          <w:tcPr>
            <w:tcW w:w="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2,631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June 30, 2012</w:t>
            </w:r>
          </w:p>
        </w:tc>
        <w:tc>
          <w:tcPr>
            <w:tcW w:w="60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16,279</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left w:val="single" w:sz="8" w:color="auto"/>
              <w:bottom w:val="single" w:sz="8" w:color="auto"/>
            </w:tcBorders>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$25</w:t>
            </w:r>
          </w:p>
        </w:tc>
        <w:tc>
          <w:tcPr>
            <w:tcW w:w="4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6</w:t>
            </w: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40,761</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$ 14,626</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(7,517)</w:t>
            </w:r>
          </w:p>
        </w:tc>
        <w:tc>
          <w:tcPr>
            <w:tcW w:w="3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(170)</w:t>
            </w:r>
          </w:p>
        </w:tc>
        <w:tc>
          <w:tcPr>
            <w:tcW w:w="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448</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$48,179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Balance, January 1, 2013</w:t>
            </w:r>
          </w:p>
        </w:tc>
        <w:tc>
          <w:tcPr>
            <w:tcW w:w="600" w:type="dxa"/>
            <w:vAlign w:val="bottom"/>
            <w:shd w:val="clear" w:color="auto" w:fill="E5E5E5"/>
          </w:tcPr>
          <w:p>
            <w:pPr>
              <w:ind w:left="54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16,998</w:t>
            </w:r>
          </w:p>
        </w:tc>
        <w:tc>
          <w:tcPr>
            <w:tcW w:w="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40" w:type="dxa"/>
            <w:vAlign w:val="bottom"/>
            <w:tcBorders>
              <w:left w:val="single" w:sz="8" w:color="auto"/>
            </w:tcBorders>
            <w:shd w:val="clear" w:color="auto" w:fill="E5E5E5"/>
          </w:tcPr>
          <w:p>
            <w:pPr>
              <w:jc w:val="center"/>
              <w:ind w:left="52"/>
              <w:spacing w:after="0" w:line="149" w:lineRule="exact"/>
              <w:rPr>
                <w:sz w:val="20"/>
                <w:szCs w:val="20"/>
                <w:color w:val="auto"/>
              </w:rPr>
            </w:pPr>
            <w:r>
              <w:rPr>
                <w:rFonts w:ascii="Arial" w:cs="Arial" w:eastAsia="Arial" w:hAnsi="Arial"/>
                <w:sz w:val="14"/>
                <w:szCs w:val="14"/>
                <w:color w:val="auto"/>
                <w:w w:val="85"/>
              </w:rPr>
              <w:t>$25</w:t>
            </w:r>
          </w:p>
        </w:tc>
        <w:tc>
          <w:tcPr>
            <w:tcW w:w="420" w:type="dxa"/>
            <w:vAlign w:val="bottom"/>
            <w:shd w:val="clear" w:color="auto" w:fill="E5E5E5"/>
          </w:tcPr>
          <w:p>
            <w:pPr>
              <w:ind w:left="1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 —</w:t>
            </w:r>
          </w:p>
        </w:tc>
        <w:tc>
          <w:tcPr>
            <w:tcW w:w="24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40,547</w:t>
            </w:r>
          </w:p>
        </w:tc>
        <w:tc>
          <w:tcPr>
            <w:tcW w:w="80" w:type="dxa"/>
            <w:vAlign w:val="bottom"/>
            <w:shd w:val="clear" w:color="auto" w:fill="E5E5E5"/>
          </w:tcPr>
          <w:p>
            <w:pPr>
              <w:spacing w:after="0"/>
              <w:rPr>
                <w:sz w:val="12"/>
                <w:szCs w:val="12"/>
                <w:color w:val="auto"/>
              </w:rPr>
            </w:pPr>
          </w:p>
        </w:tc>
        <w:tc>
          <w:tcPr>
            <w:tcW w:w="74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$ 16,280</w:t>
            </w:r>
          </w:p>
        </w:tc>
        <w:tc>
          <w:tcPr>
            <w:tcW w:w="24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E5E5E5"/>
          </w:tcPr>
          <w:p>
            <w:pPr>
              <w:ind w:left="40"/>
              <w:spacing w:after="0" w:line="149" w:lineRule="exact"/>
              <w:rPr>
                <w:sz w:val="20"/>
                <w:szCs w:val="20"/>
                <w:color w:val="auto"/>
              </w:rPr>
            </w:pPr>
            <w:r>
              <w:rPr>
                <w:rFonts w:ascii="Arial" w:cs="Arial" w:eastAsia="Arial" w:hAnsi="Arial"/>
                <w:sz w:val="14"/>
                <w:szCs w:val="14"/>
                <w:color w:val="auto"/>
                <w:w w:val="94"/>
              </w:rPr>
              <w:t>(7,517)</w:t>
            </w:r>
          </w:p>
        </w:tc>
        <w:tc>
          <w:tcPr>
            <w:tcW w:w="340" w:type="dxa"/>
            <w:vAlign w:val="bottom"/>
            <w:shd w:val="clear" w:color="auto" w:fill="E5E5E5"/>
          </w:tcPr>
          <w:p>
            <w:pPr>
              <w:ind w:left="1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E5E5E5"/>
          </w:tcPr>
          <w:p>
            <w:pPr>
              <w:spacing w:after="0"/>
              <w:rPr>
                <w:sz w:val="12"/>
                <w:szCs w:val="12"/>
                <w:color w:val="auto"/>
              </w:rPr>
            </w:pPr>
          </w:p>
        </w:tc>
        <w:tc>
          <w:tcPr>
            <w:tcW w:w="260" w:type="dxa"/>
            <w:vAlign w:val="bottom"/>
            <w:shd w:val="clear" w:color="auto" w:fill="E5E5E5"/>
          </w:tcPr>
          <w:p>
            <w:pPr>
              <w:ind w:left="18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440</w:t>
            </w:r>
          </w:p>
        </w:tc>
        <w:tc>
          <w:tcPr>
            <w:tcW w:w="80" w:type="dxa"/>
            <w:vAlign w:val="bottom"/>
            <w:shd w:val="clear" w:color="auto" w:fill="E5E5E5"/>
          </w:tcPr>
          <w:p>
            <w:pPr>
              <w:spacing w:after="0"/>
              <w:rPr>
                <w:sz w:val="12"/>
                <w:szCs w:val="12"/>
                <w:color w:val="auto"/>
              </w:rPr>
            </w:pP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$49,796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(212)</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Repurchases and retirements of common</w:t>
            </w:r>
          </w:p>
        </w:tc>
        <w:tc>
          <w:tcPr>
            <w:tcW w:w="60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40" w:type="dxa"/>
            <w:vAlign w:val="bottom"/>
            <w:tcBorders>
              <w:left w:val="single" w:sz="8" w:color="auto"/>
            </w:tcBorders>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stock</w:t>
            </w:r>
          </w:p>
        </w:tc>
        <w:tc>
          <w:tcPr>
            <w:tcW w:w="60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440" w:type="dxa"/>
            <w:vAlign w:val="bottom"/>
            <w:tcBorders>
              <w:left w:val="single" w:sz="8" w:color="auto"/>
            </w:tcBorders>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8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(296)</w:t>
            </w:r>
          </w:p>
        </w:tc>
        <w:tc>
          <w:tcPr>
            <w:tcW w:w="74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(704)</w:t>
            </w:r>
          </w:p>
        </w:tc>
        <w:tc>
          <w:tcPr>
            <w:tcW w:w="2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0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Employee stock purchase</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ind w:left="200"/>
              <w:spacing w:after="0" w:line="159" w:lineRule="exact"/>
              <w:rPr>
                <w:sz w:val="20"/>
                <w:szCs w:val="20"/>
                <w:color w:val="auto"/>
              </w:rPr>
            </w:pPr>
            <w:r>
              <w:rPr>
                <w:rFonts w:ascii="Arial" w:cs="Arial" w:eastAsia="Arial" w:hAnsi="Arial"/>
                <w:sz w:val="14"/>
                <w:szCs w:val="14"/>
                <w:color w:val="auto"/>
              </w:rPr>
              <w:t>plans</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Borders>
              <w:lef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60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40" w:type="dxa"/>
            <w:vAlign w:val="bottom"/>
            <w:tcBorders>
              <w:left w:val="single" w:sz="8" w:color="auto"/>
            </w:tcBorders>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74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(1,026)</w:t>
            </w:r>
          </w:p>
        </w:tc>
        <w:tc>
          <w:tcPr>
            <w:tcW w:w="2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70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Other comprehensive</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ind w:left="200"/>
              <w:spacing w:after="0" w:line="159" w:lineRule="exact"/>
              <w:rPr>
                <w:sz w:val="20"/>
                <w:szCs w:val="20"/>
                <w:color w:val="auto"/>
              </w:rPr>
            </w:pPr>
            <w:r>
              <w:rPr>
                <w:rFonts w:ascii="Arial" w:cs="Arial" w:eastAsia="Arial" w:hAnsi="Arial"/>
                <w:sz w:val="14"/>
                <w:szCs w:val="14"/>
                <w:color w:val="auto"/>
              </w:rPr>
              <w:t>income (loss)</w:t>
            </w:r>
          </w:p>
        </w:tc>
        <w:tc>
          <w:tcPr>
            <w:tcW w:w="600" w:type="dxa"/>
            <w:vAlign w:val="bottom"/>
          </w:tcPr>
          <w:p>
            <w:pPr>
              <w:spacing w:after="0"/>
              <w:rPr>
                <w:sz w:val="13"/>
                <w:szCs w:val="13"/>
                <w:color w:val="auto"/>
              </w:rPr>
            </w:pP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3"/>
                <w:szCs w:val="13"/>
                <w:color w:val="auto"/>
              </w:rPr>
            </w:pPr>
          </w:p>
        </w:tc>
        <w:tc>
          <w:tcPr>
            <w:tcW w:w="440" w:type="dxa"/>
            <w:vAlign w:val="bottom"/>
            <w:tcBorders>
              <w:lef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88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Purchase of NBCUniversal</w:t>
            </w:r>
          </w:p>
        </w:tc>
        <w:tc>
          <w:tcPr>
            <w:tcW w:w="60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40" w:type="dxa"/>
            <w:vAlign w:val="bottom"/>
            <w:tcBorders>
              <w:left w:val="single" w:sz="8" w:color="auto"/>
            </w:tcBorders>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noncontrolling common equity interest</w:t>
            </w:r>
          </w:p>
        </w:tc>
        <w:tc>
          <w:tcPr>
            <w:tcW w:w="600" w:type="dxa"/>
            <w:vAlign w:val="bottom"/>
            <w:shd w:val="clear" w:color="auto" w:fill="E5E5E5"/>
          </w:tcPr>
          <w:p>
            <w:pPr>
              <w:spacing w:after="0"/>
              <w:rPr>
                <w:sz w:val="13"/>
                <w:szCs w:val="13"/>
                <w:color w:val="auto"/>
              </w:rPr>
            </w:pPr>
          </w:p>
        </w:tc>
        <w:tc>
          <w:tcPr>
            <w:tcW w:w="86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(17,006)</w:t>
            </w:r>
          </w:p>
        </w:tc>
        <w:tc>
          <w:tcPr>
            <w:tcW w:w="240" w:type="dxa"/>
            <w:vAlign w:val="bottom"/>
            <w:shd w:val="clear" w:color="auto" w:fill="E5E5E5"/>
          </w:tcPr>
          <w:p>
            <w:pPr>
              <w:spacing w:after="0"/>
              <w:rPr>
                <w:sz w:val="13"/>
                <w:szCs w:val="13"/>
                <w:color w:val="auto"/>
              </w:rPr>
            </w:pPr>
          </w:p>
        </w:tc>
        <w:tc>
          <w:tcPr>
            <w:tcW w:w="440" w:type="dxa"/>
            <w:vAlign w:val="bottom"/>
            <w:tcBorders>
              <w:left w:val="single" w:sz="8" w:color="auto"/>
            </w:tcBorders>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8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(1,482)</w:t>
            </w:r>
          </w:p>
        </w:tc>
        <w:tc>
          <w:tcPr>
            <w:tcW w:w="6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760" w:type="dxa"/>
            <w:vAlign w:val="bottom"/>
            <w:gridSpan w:val="2"/>
            <w:shd w:val="clear" w:color="auto" w:fill="E5E5E5"/>
          </w:tcPr>
          <w:p>
            <w:pPr>
              <w:jc w:val="right"/>
              <w:ind w:right="20"/>
              <w:spacing w:after="0" w:line="159" w:lineRule="exact"/>
              <w:rPr>
                <w:sz w:val="20"/>
                <w:szCs w:val="20"/>
                <w:color w:val="auto"/>
              </w:rPr>
            </w:pPr>
            <w:r>
              <w:rPr>
                <w:rFonts w:ascii="Arial" w:cs="Arial" w:eastAsia="Arial" w:hAnsi="Arial"/>
                <w:sz w:val="14"/>
                <w:szCs w:val="14"/>
                <w:color w:val="auto"/>
              </w:rPr>
              <w:t>(26)</w:t>
            </w:r>
          </w:p>
        </w:tc>
        <w:tc>
          <w:tcPr>
            <w:tcW w:w="26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0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Redeemable subsidiary preferred stock</w:t>
            </w:r>
          </w:p>
        </w:tc>
        <w:tc>
          <w:tcPr>
            <w:tcW w:w="6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 (distributions to)</w:t>
            </w:r>
          </w:p>
        </w:tc>
        <w:tc>
          <w:tcPr>
            <w:tcW w:w="60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40" w:type="dxa"/>
            <w:vAlign w:val="bottom"/>
            <w:tcBorders>
              <w:left w:val="single" w:sz="8" w:color="auto"/>
            </w:tcBorders>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noncontrolling interests, net</w:t>
            </w:r>
          </w:p>
        </w:tc>
        <w:tc>
          <w:tcPr>
            <w:tcW w:w="600" w:type="dxa"/>
            <w:vAlign w:val="bottom"/>
            <w:shd w:val="clear" w:color="auto" w:fill="E5E5E5"/>
          </w:tcPr>
          <w:p>
            <w:pPr>
              <w:spacing w:after="0"/>
              <w:rPr>
                <w:sz w:val="13"/>
                <w:szCs w:val="13"/>
                <w:color w:val="auto"/>
              </w:rPr>
            </w:pPr>
          </w:p>
        </w:tc>
        <w:tc>
          <w:tcPr>
            <w:tcW w:w="86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(12)</w:t>
            </w:r>
          </w:p>
        </w:tc>
        <w:tc>
          <w:tcPr>
            <w:tcW w:w="240" w:type="dxa"/>
            <w:vAlign w:val="bottom"/>
            <w:shd w:val="clear" w:color="auto" w:fill="E5E5E5"/>
          </w:tcPr>
          <w:p>
            <w:pPr>
              <w:spacing w:after="0"/>
              <w:rPr>
                <w:sz w:val="13"/>
                <w:szCs w:val="13"/>
                <w:color w:val="auto"/>
              </w:rPr>
            </w:pPr>
          </w:p>
        </w:tc>
        <w:tc>
          <w:tcPr>
            <w:tcW w:w="440" w:type="dxa"/>
            <w:vAlign w:val="bottom"/>
            <w:tcBorders>
              <w:left w:val="single" w:sz="8" w:color="auto"/>
            </w:tcBorders>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(84)</w:t>
            </w:r>
          </w:p>
        </w:tc>
        <w:tc>
          <w:tcPr>
            <w:tcW w:w="70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6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2"/>
                <w:szCs w:val="12"/>
                <w:color w:val="auto"/>
              </w:rPr>
            </w:pPr>
          </w:p>
        </w:tc>
        <w:tc>
          <w:tcPr>
            <w:tcW w:w="44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(123)</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60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171</w:t>
            </w:r>
          </w:p>
        </w:tc>
        <w:tc>
          <w:tcPr>
            <w:tcW w:w="8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440" w:type="dxa"/>
            <w:vAlign w:val="bottom"/>
            <w:tcBorders>
              <w:left w:val="single" w:sz="8" w:color="auto"/>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spacing w:after="0"/>
              <w:rPr>
                <w:sz w:val="12"/>
                <w:szCs w:val="12"/>
                <w:color w:val="auto"/>
              </w:rPr>
            </w:pPr>
          </w:p>
        </w:tc>
        <w:tc>
          <w:tcPr>
            <w:tcW w:w="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3,171</w:t>
            </w:r>
          </w:p>
        </w:tc>
        <w:tc>
          <w:tcPr>
            <w:tcW w:w="24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spacing w:after="0"/>
              <w:rPr>
                <w:sz w:val="12"/>
                <w:szCs w:val="12"/>
                <w:color w:val="auto"/>
              </w:rPr>
            </w:pPr>
          </w:p>
        </w:tc>
        <w:tc>
          <w:tcPr>
            <w:tcW w:w="8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spacing w:after="0"/>
              <w:rPr>
                <w:sz w:val="12"/>
                <w:szCs w:val="12"/>
                <w:color w:val="auto"/>
              </w:rPr>
            </w:pPr>
          </w:p>
        </w:tc>
        <w:tc>
          <w:tcPr>
            <w:tcW w:w="80" w:type="dxa"/>
            <w:vAlign w:val="bottom"/>
            <w:tcBorders>
              <w:bottom w:val="single" w:sz="8" w:color="auto"/>
            </w:tcBorders>
            <w:shd w:val="clear" w:color="auto" w:fill="E5E5E5"/>
          </w:tcPr>
          <w:p>
            <w:pPr>
              <w:spacing w:after="0"/>
              <w:rPr>
                <w:sz w:val="12"/>
                <w:szCs w:val="12"/>
                <w:color w:val="auto"/>
              </w:rPr>
            </w:pPr>
          </w:p>
        </w:tc>
        <w:tc>
          <w:tcPr>
            <w:tcW w:w="26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47</w:t>
            </w:r>
          </w:p>
        </w:tc>
        <w:tc>
          <w:tcPr>
            <w:tcW w:w="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June 30, 2013</w:t>
            </w:r>
          </w:p>
        </w:tc>
        <w:tc>
          <w:tcPr>
            <w:tcW w:w="60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853</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left w:val="single" w:sz="8" w:color="auto"/>
              <w:bottom w:val="single" w:sz="8" w:color="auto"/>
            </w:tcBorders>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$25</w:t>
            </w:r>
          </w:p>
        </w:tc>
        <w:tc>
          <w:tcPr>
            <w:tcW w:w="4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6</w:t>
            </w: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38,991</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$ 17,509</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(7,517)</w:t>
            </w:r>
          </w:p>
        </w:tc>
        <w:tc>
          <w:tcPr>
            <w:tcW w:w="3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395</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$49,486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2012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to conform to classifications used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Three Months Ended June 30</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4"/>
              <w:spacing w:after="0" w:line="131" w:lineRule="exact"/>
              <w:rPr>
                <w:sz w:val="20"/>
                <w:szCs w:val="20"/>
                <w:color w:val="auto"/>
              </w:rPr>
            </w:pPr>
            <w:r>
              <w:rPr>
                <w:rFonts w:ascii="Arial" w:cs="Arial" w:eastAsia="Arial" w:hAnsi="Arial"/>
                <w:sz w:val="14"/>
                <w:szCs w:val="14"/>
                <w:color w:val="auto"/>
                <w:w w:val="86"/>
              </w:rPr>
              <w:t>Net Income</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4"/>
              <w:spacing w:after="0" w:line="149" w:lineRule="exact"/>
              <w:rPr>
                <w:sz w:val="20"/>
                <w:szCs w:val="20"/>
                <w:color w:val="auto"/>
              </w:rPr>
            </w:pPr>
            <w:r>
              <w:rPr>
                <w:rFonts w:ascii="Arial" w:cs="Arial" w:eastAsia="Arial" w:hAnsi="Arial"/>
                <w:sz w:val="14"/>
                <w:szCs w:val="14"/>
                <w:color w:val="auto"/>
                <w:w w:val="90"/>
              </w:rPr>
              <w:t>Attributable to</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4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4"/>
              <w:spacing w:after="0" w:line="159" w:lineRule="exact"/>
              <w:rPr>
                <w:sz w:val="20"/>
                <w:szCs w:val="20"/>
                <w:color w:val="auto"/>
              </w:rPr>
            </w:pPr>
            <w:r>
              <w:rPr>
                <w:rFonts w:ascii="Arial" w:cs="Arial" w:eastAsia="Arial" w:hAnsi="Arial"/>
                <w:sz w:val="14"/>
                <w:szCs w:val="14"/>
                <w:color w:val="auto"/>
                <w:w w:val="90"/>
              </w:rPr>
              <w:t>Corporation</w:t>
            </w:r>
          </w:p>
        </w:tc>
        <w:tc>
          <w:tcPr>
            <w:tcW w:w="840" w:type="dxa"/>
            <w:vAlign w:val="bottom"/>
            <w:tcBorders>
              <w:bottom w:val="single" w:sz="8" w:color="auto"/>
            </w:tcBorders>
          </w:tcPr>
          <w:p>
            <w:pPr>
              <w:jc w:val="right"/>
              <w:ind w:right="140"/>
              <w:spacing w:after="0" w:line="159" w:lineRule="exact"/>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1,734</w:t>
            </w:r>
          </w:p>
        </w:tc>
        <w:tc>
          <w:tcPr>
            <w:tcW w:w="840" w:type="dxa"/>
            <w:vAlign w:val="bottom"/>
            <w:shd w:val="clear" w:color="auto" w:fill="E5E5E5"/>
          </w:tcPr>
          <w:p>
            <w:pPr>
              <w:jc w:val="right"/>
              <w:ind w:right="80"/>
              <w:spacing w:after="0"/>
              <w:rPr>
                <w:sz w:val="20"/>
                <w:szCs w:val="20"/>
                <w:color w:val="auto"/>
              </w:rPr>
            </w:pPr>
            <w:r>
              <w:rPr>
                <w:rFonts w:ascii="Arial" w:cs="Arial" w:eastAsia="Arial" w:hAnsi="Arial"/>
                <w:sz w:val="18"/>
                <w:szCs w:val="18"/>
                <w:color w:val="auto"/>
              </w:rPr>
              <w:t>2,631</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0.66</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1,348</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2,687</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0.50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1,734</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2,666</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0.65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1,348</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2,717</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0.50</w:t>
            </w:r>
          </w:p>
        </w:tc>
      </w:tr>
      <w:tr>
        <w:trPr>
          <w:trHeight w:val="284"/>
        </w:trPr>
        <w:tc>
          <w:tcPr>
            <w:tcW w:w="5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color w:val="auto"/>
              </w:rPr>
              <w:t>Six Months Ended June 30</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4"/>
              <w:spacing w:after="0" w:line="131" w:lineRule="exact"/>
              <w:rPr>
                <w:sz w:val="20"/>
                <w:szCs w:val="20"/>
                <w:color w:val="auto"/>
              </w:rPr>
            </w:pPr>
            <w:r>
              <w:rPr>
                <w:rFonts w:ascii="Arial" w:cs="Arial" w:eastAsia="Arial" w:hAnsi="Arial"/>
                <w:sz w:val="14"/>
                <w:szCs w:val="14"/>
                <w:color w:val="auto"/>
                <w:w w:val="86"/>
              </w:rPr>
              <w:t>Net Income</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4"/>
              <w:spacing w:after="0" w:line="149" w:lineRule="exact"/>
              <w:rPr>
                <w:sz w:val="20"/>
                <w:szCs w:val="20"/>
                <w:color w:val="auto"/>
              </w:rPr>
            </w:pPr>
            <w:r>
              <w:rPr>
                <w:rFonts w:ascii="Arial" w:cs="Arial" w:eastAsia="Arial" w:hAnsi="Arial"/>
                <w:sz w:val="14"/>
                <w:szCs w:val="14"/>
                <w:color w:val="auto"/>
                <w:w w:val="90"/>
              </w:rPr>
              <w:t>Attributable to</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4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4"/>
              <w:spacing w:after="0" w:line="159" w:lineRule="exact"/>
              <w:rPr>
                <w:sz w:val="20"/>
                <w:szCs w:val="20"/>
                <w:color w:val="auto"/>
              </w:rPr>
            </w:pPr>
            <w:r>
              <w:rPr>
                <w:rFonts w:ascii="Arial" w:cs="Arial" w:eastAsia="Arial" w:hAnsi="Arial"/>
                <w:sz w:val="14"/>
                <w:szCs w:val="14"/>
                <w:color w:val="auto"/>
                <w:w w:val="90"/>
              </w:rPr>
              <w:t>Corporation</w:t>
            </w:r>
          </w:p>
        </w:tc>
        <w:tc>
          <w:tcPr>
            <w:tcW w:w="840" w:type="dxa"/>
            <w:vAlign w:val="bottom"/>
            <w:tcBorders>
              <w:bottom w:val="single" w:sz="8" w:color="auto"/>
            </w:tcBorders>
          </w:tcPr>
          <w:p>
            <w:pPr>
              <w:jc w:val="right"/>
              <w:ind w:right="140"/>
              <w:spacing w:after="0" w:line="159" w:lineRule="exact"/>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3,171</w:t>
            </w:r>
          </w:p>
        </w:tc>
        <w:tc>
          <w:tcPr>
            <w:tcW w:w="840" w:type="dxa"/>
            <w:vAlign w:val="bottom"/>
            <w:shd w:val="clear" w:color="auto" w:fill="E5E5E5"/>
          </w:tcPr>
          <w:p>
            <w:pPr>
              <w:jc w:val="right"/>
              <w:ind w:right="80"/>
              <w:spacing w:after="0"/>
              <w:rPr>
                <w:sz w:val="20"/>
                <w:szCs w:val="20"/>
                <w:color w:val="auto"/>
              </w:rPr>
            </w:pPr>
            <w:r>
              <w:rPr>
                <w:rFonts w:ascii="Arial" w:cs="Arial" w:eastAsia="Arial" w:hAnsi="Arial"/>
                <w:sz w:val="18"/>
                <w:szCs w:val="18"/>
                <w:color w:val="auto"/>
              </w:rPr>
              <w:t>2,633</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1.20</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2,572</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2,697</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0.95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3,171</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2,672</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1.19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2,572</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2,733</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0.94</w:t>
            </w:r>
          </w:p>
        </w:tc>
      </w:tr>
    </w:tbl>
    <w:p>
      <w:pPr>
        <w:spacing w:after="0" w:line="10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EPS for the three and six months ended June 30, 2013 excludes 18 million and 10 million, respectively, of potential common shares related to our share-based compensation plans, because the inclusion of the potential common shares would have had an antidilutive effect. For the three and six months ended June 30, 2012, diluted EPS excluded 44 million and 35 million, respectively, of potential common shares.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Significant Transactions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2013, we acquired GE’s 49% common equity interest in NBCUniversal Holdings for approximately $16.7 billion (the “Redemption Transaction”). In addition to this transaction, NBCUniversal purchased from GE certain properties it occupies at 30 Rockefeller Plaza in New York City and CNBC’s headquarters in Englewood Cliffs, New Jersey for approximately $1.4 billion.</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consideration for these transactions consisted of $11.4 billion of cash on hand; $4 billion of senior debt securities issued by NBCUniversal Enterprise, Inc. (“NBCUniversal Enterprise”), a holding company whose principal assets are its interests in NBCUniversal Holdings; $750 million of cash funded through our commercial paper program; $1.25 billion of borrowings under NBCUniversal Enterprise’s credit facility, which replaced NBCUniversal’s credit facility; and $725 million aggregate liquidation preference of Series A cumulative preferred stock of NBCUniversal Enterprise. See Note 7 for additional information on NBCUniversal Enterprise’s senior debt securities and credit facility.</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close of the Redemption Transaction, we control and consolidate NBCUniversal Enterprise and own all of its capital stock other than its preferred stock. NBCUniversal Enterprise’s senior debt securities and credit facility are guaranteed by us and four of our wholly owned cable holding company subsidiaries, but are not guaranteed by NBCUniversal. In March 2013, NBCUniversal became a part of our existing cross-guarantee structure. See Note 15 for additional information on our cross-guarantee structure.</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After the close of the transaction, GE sold the interests in NBCUniversal Enterprise’s senior debt securities and preferred stock it acquired in the Redemption Transaction to unaffiliated third parties. The preferred stock pays dividends at a fixed rate of 5.25% per annum and the holders have the right to cause NBCUniversal Enterprise to redeem their shares at a price equal to the liquidation preference plus accrued but unpaid dividends for a 30 day period beginning on March 19, 2020 and thereafter on every third anniversary of such date (each such date, a “put date”). Shares of preferred stock can be called for redemption by NBCUniversal Enterprise at a price equal to the liquidation preference plus accrued but unpaid dividends one year following each put date applicable to such shares. Because certain of these redemption provisions are outside of our control, the NBCUniversal Enterprise preferred stock is presented outside of equity under the caption “redeemable noncontrolling interests and redeemable subsidiary preferred stock” in our condensed consolidated balance sheet. Its initial value was based on the liquidation preference of the preferred stock and is adjusted for accrued but unpaid dividends.</w:t>
      </w:r>
    </w:p>
    <w:p>
      <w:pPr>
        <w:spacing w:after="0" w:line="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an increase to our deferred tax liabilities of $1.5 billion primarily due to an increase in our financial reporting basis in the consolidated net assets of NBCUniversal Holdings in excess of the tax basis following the Redemption Transaction. In addition, our condensed consolidated balance sheet now includes certain tax liabilities of NBCUniversal Enterprise related to periods prior to our acquisition of the common stock of NBCUniversal Enterprise for which we have been indemnified by GE and have recorded a related indemnification asset. We also expect to realize additional tax benefits in the future as a result of the Redemption Transaction, which are expected to increase the amounts we have agreed to share with GE. Our expected future payments to GE are accounted for as contingent consideration. See Note 8 for additional information on the fair value of this contingent consideration as of June 30, 2013.</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maintained control of NBCUniversal Holdings, the difference between the consideration transferred and the recorded value of GE’s 49% redeemable noncontrolling common equity interest, and the related tax impacts, were recorded to additional paid-in capital. The related tax impacts are preliminary and subject to change as we obtain the information necessary to complete our analysis.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Film and Television Costs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960" w:type="dxa"/>
            <w:vAlign w:val="bottom"/>
          </w:tcPr>
          <w:p>
            <w:pPr>
              <w:jc w:val="right"/>
              <w:ind w:right="255"/>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59"/>
        </w:trPr>
        <w:tc>
          <w:tcPr>
            <w:tcW w:w="6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960" w:type="dxa"/>
            <w:vAlign w:val="bottom"/>
            <w:tcBorders>
              <w:bottom w:val="single" w:sz="8" w:color="auto"/>
            </w:tcBorders>
          </w:tcPr>
          <w:p>
            <w:pPr>
              <w:jc w:val="right"/>
              <w:ind w:right="355"/>
              <w:spacing w:after="0" w:line="159"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62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9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960" w:type="dxa"/>
            <w:vAlign w:val="bottom"/>
          </w:tcPr>
          <w:p>
            <w:pPr>
              <w:jc w:val="right"/>
              <w:ind w:right="235"/>
              <w:spacing w:after="0"/>
              <w:rPr>
                <w:sz w:val="20"/>
                <w:szCs w:val="20"/>
                <w:color w:val="auto"/>
              </w:rPr>
            </w:pPr>
            <w:r>
              <w:rPr>
                <w:rFonts w:ascii="Arial" w:cs="Arial" w:eastAsia="Arial" w:hAnsi="Arial"/>
                <w:sz w:val="18"/>
                <w:szCs w:val="18"/>
                <w:color w:val="auto"/>
              </w:rPr>
              <w:t>$1,442</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1,472</w:t>
            </w:r>
          </w:p>
        </w:tc>
      </w:tr>
      <w:tr>
        <w:trPr>
          <w:trHeight w:val="216"/>
        </w:trPr>
        <w:tc>
          <w:tcPr>
            <w:tcW w:w="6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260</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99</w:t>
            </w:r>
          </w:p>
        </w:tc>
      </w:tr>
      <w:tr>
        <w:trPr>
          <w:trHeight w:val="216"/>
        </w:trPr>
        <w:tc>
          <w:tcPr>
            <w:tcW w:w="6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389</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1,048</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2,091</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2,619</w:t>
            </w: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3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1,130</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1,124</w:t>
            </w:r>
          </w:p>
        </w:tc>
      </w:tr>
      <w:tr>
        <w:trPr>
          <w:trHeight w:val="216"/>
        </w:trPr>
        <w:tc>
          <w:tcPr>
            <w:tcW w:w="6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270</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334</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1,400</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1,458</w:t>
            </w:r>
          </w:p>
        </w:tc>
      </w:tr>
      <w:tr>
        <w:trPr>
          <w:trHeight w:val="216"/>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1,708</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1,886</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5,199</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5,963</w:t>
            </w:r>
          </w:p>
        </w:tc>
      </w:tr>
      <w:tr>
        <w:trPr>
          <w:trHeight w:val="216"/>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859</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909</w:t>
            </w:r>
          </w:p>
        </w:tc>
      </w:tr>
      <w:tr>
        <w:trPr>
          <w:trHeight w:val="217"/>
        </w:trPr>
        <w:tc>
          <w:tcPr>
            <w:tcW w:w="6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96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rPr>
              <w:t>$4,340</w:t>
            </w:r>
          </w:p>
        </w:tc>
        <w:tc>
          <w:tcPr>
            <w:tcW w:w="4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5,054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June 30,</w:t>
            </w:r>
          </w:p>
        </w:tc>
        <w:tc>
          <w:tcPr>
            <w:tcW w:w="280" w:type="dxa"/>
            <w:vAlign w:val="bottom"/>
          </w:tcPr>
          <w:p>
            <w:pPr>
              <w:spacing w:after="0"/>
              <w:rPr>
                <w:sz w:val="14"/>
                <w:szCs w:val="14"/>
                <w:color w:val="auto"/>
              </w:rPr>
            </w:pPr>
          </w:p>
        </w:tc>
        <w:tc>
          <w:tcPr>
            <w:tcW w:w="1220" w:type="dxa"/>
            <w:vAlign w:val="bottom"/>
            <w:gridSpan w:val="2"/>
          </w:tcPr>
          <w:p>
            <w:pPr>
              <w:jc w:val="right"/>
              <w:ind w:right="13"/>
              <w:spacing w:after="0"/>
              <w:rPr>
                <w:sz w:val="20"/>
                <w:szCs w:val="20"/>
                <w:color w:val="auto"/>
              </w:rPr>
            </w:pPr>
            <w:r>
              <w:rPr>
                <w:rFonts w:ascii="Arial" w:cs="Arial" w:eastAsia="Arial" w:hAnsi="Arial"/>
                <w:sz w:val="14"/>
                <w:szCs w:val="14"/>
                <w:color w:val="auto"/>
              </w:rPr>
              <w:t>December 31,</w:t>
            </w:r>
          </w:p>
        </w:tc>
      </w:tr>
      <w:tr>
        <w:trPr>
          <w:trHeight w:val="159"/>
        </w:trPr>
        <w:tc>
          <w:tcPr>
            <w:tcW w:w="70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
              <w:spacing w:after="0" w:line="159"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253"/>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70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1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$5,809</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61"/>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4,493</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Equity Method:</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0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1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471</w:t>
            </w:r>
          </w:p>
        </w:tc>
      </w:tr>
      <w:tr>
        <w:trPr>
          <w:trHeight w:val="216"/>
        </w:trPr>
        <w:tc>
          <w:tcPr>
            <w:tcW w:w="70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693</w:t>
            </w:r>
          </w:p>
        </w:tc>
      </w:tr>
      <w:tr>
        <w:trPr>
          <w:trHeight w:val="210"/>
        </w:trPr>
        <w:tc>
          <w:tcPr>
            <w:tcW w:w="6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1,082</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1,164</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Cost Method:</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0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AirTouch</w:t>
            </w:r>
          </w:p>
        </w:tc>
        <w:tc>
          <w:tcPr>
            <w:tcW w:w="1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1,545</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1,538</w:t>
            </w:r>
          </w:p>
        </w:tc>
      </w:tr>
      <w:tr>
        <w:trPr>
          <w:trHeight w:val="216"/>
        </w:trPr>
        <w:tc>
          <w:tcPr>
            <w:tcW w:w="70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594</w:t>
            </w:r>
          </w:p>
        </w:tc>
      </w:tr>
      <w:tr>
        <w:trPr>
          <w:trHeight w:val="210"/>
        </w:trPr>
        <w:tc>
          <w:tcPr>
            <w:tcW w:w="6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2,173</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2,132</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9,064</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7,789</w:t>
            </w:r>
          </w:p>
        </w:tc>
      </w:tr>
      <w:tr>
        <w:trPr>
          <w:trHeight w:val="216"/>
        </w:trPr>
        <w:tc>
          <w:tcPr>
            <w:tcW w:w="70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1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3,765</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93"/>
              </w:rPr>
              <w:t>1,464</w:t>
            </w:r>
          </w:p>
        </w:tc>
      </w:tr>
      <w:tr>
        <w:trPr>
          <w:trHeight w:val="217"/>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Noncurrent investments</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$5,299</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3"/>
              </w:rPr>
              <w:t>6,325</w:t>
            </w:r>
          </w:p>
        </w:tc>
      </w:tr>
      <w:tr>
        <w:trPr>
          <w:trHeight w:val="336"/>
        </w:trPr>
        <w:tc>
          <w:tcPr>
            <w:tcW w:w="7060" w:type="dxa"/>
            <w:vAlign w:val="bottom"/>
            <w:gridSpan w:val="2"/>
          </w:tcPr>
          <w:p>
            <w:pPr>
              <w:ind w:left="4440"/>
              <w:spacing w:after="0"/>
              <w:rPr>
                <w:sz w:val="20"/>
                <w:szCs w:val="20"/>
                <w:color w:val="auto"/>
              </w:rPr>
            </w:pPr>
            <w:r>
              <w:rPr>
                <w:rFonts w:ascii="Arial" w:cs="Arial" w:eastAsia="Arial" w:hAnsi="Arial"/>
                <w:sz w:val="18"/>
                <w:szCs w:val="18"/>
                <w:b w:val="1"/>
                <w:bCs w:val="1"/>
                <w:color w:val="auto"/>
                <w:w w:val="99"/>
              </w:rPr>
              <w:t>Investment Income (Loss), Net</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1"/>
        </w:trPr>
        <w:tc>
          <w:tcPr>
            <w:tcW w:w="6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40" w:type="dxa"/>
            <w:vAlign w:val="bottom"/>
            <w:gridSpan w:val="3"/>
          </w:tcPr>
          <w:p>
            <w:pPr>
              <w:jc w:val="right"/>
              <w:ind w:right="515"/>
              <w:spacing w:after="0"/>
              <w:rPr>
                <w:sz w:val="20"/>
                <w:szCs w:val="20"/>
                <w:color w:val="auto"/>
              </w:rPr>
            </w:pPr>
            <w:r>
              <w:rPr>
                <w:rFonts w:ascii="Arial" w:cs="Arial" w:eastAsia="Arial" w:hAnsi="Arial"/>
                <w:sz w:val="14"/>
                <w:szCs w:val="14"/>
                <w:color w:val="auto"/>
              </w:rPr>
              <w:t>Three Months Ended</w:t>
            </w:r>
          </w:p>
        </w:tc>
        <w:tc>
          <w:tcPr>
            <w:tcW w:w="740" w:type="dxa"/>
            <w:vAlign w:val="bottom"/>
          </w:tcPr>
          <w:p>
            <w:pPr>
              <w:spacing w:after="0"/>
              <w:rPr>
                <w:sz w:val="22"/>
                <w:szCs w:val="22"/>
                <w:color w:val="auto"/>
              </w:rPr>
            </w:pPr>
          </w:p>
        </w:tc>
        <w:tc>
          <w:tcPr>
            <w:tcW w:w="1500" w:type="dxa"/>
            <w:vAlign w:val="bottom"/>
            <w:gridSpan w:val="3"/>
          </w:tcPr>
          <w:p>
            <w:pPr>
              <w:jc w:val="right"/>
              <w:ind w:right="393"/>
              <w:spacing w:after="0"/>
              <w:rPr>
                <w:sz w:val="20"/>
                <w:szCs w:val="20"/>
                <w:color w:val="auto"/>
              </w:rPr>
            </w:pPr>
            <w:r>
              <w:rPr>
                <w:rFonts w:ascii="Arial" w:cs="Arial" w:eastAsia="Arial" w:hAnsi="Arial"/>
                <w:sz w:val="14"/>
                <w:szCs w:val="14"/>
                <w:color w:val="auto"/>
                <w:w w:val="87"/>
              </w:rPr>
              <w:t>Six Months Ended</w:t>
            </w:r>
          </w:p>
        </w:tc>
      </w:tr>
      <w:tr>
        <w:trPr>
          <w:trHeight w:val="159"/>
        </w:trPr>
        <w:tc>
          <w:tcPr>
            <w:tcW w:w="65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8"/>
              </w:rPr>
              <w:t>June 30</w:t>
            </w: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1"/>
              <w:spacing w:after="0" w:line="159" w:lineRule="exact"/>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3"/>
                <w:szCs w:val="13"/>
                <w:color w:val="auto"/>
              </w:rPr>
            </w:pPr>
          </w:p>
        </w:tc>
      </w:tr>
      <w:tr>
        <w:trPr>
          <w:trHeight w:val="142"/>
        </w:trPr>
        <w:tc>
          <w:tcPr>
            <w:tcW w:w="6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w w:val="89"/>
              </w:rPr>
              <w:t>2013</w:t>
            </w:r>
          </w:p>
        </w:tc>
        <w:tc>
          <w:tcPr>
            <w:tcW w:w="7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w w:val="83"/>
              </w:rPr>
              <w:t>2012</w:t>
            </w:r>
          </w:p>
        </w:tc>
        <w:tc>
          <w:tcPr>
            <w:tcW w:w="1020" w:type="dxa"/>
            <w:vAlign w:val="bottom"/>
            <w:tcBorders>
              <w:bottom w:val="single" w:sz="8" w:color="auto"/>
            </w:tcBorders>
            <w:gridSpan w:val="2"/>
          </w:tcPr>
          <w:p>
            <w:pPr>
              <w:jc w:val="right"/>
              <w:ind w:right="156"/>
              <w:spacing w:after="0" w:line="142" w:lineRule="exact"/>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w w:val="89"/>
              </w:rPr>
              <w:t>2012</w:t>
            </w:r>
          </w:p>
        </w:tc>
      </w:tr>
      <w:tr>
        <w:trPr>
          <w:trHeight w:val="210"/>
        </w:trPr>
        <w:tc>
          <w:tcPr>
            <w:tcW w:w="70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3</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20</w:t>
            </w:r>
          </w:p>
        </w:tc>
        <w:tc>
          <w:tcPr>
            <w:tcW w:w="74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w w:val="79"/>
              </w:rPr>
              <w:t>38</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Investment impairment losses</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1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247</w:t>
            </w: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(28)</w:t>
            </w:r>
          </w:p>
        </w:tc>
        <w:tc>
          <w:tcPr>
            <w:tcW w:w="1020" w:type="dxa"/>
            <w:vAlign w:val="bottom"/>
            <w:gridSpan w:val="2"/>
            <w:shd w:val="clear" w:color="auto" w:fill="E5E5E5"/>
          </w:tcPr>
          <w:p>
            <w:pPr>
              <w:jc w:val="right"/>
              <w:ind w:right="16"/>
              <w:spacing w:after="0"/>
              <w:rPr>
                <w:sz w:val="20"/>
                <w:szCs w:val="20"/>
                <w:color w:val="auto"/>
              </w:rPr>
            </w:pPr>
            <w:r>
              <w:rPr>
                <w:rFonts w:ascii="Arial" w:cs="Arial" w:eastAsia="Arial" w:hAnsi="Arial"/>
                <w:sz w:val="18"/>
                <w:szCs w:val="18"/>
                <w:color w:val="auto"/>
              </w:rPr>
              <w:t>852</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488</w:t>
            </w:r>
          </w:p>
        </w:tc>
      </w:tr>
      <w:tr>
        <w:trPr>
          <w:trHeight w:val="208"/>
        </w:trPr>
        <w:tc>
          <w:tcPr>
            <w:tcW w:w="7060" w:type="dxa"/>
            <w:vAlign w:val="bottom"/>
            <w:gridSpan w:val="2"/>
          </w:tcPr>
          <w:p>
            <w:pPr>
              <w:spacing w:after="0"/>
              <w:rPr>
                <w:sz w:val="20"/>
                <w:szCs w:val="20"/>
                <w:color w:val="auto"/>
              </w:rPr>
            </w:pPr>
            <w:r>
              <w:rPr>
                <w:rFonts w:ascii="Arial" w:cs="Arial" w:eastAsia="Arial" w:hAnsi="Arial"/>
                <w:sz w:val="18"/>
                <w:szCs w:val="18"/>
                <w:color w:val="auto"/>
                <w:w w:val="98"/>
              </w:rPr>
              <w:t>Mark to market adjustments on derivative component of prepaid forward sale agreements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7060" w:type="dxa"/>
            <w:vAlign w:val="bottom"/>
            <w:gridSpan w:val="2"/>
          </w:tcPr>
          <w:p>
            <w:pPr>
              <w:ind w:left="220"/>
              <w:spacing w:after="0"/>
              <w:rPr>
                <w:sz w:val="20"/>
                <w:szCs w:val="20"/>
                <w:color w:val="auto"/>
              </w:rPr>
            </w:pPr>
            <w:r>
              <w:rPr>
                <w:rFonts w:ascii="Arial" w:cs="Arial" w:eastAsia="Arial" w:hAnsi="Arial"/>
                <w:sz w:val="18"/>
                <w:szCs w:val="18"/>
                <w:color w:val="auto"/>
              </w:rPr>
              <w:t>and indexed debt instruments</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(239)</w:t>
            </w:r>
          </w:p>
        </w:tc>
        <w:tc>
          <w:tcPr>
            <w:tcW w:w="7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18"/>
        </w:trPr>
        <w:tc>
          <w:tcPr>
            <w:tcW w:w="70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1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26</w:t>
            </w: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28</w:t>
            </w: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w w:val="79"/>
              </w:rPr>
              <w:t>56</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w:t>
            </w:r>
          </w:p>
        </w:tc>
      </w:tr>
      <w:tr>
        <w:trPr>
          <w:trHeight w:val="216"/>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(23)</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w:t>
            </w: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70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13</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8</w:t>
            </w:r>
          </w:p>
        </w:tc>
        <w:tc>
          <w:tcPr>
            <w:tcW w:w="74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w w:val="79"/>
              </w:rPr>
              <w:t>85</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100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2013, the majority of our fair value method investments were equity securities held as collateral that were related to our obligations under prepaid forward sale agreements.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Forward Sale Agreements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3260" w:type="dxa"/>
            <w:vAlign w:val="bottom"/>
          </w:tcPr>
          <w:p>
            <w:pPr>
              <w:jc w:val="right"/>
              <w:ind w:right="259"/>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73"/>
        </w:trPr>
        <w:tc>
          <w:tcPr>
            <w:tcW w:w="6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2012</w:t>
            </w:r>
          </w:p>
        </w:tc>
      </w:tr>
      <w:tr>
        <w:trPr>
          <w:trHeight w:val="210"/>
        </w:trPr>
        <w:tc>
          <w:tcPr>
            <w:tcW w:w="6980" w:type="dxa"/>
            <w:vAlign w:val="bottom"/>
            <w:shd w:val="clear" w:color="auto" w:fill="E5E5E5"/>
          </w:tcPr>
          <w:p>
            <w:pPr>
              <w:spacing w:after="0"/>
              <w:rPr>
                <w:sz w:val="20"/>
                <w:szCs w:val="20"/>
                <w:color w:val="auto"/>
              </w:rPr>
            </w:pPr>
            <w:r>
              <w:rPr>
                <w:rFonts w:ascii="Arial" w:cs="Arial" w:eastAsia="Arial" w:hAnsi="Arial"/>
                <w:sz w:val="18"/>
                <w:szCs w:val="18"/>
                <w:color w:val="auto"/>
              </w:rPr>
              <w:t>Assets:</w:t>
            </w:r>
          </w:p>
        </w:tc>
        <w:tc>
          <w:tcPr>
            <w:tcW w:w="32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Fair value equity securities held</w:t>
            </w:r>
          </w:p>
        </w:tc>
        <w:tc>
          <w:tcPr>
            <w:tcW w:w="326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$4,787</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4,143</w:t>
            </w:r>
          </w:p>
        </w:tc>
      </w:tr>
      <w:tr>
        <w:trPr>
          <w:trHeight w:val="210"/>
        </w:trPr>
        <w:tc>
          <w:tcPr>
            <w:tcW w:w="6980" w:type="dxa"/>
            <w:vAlign w:val="bottom"/>
            <w:shd w:val="clear" w:color="auto" w:fill="E5E5E5"/>
          </w:tcPr>
          <w:p>
            <w:pPr>
              <w:spacing w:after="0"/>
              <w:rPr>
                <w:sz w:val="20"/>
                <w:szCs w:val="20"/>
                <w:color w:val="auto"/>
              </w:rPr>
            </w:pPr>
            <w:r>
              <w:rPr>
                <w:rFonts w:ascii="Arial" w:cs="Arial" w:eastAsia="Arial" w:hAnsi="Arial"/>
                <w:sz w:val="18"/>
                <w:szCs w:val="18"/>
                <w:color w:val="auto"/>
              </w:rPr>
              <w:t>Liabilities:</w:t>
            </w:r>
          </w:p>
        </w:tc>
        <w:tc>
          <w:tcPr>
            <w:tcW w:w="32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Obligations under prepaid forward sale agreements</w:t>
            </w:r>
          </w:p>
        </w:tc>
        <w:tc>
          <w:tcPr>
            <w:tcW w:w="3260" w:type="dxa"/>
            <w:vAlign w:val="bottom"/>
          </w:tcPr>
          <w:p>
            <w:pPr>
              <w:jc w:val="right"/>
              <w:ind w:right="239"/>
              <w:spacing w:after="0"/>
              <w:rPr>
                <w:sz w:val="20"/>
                <w:szCs w:val="20"/>
                <w:color w:val="auto"/>
              </w:rPr>
            </w:pPr>
            <w:r>
              <w:rPr>
                <w:rFonts w:ascii="Arial" w:cs="Arial" w:eastAsia="Arial" w:hAnsi="Arial"/>
                <w:sz w:val="18"/>
                <w:szCs w:val="18"/>
                <w:color w:val="auto"/>
              </w:rPr>
              <w:t>$1,142</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1,248</w:t>
            </w:r>
          </w:p>
        </w:tc>
      </w:tr>
      <w:tr>
        <w:trPr>
          <w:trHeight w:val="216"/>
        </w:trPr>
        <w:tc>
          <w:tcPr>
            <w:tcW w:w="69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Derivative component of prepaid forward sale agreements</w:t>
            </w:r>
          </w:p>
        </w:tc>
        <w:tc>
          <w:tcPr>
            <w:tcW w:w="3260" w:type="dxa"/>
            <w:vAlign w:val="bottom"/>
            <w:tcBorders>
              <w:bottom w:val="single" w:sz="8" w:color="auto"/>
            </w:tcBorders>
            <w:shd w:val="clear" w:color="auto" w:fill="E5E5E5"/>
          </w:tcPr>
          <w:p>
            <w:pPr>
              <w:jc w:val="right"/>
              <w:ind w:right="239"/>
              <w:spacing w:after="0"/>
              <w:rPr>
                <w:sz w:val="20"/>
                <w:szCs w:val="20"/>
                <w:color w:val="auto"/>
              </w:rPr>
            </w:pPr>
            <w:r>
              <w:rPr>
                <w:rFonts w:ascii="Arial" w:cs="Arial" w:eastAsia="Arial" w:hAnsi="Arial"/>
                <w:sz w:val="18"/>
                <w:szCs w:val="18"/>
                <w:color w:val="auto"/>
              </w:rPr>
              <w:t>3,133</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2,302</w:t>
            </w:r>
          </w:p>
        </w:tc>
      </w:tr>
      <w:tr>
        <w:trPr>
          <w:trHeight w:val="217"/>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326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$4,275</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3,550</w:t>
            </w:r>
          </w:p>
        </w:tc>
      </w:tr>
    </w:tbl>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2013, our prepaid forward sale obligations had an estimated fair value of $4.3 billion. The estimated fair values are based on Level 2 inputs using pricing models whose inputs are derived primarily from or corroborated by observable market data through correlation or other means for substantially the full term of the financial instrument.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Clearwire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2013, in connection with Sprint’s acquisition of Clearwire Corporation (“Clearwire”), Sprint acquired our investment of 89 million Class A shares of Clearwire for $443 million, which also represents the fair value of this investment as of June 30, 2013. The cumulative unrealized gain included in accumulated other comprehensive income as of June 30, 2013 associated with this investment was $443 million, and we expect to recognize this gain in our condensed consolidated statement of income in the third quarter of 2013.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2013, NBCUniversal received a distribution from The Weather Channel Holding Corp. (“The Weather Channel”) of $152 million, of which $128 million was recorded as a return of its investment in The Weather Channel and included under the caption “return of capital from investees” in our condensed consolidated statement of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hold two series of preferred stock of AirTouch Communications, Inc. (“AirTouch”), a subsidiary of Vodafone, which are redeemable in April 2020. As of June 30, 2013, the estimated fair values of the AirTouch preferred stock and the associated liability related to redeemable preferred shares issued by one of our consolidated subsidiaries were $1.7 billion. The estimated fair values are based on Level 2 inputs using pricing models whose inputs are derived primarily from or corroborated by observable market data through correlation or other means for substantially the full term of the 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vMerge w:val="restart"/>
          </w:tcPr>
          <w:p>
            <w:pPr>
              <w:jc w:val="right"/>
              <w:ind w:right="316"/>
              <w:spacing w:after="0"/>
              <w:rPr>
                <w:sz w:val="20"/>
                <w:szCs w:val="20"/>
                <w:color w:val="auto"/>
              </w:rPr>
            </w:pPr>
            <w:r>
              <w:rPr>
                <w:rFonts w:ascii="Arial" w:cs="Arial" w:eastAsia="Arial" w:hAnsi="Arial"/>
                <w:sz w:val="14"/>
                <w:szCs w:val="14"/>
                <w:color w:val="auto"/>
              </w:rPr>
              <w:t>Cable</w:t>
            </w: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w w:val="90"/>
              </w:rPr>
              <w:t>NBCUniversal</w:t>
            </w:r>
          </w:p>
        </w:tc>
        <w:tc>
          <w:tcPr>
            <w:tcW w:w="8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gridSpan w:val="2"/>
            <w:vMerge w:val="restart"/>
          </w:tcPr>
          <w:p>
            <w:pPr>
              <w:ind w:left="360"/>
              <w:spacing w:after="0"/>
              <w:rPr>
                <w:sz w:val="20"/>
                <w:szCs w:val="20"/>
                <w:color w:val="auto"/>
              </w:rPr>
            </w:pPr>
            <w:r>
              <w:rPr>
                <w:rFonts w:ascii="Arial" w:cs="Arial" w:eastAsia="Arial" w:hAnsi="Arial"/>
                <w:sz w:val="14"/>
                <w:szCs w:val="14"/>
                <w:color w:val="auto"/>
              </w:rPr>
              <w:t>Corporate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180" w:type="dxa"/>
            <w:vAlign w:val="bottom"/>
          </w:tcPr>
          <w:p>
            <w:pPr>
              <w:jc w:val="right"/>
              <w:ind w:right="279"/>
              <w:spacing w:after="0" w:line="131" w:lineRule="exact"/>
              <w:rPr>
                <w:sz w:val="20"/>
                <w:szCs w:val="20"/>
                <w:color w:val="auto"/>
              </w:rPr>
            </w:pPr>
            <w:r>
              <w:rPr>
                <w:rFonts w:ascii="Arial" w:cs="Arial" w:eastAsia="Arial" w:hAnsi="Arial"/>
                <w:sz w:val="14"/>
                <w:szCs w:val="14"/>
                <w:color w:val="auto"/>
              </w:rPr>
              <w:t>Cable</w:t>
            </w:r>
          </w:p>
        </w:tc>
        <w:tc>
          <w:tcPr>
            <w:tcW w:w="1020" w:type="dxa"/>
            <w:vAlign w:val="bottom"/>
            <w:gridSpan w:val="2"/>
          </w:tcPr>
          <w:p>
            <w:pPr>
              <w:ind w:left="240"/>
              <w:spacing w:after="0" w:line="131" w:lineRule="exact"/>
              <w:rPr>
                <w:sz w:val="20"/>
                <w:szCs w:val="20"/>
                <w:color w:val="auto"/>
              </w:rPr>
            </w:pPr>
            <w:r>
              <w:rPr>
                <w:rFonts w:ascii="Arial" w:cs="Arial" w:eastAsia="Arial" w:hAnsi="Arial"/>
                <w:sz w:val="14"/>
                <w:szCs w:val="14"/>
                <w:color w:val="auto"/>
              </w:rPr>
              <w:t>Broadcast</w:t>
            </w:r>
          </w:p>
        </w:tc>
        <w:tc>
          <w:tcPr>
            <w:tcW w:w="420" w:type="dxa"/>
            <w:vAlign w:val="bottom"/>
          </w:tcPr>
          <w:p>
            <w:pPr>
              <w:spacing w:after="0"/>
              <w:rPr>
                <w:sz w:val="11"/>
                <w:szCs w:val="11"/>
                <w:color w:val="auto"/>
              </w:rPr>
            </w:pPr>
          </w:p>
        </w:tc>
        <w:tc>
          <w:tcPr>
            <w:tcW w:w="820" w:type="dxa"/>
            <w:vAlign w:val="bottom"/>
          </w:tcPr>
          <w:p>
            <w:pPr>
              <w:jc w:val="right"/>
              <w:ind w:right="336"/>
              <w:spacing w:after="0" w:line="131" w:lineRule="exact"/>
              <w:rPr>
                <w:sz w:val="20"/>
                <w:szCs w:val="20"/>
                <w:color w:val="auto"/>
              </w:rPr>
            </w:pPr>
            <w:r>
              <w:rPr>
                <w:rFonts w:ascii="Arial" w:cs="Arial" w:eastAsia="Arial" w:hAnsi="Arial"/>
                <w:sz w:val="14"/>
                <w:szCs w:val="14"/>
                <w:color w:val="auto"/>
                <w:w w:val="90"/>
              </w:rPr>
              <w:t>Filmed</w:t>
            </w:r>
          </w:p>
        </w:tc>
        <w:tc>
          <w:tcPr>
            <w:tcW w:w="700" w:type="dxa"/>
            <w:vAlign w:val="bottom"/>
          </w:tcPr>
          <w:p>
            <w:pPr>
              <w:jc w:val="right"/>
              <w:ind w:right="19"/>
              <w:spacing w:after="0" w:line="131" w:lineRule="exact"/>
              <w:rPr>
                <w:sz w:val="20"/>
                <w:szCs w:val="20"/>
                <w:color w:val="auto"/>
              </w:rPr>
            </w:pPr>
            <w:r>
              <w:rPr>
                <w:rFonts w:ascii="Arial" w:cs="Arial" w:eastAsia="Arial" w:hAnsi="Arial"/>
                <w:sz w:val="14"/>
                <w:szCs w:val="14"/>
                <w:color w:val="auto"/>
              </w:rPr>
              <w:t>Theme</w:t>
            </w:r>
          </w:p>
        </w:tc>
        <w:tc>
          <w:tcPr>
            <w:tcW w:w="114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gridSpan w:val="2"/>
          </w:tcPr>
          <w:p>
            <w:pPr>
              <w:ind w:left="1080"/>
              <w:spacing w:after="0" w:line="159" w:lineRule="exact"/>
              <w:rPr>
                <w:sz w:val="20"/>
                <w:szCs w:val="20"/>
                <w:color w:val="auto"/>
              </w:rPr>
            </w:pPr>
            <w:r>
              <w:rPr>
                <w:rFonts w:ascii="Arial" w:cs="Arial" w:eastAsia="Arial" w:hAnsi="Arial"/>
                <w:sz w:val="14"/>
                <w:szCs w:val="14"/>
                <w:color w:val="auto"/>
                <w:w w:val="95"/>
              </w:rPr>
              <w:t>Communications</w:t>
            </w:r>
          </w:p>
        </w:tc>
        <w:tc>
          <w:tcPr>
            <w:tcW w:w="1180" w:type="dxa"/>
            <w:vAlign w:val="bottom"/>
            <w:tcBorders>
              <w:bottom w:val="single" w:sz="8" w:color="auto"/>
            </w:tcBorders>
          </w:tcPr>
          <w:p>
            <w:pPr>
              <w:jc w:val="right"/>
              <w:ind w:right="179"/>
              <w:spacing w:after="0" w:line="159" w:lineRule="exact"/>
              <w:rPr>
                <w:sz w:val="20"/>
                <w:szCs w:val="20"/>
                <w:color w:val="auto"/>
              </w:rPr>
            </w:pPr>
            <w:r>
              <w:rPr>
                <w:rFonts w:ascii="Arial" w:cs="Arial" w:eastAsia="Arial" w:hAnsi="Arial"/>
                <w:sz w:val="14"/>
                <w:szCs w:val="14"/>
                <w:color w:val="auto"/>
              </w:rPr>
              <w:t>Networks</w:t>
            </w:r>
          </w:p>
        </w:tc>
        <w:tc>
          <w:tcPr>
            <w:tcW w:w="10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Television</w:t>
            </w:r>
          </w:p>
        </w:tc>
        <w:tc>
          <w:tcPr>
            <w:tcW w:w="124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Entertainment</w:t>
            </w:r>
          </w:p>
        </w:tc>
        <w:tc>
          <w:tcPr>
            <w:tcW w:w="700" w:type="dxa"/>
            <w:vAlign w:val="bottom"/>
            <w:tcBorders>
              <w:bottom w:val="single" w:sz="8" w:color="auto"/>
            </w:tcBorders>
          </w:tcPr>
          <w:p>
            <w:pPr>
              <w:jc w:val="right"/>
              <w:ind w:right="59"/>
              <w:spacing w:after="0" w:line="159" w:lineRule="exact"/>
              <w:rPr>
                <w:sz w:val="20"/>
                <w:szCs w:val="20"/>
                <w:color w:val="auto"/>
              </w:rPr>
            </w:pPr>
            <w:r>
              <w:rPr>
                <w:rFonts w:ascii="Arial" w:cs="Arial" w:eastAsia="Arial" w:hAnsi="Arial"/>
                <w:sz w:val="14"/>
                <w:szCs w:val="14"/>
                <w:color w:val="auto"/>
              </w:rPr>
              <w:t>Parks</w:t>
            </w:r>
          </w:p>
        </w:tc>
        <w:tc>
          <w:tcPr>
            <w:tcW w:w="114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rPr>
              <w:t>and Other</w:t>
            </w:r>
          </w:p>
        </w:tc>
        <w:tc>
          <w:tcPr>
            <w:tcW w:w="900" w:type="dxa"/>
            <w:vAlign w:val="bottom"/>
            <w:tcBorders>
              <w:bottom w:val="single" w:sz="8" w:color="auto"/>
            </w:tcBorders>
          </w:tcPr>
          <w:p>
            <w:pPr>
              <w:jc w:val="right"/>
              <w:ind w:right="156"/>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1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2012</w:t>
            </w:r>
          </w:p>
        </w:tc>
        <w:tc>
          <w:tcPr>
            <w:tcW w:w="1280" w:type="dxa"/>
            <w:vAlign w:val="bottom"/>
            <w:shd w:val="clear" w:color="auto" w:fill="E5E5E5"/>
          </w:tcPr>
          <w:p>
            <w:pPr>
              <w:ind w:left="10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12,206</w:t>
            </w:r>
          </w:p>
        </w:tc>
        <w:tc>
          <w:tcPr>
            <w:tcW w:w="118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$13,026</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761</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1</w:t>
            </w:r>
          </w:p>
        </w:tc>
        <w:tc>
          <w:tcPr>
            <w:tcW w:w="70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$ 982</w:t>
            </w:r>
          </w:p>
        </w:tc>
        <w:tc>
          <w:tcPr>
            <w:tcW w:w="6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9</w:t>
            </w:r>
          </w:p>
        </w:tc>
        <w:tc>
          <w:tcPr>
            <w:tcW w:w="9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$26,985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Acquisitions</w:t>
            </w:r>
          </w:p>
        </w:tc>
        <w:tc>
          <w:tcPr>
            <w:tcW w:w="1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9"/>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6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Adjustments</w:t>
            </w:r>
          </w:p>
        </w:tc>
        <w:tc>
          <w:tcPr>
            <w:tcW w:w="1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5E5"/>
          </w:tcPr>
          <w:p>
            <w:pPr>
              <w:jc w:val="right"/>
              <w:ind w:right="139"/>
              <w:spacing w:after="0"/>
              <w:rPr>
                <w:sz w:val="20"/>
                <w:szCs w:val="20"/>
                <w:color w:val="auto"/>
              </w:rPr>
            </w:pPr>
            <w:r>
              <w:rPr>
                <w:rFonts w:ascii="Arial" w:cs="Arial" w:eastAsia="Arial" w:hAnsi="Arial"/>
                <w:sz w:val="18"/>
                <w:szCs w:val="18"/>
                <w:color w:val="auto"/>
              </w:rPr>
              <w:t>67</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2013</w:t>
            </w:r>
          </w:p>
        </w:tc>
        <w:tc>
          <w:tcPr>
            <w:tcW w:w="128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12,206</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$ 13,110</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766</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$ 982</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10</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$27,075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Adjustments to goodwill during the six months ended June 30, 2013 were primarily related to an immaterial correction to the allocation of purchase price associated with the January 2011 NBCUniversal transaction.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Debt Outstanding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560" w:type="dxa"/>
            <w:vAlign w:val="bottom"/>
          </w:tcPr>
          <w:p>
            <w:pPr>
              <w:jc w:val="right"/>
              <w:ind w:right="637"/>
              <w:spacing w:after="0"/>
              <w:rPr>
                <w:sz w:val="20"/>
                <w:szCs w:val="20"/>
                <w:color w:val="auto"/>
              </w:rPr>
            </w:pPr>
            <w:r>
              <w:rPr>
                <w:rFonts w:ascii="Arial" w:cs="Arial" w:eastAsia="Arial" w:hAnsi="Arial"/>
                <w:sz w:val="14"/>
                <w:szCs w:val="14"/>
                <w:color w:val="auto"/>
              </w:rPr>
              <w:t>Weighted-Average Interest</w:t>
            </w:r>
          </w:p>
        </w:tc>
        <w:tc>
          <w:tcPr>
            <w:tcW w:w="1460" w:type="dxa"/>
            <w:vAlign w:val="bottom"/>
            <w:gridSpan w:val="2"/>
          </w:tcPr>
          <w:p>
            <w:pPr>
              <w:jc w:val="right"/>
              <w:ind w:right="434"/>
              <w:spacing w:after="0"/>
              <w:rPr>
                <w:sz w:val="20"/>
                <w:szCs w:val="20"/>
                <w:color w:val="auto"/>
              </w:rPr>
            </w:pPr>
            <w:r>
              <w:rPr>
                <w:rFonts w:ascii="Arial" w:cs="Arial" w:eastAsia="Arial" w:hAnsi="Arial"/>
                <w:sz w:val="14"/>
                <w:szCs w:val="14"/>
                <w:color w:val="auto"/>
              </w:rPr>
              <w:t>June 30,</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w w:val="95"/>
              </w:rPr>
              <w:t>December 31,</w:t>
            </w:r>
          </w:p>
        </w:tc>
      </w:tr>
      <w:tr>
        <w:trPr>
          <w:trHeight w:val="159"/>
        </w:trPr>
        <w:tc>
          <w:tcPr>
            <w:tcW w:w="50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560" w:type="dxa"/>
            <w:vAlign w:val="bottom"/>
            <w:tcBorders>
              <w:bottom w:val="single" w:sz="8" w:color="auto"/>
            </w:tcBorders>
          </w:tcPr>
          <w:p>
            <w:pPr>
              <w:jc w:val="right"/>
              <w:ind w:right="677"/>
              <w:spacing w:after="0" w:line="159" w:lineRule="exact"/>
              <w:rPr>
                <w:sz w:val="20"/>
                <w:szCs w:val="20"/>
                <w:color w:val="auto"/>
              </w:rPr>
            </w:pPr>
            <w:r>
              <w:rPr>
                <w:rFonts w:ascii="Arial" w:cs="Arial" w:eastAsia="Arial" w:hAnsi="Arial"/>
                <w:sz w:val="14"/>
                <w:szCs w:val="14"/>
                <w:color w:val="auto"/>
              </w:rPr>
              <w:t>Rate as of June 30, 2013</w:t>
            </w: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4"/>
              <w:spacing w:after="0" w:line="159" w:lineRule="exact"/>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5080" w:type="dxa"/>
            <w:vAlign w:val="bottom"/>
            <w:shd w:val="clear" w:color="auto" w:fill="E5E5E5"/>
          </w:tcPr>
          <w:p>
            <w:pPr>
              <w:spacing w:after="0"/>
              <w:rPr>
                <w:sz w:val="20"/>
                <w:szCs w:val="20"/>
                <w:color w:val="auto"/>
              </w:rPr>
            </w:pPr>
            <w:r>
              <w:rPr>
                <w:rFonts w:ascii="Arial" w:cs="Arial" w:eastAsia="Arial" w:hAnsi="Arial"/>
                <w:sz w:val="18"/>
                <w:szCs w:val="18"/>
                <w:color w:val="auto"/>
              </w:rPr>
              <w:t>Commercial paper</w:t>
            </w:r>
          </w:p>
        </w:tc>
        <w:tc>
          <w:tcPr>
            <w:tcW w:w="356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0.330%</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354"/>
              <w:spacing w:after="0"/>
              <w:rPr>
                <w:sz w:val="20"/>
                <w:szCs w:val="20"/>
                <w:color w:val="auto"/>
              </w:rPr>
            </w:pPr>
            <w:r>
              <w:rPr>
                <w:rFonts w:ascii="Arial" w:cs="Arial" w:eastAsia="Arial" w:hAnsi="Arial"/>
                <w:sz w:val="18"/>
                <w:szCs w:val="18"/>
                <w:color w:val="auto"/>
              </w:rPr>
              <w:t>350</w:t>
            </w:r>
          </w:p>
        </w:tc>
        <w:tc>
          <w:tcPr>
            <w:tcW w:w="62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3560" w:type="dxa"/>
            <w:vAlign w:val="bottom"/>
          </w:tcPr>
          <w:p>
            <w:pPr>
              <w:jc w:val="right"/>
              <w:ind w:right="477"/>
              <w:spacing w:after="0"/>
              <w:rPr>
                <w:sz w:val="20"/>
                <w:szCs w:val="20"/>
                <w:color w:val="auto"/>
              </w:rPr>
            </w:pPr>
            <w:r>
              <w:rPr>
                <w:rFonts w:ascii="Arial" w:cs="Arial" w:eastAsia="Arial" w:hAnsi="Arial"/>
                <w:sz w:val="18"/>
                <w:szCs w:val="18"/>
                <w:color w:val="auto"/>
              </w:rPr>
              <w:t>1.273%</w:t>
            </w:r>
          </w:p>
        </w:tc>
        <w:tc>
          <w:tcPr>
            <w:tcW w:w="520" w:type="dxa"/>
            <w:vAlign w:val="bottom"/>
          </w:tcPr>
          <w:p>
            <w:pPr>
              <w:spacing w:after="0"/>
              <w:rPr>
                <w:sz w:val="18"/>
                <w:szCs w:val="18"/>
                <w:color w:val="auto"/>
              </w:rPr>
            </w:pPr>
          </w:p>
        </w:tc>
        <w:tc>
          <w:tcPr>
            <w:tcW w:w="940" w:type="dxa"/>
            <w:vAlign w:val="bottom"/>
          </w:tcPr>
          <w:p>
            <w:pPr>
              <w:jc w:val="right"/>
              <w:ind w:right="354"/>
              <w:spacing w:after="0"/>
              <w:rPr>
                <w:sz w:val="20"/>
                <w:szCs w:val="20"/>
                <w:color w:val="auto"/>
              </w:rPr>
            </w:pPr>
            <w:r>
              <w:rPr>
                <w:rFonts w:ascii="Arial" w:cs="Arial" w:eastAsia="Arial" w:hAnsi="Arial"/>
                <w:sz w:val="18"/>
                <w:szCs w:val="18"/>
                <w:color w:val="auto"/>
              </w:rPr>
              <w:t>1,250</w:t>
            </w:r>
          </w:p>
        </w:tc>
        <w:tc>
          <w:tcPr>
            <w:tcW w:w="6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E5E5E5"/>
          </w:tcPr>
          <w:p>
            <w:pPr>
              <w:spacing w:after="0"/>
              <w:rPr>
                <w:sz w:val="20"/>
                <w:szCs w:val="20"/>
                <w:color w:val="auto"/>
              </w:rPr>
            </w:pPr>
            <w:r>
              <w:rPr>
                <w:rFonts w:ascii="Arial" w:cs="Arial" w:eastAsia="Arial" w:hAnsi="Arial"/>
                <w:sz w:val="18"/>
                <w:szCs w:val="18"/>
                <w:color w:val="auto"/>
              </w:rPr>
              <w:t>Senior notes with maturities of 5 years or less</w:t>
            </w:r>
          </w:p>
        </w:tc>
        <w:tc>
          <w:tcPr>
            <w:tcW w:w="356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4.758%</w:t>
            </w: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54"/>
              <w:spacing w:after="0"/>
              <w:rPr>
                <w:sz w:val="20"/>
                <w:szCs w:val="20"/>
                <w:color w:val="auto"/>
              </w:rPr>
            </w:pPr>
            <w:r>
              <w:rPr>
                <w:rFonts w:ascii="Arial" w:cs="Arial" w:eastAsia="Arial" w:hAnsi="Arial"/>
                <w:sz w:val="18"/>
                <w:szCs w:val="18"/>
                <w:color w:val="auto"/>
                <w:w w:val="87"/>
              </w:rPr>
              <w:t>15,358</w:t>
            </w: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12,991</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Senior notes with maturities between 6 and 10 years</w:t>
            </w:r>
          </w:p>
        </w:tc>
        <w:tc>
          <w:tcPr>
            <w:tcW w:w="3560" w:type="dxa"/>
            <w:vAlign w:val="bottom"/>
          </w:tcPr>
          <w:p>
            <w:pPr>
              <w:jc w:val="right"/>
              <w:ind w:right="477"/>
              <w:spacing w:after="0"/>
              <w:rPr>
                <w:sz w:val="20"/>
                <w:szCs w:val="20"/>
                <w:color w:val="auto"/>
              </w:rPr>
            </w:pPr>
            <w:r>
              <w:rPr>
                <w:rFonts w:ascii="Arial" w:cs="Arial" w:eastAsia="Arial" w:hAnsi="Arial"/>
                <w:sz w:val="18"/>
                <w:szCs w:val="18"/>
                <w:color w:val="auto"/>
              </w:rPr>
              <w:t>4.558%</w:t>
            </w:r>
          </w:p>
        </w:tc>
        <w:tc>
          <w:tcPr>
            <w:tcW w:w="520" w:type="dxa"/>
            <w:vAlign w:val="bottom"/>
          </w:tcPr>
          <w:p>
            <w:pPr>
              <w:spacing w:after="0"/>
              <w:rPr>
                <w:sz w:val="18"/>
                <w:szCs w:val="18"/>
                <w:color w:val="auto"/>
              </w:rPr>
            </w:pPr>
          </w:p>
        </w:tc>
        <w:tc>
          <w:tcPr>
            <w:tcW w:w="940" w:type="dxa"/>
            <w:vAlign w:val="bottom"/>
          </w:tcPr>
          <w:p>
            <w:pPr>
              <w:jc w:val="right"/>
              <w:ind w:right="354"/>
              <w:spacing w:after="0"/>
              <w:rPr>
                <w:sz w:val="20"/>
                <w:szCs w:val="20"/>
                <w:color w:val="auto"/>
              </w:rPr>
            </w:pPr>
            <w:r>
              <w:rPr>
                <w:rFonts w:ascii="Arial" w:cs="Arial" w:eastAsia="Arial" w:hAnsi="Arial"/>
                <w:sz w:val="18"/>
                <w:szCs w:val="18"/>
                <w:color w:val="auto"/>
                <w:w w:val="87"/>
              </w:rPr>
              <w:t>11,534</w:t>
            </w:r>
          </w:p>
        </w:tc>
        <w:tc>
          <w:tcPr>
            <w:tcW w:w="6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10,334</w:t>
            </w:r>
          </w:p>
        </w:tc>
      </w:tr>
      <w:tr>
        <w:trPr>
          <w:trHeight w:val="216"/>
        </w:trPr>
        <w:tc>
          <w:tcPr>
            <w:tcW w:w="5080" w:type="dxa"/>
            <w:vAlign w:val="bottom"/>
            <w:shd w:val="clear" w:color="auto" w:fill="E5E5E5"/>
          </w:tcPr>
          <w:p>
            <w:pPr>
              <w:spacing w:after="0"/>
              <w:rPr>
                <w:sz w:val="20"/>
                <w:szCs w:val="20"/>
                <w:color w:val="auto"/>
              </w:rPr>
            </w:pPr>
            <w:r>
              <w:rPr>
                <w:rFonts w:ascii="Arial" w:cs="Arial" w:eastAsia="Arial" w:hAnsi="Arial"/>
                <w:sz w:val="18"/>
                <w:szCs w:val="18"/>
                <w:color w:val="auto"/>
              </w:rPr>
              <w:t>Senior notes with maturities greater than 10 years</w:t>
            </w:r>
          </w:p>
        </w:tc>
        <w:tc>
          <w:tcPr>
            <w:tcW w:w="356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5.999%</w:t>
            </w: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54"/>
              <w:spacing w:after="0"/>
              <w:rPr>
                <w:sz w:val="20"/>
                <w:szCs w:val="20"/>
                <w:color w:val="auto"/>
              </w:rPr>
            </w:pPr>
            <w:r>
              <w:rPr>
                <w:rFonts w:ascii="Arial" w:cs="Arial" w:eastAsia="Arial" w:hAnsi="Arial"/>
                <w:sz w:val="18"/>
                <w:szCs w:val="18"/>
                <w:color w:val="auto"/>
                <w:w w:val="87"/>
              </w:rPr>
              <w:t>17,923</w:t>
            </w: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16,801</w:t>
            </w:r>
          </w:p>
        </w:tc>
      </w:tr>
      <w:tr>
        <w:trPr>
          <w:trHeight w:val="216"/>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capital lease obligations</w:t>
            </w:r>
          </w:p>
        </w:tc>
        <w:tc>
          <w:tcPr>
            <w:tcW w:w="3560" w:type="dxa"/>
            <w:vAlign w:val="bottom"/>
            <w:tcBorders>
              <w:bottom w:val="single" w:sz="8" w:color="auto"/>
            </w:tcBorders>
          </w:tcPr>
          <w:p>
            <w:pPr>
              <w:jc w:val="right"/>
              <w:ind w:right="617"/>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234</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332</w:t>
            </w:r>
          </w:p>
        </w:tc>
      </w:tr>
      <w:tr>
        <w:trPr>
          <w:trHeight w:val="210"/>
        </w:trPr>
        <w:tc>
          <w:tcPr>
            <w:tcW w:w="5080" w:type="dxa"/>
            <w:vAlign w:val="bottom"/>
            <w:shd w:val="clear" w:color="auto" w:fill="E5E5E5"/>
          </w:tcPr>
          <w:p>
            <w:pPr>
              <w:spacing w:after="0"/>
              <w:rPr>
                <w:sz w:val="20"/>
                <w:szCs w:val="20"/>
                <w:color w:val="auto"/>
              </w:rPr>
            </w:pPr>
            <w:r>
              <w:rPr>
                <w:rFonts w:ascii="Arial" w:cs="Arial" w:eastAsia="Arial" w:hAnsi="Arial"/>
                <w:sz w:val="18"/>
                <w:szCs w:val="18"/>
                <w:color w:val="auto"/>
              </w:rPr>
              <w:t>Total debt</w:t>
            </w:r>
          </w:p>
        </w:tc>
        <w:tc>
          <w:tcPr>
            <w:tcW w:w="356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4.90%</w:t>
            </w:r>
            <w:r>
              <w:rPr>
                <w:rFonts w:ascii="Arial" w:cs="Arial" w:eastAsia="Arial" w:hAnsi="Arial"/>
                <w:sz w:val="11"/>
                <w:szCs w:val="11"/>
                <w:color w:val="auto"/>
              </w:rPr>
              <w:t>(a)</w:t>
            </w: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54"/>
              <w:spacing w:after="0"/>
              <w:rPr>
                <w:sz w:val="20"/>
                <w:szCs w:val="20"/>
                <w:color w:val="auto"/>
              </w:rPr>
            </w:pPr>
            <w:r>
              <w:rPr>
                <w:rFonts w:ascii="Arial" w:cs="Arial" w:eastAsia="Arial" w:hAnsi="Arial"/>
                <w:sz w:val="18"/>
                <w:szCs w:val="18"/>
                <w:color w:val="auto"/>
                <w:w w:val="87"/>
              </w:rPr>
              <w:t>46,649</w:t>
            </w: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40,458</w:t>
            </w:r>
          </w:p>
        </w:tc>
      </w:tr>
      <w:tr>
        <w:trPr>
          <w:trHeight w:val="216"/>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3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2,535</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2,376</w:t>
            </w:r>
          </w:p>
        </w:tc>
      </w:tr>
      <w:tr>
        <w:trPr>
          <w:trHeight w:val="217"/>
        </w:trPr>
        <w:tc>
          <w:tcPr>
            <w:tcW w:w="5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Long-term debt</w:t>
            </w:r>
          </w:p>
        </w:tc>
        <w:tc>
          <w:tcPr>
            <w:tcW w:w="35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354"/>
              <w:spacing w:after="0"/>
              <w:rPr>
                <w:sz w:val="20"/>
                <w:szCs w:val="20"/>
                <w:color w:val="auto"/>
              </w:rPr>
            </w:pPr>
            <w:r>
              <w:rPr>
                <w:rFonts w:ascii="Arial" w:cs="Arial" w:eastAsia="Arial" w:hAnsi="Arial"/>
                <w:sz w:val="18"/>
                <w:szCs w:val="18"/>
                <w:b w:val="1"/>
                <w:bCs w:val="1"/>
                <w:color w:val="auto"/>
                <w:w w:val="87"/>
              </w:rPr>
              <w:t>44,114</w:t>
            </w:r>
          </w:p>
        </w:tc>
        <w:tc>
          <w:tcPr>
            <w:tcW w:w="620" w:type="dxa"/>
            <w:vAlign w:val="bottom"/>
            <w:tcBorders>
              <w:bottom w:val="single" w:sz="8" w:color="auto"/>
            </w:tcBorders>
            <w:shd w:val="clear" w:color="auto" w:fill="E5E5E5"/>
          </w:tcPr>
          <w:p>
            <w:pPr>
              <w:ind w:left="4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38,082</w:t>
            </w:r>
          </w:p>
        </w:tc>
      </w:tr>
    </w:tbl>
    <w:p>
      <w:pPr>
        <w:spacing w:after="0" w:line="5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the effects of our derivative financial instruments.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2013, our debt had an estimated fair value of $51.6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Transaction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Redemption Transaction resulted in the consolidation of an additional $4 billion aggregate principal amount of senior notes issued by NBCUniversal Enterprise and $1.25 billion of borrowings under the NBCUniversal Enterprise credit facility. The total consideration for the Redemption Transaction also included $750 million of cash funded through our commercial paper program.</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NBCUniversal Enterprise senior notes are comprised of $1.1 billion aggregate principal amount of 1.662% senior notes due 2018, $1.5 billion aggregate principal amount of 1.974% senior notes due 2019, $700 million aggregate principal amount of floating rate senior notes due 2016 and $700 million aggregate principal amount of floating rate senior notes due 2018. The floating rate senior notes due 2016 and 2018 accrue interest for each quarterly interest period at a rate equal to the three-month London Interbank Offered Rate (“LIBOR”) plus 0.537% and 0.685%, respectively.</w:t>
      </w:r>
    </w:p>
    <w:p>
      <w:pPr>
        <w:spacing w:after="0" w:line="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March 19, 2013, NBCUniversal Enterprise amended and restated the existing credit agreement of NBCUniversal to, among other things, substitute NBCUniversal Enterprise for NBCUniversal as the sole borrower, reduce the borrowing capacity of the facility from $1.5 billion to $1.35 billion, extend the term of the facility to March 2018 and revise the interest rate on borrowings. The interest rate on the credit facility consists of a base rate plus a borrowing margin that is determined based on our credit rating. As of June 30, 2013, the interest rate was 1.273%.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January 2013, we issued $750 million aggregate principal amount of 2.850% senior notes due 2023, $1.7 billion aggregate principal amount of 4.250% senior notes due 2033 and $500 million aggregate principal amount of 4.500% senior notes due 2043.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2013, borrowings, net of repayments of commercial paper under our commercial paper program, were $350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amendments to the NBCUniversal credit agreement, NBCUniversal’s commercial paper program was terminated.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June 30, 2013, amounts available under our consolidated revolving credit facilities, net of amounts outstanding under our commercial paper program and undrawn letters of credit, totaled $5.7 billion, which included $100 million available under NBCUniversal Enterprise’s credit facility.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 as of</w:t>
            </w: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200"/>
              <w:spacing w:after="0" w:line="131"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66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592"/>
              <w:spacing w:after="0" w:line="159" w:lineRule="exact"/>
              <w:rPr>
                <w:sz w:val="20"/>
                <w:szCs w:val="20"/>
                <w:color w:val="auto"/>
              </w:rPr>
            </w:pPr>
            <w:r>
              <w:rPr>
                <w:rFonts w:ascii="Arial" w:cs="Arial" w:eastAsia="Arial" w:hAnsi="Arial"/>
                <w:sz w:val="14"/>
                <w:szCs w:val="14"/>
                <w:color w:val="auto"/>
              </w:rPr>
              <w:t>June 30, 2013</w:t>
            </w: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6"/>
              <w:spacing w:after="0" w:line="15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1020" w:type="dxa"/>
            <w:vAlign w:val="bottom"/>
            <w:gridSpan w:val="2"/>
          </w:tcPr>
          <w:p>
            <w:pPr>
              <w:jc w:val="right"/>
              <w:ind w:right="152"/>
              <w:spacing w:after="0" w:line="142" w:lineRule="exact"/>
              <w:rPr>
                <w:sz w:val="20"/>
                <w:szCs w:val="20"/>
                <w:color w:val="auto"/>
              </w:rPr>
            </w:pPr>
            <w:r>
              <w:rPr>
                <w:rFonts w:ascii="Arial" w:cs="Arial" w:eastAsia="Arial" w:hAnsi="Arial"/>
                <w:sz w:val="14"/>
                <w:szCs w:val="14"/>
                <w:color w:val="auto"/>
              </w:rPr>
              <w:t>Level 1</w:t>
            </w:r>
          </w:p>
        </w:tc>
        <w:tc>
          <w:tcPr>
            <w:tcW w:w="880" w:type="dxa"/>
            <w:vAlign w:val="bottom"/>
            <w:gridSpan w:val="2"/>
          </w:tcPr>
          <w:p>
            <w:pPr>
              <w:jc w:val="right"/>
              <w:ind w:right="134"/>
              <w:spacing w:after="0" w:line="142" w:lineRule="exact"/>
              <w:rPr>
                <w:sz w:val="20"/>
                <w:szCs w:val="20"/>
                <w:color w:val="auto"/>
              </w:rPr>
            </w:pPr>
            <w:r>
              <w:rPr>
                <w:rFonts w:ascii="Arial" w:cs="Arial" w:eastAsia="Arial" w:hAnsi="Arial"/>
                <w:sz w:val="14"/>
                <w:szCs w:val="14"/>
                <w:color w:val="auto"/>
              </w:rPr>
              <w:t>Level 2</w:t>
            </w:r>
          </w:p>
        </w:tc>
        <w:tc>
          <w:tcPr>
            <w:tcW w:w="1080" w:type="dxa"/>
            <w:vAlign w:val="bottom"/>
            <w:gridSpan w:val="2"/>
          </w:tcPr>
          <w:p>
            <w:pPr>
              <w:jc w:val="right"/>
              <w:ind w:right="312"/>
              <w:spacing w:after="0" w:line="142" w:lineRule="exact"/>
              <w:rPr>
                <w:sz w:val="20"/>
                <w:szCs w:val="20"/>
                <w:color w:val="auto"/>
              </w:rPr>
            </w:pPr>
            <w:r>
              <w:rPr>
                <w:rFonts w:ascii="Arial" w:cs="Arial" w:eastAsia="Arial" w:hAnsi="Arial"/>
                <w:sz w:val="14"/>
                <w:szCs w:val="14"/>
                <w:color w:val="auto"/>
              </w:rPr>
              <w:t>Level 3</w:t>
            </w:r>
          </w:p>
        </w:tc>
        <w:tc>
          <w:tcPr>
            <w:tcW w:w="760" w:type="dxa"/>
            <w:vAlign w:val="bottom"/>
          </w:tcPr>
          <w:p>
            <w:pPr>
              <w:jc w:val="right"/>
              <w:ind w:right="234"/>
              <w:spacing w:after="0" w:line="142" w:lineRule="exact"/>
              <w:rPr>
                <w:sz w:val="20"/>
                <w:szCs w:val="20"/>
                <w:color w:val="auto"/>
              </w:rPr>
            </w:pPr>
            <w:r>
              <w:rPr>
                <w:rFonts w:ascii="Arial" w:cs="Arial" w:eastAsia="Arial" w:hAnsi="Arial"/>
                <w:sz w:val="14"/>
                <w:szCs w:val="14"/>
                <w:color w:val="auto"/>
              </w:rPr>
              <w:t>Total</w:t>
            </w:r>
          </w:p>
        </w:tc>
        <w:tc>
          <w:tcPr>
            <w:tcW w:w="360" w:type="dxa"/>
            <w:vAlign w:val="bottom"/>
          </w:tcPr>
          <w:p>
            <w:pPr>
              <w:spacing w:after="0"/>
              <w:rPr>
                <w:sz w:val="12"/>
                <w:szCs w:val="12"/>
                <w:color w:val="auto"/>
              </w:rPr>
            </w:pPr>
          </w:p>
        </w:tc>
        <w:tc>
          <w:tcPr>
            <w:tcW w:w="700" w:type="dxa"/>
            <w:vAlign w:val="bottom"/>
          </w:tcPr>
          <w:p>
            <w:pPr>
              <w:jc w:val="right"/>
              <w:ind w:right="256"/>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Trading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5,092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w w:val="98"/>
              </w:rPr>
              <w:t>$5,092</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18</w:t>
            </w:r>
          </w:p>
        </w:tc>
        <w:tc>
          <w:tcPr>
            <w:tcW w:w="7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717</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4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4"/>
              </w:rPr>
              <w:t>5,688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261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18</w:t>
            </w: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8"/>
              </w:rPr>
              <w:t>$5,967</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w w:val="93"/>
              </w:rPr>
              <w:t>Derivative component of prepaid forward sale agreements and indexed debt instruments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w w:val="84"/>
              </w:rPr>
              <w:t>3,133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w w:val="98"/>
              </w:rPr>
              <w:t>$3,133</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w w:val="84"/>
              </w:rPr>
              <w:t>1,105</w:t>
            </w:r>
          </w:p>
        </w:tc>
        <w:tc>
          <w:tcPr>
            <w:tcW w:w="7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1,105</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4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689</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689</w:t>
            </w:r>
          </w:p>
        </w:tc>
        <w:tc>
          <w:tcPr>
            <w:tcW w:w="36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46</w:t>
            </w:r>
          </w:p>
        </w:tc>
        <w:tc>
          <w:tcPr>
            <w:tcW w:w="3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84"/>
              </w:rPr>
              <w:t>3,179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84"/>
              </w:rPr>
              <w:t>1,794</w:t>
            </w: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8"/>
              </w:rPr>
              <w:t>$4,973</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Consideration</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values of the contractual obligations and contingent consideration in the table above are primarily based on certain expected future discounted cash flows, the determination of which involves the use of significant unobservable inputs. The most significant unobservable inputs we use are our estimates of the future revenue we expect to generate from certain NBCUniversal entities, which are related to our contractual obligations, and future net tax benefits that will affect payments to GE, which are related to contingent consideration. The discount rates used in the measurements of fair value were between 5% and 14% and are based on the underlying risk associated with our estimate of future revenue, as well as the terms of the respective contracts, and the uncertainty in the timing of our payments to GE. The fair value adjustments to contractual obligations and contingent consideration are sensitive to the assumptions related to future revenue and tax benefits, respectively, as well as to current interest rates, and therefore, the adjustments are recorded to other income (expense), net in our condensed consolidated statement of income.</w:t>
      </w:r>
    </w:p>
    <w:p>
      <w:pPr>
        <w:spacing w:after="0" w:line="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May 2013, we entered into an agreement with the counterparty to one of NBCUniversal’s contractual obligations under which, among other things, we will acquire the counterparty’s interests in the related contract. We expect the transaction to close in the fourth quarter of 2013 and following the close of the transaction, the liability associated with this contractual obligation will no longer be recorded on our consolidated balance sheet. The fair value of this contractual obligation as of June 30, 2013 was $383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Contractual Obligations and Contingent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4600" w:type="dxa"/>
            <w:vAlign w:val="bottom"/>
            <w:gridSpan w:val="2"/>
          </w:tcPr>
          <w:p>
            <w:pPr>
              <w:ind w:left="3520"/>
              <w:spacing w:after="0"/>
              <w:rPr>
                <w:sz w:val="20"/>
                <w:szCs w:val="20"/>
                <w:color w:val="auto"/>
              </w:rPr>
            </w:pPr>
            <w:r>
              <w:rPr>
                <w:rFonts w:ascii="Arial" w:cs="Arial" w:eastAsia="Arial" w:hAnsi="Arial"/>
                <w:sz w:val="14"/>
                <w:szCs w:val="14"/>
                <w:color w:val="auto"/>
              </w:rPr>
              <w:t>Contractual</w:t>
            </w:r>
          </w:p>
        </w:tc>
        <w:tc>
          <w:tcPr>
            <w:tcW w:w="1260" w:type="dxa"/>
            <w:vAlign w:val="bottom"/>
            <w:gridSpan w:val="2"/>
          </w:tcPr>
          <w:p>
            <w:pPr>
              <w:jc w:val="right"/>
              <w:ind w:right="112"/>
              <w:spacing w:after="0"/>
              <w:rPr>
                <w:sz w:val="20"/>
                <w:szCs w:val="20"/>
                <w:color w:val="auto"/>
              </w:rPr>
            </w:pPr>
            <w:r>
              <w:rPr>
                <w:rFonts w:ascii="Arial" w:cs="Arial" w:eastAsia="Arial" w:hAnsi="Arial"/>
                <w:sz w:val="14"/>
                <w:szCs w:val="14"/>
                <w:color w:val="auto"/>
              </w:rPr>
              <w:t>Contingent</w:t>
            </w:r>
          </w:p>
        </w:tc>
      </w:tr>
      <w:tr>
        <w:trPr>
          <w:trHeight w:val="159"/>
        </w:trPr>
        <w:tc>
          <w:tcPr>
            <w:tcW w:w="55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600" w:type="dxa"/>
            <w:vAlign w:val="bottom"/>
            <w:tcBorders>
              <w:bottom w:val="single" w:sz="8" w:color="auto"/>
            </w:tcBorders>
            <w:gridSpan w:val="2"/>
          </w:tcPr>
          <w:p>
            <w:pPr>
              <w:ind w:left="3520"/>
              <w:spacing w:after="0" w:line="159" w:lineRule="exact"/>
              <w:rPr>
                <w:sz w:val="20"/>
                <w:szCs w:val="20"/>
                <w:color w:val="auto"/>
              </w:rPr>
            </w:pPr>
            <w:r>
              <w:rPr>
                <w:rFonts w:ascii="Arial" w:cs="Arial" w:eastAsia="Arial" w:hAnsi="Arial"/>
                <w:sz w:val="14"/>
                <w:szCs w:val="14"/>
                <w:color w:val="auto"/>
              </w:rPr>
              <w:t>Obligations</w:t>
            </w:r>
          </w:p>
        </w:tc>
        <w:tc>
          <w:tcPr>
            <w:tcW w:w="126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w w:val="99"/>
              </w:rPr>
              <w:t>Consideration</w:t>
            </w:r>
          </w:p>
        </w:tc>
      </w:tr>
      <w:tr>
        <w:trPr>
          <w:trHeight w:val="210"/>
        </w:trPr>
        <w:tc>
          <w:tcPr>
            <w:tcW w:w="556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2012</w:t>
            </w:r>
          </w:p>
        </w:tc>
        <w:tc>
          <w:tcPr>
            <w:tcW w:w="3680" w:type="dxa"/>
            <w:vAlign w:val="bottom"/>
            <w:shd w:val="clear" w:color="auto" w:fill="E5E5E5"/>
          </w:tcPr>
          <w:p>
            <w:pPr>
              <w:ind w:left="3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w w:val="97"/>
              </w:rPr>
              <w:t>1,055</w:t>
            </w:r>
          </w:p>
        </w:tc>
        <w:tc>
          <w:tcPr>
            <w:tcW w:w="68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587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Fair value adjustments</w:t>
            </w:r>
          </w:p>
        </w:tc>
        <w:tc>
          <w:tcPr>
            <w:tcW w:w="368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91</w:t>
            </w:r>
          </w:p>
        </w:tc>
        <w:tc>
          <w:tcPr>
            <w:tcW w:w="6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16"/>
        </w:trPr>
        <w:tc>
          <w:tcPr>
            <w:tcW w:w="5560" w:type="dxa"/>
            <w:vAlign w:val="bottom"/>
            <w:shd w:val="clear" w:color="auto" w:fill="E5E5E5"/>
          </w:tcPr>
          <w:p>
            <w:pPr>
              <w:spacing w:after="0"/>
              <w:rPr>
                <w:sz w:val="20"/>
                <w:szCs w:val="20"/>
                <w:color w:val="auto"/>
              </w:rPr>
            </w:pPr>
            <w:r>
              <w:rPr>
                <w:rFonts w:ascii="Arial" w:cs="Arial" w:eastAsia="Arial" w:hAnsi="Arial"/>
                <w:sz w:val="18"/>
                <w:szCs w:val="18"/>
                <w:color w:val="auto"/>
              </w:rPr>
              <w:t>Payments</w:t>
            </w:r>
          </w:p>
        </w:tc>
        <w:tc>
          <w:tcPr>
            <w:tcW w:w="36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(41)</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Redemption Transaction</w:t>
            </w:r>
          </w:p>
        </w:tc>
        <w:tc>
          <w:tcPr>
            <w:tcW w:w="3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w:t>
            </w:r>
          </w:p>
        </w:tc>
      </w:tr>
      <w:tr>
        <w:trPr>
          <w:trHeight w:val="217"/>
        </w:trPr>
        <w:tc>
          <w:tcPr>
            <w:tcW w:w="5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June 30, 2013</w:t>
            </w:r>
          </w:p>
        </w:tc>
        <w:tc>
          <w:tcPr>
            <w:tcW w:w="3680" w:type="dxa"/>
            <w:vAlign w:val="bottom"/>
            <w:tcBorders>
              <w:bottom w:val="single" w:sz="8" w:color="auto"/>
            </w:tcBorders>
            <w:shd w:val="clear" w:color="auto" w:fill="E5E5E5"/>
          </w:tcPr>
          <w:p>
            <w:pPr>
              <w:ind w:left="35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72"/>
              <w:spacing w:after="0"/>
              <w:rPr>
                <w:sz w:val="20"/>
                <w:szCs w:val="20"/>
                <w:color w:val="auto"/>
              </w:rPr>
            </w:pPr>
            <w:r>
              <w:rPr>
                <w:rFonts w:ascii="Arial" w:cs="Arial" w:eastAsia="Arial" w:hAnsi="Arial"/>
                <w:sz w:val="18"/>
                <w:szCs w:val="18"/>
                <w:b w:val="1"/>
                <w:bCs w:val="1"/>
                <w:color w:val="auto"/>
                <w:w w:val="97"/>
              </w:rPr>
              <w:t>1,105</w:t>
            </w:r>
          </w:p>
        </w:tc>
        <w:tc>
          <w:tcPr>
            <w:tcW w:w="68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689</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assets and liabilities that we are required to record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 of fair value of a production is determined using Level 3 inputs, primarily an analysis of future expected cash flows. Adjustments to capitalized film production costs of $113 million and $64 million were recorded during the six months ended June 30, 2013 and 2012,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as a component of the caption “redeemable noncontrolling interests and redeemable subsidiary preferred stock.” Noncontrolling interests and subsidiary preferred stock that do not contain such redemption features are presented in equity.</w:t>
      </w:r>
    </w:p>
    <w:p>
      <w:pPr>
        <w:spacing w:after="0" w:line="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acquired GE’s 49% common equity interest in NBCUniversal Holdings, which had previously been presented as a redeemable noncontrolling interest in our condensed consolidated balance sheet. See Note 3 for additional information on the Redemption Transaction. The difference between the consideration transferred and the recorded value of GE’s 49% redeemable noncontrolling common equity interest, as well as the related tax impacts, were recorded to additional paid-in capital. The table below includes the impact of the transaction on our changes in equity.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Equity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160" w:type="dxa"/>
            <w:vAlign w:val="bottom"/>
            <w:gridSpan w:val="2"/>
          </w:tcPr>
          <w:p>
            <w:pPr>
              <w:jc w:val="right"/>
              <w:ind w:right="31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60" w:type="dxa"/>
            <w:vAlign w:val="bottom"/>
            <w:tcBorders>
              <w:bottom w:val="single" w:sz="8" w:color="auto"/>
            </w:tcBorders>
            <w:vMerge w:val="continue"/>
          </w:tcPr>
          <w:p>
            <w:pPr>
              <w:spacing w:after="0"/>
              <w:rPr>
                <w:sz w:val="12"/>
                <w:szCs w:val="12"/>
                <w:color w:val="auto"/>
              </w:rPr>
            </w:pPr>
          </w:p>
        </w:tc>
        <w:tc>
          <w:tcPr>
            <w:tcW w:w="1500" w:type="dxa"/>
            <w:vAlign w:val="bottom"/>
            <w:tcBorders>
              <w:bottom w:val="single" w:sz="8" w:color="auto"/>
            </w:tcBorders>
          </w:tcPr>
          <w:p>
            <w:pPr>
              <w:jc w:val="right"/>
              <w:ind w:right="581"/>
              <w:spacing w:after="0" w:line="142" w:lineRule="exact"/>
              <w:rPr>
                <w:sz w:val="20"/>
                <w:szCs w:val="20"/>
                <w:color w:val="auto"/>
              </w:rPr>
            </w:pPr>
            <w:r>
              <w:rPr>
                <w:rFonts w:ascii="Arial" w:cs="Arial" w:eastAsia="Arial" w:hAnsi="Arial"/>
                <w:sz w:val="14"/>
                <w:szCs w:val="14"/>
                <w:color w:val="auto"/>
              </w:rPr>
              <w:t>2013</w:t>
            </w:r>
          </w:p>
        </w:tc>
        <w:tc>
          <w:tcPr>
            <w:tcW w:w="6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500" w:type="dxa"/>
            <w:vAlign w:val="bottom"/>
            <w:shd w:val="clear" w:color="auto" w:fill="E5E5E5"/>
          </w:tcPr>
          <w:p>
            <w:pPr>
              <w:jc w:val="right"/>
              <w:ind w:right="441"/>
              <w:spacing w:after="0"/>
              <w:rPr>
                <w:sz w:val="20"/>
                <w:szCs w:val="20"/>
                <w:color w:val="auto"/>
              </w:rPr>
            </w:pPr>
            <w:r>
              <w:rPr>
                <w:rFonts w:ascii="Arial" w:cs="Arial" w:eastAsia="Arial" w:hAnsi="Arial"/>
                <w:sz w:val="18"/>
                <w:szCs w:val="18"/>
                <w:color w:val="auto"/>
              </w:rPr>
              <w:t>$ 3,171</w:t>
            </w:r>
          </w:p>
        </w:tc>
        <w:tc>
          <w:tcPr>
            <w:tcW w:w="6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w w:val="89"/>
              </w:rPr>
              <w:t>$ 2,572</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0"/>
              </w:rPr>
              <w:t>Decrease in Comcast Corporation additional paid-in capital resulting from the purchase of GE’s redeemable noncontrolling</w:t>
            </w:r>
          </w:p>
        </w:tc>
        <w:tc>
          <w:tcPr>
            <w:tcW w:w="1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60" w:type="dxa"/>
            <w:vAlign w:val="bottom"/>
            <w:shd w:val="clear" w:color="auto" w:fill="E5E5E5"/>
          </w:tcPr>
          <w:p>
            <w:pPr>
              <w:ind w:left="660"/>
              <w:spacing w:after="0"/>
              <w:rPr>
                <w:sz w:val="20"/>
                <w:szCs w:val="20"/>
                <w:color w:val="auto"/>
              </w:rPr>
            </w:pPr>
            <w:r>
              <w:rPr>
                <w:rFonts w:ascii="Arial" w:cs="Arial" w:eastAsia="Arial" w:hAnsi="Arial"/>
                <w:sz w:val="18"/>
                <w:szCs w:val="18"/>
                <w:color w:val="auto"/>
              </w:rPr>
              <w:t>common equity interest</w:t>
            </w:r>
          </w:p>
        </w:tc>
        <w:tc>
          <w:tcPr>
            <w:tcW w:w="1500" w:type="dxa"/>
            <w:vAlign w:val="bottom"/>
            <w:shd w:val="clear" w:color="auto" w:fill="E5E5E5"/>
          </w:tcPr>
          <w:p>
            <w:pPr>
              <w:jc w:val="right"/>
              <w:ind w:right="381"/>
              <w:spacing w:after="0"/>
              <w:rPr>
                <w:sz w:val="20"/>
                <w:szCs w:val="20"/>
                <w:color w:val="auto"/>
              </w:rPr>
            </w:pPr>
            <w:r>
              <w:rPr>
                <w:rFonts w:ascii="Arial" w:cs="Arial" w:eastAsia="Arial" w:hAnsi="Arial"/>
                <w:sz w:val="18"/>
                <w:szCs w:val="18"/>
                <w:color w:val="auto"/>
              </w:rPr>
              <w:t>(1,482)</w:t>
            </w:r>
          </w:p>
        </w:tc>
        <w:tc>
          <w:tcPr>
            <w:tcW w:w="6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381"/>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5"/>
        </w:trPr>
        <w:tc>
          <w:tcPr>
            <w:tcW w:w="926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90"/>
              </w:rPr>
              <w:t>Changes in equity resulting from net income attributable to Comcast Corporation and transfers from (to) noncontrolling</w:t>
            </w:r>
          </w:p>
        </w:tc>
        <w:tc>
          <w:tcPr>
            <w:tcW w:w="150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interests</w:t>
            </w:r>
          </w:p>
        </w:tc>
        <w:tc>
          <w:tcPr>
            <w:tcW w:w="1500" w:type="dxa"/>
            <w:vAlign w:val="bottom"/>
            <w:tcBorders>
              <w:bottom w:val="single" w:sz="8" w:color="auto"/>
            </w:tcBorders>
            <w:shd w:val="clear" w:color="auto" w:fill="E5E5E5"/>
          </w:tcPr>
          <w:p>
            <w:pPr>
              <w:jc w:val="right"/>
              <w:ind w:right="441"/>
              <w:spacing w:after="0"/>
              <w:rPr>
                <w:sz w:val="20"/>
                <w:szCs w:val="20"/>
                <w:color w:val="auto"/>
              </w:rPr>
            </w:pPr>
            <w:r>
              <w:rPr>
                <w:rFonts w:ascii="Arial" w:cs="Arial" w:eastAsia="Arial" w:hAnsi="Arial"/>
                <w:sz w:val="18"/>
                <w:szCs w:val="18"/>
                <w:b w:val="1"/>
                <w:bCs w:val="1"/>
                <w:color w:val="auto"/>
              </w:rPr>
              <w:t>$ 1,688</w:t>
            </w:r>
          </w:p>
        </w:tc>
        <w:tc>
          <w:tcPr>
            <w:tcW w:w="66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w w:val="89"/>
              </w:rPr>
              <w:t>$ 2,574</w:t>
            </w:r>
          </w:p>
        </w:tc>
        <w:tc>
          <w:tcPr>
            <w:tcW w:w="0" w:type="dxa"/>
            <w:vAlign w:val="bottom"/>
          </w:tcPr>
          <w:p>
            <w:pPr>
              <w:spacing w:after="0"/>
              <w:rPr>
                <w:sz w:val="1"/>
                <w:szCs w:val="1"/>
                <w:color w:val="auto"/>
              </w:rPr>
            </w:pPr>
          </w:p>
        </w:tc>
      </w:tr>
      <w:tr>
        <w:trPr>
          <w:trHeight w:val="363"/>
        </w:trPr>
        <w:tc>
          <w:tcPr>
            <w:tcW w:w="9260" w:type="dxa"/>
            <w:vAlign w:val="bottom"/>
          </w:tcPr>
          <w:p>
            <w:pPr>
              <w:ind w:left="5620"/>
              <w:spacing w:after="0"/>
              <w:rPr>
                <w:sz w:val="20"/>
                <w:szCs w:val="20"/>
                <w:color w:val="auto"/>
              </w:rPr>
            </w:pPr>
            <w:r>
              <w:rPr>
                <w:rFonts w:ascii="Arial" w:cs="Arial" w:eastAsia="Arial" w:hAnsi="Arial"/>
                <w:sz w:val="18"/>
                <w:szCs w:val="18"/>
                <w:color w:val="auto"/>
              </w:rPr>
              <w:t>12</w:t>
            </w: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Share-Based Compensation</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compensation primarily consists of awards of stock options and RSUs to certain employees and directors and is awarded as part of our approach to long-term incentive compensation.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2013, we granted 18.4 million stock options and 5.2 million RSUs related to our annual management awards. The weighted-average fair values associated with these grants were $8.80 per stock option and $37.85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60" w:type="dxa"/>
            <w:vAlign w:val="bottom"/>
            <w:gridSpan w:val="3"/>
          </w:tcPr>
          <w:p>
            <w:pPr>
              <w:jc w:val="right"/>
              <w:ind w:right="496"/>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60" w:type="dxa"/>
            <w:vAlign w:val="bottom"/>
            <w:gridSpan w:val="3"/>
          </w:tcPr>
          <w:p>
            <w:pPr>
              <w:jc w:val="right"/>
              <w:ind w:right="33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8"/>
              </w:rPr>
              <w:t>June 30</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8"/>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3"/>
              </w:rPr>
              <w:t>2013</w:t>
            </w:r>
          </w:p>
        </w:tc>
        <w:tc>
          <w:tcPr>
            <w:tcW w:w="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w w:val="89"/>
              </w:rPr>
              <w:t>2012</w:t>
            </w: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9"/>
              </w:rPr>
              <w:t>2013</w:t>
            </w:r>
          </w:p>
        </w:tc>
        <w:tc>
          <w:tcPr>
            <w:tcW w:w="6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0"/>
        </w:trPr>
        <w:tc>
          <w:tcPr>
            <w:tcW w:w="690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38</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18"/>
                <w:szCs w:val="18"/>
                <w:color w:val="auto"/>
              </w:rPr>
            </w:pPr>
          </w:p>
        </w:tc>
        <w:tc>
          <w:tcPr>
            <w:tcW w:w="740" w:type="dxa"/>
            <w:vAlign w:val="bottom"/>
          </w:tcPr>
          <w:p>
            <w:pPr>
              <w:jc w:val="right"/>
              <w:ind w:right="216"/>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66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6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6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82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2013, we had unrecognized pretax compensation expense of $384 million and $445 million related to nonvested stock options and nonvested RSUs,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660" w:type="dxa"/>
            <w:vAlign w:val="bottom"/>
            <w:gridSpan w:val="2"/>
          </w:tcPr>
          <w:p>
            <w:pPr>
              <w:jc w:val="center"/>
              <w:ind w:left="359"/>
              <w:spacing w:after="0"/>
              <w:rPr>
                <w:sz w:val="20"/>
                <w:szCs w:val="20"/>
                <w:color w:val="auto"/>
              </w:rPr>
            </w:pPr>
            <w:r>
              <w:rPr>
                <w:rFonts w:ascii="Arial" w:cs="Arial" w:eastAsia="Arial" w:hAnsi="Arial"/>
                <w:sz w:val="14"/>
                <w:szCs w:val="14"/>
                <w:color w:val="auto"/>
                <w:w w:val="85"/>
              </w:rPr>
              <w:t>June 30,</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w w:val="95"/>
              </w:rPr>
              <w:t>December 31,</w:t>
            </w:r>
          </w:p>
        </w:tc>
      </w:tr>
      <w:tr>
        <w:trPr>
          <w:trHeight w:val="159"/>
        </w:trPr>
        <w:tc>
          <w:tcPr>
            <w:tcW w:w="86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7"/>
              <w:spacing w:after="0" w:line="159" w:lineRule="exact"/>
              <w:rPr>
                <w:sz w:val="20"/>
                <w:szCs w:val="20"/>
                <w:color w:val="auto"/>
              </w:rPr>
            </w:pPr>
            <w:r>
              <w:rPr>
                <w:rFonts w:ascii="Arial" w:cs="Arial" w:eastAsia="Arial" w:hAnsi="Arial"/>
                <w:sz w:val="14"/>
                <w:szCs w:val="14"/>
                <w:color w:val="auto"/>
                <w:w w:val="83"/>
              </w:rPr>
              <w:t>2013</w:t>
            </w:r>
          </w:p>
        </w:tc>
        <w:tc>
          <w:tcPr>
            <w:tcW w:w="1160" w:type="dxa"/>
            <w:vAlign w:val="bottom"/>
            <w:tcBorders>
              <w:bottom w:val="single" w:sz="8" w:color="auto"/>
            </w:tcBorders>
            <w:gridSpan w:val="2"/>
          </w:tcPr>
          <w:p>
            <w:pPr>
              <w:jc w:val="right"/>
              <w:ind w:right="254"/>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660" w:type="dxa"/>
            <w:vAlign w:val="bottom"/>
            <w:gridSpan w:val="2"/>
            <w:shd w:val="clear" w:color="auto" w:fill="E5E5E5"/>
          </w:tcPr>
          <w:p>
            <w:pPr>
              <w:jc w:val="right"/>
              <w:ind w:right="257"/>
              <w:spacing w:after="0"/>
              <w:rPr>
                <w:sz w:val="20"/>
                <w:szCs w:val="20"/>
                <w:color w:val="auto"/>
              </w:rPr>
            </w:pPr>
            <w:r>
              <w:rPr>
                <w:rFonts w:ascii="Arial" w:cs="Arial" w:eastAsia="Arial" w:hAnsi="Arial"/>
                <w:sz w:val="18"/>
                <w:szCs w:val="18"/>
                <w:color w:val="auto"/>
              </w:rPr>
              <w:t>$ 5,958</w:t>
            </w:r>
          </w:p>
        </w:tc>
        <w:tc>
          <w:tcPr>
            <w:tcW w:w="62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6,026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900" w:type="dxa"/>
            <w:vAlign w:val="bottom"/>
          </w:tcPr>
          <w:p>
            <w:pPr>
              <w:spacing w:after="0"/>
              <w:rPr>
                <w:sz w:val="18"/>
                <w:szCs w:val="18"/>
                <w:color w:val="auto"/>
              </w:rPr>
            </w:pPr>
          </w:p>
        </w:tc>
        <w:tc>
          <w:tcPr>
            <w:tcW w:w="760" w:type="dxa"/>
            <w:vAlign w:val="bottom"/>
          </w:tcPr>
          <w:p>
            <w:pPr>
              <w:jc w:val="right"/>
              <w:ind w:right="257"/>
              <w:spacing w:after="0"/>
              <w:rPr>
                <w:sz w:val="20"/>
                <w:szCs w:val="20"/>
                <w:color w:val="auto"/>
              </w:rPr>
            </w:pPr>
            <w:r>
              <w:rPr>
                <w:rFonts w:ascii="Arial" w:cs="Arial" w:eastAsia="Arial" w:hAnsi="Arial"/>
                <w:sz w:val="18"/>
                <w:szCs w:val="18"/>
                <w:color w:val="auto"/>
              </w:rPr>
              <w:t>250</w:t>
            </w:r>
          </w:p>
        </w:tc>
        <w:tc>
          <w:tcPr>
            <w:tcW w:w="6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307</w:t>
            </w:r>
          </w:p>
        </w:tc>
      </w:tr>
      <w:tr>
        <w:trPr>
          <w:trHeight w:val="216"/>
        </w:trPr>
        <w:tc>
          <w:tcPr>
            <w:tcW w:w="8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9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7"/>
              <w:spacing w:after="0"/>
              <w:rPr>
                <w:sz w:val="20"/>
                <w:szCs w:val="20"/>
                <w:color w:val="auto"/>
              </w:rPr>
            </w:pPr>
            <w:r>
              <w:rPr>
                <w:rFonts w:ascii="Arial" w:cs="Arial" w:eastAsia="Arial" w:hAnsi="Arial"/>
                <w:sz w:val="18"/>
                <w:szCs w:val="18"/>
                <w:color w:val="auto"/>
              </w:rPr>
              <w:t>201</w:t>
            </w:r>
          </w:p>
        </w:tc>
        <w:tc>
          <w:tcPr>
            <w:tcW w:w="6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198</w:t>
            </w:r>
          </w:p>
        </w:tc>
      </w:tr>
      <w:tr>
        <w:trPr>
          <w:trHeight w:val="217"/>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166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8"/>
                <w:szCs w:val="18"/>
                <w:b w:val="1"/>
                <w:bCs w:val="1"/>
                <w:color w:val="auto"/>
              </w:rPr>
              <w:t>$ 5,507</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5,521</w:t>
            </w:r>
          </w:p>
        </w:tc>
      </w:tr>
      <w:tr>
        <w:trPr>
          <w:trHeight w:val="403"/>
        </w:trPr>
        <w:tc>
          <w:tcPr>
            <w:tcW w:w="8600" w:type="dxa"/>
            <w:vAlign w:val="bottom"/>
          </w:tcPr>
          <w:p>
            <w:pPr>
              <w:ind w:left="3600"/>
              <w:spacing w:after="0"/>
              <w:rPr>
                <w:sz w:val="20"/>
                <w:szCs w:val="20"/>
                <w:color w:val="auto"/>
              </w:rPr>
            </w:pPr>
            <w:r>
              <w:rPr>
                <w:rFonts w:ascii="Arial" w:cs="Arial" w:eastAsia="Arial" w:hAnsi="Arial"/>
                <w:sz w:val="18"/>
                <w:szCs w:val="18"/>
                <w:b w:val="1"/>
                <w:bCs w:val="1"/>
                <w:color w:val="auto"/>
              </w:rPr>
              <w:t>Accumulated Other Comprehensive Income (Loss)</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1"/>
        </w:trPr>
        <w:tc>
          <w:tcPr>
            <w:tcW w:w="8600" w:type="dxa"/>
            <w:vAlign w:val="bottom"/>
          </w:tcPr>
          <w:p>
            <w:pPr>
              <w:spacing w:after="0"/>
              <w:rPr>
                <w:sz w:val="22"/>
                <w:szCs w:val="22"/>
                <w:color w:val="auto"/>
              </w:rPr>
            </w:pPr>
          </w:p>
        </w:tc>
        <w:tc>
          <w:tcPr>
            <w:tcW w:w="1660" w:type="dxa"/>
            <w:vAlign w:val="bottom"/>
            <w:gridSpan w:val="2"/>
          </w:tcPr>
          <w:p>
            <w:pPr>
              <w:jc w:val="center"/>
              <w:ind w:left="359"/>
              <w:spacing w:after="0"/>
              <w:rPr>
                <w:sz w:val="20"/>
                <w:szCs w:val="20"/>
                <w:color w:val="auto"/>
              </w:rPr>
            </w:pPr>
            <w:r>
              <w:rPr>
                <w:rFonts w:ascii="Arial" w:cs="Arial" w:eastAsia="Arial" w:hAnsi="Arial"/>
                <w:sz w:val="14"/>
                <w:szCs w:val="14"/>
                <w:color w:val="auto"/>
                <w:w w:val="85"/>
              </w:rPr>
              <w:t>June 30,</w:t>
            </w:r>
          </w:p>
        </w:tc>
        <w:tc>
          <w:tcPr>
            <w:tcW w:w="1160" w:type="dxa"/>
            <w:vAlign w:val="bottom"/>
            <w:gridSpan w:val="2"/>
          </w:tcPr>
          <w:p>
            <w:pPr>
              <w:jc w:val="right"/>
              <w:ind w:right="74"/>
              <w:spacing w:after="0"/>
              <w:rPr>
                <w:sz w:val="20"/>
                <w:szCs w:val="20"/>
                <w:color w:val="auto"/>
              </w:rPr>
            </w:pPr>
            <w:r>
              <w:rPr>
                <w:rFonts w:ascii="Arial" w:cs="Arial" w:eastAsia="Arial" w:hAnsi="Arial"/>
                <w:sz w:val="14"/>
                <w:szCs w:val="14"/>
                <w:color w:val="auto"/>
              </w:rPr>
              <w:t>June 30,</w:t>
            </w:r>
          </w:p>
        </w:tc>
      </w:tr>
      <w:tr>
        <w:trPr>
          <w:trHeight w:val="159"/>
        </w:trPr>
        <w:tc>
          <w:tcPr>
            <w:tcW w:w="86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7"/>
              <w:spacing w:after="0" w:line="159" w:lineRule="exact"/>
              <w:rPr>
                <w:sz w:val="20"/>
                <w:szCs w:val="20"/>
                <w:color w:val="auto"/>
              </w:rPr>
            </w:pPr>
            <w:r>
              <w:rPr>
                <w:rFonts w:ascii="Arial" w:cs="Arial" w:eastAsia="Arial" w:hAnsi="Arial"/>
                <w:sz w:val="14"/>
                <w:szCs w:val="14"/>
                <w:color w:val="auto"/>
                <w:w w:val="83"/>
              </w:rPr>
              <w:t>2013</w:t>
            </w:r>
          </w:p>
        </w:tc>
        <w:tc>
          <w:tcPr>
            <w:tcW w:w="6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4"/>
              <w:spacing w:after="0" w:line="159" w:lineRule="exact"/>
              <w:rPr>
                <w:sz w:val="20"/>
                <w:szCs w:val="20"/>
                <w:color w:val="auto"/>
              </w:rPr>
            </w:pPr>
            <w:r>
              <w:rPr>
                <w:rFonts w:ascii="Arial" w:cs="Arial" w:eastAsia="Arial" w:hAnsi="Arial"/>
                <w:sz w:val="14"/>
                <w:szCs w:val="14"/>
                <w:color w:val="auto"/>
                <w:w w:val="89"/>
              </w:rPr>
              <w:t>2012</w:t>
            </w:r>
          </w:p>
        </w:tc>
      </w:tr>
      <w:tr>
        <w:trPr>
          <w:trHeight w:val="210"/>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277</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90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9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(107)</w:t>
            </w: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9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(39)</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7"/>
        </w:trPr>
        <w:tc>
          <w:tcPr>
            <w:tcW w:w="8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57"/>
              <w:spacing w:after="0"/>
              <w:rPr>
                <w:sz w:val="20"/>
                <w:szCs w:val="20"/>
                <w:color w:val="auto"/>
              </w:rPr>
            </w:pPr>
            <w:r>
              <w:rPr>
                <w:rFonts w:ascii="Arial" w:cs="Arial" w:eastAsia="Arial" w:hAnsi="Arial"/>
                <w:sz w:val="18"/>
                <w:szCs w:val="18"/>
                <w:b w:val="1"/>
                <w:bCs w:val="1"/>
                <w:color w:val="auto"/>
              </w:rPr>
              <w:t>77</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(170)</w:t>
            </w:r>
          </w:p>
        </w:tc>
      </w:tr>
      <w:tr>
        <w:trPr>
          <w:trHeight w:val="363"/>
        </w:trPr>
        <w:tc>
          <w:tcPr>
            <w:tcW w:w="8600" w:type="dxa"/>
            <w:vAlign w:val="bottom"/>
          </w:tcPr>
          <w:p>
            <w:pPr>
              <w:ind w:left="5620"/>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80" w:type="dxa"/>
            <w:vAlign w:val="bottom"/>
            <w:gridSpan w:val="2"/>
          </w:tcPr>
          <w:p>
            <w:pPr>
              <w:jc w:val="right"/>
              <w:ind w:right="33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2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6"/>
              <w:spacing w:after="0" w:line="159" w:lineRule="exact"/>
              <w:rPr>
                <w:sz w:val="20"/>
                <w:szCs w:val="20"/>
                <w:color w:val="auto"/>
              </w:rPr>
            </w:pPr>
            <w:r>
              <w:rPr>
                <w:rFonts w:ascii="Arial" w:cs="Arial" w:eastAsia="Arial" w:hAnsi="Arial"/>
                <w:sz w:val="14"/>
                <w:szCs w:val="14"/>
                <w:color w:val="auto"/>
                <w:w w:val="80"/>
              </w:rPr>
              <w:t>June 30</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2013</w:t>
            </w:r>
          </w:p>
        </w:tc>
        <w:tc>
          <w:tcPr>
            <w:tcW w:w="11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720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$ 3,389</w:t>
            </w:r>
          </w:p>
        </w:tc>
        <w:tc>
          <w:tcPr>
            <w:tcW w:w="11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$ 3,080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3,957</w:t>
            </w:r>
          </w:p>
        </w:tc>
        <w:tc>
          <w:tcPr>
            <w:tcW w:w="11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4,080</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Share-based compensation</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213</w:t>
            </w:r>
          </w:p>
        </w:tc>
        <w:tc>
          <w:tcPr>
            <w:tcW w:w="11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Noncash interest expense (income), net</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Cash received from investees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Change in current and noncurrent receivables, net</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Change in film and television costs</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(3,330)</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(710)</w:t>
            </w:r>
          </w:p>
        </w:tc>
        <w:tc>
          <w:tcPr>
            <w:tcW w:w="11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7"/>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$ 7,685</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$ 7,815</w:t>
            </w:r>
          </w:p>
        </w:tc>
        <w:tc>
          <w:tcPr>
            <w:tcW w:w="0" w:type="dxa"/>
            <w:vAlign w:val="bottom"/>
          </w:tcPr>
          <w:p>
            <w:pPr>
              <w:spacing w:after="0"/>
              <w:rPr>
                <w:sz w:val="1"/>
                <w:szCs w:val="1"/>
                <w:color w:val="auto"/>
              </w:rPr>
            </w:pPr>
          </w:p>
        </w:tc>
      </w:tr>
      <w:tr>
        <w:trPr>
          <w:trHeight w:val="403"/>
        </w:trPr>
        <w:tc>
          <w:tcPr>
            <w:tcW w:w="7740" w:type="dxa"/>
            <w:vAlign w:val="bottom"/>
            <w:gridSpan w:val="2"/>
          </w:tcPr>
          <w:p>
            <w:pPr>
              <w:ind w:left="3800"/>
              <w:spacing w:after="0"/>
              <w:rPr>
                <w:sz w:val="20"/>
                <w:szCs w:val="20"/>
                <w:color w:val="auto"/>
              </w:rPr>
            </w:pPr>
            <w:r>
              <w:rPr>
                <w:rFonts w:ascii="Arial" w:cs="Arial" w:eastAsia="Arial" w:hAnsi="Arial"/>
                <w:sz w:val="18"/>
                <w:szCs w:val="18"/>
                <w:b w:val="1"/>
                <w:bCs w:val="1"/>
                <w:color w:val="auto"/>
                <w:w w:val="99"/>
              </w:rPr>
              <w:t>Cash Payments for Interest and Income Taxes</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00" w:type="dxa"/>
            <w:vAlign w:val="bottom"/>
            <w:gridSpan w:val="3"/>
          </w:tcPr>
          <w:p>
            <w:pPr>
              <w:jc w:val="right"/>
              <w:ind w:right="159"/>
              <w:spacing w:after="0"/>
              <w:rPr>
                <w:sz w:val="20"/>
                <w:szCs w:val="20"/>
                <w:color w:val="auto"/>
              </w:rPr>
            </w:pPr>
            <w:r>
              <w:rPr>
                <w:rFonts w:ascii="Arial" w:cs="Arial" w:eastAsia="Arial" w:hAnsi="Arial"/>
                <w:sz w:val="14"/>
                <w:szCs w:val="14"/>
                <w:color w:val="auto"/>
                <w:w w:val="94"/>
              </w:rPr>
              <w:t>Three Months Ended</w:t>
            </w:r>
          </w:p>
        </w:tc>
        <w:tc>
          <w:tcPr>
            <w:tcW w:w="2180" w:type="dxa"/>
            <w:vAlign w:val="bottom"/>
            <w:gridSpan w:val="2"/>
          </w:tcPr>
          <w:p>
            <w:pPr>
              <w:jc w:val="right"/>
              <w:ind w:right="29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2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96"/>
              <w:spacing w:after="0" w:line="159" w:lineRule="exact"/>
              <w:rPr>
                <w:sz w:val="20"/>
                <w:szCs w:val="20"/>
                <w:color w:val="auto"/>
              </w:rPr>
            </w:pPr>
            <w:r>
              <w:rPr>
                <w:rFonts w:ascii="Arial" w:cs="Arial" w:eastAsia="Arial" w:hAnsi="Arial"/>
                <w:sz w:val="14"/>
                <w:szCs w:val="14"/>
                <w:color w:val="auto"/>
                <w:w w:val="88"/>
              </w:rPr>
              <w:t>June 30</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w w:val="89"/>
              </w:rPr>
              <w:t>2013</w:t>
            </w: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w w:val="89"/>
              </w:rPr>
              <w:t>2012</w:t>
            </w:r>
          </w:p>
        </w:tc>
        <w:tc>
          <w:tcPr>
            <w:tcW w:w="1040" w:type="dxa"/>
            <w:vAlign w:val="bottom"/>
            <w:tcBorders>
              <w:bottom w:val="single" w:sz="8" w:color="auto"/>
            </w:tcBorders>
          </w:tcPr>
          <w:p>
            <w:pPr>
              <w:jc w:val="center"/>
              <w:ind w:left="396"/>
              <w:spacing w:after="0" w:line="142" w:lineRule="exact"/>
              <w:rPr>
                <w:sz w:val="20"/>
                <w:szCs w:val="20"/>
                <w:color w:val="auto"/>
              </w:rPr>
            </w:pPr>
            <w:r>
              <w:rPr>
                <w:rFonts w:ascii="Arial" w:cs="Arial" w:eastAsia="Arial" w:hAnsi="Arial"/>
                <w:sz w:val="14"/>
                <w:szCs w:val="14"/>
                <w:color w:val="auto"/>
                <w:w w:val="89"/>
              </w:rPr>
              <w:t>2013</w:t>
            </w:r>
          </w:p>
        </w:tc>
        <w:tc>
          <w:tcPr>
            <w:tcW w:w="1140" w:type="dxa"/>
            <w:vAlign w:val="bottom"/>
            <w:tcBorders>
              <w:bottom w:val="single" w:sz="8" w:color="auto"/>
            </w:tcBorders>
          </w:tcPr>
          <w:p>
            <w:pPr>
              <w:jc w:val="center"/>
              <w:ind w:left="336"/>
              <w:spacing w:after="0" w:line="142"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0"/>
        </w:trPr>
        <w:tc>
          <w:tcPr>
            <w:tcW w:w="720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515</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544</w:t>
            </w:r>
          </w:p>
        </w:tc>
        <w:tc>
          <w:tcPr>
            <w:tcW w:w="1040" w:type="dxa"/>
            <w:vAlign w:val="bottom"/>
            <w:shd w:val="clear" w:color="auto" w:fill="E5E5E5"/>
          </w:tcPr>
          <w:p>
            <w:pPr>
              <w:jc w:val="center"/>
              <w:ind w:left="416"/>
              <w:spacing w:after="0"/>
              <w:rPr>
                <w:sz w:val="20"/>
                <w:szCs w:val="20"/>
                <w:color w:val="auto"/>
              </w:rPr>
            </w:pPr>
            <w:r>
              <w:rPr>
                <w:rFonts w:ascii="Arial" w:cs="Arial" w:eastAsia="Arial" w:hAnsi="Arial"/>
                <w:sz w:val="18"/>
                <w:szCs w:val="18"/>
                <w:color w:val="auto"/>
                <w:w w:val="89"/>
              </w:rPr>
              <w:t>$ 1,132</w:t>
            </w:r>
          </w:p>
        </w:tc>
        <w:tc>
          <w:tcPr>
            <w:tcW w:w="1140" w:type="dxa"/>
            <w:vAlign w:val="bottom"/>
            <w:shd w:val="clear" w:color="auto" w:fill="E5E5E5"/>
          </w:tcPr>
          <w:p>
            <w:pPr>
              <w:jc w:val="center"/>
              <w:ind w:left="316"/>
              <w:spacing w:after="0"/>
              <w:rPr>
                <w:sz w:val="20"/>
                <w:szCs w:val="20"/>
                <w:color w:val="auto"/>
              </w:rPr>
            </w:pPr>
            <w:r>
              <w:rPr>
                <w:rFonts w:ascii="Arial" w:cs="Arial" w:eastAsia="Arial" w:hAnsi="Arial"/>
                <w:sz w:val="18"/>
                <w:szCs w:val="18"/>
                <w:color w:val="auto"/>
                <w:w w:val="89"/>
              </w:rPr>
              <w:t>$ 1,158</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1,761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040" w:type="dxa"/>
            <w:vAlign w:val="bottom"/>
            <w:tcBorders>
              <w:bottom w:val="single" w:sz="8" w:color="auto"/>
            </w:tcBorders>
          </w:tcPr>
          <w:p>
            <w:pPr>
              <w:jc w:val="center"/>
              <w:ind w:left="416"/>
              <w:spacing w:after="0"/>
              <w:rPr>
                <w:sz w:val="20"/>
                <w:szCs w:val="20"/>
                <w:color w:val="auto"/>
              </w:rPr>
            </w:pPr>
            <w:r>
              <w:rPr>
                <w:rFonts w:ascii="Arial" w:cs="Arial" w:eastAsia="Arial" w:hAnsi="Arial"/>
                <w:sz w:val="18"/>
                <w:szCs w:val="18"/>
                <w:color w:val="auto"/>
                <w:w w:val="89"/>
              </w:rPr>
              <w:t>$ 2,222</w:t>
            </w:r>
          </w:p>
        </w:tc>
        <w:tc>
          <w:tcPr>
            <w:tcW w:w="1140" w:type="dxa"/>
            <w:vAlign w:val="bottom"/>
            <w:tcBorders>
              <w:bottom w:val="single" w:sz="8" w:color="auto"/>
            </w:tcBorders>
          </w:tcPr>
          <w:p>
            <w:pPr>
              <w:jc w:val="center"/>
              <w:ind w:left="316"/>
              <w:spacing w:after="0"/>
              <w:rPr>
                <w:sz w:val="20"/>
                <w:szCs w:val="20"/>
                <w:color w:val="auto"/>
              </w:rPr>
            </w:pPr>
            <w:r>
              <w:rPr>
                <w:rFonts w:ascii="Arial" w:cs="Arial" w:eastAsia="Arial" w:hAnsi="Arial"/>
                <w:sz w:val="18"/>
                <w:szCs w:val="18"/>
                <w:color w:val="auto"/>
                <w:w w:val="89"/>
              </w:rPr>
              <w:t>$ 1,022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2013:</w:t>
      </w:r>
    </w:p>
    <w:p>
      <w:pPr>
        <w:spacing w:after="0" w:line="77" w:lineRule="exact"/>
        <w:rPr>
          <w:sz w:val="20"/>
          <w:szCs w:val="20"/>
          <w:color w:val="auto"/>
        </w:rPr>
      </w:pPr>
    </w:p>
    <w:p>
      <w:pPr>
        <w:jc w:val="both"/>
        <w:ind w:left="1020" w:right="1240" w:hanging="215"/>
        <w:spacing w:after="0" w:line="25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acquired GE’s 49% common equity interest in NBCUniversal Holdings for total consideration of $16.7 billion, which included noncash consideration of $6 billion from the consolidation of NBCUniversal Enterprise that was comprised of $4 billion aggregate principal amount of senior notes, $1.25 billion of borrowings under its credit facility and $725 million aggregate liquidation preference of its Series A cumulative preferred stock (see Note 3 for additional information on the Redemption Transaction)</w:t>
      </w:r>
    </w:p>
    <w:p>
      <w:pPr>
        <w:spacing w:after="0" w:line="48"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acquired $573 million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a liability of $512 million for a quarterly cash dividend of $0.195 per common share paid in July 2013</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Receivables Monetization</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NBCUniversal monetizes certain of its accounts receivable under programs with a syndicate of banks. 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included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June 30, 2013 and December 31, 2012.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NBCUniversal is responsible for servicing the receivables and remitting collections to the purchasers under the monetization programs. NBCUniversal performs this service for a fee that is equal to the prevailing market rate for such services. As a result, no servicing asset or liability has been recorded on our condensed consolidated balance sheet as of June 30, 2013 and December 31, 2012. The servicing fees are recorded as a component of other income (expense), net.</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cash payments on transfers that are included within net cash provided by operating activities in our condensed consolidated statement of cash flows were $178 million and $223 million for the six months ended June 30, 2013 and 2012, respectively. The receivables monetization program did not have a material effect on our condensed consolidated statement of income for the periods presented.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4600" w:type="dxa"/>
            <w:vAlign w:val="bottom"/>
            <w:gridSpan w:val="2"/>
          </w:tcPr>
          <w:p>
            <w:pPr>
              <w:jc w:val="right"/>
              <w:ind w:right="339"/>
              <w:spacing w:after="0"/>
              <w:rPr>
                <w:sz w:val="20"/>
                <w:szCs w:val="20"/>
                <w:color w:val="auto"/>
              </w:rPr>
            </w:pPr>
            <w:r>
              <w:rPr>
                <w:rFonts w:ascii="Arial" w:cs="Arial" w:eastAsia="Arial" w:hAnsi="Arial"/>
                <w:sz w:val="14"/>
                <w:szCs w:val="14"/>
                <w:color w:val="auto"/>
              </w:rPr>
              <w:t>June 30,</w:t>
            </w: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w w:val="95"/>
              </w:rPr>
              <w:t>December 31,</w:t>
            </w:r>
          </w:p>
        </w:tc>
      </w:tr>
      <w:tr>
        <w:trPr>
          <w:trHeight w:val="159"/>
        </w:trPr>
        <w:tc>
          <w:tcPr>
            <w:tcW w:w="56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8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9"/>
              <w:spacing w:after="0" w:line="159" w:lineRule="exact"/>
              <w:rPr>
                <w:sz w:val="20"/>
                <w:szCs w:val="20"/>
                <w:color w:val="auto"/>
              </w:rPr>
            </w:pPr>
            <w:r>
              <w:rPr>
                <w:rFonts w:ascii="Arial" w:cs="Arial" w:eastAsia="Arial" w:hAnsi="Arial"/>
                <w:sz w:val="14"/>
                <w:szCs w:val="14"/>
                <w:color w:val="auto"/>
                <w:w w:val="89"/>
              </w:rPr>
              <w:t>2013</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9"/>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3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99"/>
              <w:spacing w:after="0"/>
              <w:rPr>
                <w:sz w:val="20"/>
                <w:szCs w:val="20"/>
                <w:color w:val="auto"/>
              </w:rPr>
            </w:pPr>
            <w:r>
              <w:rPr>
                <w:rFonts w:ascii="Arial" w:cs="Arial" w:eastAsia="Arial" w:hAnsi="Arial"/>
                <w:sz w:val="18"/>
                <w:szCs w:val="18"/>
                <w:color w:val="auto"/>
              </w:rPr>
              <w:t>749</w:t>
            </w:r>
          </w:p>
        </w:tc>
        <w:tc>
          <w:tcPr>
            <w:tcW w:w="52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791</w:t>
            </w:r>
          </w:p>
        </w:tc>
      </w:tr>
      <w:tr>
        <w:trPr>
          <w:trHeight w:val="216"/>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252</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274</w:t>
            </w:r>
          </w:p>
        </w:tc>
      </w:tr>
    </w:tbl>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$730 million and $882 million payable to our monetization programs as of June 30, 2013 and December 31, 2012, respectively. These amounts represent cash receipts that were not yet remitted to the monetization programs as of the balance sheet date and are recorded to accounts payable and accrued expenses related to trade creditors.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Station Venture</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NBCUniversal previously held an equity interest in Station Venture Holdings, LLC (“Station Venture”), a nonconsolidated variable interest entity, and the remaining equity interests in Station Venture were held by LIN TV, Corp. Station Venture was the obligor on an $816 million senior secured note (the “Station Venture note”) that was due in 2023 to General Electric Capital Corporation (“GECC”) as servicer. The Station Venture note, among other things, was collateralized by substantially all of the assets of Station Venture and Station Venture Operations, LP (“Station LP”). Station LP was a less than wholly owned consolidated subsidiary of NBCUniversal. In connection with the acquisition of our controlling interest in NBCUniversal Holdings on January 28, 2011, a liability of $482 million was recorded to noncurrent liabilities in our allocation of purchase price, which represented the fair value of the net assets of Station LP. In February 2013, we closed our agreement with GE, GECC and LIN TV under which, among other things, NBCUniversal purchased the Station Venture note from GECC for $602 million, representing the agreed upon fair value of the assets of Station LP. As of the closing date of the transaction, the $482 million recorded liability was effectively settled, and Station Venture and Station LP became wholly owned subsidiaries of NBCUniversal. We now consolidate Station Venture, and the Station Venture note is eliminated in consolidation. Due to the related party nature of this transaction, the excess of the purchase price of the Station Venture note over the recorded amount of the liability was recorded to additional paid-in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and denied our petition for a rehearing en banc in September 2011. In March 2010, we moved for summary judgment dismissing all of the plaintiffs’ claims in the Philadelphia Cluster. In April 2012, the District Court issued a decision dismissing some of the plaintiffs’ claims, but allowing two claims to proceed to trial. The plaintiffs’ claims concerning the other two clusters are stayed pending determination of the Philadelphia Cluster claims. In June 2012, the U.S. Supreme Court granted our petition to review the Third Circuit Court of Appeals’ ruling and in September 2012, the trial court stayed all proceedings pending resolution of the Supreme Court appeal. In March 2013, the Supreme Court ruled that the class had been improperly certified and reversed the judgment of the Third Circuit. The matter has been returned to the District Court for action consistent with the Supreme Court’s opinion.</w:t>
      </w:r>
    </w:p>
    <w:p>
      <w:pPr>
        <w:spacing w:after="0" w:line="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 the plaintiffs’ claims and to stay the remaining claims pending arbitration. 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June 2013, a comprehensive settlement agreement for all 23 cases was submitted to the District Court for preliminary approval. Regardless of whether this settlement agreement is approved, we do not expect these cases to have a material effect on our results of operations, cash flows or financial position.</w:t>
      </w:r>
    </w:p>
    <w:p>
      <w:pPr>
        <w:spacing w:after="0" w:line="3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consolidated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costly and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Financial Data by Business Segment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jc w:val="both"/>
        <w:ind w:left="1020" w:right="1240" w:hanging="215"/>
        <w:spacing w:after="0" w:line="26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the nation’s largest provider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(“cable services”) to residential customers under the XFINITY brand, and we also provide these services to businesses and sell advertising.</w:t>
      </w:r>
    </w:p>
    <w:p>
      <w:pPr>
        <w:spacing w:after="0" w:line="37"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our cable television production operations, and our related digital media properties.</w:t>
      </w:r>
    </w:p>
    <w:p>
      <w:pPr>
        <w:spacing w:after="0" w:line="25"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our broadcast television production operations, and our related digital media properties.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w w:val="86"/>
              </w:rPr>
              <w:t>Three Months Ended June 30, 2013</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20" w:type="dxa"/>
            <w:vAlign w:val="bottom"/>
            <w:gridSpan w:val="2"/>
          </w:tcPr>
          <w:p>
            <w:pPr>
              <w:ind w:left="360"/>
              <w:spacing w:after="0" w:line="131" w:lineRule="exact"/>
              <w:rPr>
                <w:sz w:val="20"/>
                <w:szCs w:val="20"/>
                <w:color w:val="auto"/>
              </w:rPr>
            </w:pPr>
            <w:r>
              <w:rPr>
                <w:rFonts w:ascii="Arial" w:cs="Arial" w:eastAsia="Arial" w:hAnsi="Arial"/>
                <w:sz w:val="14"/>
                <w:szCs w:val="14"/>
                <w:color w:val="auto"/>
                <w:w w:val="93"/>
              </w:rPr>
              <w:t>Operating Income (Loss)</w:t>
            </w: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vMerge w:val="restart"/>
          </w:tcPr>
          <w:p>
            <w:pPr>
              <w:jc w:val="right"/>
              <w:ind w:right="31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1820" w:type="dxa"/>
            <w:vAlign w:val="bottom"/>
            <w:gridSpan w:val="2"/>
          </w:tcPr>
          <w:p>
            <w:pPr>
              <w:ind w:left="380"/>
              <w:spacing w:after="0" w:line="133" w:lineRule="exact"/>
              <w:rPr>
                <w:sz w:val="20"/>
                <w:szCs w:val="20"/>
                <w:color w:val="auto"/>
              </w:rPr>
            </w:pPr>
            <w:r>
              <w:rPr>
                <w:rFonts w:ascii="Arial" w:cs="Arial" w:eastAsia="Arial" w:hAnsi="Arial"/>
                <w:sz w:val="14"/>
                <w:szCs w:val="14"/>
                <w:color w:val="auto"/>
                <w:w w:val="94"/>
              </w:rPr>
              <w:t>Before Depreciation and</w:t>
            </w:r>
          </w:p>
        </w:tc>
        <w:tc>
          <w:tcPr>
            <w:tcW w:w="2160" w:type="dxa"/>
            <w:vAlign w:val="bottom"/>
            <w:gridSpan w:val="2"/>
          </w:tcPr>
          <w:p>
            <w:pPr>
              <w:ind w:left="660"/>
              <w:spacing w:after="0" w:line="133" w:lineRule="exact"/>
              <w:rPr>
                <w:sz w:val="20"/>
                <w:szCs w:val="20"/>
                <w:color w:val="auto"/>
              </w:rPr>
            </w:pPr>
            <w:r>
              <w:rPr>
                <w:rFonts w:ascii="Arial" w:cs="Arial" w:eastAsia="Arial" w:hAnsi="Arial"/>
                <w:sz w:val="14"/>
                <w:szCs w:val="14"/>
                <w:color w:val="auto"/>
              </w:rPr>
              <w:t>Depreciation and</w:t>
            </w:r>
          </w:p>
        </w:tc>
        <w:tc>
          <w:tcPr>
            <w:tcW w:w="1600" w:type="dxa"/>
            <w:vAlign w:val="bottom"/>
            <w:gridSpan w:val="2"/>
          </w:tcPr>
          <w:p>
            <w:pPr>
              <w:ind w:left="20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ind w:right="274"/>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760" w:type="dxa"/>
            <w:vAlign w:val="bottom"/>
          </w:tcPr>
          <w:p>
            <w:pPr>
              <w:spacing w:after="0"/>
              <w:rPr>
                <w:sz w:val="15"/>
                <w:szCs w:val="15"/>
                <w:color w:val="auto"/>
              </w:rPr>
            </w:pPr>
          </w:p>
        </w:tc>
        <w:tc>
          <w:tcPr>
            <w:tcW w:w="1400" w:type="dxa"/>
            <w:vAlign w:val="bottom"/>
          </w:tcPr>
          <w:p>
            <w:pPr>
              <w:jc w:val="right"/>
              <w:ind w:right="574"/>
              <w:spacing w:after="0"/>
              <w:rPr>
                <w:sz w:val="20"/>
                <w:szCs w:val="20"/>
                <w:color w:val="auto"/>
              </w:rPr>
            </w:pPr>
            <w:r>
              <w:rPr>
                <w:rFonts w:ascii="Arial" w:cs="Arial" w:eastAsia="Arial" w:hAnsi="Arial"/>
                <w:sz w:val="14"/>
                <w:szCs w:val="14"/>
                <w:color w:val="auto"/>
                <w:w w:val="92"/>
              </w:rPr>
              <w:t>Amortization</w:t>
            </w:r>
          </w:p>
        </w:tc>
        <w:tc>
          <w:tcPr>
            <w:tcW w:w="400" w:type="dxa"/>
            <w:vAlign w:val="bottom"/>
          </w:tcPr>
          <w:p>
            <w:pPr>
              <w:spacing w:after="0"/>
              <w:rPr>
                <w:sz w:val="15"/>
                <w:szCs w:val="15"/>
                <w:color w:val="auto"/>
              </w:rPr>
            </w:pPr>
          </w:p>
        </w:tc>
        <w:tc>
          <w:tcPr>
            <w:tcW w:w="1200" w:type="dxa"/>
            <w:vAlign w:val="bottom"/>
          </w:tcPr>
          <w:p>
            <w:pPr>
              <w:jc w:val="right"/>
              <w:ind w:right="654"/>
              <w:spacing w:after="0"/>
              <w:rPr>
                <w:sz w:val="20"/>
                <w:szCs w:val="20"/>
                <w:color w:val="auto"/>
              </w:rPr>
            </w:pPr>
            <w:r>
              <w:rPr>
                <w:rFonts w:ascii="Arial" w:cs="Arial" w:eastAsia="Arial" w:hAnsi="Arial"/>
                <w:sz w:val="14"/>
                <w:szCs w:val="14"/>
                <w:color w:val="auto"/>
              </w:rPr>
              <w:t>(Loss)</w:t>
            </w: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660" w:type="dxa"/>
            <w:vAlign w:val="bottom"/>
            <w:tcBorders>
              <w:top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color w:val="auto"/>
              </w:rPr>
              <w:t>$ 10,467</w:t>
            </w:r>
          </w:p>
        </w:tc>
        <w:tc>
          <w:tcPr>
            <w:tcW w:w="52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4,335</w:t>
            </w:r>
          </w:p>
        </w:tc>
        <w:tc>
          <w:tcPr>
            <w:tcW w:w="760" w:type="dxa"/>
            <w:vAlign w:val="bottom"/>
            <w:tcBorders>
              <w:top w:val="single" w:sz="8" w:color="auto"/>
            </w:tcBorders>
            <w:shd w:val="clear" w:color="auto" w:fill="E5E5E5"/>
          </w:tcPr>
          <w:p>
            <w:pPr>
              <w:ind w:left="66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5E5E5"/>
          </w:tcPr>
          <w:p>
            <w:pPr>
              <w:jc w:val="right"/>
              <w:ind w:right="474"/>
              <w:spacing w:after="0"/>
              <w:rPr>
                <w:sz w:val="20"/>
                <w:szCs w:val="20"/>
                <w:color w:val="auto"/>
              </w:rPr>
            </w:pPr>
            <w:r>
              <w:rPr>
                <w:rFonts w:ascii="Arial" w:cs="Arial" w:eastAsia="Arial" w:hAnsi="Arial"/>
                <w:sz w:val="18"/>
                <w:szCs w:val="18"/>
                <w:color w:val="auto"/>
              </w:rPr>
              <w:t>1,623</w:t>
            </w:r>
          </w:p>
        </w:tc>
        <w:tc>
          <w:tcPr>
            <w:tcW w:w="40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2,712</w:t>
            </w:r>
          </w:p>
        </w:tc>
        <w:tc>
          <w:tcPr>
            <w:tcW w:w="48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NBCUniversal</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166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2,413</w:t>
            </w:r>
          </w:p>
        </w:tc>
        <w:tc>
          <w:tcPr>
            <w:tcW w:w="52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860</w:t>
            </w:r>
          </w:p>
        </w:tc>
        <w:tc>
          <w:tcPr>
            <w:tcW w:w="760" w:type="dxa"/>
            <w:vAlign w:val="bottom"/>
            <w:shd w:val="clear" w:color="auto" w:fill="E5E5E5"/>
          </w:tcPr>
          <w:p>
            <w:pPr>
              <w:spacing w:after="0"/>
              <w:rPr>
                <w:sz w:val="18"/>
                <w:szCs w:val="18"/>
                <w:color w:val="auto"/>
              </w:rPr>
            </w:pPr>
          </w:p>
        </w:tc>
        <w:tc>
          <w:tcPr>
            <w:tcW w:w="1400" w:type="dxa"/>
            <w:vAlign w:val="bottom"/>
            <w:shd w:val="clear" w:color="auto" w:fill="E5E5E5"/>
          </w:tcPr>
          <w:p>
            <w:pPr>
              <w:jc w:val="right"/>
              <w:ind w:right="474"/>
              <w:spacing w:after="0"/>
              <w:rPr>
                <w:sz w:val="20"/>
                <w:szCs w:val="20"/>
                <w:color w:val="auto"/>
              </w:rPr>
            </w:pPr>
            <w:r>
              <w:rPr>
                <w:rFonts w:ascii="Arial" w:cs="Arial" w:eastAsia="Arial" w:hAnsi="Arial"/>
                <w:sz w:val="18"/>
                <w:szCs w:val="18"/>
                <w:color w:val="auto"/>
              </w:rPr>
              <w:t>182</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678</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1660" w:type="dxa"/>
            <w:vAlign w:val="bottom"/>
          </w:tcPr>
          <w:p>
            <w:pPr>
              <w:jc w:val="right"/>
              <w:ind w:right="314"/>
              <w:spacing w:after="0"/>
              <w:rPr>
                <w:sz w:val="20"/>
                <w:szCs w:val="20"/>
                <w:color w:val="auto"/>
              </w:rPr>
            </w:pPr>
            <w:r>
              <w:rPr>
                <w:rFonts w:ascii="Arial" w:cs="Arial" w:eastAsia="Arial" w:hAnsi="Arial"/>
                <w:sz w:val="18"/>
                <w:szCs w:val="18"/>
                <w:color w:val="auto"/>
              </w:rPr>
              <w:t>1,732</w:t>
            </w:r>
          </w:p>
        </w:tc>
        <w:tc>
          <w:tcPr>
            <w:tcW w:w="52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206</w:t>
            </w:r>
          </w:p>
        </w:tc>
        <w:tc>
          <w:tcPr>
            <w:tcW w:w="760" w:type="dxa"/>
            <w:vAlign w:val="bottom"/>
          </w:tcPr>
          <w:p>
            <w:pPr>
              <w:spacing w:after="0"/>
              <w:rPr>
                <w:sz w:val="18"/>
                <w:szCs w:val="18"/>
                <w:color w:val="auto"/>
              </w:rPr>
            </w:pPr>
          </w:p>
        </w:tc>
        <w:tc>
          <w:tcPr>
            <w:tcW w:w="1400" w:type="dxa"/>
            <w:vAlign w:val="bottom"/>
          </w:tcPr>
          <w:p>
            <w:pPr>
              <w:jc w:val="right"/>
              <w:ind w:right="474"/>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180</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166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1,388</w:t>
            </w:r>
          </w:p>
        </w:tc>
        <w:tc>
          <w:tcPr>
            <w:tcW w:w="52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w:t>
            </w:r>
          </w:p>
        </w:tc>
        <w:tc>
          <w:tcPr>
            <w:tcW w:w="760" w:type="dxa"/>
            <w:vAlign w:val="bottom"/>
            <w:shd w:val="clear" w:color="auto" w:fill="E5E5E5"/>
          </w:tcPr>
          <w:p>
            <w:pPr>
              <w:spacing w:after="0"/>
              <w:rPr>
                <w:sz w:val="18"/>
                <w:szCs w:val="18"/>
                <w:color w:val="auto"/>
              </w:rPr>
            </w:pPr>
          </w:p>
        </w:tc>
        <w:tc>
          <w:tcPr>
            <w:tcW w:w="1400" w:type="dxa"/>
            <w:vAlign w:val="bottom"/>
            <w:shd w:val="clear" w:color="auto" w:fill="E5E5E5"/>
          </w:tcPr>
          <w:p>
            <w:pPr>
              <w:jc w:val="right"/>
              <w:ind w:right="474"/>
              <w:spacing w:after="0"/>
              <w:rPr>
                <w:sz w:val="20"/>
                <w:szCs w:val="20"/>
                <w:color w:val="auto"/>
              </w:rPr>
            </w:pPr>
            <w:r>
              <w:rPr>
                <w:rFonts w:ascii="Arial" w:cs="Arial" w:eastAsia="Arial" w:hAnsi="Arial"/>
                <w:sz w:val="18"/>
                <w:szCs w:val="18"/>
                <w:color w:val="auto"/>
              </w:rPr>
              <w:t>3</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30</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1660" w:type="dxa"/>
            <w:vAlign w:val="bottom"/>
          </w:tcPr>
          <w:p>
            <w:pPr>
              <w:jc w:val="right"/>
              <w:ind w:right="314"/>
              <w:spacing w:after="0"/>
              <w:rPr>
                <w:sz w:val="20"/>
                <w:szCs w:val="20"/>
                <w:color w:val="auto"/>
              </w:rPr>
            </w:pPr>
            <w:r>
              <w:rPr>
                <w:rFonts w:ascii="Arial" w:cs="Arial" w:eastAsia="Arial" w:hAnsi="Arial"/>
                <w:sz w:val="18"/>
                <w:szCs w:val="18"/>
                <w:color w:val="auto"/>
              </w:rPr>
              <w:t>546</w:t>
            </w:r>
          </w:p>
        </w:tc>
        <w:tc>
          <w:tcPr>
            <w:tcW w:w="52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18"/>
                <w:szCs w:val="18"/>
                <w:color w:val="auto"/>
              </w:rPr>
            </w:pPr>
          </w:p>
        </w:tc>
        <w:tc>
          <w:tcPr>
            <w:tcW w:w="1400" w:type="dxa"/>
            <w:vAlign w:val="bottom"/>
          </w:tcPr>
          <w:p>
            <w:pPr>
              <w:jc w:val="right"/>
              <w:ind w:right="474"/>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158</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66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9</w:t>
            </w:r>
          </w:p>
        </w:tc>
        <w:tc>
          <w:tcPr>
            <w:tcW w:w="52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w:t>
            </w:r>
          </w:p>
        </w:tc>
        <w:tc>
          <w:tcPr>
            <w:tcW w:w="760" w:type="dxa"/>
            <w:vAlign w:val="bottom"/>
            <w:shd w:val="clear" w:color="auto" w:fill="E5E5E5"/>
          </w:tcPr>
          <w:p>
            <w:pPr>
              <w:spacing w:after="0"/>
              <w:rPr>
                <w:sz w:val="18"/>
                <w:szCs w:val="18"/>
                <w:color w:val="auto"/>
              </w:rPr>
            </w:pPr>
          </w:p>
        </w:tc>
        <w:tc>
          <w:tcPr>
            <w:tcW w:w="1400" w:type="dxa"/>
            <w:vAlign w:val="bottom"/>
            <w:shd w:val="clear" w:color="auto" w:fill="E5E5E5"/>
          </w:tcPr>
          <w:p>
            <w:pPr>
              <w:jc w:val="right"/>
              <w:ind w:right="474"/>
              <w:spacing w:after="0"/>
              <w:rPr>
                <w:sz w:val="20"/>
                <w:szCs w:val="20"/>
                <w:color w:val="auto"/>
              </w:rPr>
            </w:pPr>
            <w:r>
              <w:rPr>
                <w:rFonts w:ascii="Arial" w:cs="Arial" w:eastAsia="Arial" w:hAnsi="Arial"/>
                <w:sz w:val="18"/>
                <w:szCs w:val="18"/>
                <w:color w:val="auto"/>
              </w:rPr>
              <w:t>65</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(202)</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6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(93)</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66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5,995</w:t>
            </w:r>
          </w:p>
        </w:tc>
        <w:tc>
          <w:tcPr>
            <w:tcW w:w="52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1,191</w:t>
            </w:r>
          </w:p>
        </w:tc>
        <w:tc>
          <w:tcPr>
            <w:tcW w:w="760" w:type="dxa"/>
            <w:vAlign w:val="bottom"/>
            <w:shd w:val="clear" w:color="auto" w:fill="E5E5E5"/>
          </w:tcPr>
          <w:p>
            <w:pPr>
              <w:spacing w:after="0"/>
              <w:rPr>
                <w:sz w:val="18"/>
                <w:szCs w:val="18"/>
                <w:color w:val="auto"/>
              </w:rPr>
            </w:pPr>
          </w:p>
        </w:tc>
        <w:tc>
          <w:tcPr>
            <w:tcW w:w="1400" w:type="dxa"/>
            <w:vAlign w:val="bottom"/>
            <w:shd w:val="clear" w:color="auto" w:fill="E5E5E5"/>
          </w:tcPr>
          <w:p>
            <w:pPr>
              <w:jc w:val="right"/>
              <w:ind w:right="474"/>
              <w:spacing w:after="0"/>
              <w:rPr>
                <w:sz w:val="20"/>
                <w:szCs w:val="20"/>
                <w:color w:val="auto"/>
              </w:rPr>
            </w:pPr>
            <w:r>
              <w:rPr>
                <w:rFonts w:ascii="Arial" w:cs="Arial" w:eastAsia="Arial" w:hAnsi="Arial"/>
                <w:sz w:val="18"/>
                <w:szCs w:val="18"/>
                <w:color w:val="auto"/>
              </w:rPr>
              <w:t>349</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842</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Corporate and Other</w:t>
            </w:r>
          </w:p>
        </w:tc>
        <w:tc>
          <w:tcPr>
            <w:tcW w:w="1660" w:type="dxa"/>
            <w:vAlign w:val="bottom"/>
          </w:tcPr>
          <w:p>
            <w:pPr>
              <w:jc w:val="right"/>
              <w:ind w:right="314"/>
              <w:spacing w:after="0"/>
              <w:rPr>
                <w:sz w:val="20"/>
                <w:szCs w:val="20"/>
                <w:color w:val="auto"/>
              </w:rPr>
            </w:pPr>
            <w:r>
              <w:rPr>
                <w:rFonts w:ascii="Arial" w:cs="Arial" w:eastAsia="Arial" w:hAnsi="Arial"/>
                <w:sz w:val="18"/>
                <w:szCs w:val="18"/>
                <w:color w:val="auto"/>
              </w:rPr>
              <w:t>136</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c>
          <w:tcPr>
            <w:tcW w:w="760" w:type="dxa"/>
            <w:vAlign w:val="bottom"/>
          </w:tcPr>
          <w:p>
            <w:pPr>
              <w:spacing w:after="0"/>
              <w:rPr>
                <w:sz w:val="18"/>
                <w:szCs w:val="18"/>
                <w:color w:val="auto"/>
              </w:rPr>
            </w:pPr>
          </w:p>
        </w:tc>
        <w:tc>
          <w:tcPr>
            <w:tcW w:w="1400" w:type="dxa"/>
            <w:vAlign w:val="bottom"/>
          </w:tcPr>
          <w:p>
            <w:pPr>
              <w:jc w:val="right"/>
              <w:ind w:right="474"/>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(136)</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66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(328)</w:t>
            </w:r>
          </w:p>
        </w:tc>
        <w:tc>
          <w:tcPr>
            <w:tcW w:w="520" w:type="dxa"/>
            <w:vAlign w:val="bottom"/>
            <w:tcBorders>
              <w:bottom w:val="single" w:sz="8" w:color="auto"/>
            </w:tcBorders>
            <w:shd w:val="clear" w:color="auto" w:fill="E5E5E5"/>
          </w:tcPr>
          <w:p>
            <w:pPr>
              <w:spacing w:after="0"/>
              <w:rPr>
                <w:sz w:val="18"/>
                <w:szCs w:val="18"/>
                <w:color w:val="auto"/>
              </w:rPr>
            </w:pPr>
          </w:p>
        </w:tc>
        <w:tc>
          <w:tcPr>
            <w:tcW w:w="13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18</w:t>
            </w:r>
          </w:p>
        </w:tc>
        <w:tc>
          <w:tcPr>
            <w:tcW w:w="760" w:type="dxa"/>
            <w:vAlign w:val="bottom"/>
            <w:tcBorders>
              <w:bottom w:val="single" w:sz="8" w:color="auto"/>
            </w:tcBorders>
            <w:shd w:val="clear" w:color="auto" w:fill="E5E5E5"/>
          </w:tcPr>
          <w:p>
            <w:pPr>
              <w:spacing w:after="0"/>
              <w:rPr>
                <w:sz w:val="18"/>
                <w:szCs w:val="18"/>
                <w:color w:val="auto"/>
              </w:rPr>
            </w:pPr>
          </w:p>
        </w:tc>
        <w:tc>
          <w:tcPr>
            <w:tcW w:w="1400" w:type="dxa"/>
            <w:vAlign w:val="bottom"/>
            <w:tcBorders>
              <w:bottom w:val="single" w:sz="8" w:color="auto"/>
            </w:tcBorders>
            <w:shd w:val="clear" w:color="auto" w:fill="E5E5E5"/>
          </w:tcPr>
          <w:p>
            <w:pPr>
              <w:jc w:val="right"/>
              <w:ind w:right="474"/>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66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$ 16,270</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5,425</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1,990</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3,435</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jc w:val="right"/>
              <w:ind w:right="594"/>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color w:val="auto"/>
              </w:rPr>
              <w:t>Three Months Ended June 30, 2012</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4"/>
              </w:rPr>
              <w:t>Operating Income (Loss)</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4"/>
                <w:szCs w:val="14"/>
                <w:color w:val="auto"/>
                <w:w w:val="89"/>
              </w:rPr>
              <w:t>Revenue</w:t>
            </w:r>
            <w:r>
              <w:rPr>
                <w:rFonts w:ascii="Arial" w:cs="Arial" w:eastAsia="Arial" w:hAnsi="Arial"/>
                <w:sz w:val="22"/>
                <w:szCs w:val="22"/>
                <w:color w:val="auto"/>
                <w:w w:val="89"/>
                <w:vertAlign w:val="superscript"/>
              </w:rPr>
              <w:t>(d)</w:t>
            </w:r>
          </w:p>
        </w:tc>
        <w:tc>
          <w:tcPr>
            <w:tcW w:w="154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5"/>
              </w:rPr>
              <w:t>Before Depreciation and</w:t>
            </w:r>
          </w:p>
        </w:tc>
        <w:tc>
          <w:tcPr>
            <w:tcW w:w="112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6"/>
              </w:rPr>
              <w:t>Depreciation and</w:t>
            </w:r>
          </w:p>
        </w:tc>
        <w:tc>
          <w:tcPr>
            <w:tcW w:w="118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540" w:type="dxa"/>
            <w:vAlign w:val="bottom"/>
            <w:gridSpan w:val="2"/>
          </w:tcPr>
          <w:p>
            <w:pPr>
              <w:jc w:val="right"/>
              <w:ind w:right="294"/>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8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color w:val="auto"/>
                <w:w w:val="89"/>
              </w:rPr>
              <w:t>Amortization</w:t>
            </w:r>
          </w:p>
        </w:tc>
        <w:tc>
          <w:tcPr>
            <w:tcW w:w="1180" w:type="dxa"/>
            <w:vAlign w:val="bottom"/>
            <w:gridSpan w:val="2"/>
          </w:tcPr>
          <w:p>
            <w:pPr>
              <w:jc w:val="right"/>
              <w:ind w:right="352"/>
              <w:spacing w:after="0"/>
              <w:rPr>
                <w:sz w:val="20"/>
                <w:szCs w:val="20"/>
                <w:color w:val="auto"/>
              </w:rPr>
            </w:pPr>
            <w:r>
              <w:rPr>
                <w:rFonts w:ascii="Arial" w:cs="Arial" w:eastAsia="Arial" w:hAnsi="Arial"/>
                <w:sz w:val="14"/>
                <w:szCs w:val="14"/>
                <w:color w:val="auto"/>
              </w:rPr>
              <w:t>(Loss)</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1500" w:type="dxa"/>
            <w:vAlign w:val="bottom"/>
            <w:tcBorders>
              <w:top w:val="single" w:sz="8" w:color="auto"/>
            </w:tcBorders>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  9,897</w:t>
            </w:r>
          </w:p>
        </w:tc>
        <w:tc>
          <w:tcPr>
            <w:tcW w:w="54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4,101</w:t>
            </w:r>
          </w:p>
        </w:tc>
        <w:tc>
          <w:tcPr>
            <w:tcW w:w="18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1,593</w:t>
            </w:r>
          </w:p>
        </w:tc>
        <w:tc>
          <w:tcPr>
            <w:tcW w:w="60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97"/>
              </w:rPr>
              <w:t>2,508</w:t>
            </w:r>
          </w:p>
        </w:tc>
        <w:tc>
          <w:tcPr>
            <w:tcW w:w="20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NBCUniversal</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1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2,240</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182</w:t>
            </w:r>
          </w:p>
        </w:tc>
        <w:tc>
          <w:tcPr>
            <w:tcW w:w="6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52"/>
              <w:spacing w:after="0"/>
              <w:rPr>
                <w:sz w:val="20"/>
                <w:szCs w:val="20"/>
                <w:color w:val="auto"/>
              </w:rPr>
            </w:pPr>
            <w:r>
              <w:rPr>
                <w:rFonts w:ascii="Arial" w:cs="Arial" w:eastAsia="Arial" w:hAnsi="Arial"/>
                <w:sz w:val="18"/>
                <w:szCs w:val="18"/>
                <w:color w:val="auto"/>
              </w:rPr>
              <w:t>1,552</w:t>
            </w:r>
          </w:p>
        </w:tc>
        <w:tc>
          <w:tcPr>
            <w:tcW w:w="54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1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1,231</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4</w:t>
            </w:r>
          </w:p>
        </w:tc>
        <w:tc>
          <w:tcPr>
            <w:tcW w:w="6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52"/>
              <w:spacing w:after="0"/>
              <w:rPr>
                <w:sz w:val="20"/>
                <w:szCs w:val="20"/>
                <w:color w:val="auto"/>
              </w:rPr>
            </w:pPr>
            <w:r>
              <w:rPr>
                <w:rFonts w:ascii="Arial" w:cs="Arial" w:eastAsia="Arial" w:hAnsi="Arial"/>
                <w:sz w:val="18"/>
                <w:szCs w:val="18"/>
                <w:color w:val="auto"/>
              </w:rPr>
              <w:t>539</w:t>
            </w:r>
          </w:p>
        </w:tc>
        <w:tc>
          <w:tcPr>
            <w:tcW w:w="54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63</w:t>
            </w:r>
          </w:p>
        </w:tc>
        <w:tc>
          <w:tcPr>
            <w:tcW w:w="60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11</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48</w:t>
            </w:r>
          </w:p>
        </w:tc>
        <w:tc>
          <w:tcPr>
            <w:tcW w:w="6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5,504</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982</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320</w:t>
            </w:r>
          </w:p>
        </w:tc>
        <w:tc>
          <w:tcPr>
            <w:tcW w:w="6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Corporate and Other</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52"/>
              <w:spacing w:after="0"/>
              <w:rPr>
                <w:sz w:val="20"/>
                <w:szCs w:val="20"/>
                <w:color w:val="auto"/>
              </w:rPr>
            </w:pPr>
            <w:r>
              <w:rPr>
                <w:rFonts w:ascii="Arial" w:cs="Arial" w:eastAsia="Arial" w:hAnsi="Arial"/>
                <w:sz w:val="18"/>
                <w:szCs w:val="18"/>
                <w:color w:val="auto"/>
              </w:rPr>
              <w:t>130</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6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(320)</w:t>
            </w:r>
          </w:p>
        </w:tc>
        <w:tc>
          <w:tcPr>
            <w:tcW w:w="5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$ 15,211</w:t>
            </w: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5,004</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1,925</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3,079</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color w:val="auto"/>
              </w:rPr>
              <w:t>Six Months Ended June 30, 2013</w:t>
            </w: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4"/>
              </w:rPr>
              <w:t>Operating Income (Loss)</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4"/>
                <w:szCs w:val="14"/>
                <w:color w:val="auto"/>
                <w:w w:val="89"/>
              </w:rPr>
              <w:t>Revenue</w:t>
            </w:r>
            <w:r>
              <w:rPr>
                <w:rFonts w:ascii="Arial" w:cs="Arial" w:eastAsia="Arial" w:hAnsi="Arial"/>
                <w:sz w:val="22"/>
                <w:szCs w:val="22"/>
                <w:color w:val="auto"/>
                <w:w w:val="89"/>
                <w:vertAlign w:val="superscript"/>
              </w:rPr>
              <w:t>(d)</w:t>
            </w:r>
          </w:p>
        </w:tc>
        <w:tc>
          <w:tcPr>
            <w:tcW w:w="154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5"/>
              </w:rPr>
              <w:t>Before Depreciation and</w:t>
            </w:r>
          </w:p>
        </w:tc>
        <w:tc>
          <w:tcPr>
            <w:tcW w:w="112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6"/>
              </w:rPr>
              <w:t>Depreciation and</w:t>
            </w:r>
          </w:p>
        </w:tc>
        <w:tc>
          <w:tcPr>
            <w:tcW w:w="118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540" w:type="dxa"/>
            <w:vAlign w:val="bottom"/>
            <w:gridSpan w:val="2"/>
          </w:tcPr>
          <w:p>
            <w:pPr>
              <w:jc w:val="right"/>
              <w:ind w:right="294"/>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8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color w:val="auto"/>
                <w:w w:val="89"/>
              </w:rPr>
              <w:t>Amortization</w:t>
            </w:r>
          </w:p>
        </w:tc>
        <w:tc>
          <w:tcPr>
            <w:tcW w:w="1180" w:type="dxa"/>
            <w:vAlign w:val="bottom"/>
            <w:gridSpan w:val="2"/>
          </w:tcPr>
          <w:p>
            <w:pPr>
              <w:jc w:val="right"/>
              <w:ind w:right="352"/>
              <w:spacing w:after="0"/>
              <w:rPr>
                <w:sz w:val="20"/>
                <w:szCs w:val="20"/>
                <w:color w:val="auto"/>
              </w:rPr>
            </w:pPr>
            <w:r>
              <w:rPr>
                <w:rFonts w:ascii="Arial" w:cs="Arial" w:eastAsia="Arial" w:hAnsi="Arial"/>
                <w:sz w:val="14"/>
                <w:szCs w:val="14"/>
                <w:color w:val="auto"/>
              </w:rPr>
              <w:t>(Loss)</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1500" w:type="dxa"/>
            <w:vAlign w:val="bottom"/>
            <w:tcBorders>
              <w:top w:val="single" w:sz="8" w:color="auto"/>
            </w:tcBorders>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$ 20,684</w:t>
            </w:r>
          </w:p>
        </w:tc>
        <w:tc>
          <w:tcPr>
            <w:tcW w:w="54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8,554</w:t>
            </w:r>
          </w:p>
        </w:tc>
        <w:tc>
          <w:tcPr>
            <w:tcW w:w="18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3,231</w:t>
            </w:r>
          </w:p>
        </w:tc>
        <w:tc>
          <w:tcPr>
            <w:tcW w:w="60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97"/>
              </w:rPr>
              <w:t>5,323</w:t>
            </w:r>
          </w:p>
        </w:tc>
        <w:tc>
          <w:tcPr>
            <w:tcW w:w="20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NBCUniversal</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1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4,638</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1,719</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366</w:t>
            </w:r>
          </w:p>
        </w:tc>
        <w:tc>
          <w:tcPr>
            <w:tcW w:w="6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1,353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52"/>
              <w:spacing w:after="0"/>
              <w:rPr>
                <w:sz w:val="20"/>
                <w:szCs w:val="20"/>
                <w:color w:val="auto"/>
              </w:rPr>
            </w:pPr>
            <w:r>
              <w:rPr>
                <w:rFonts w:ascii="Arial" w:cs="Arial" w:eastAsia="Arial" w:hAnsi="Arial"/>
                <w:sz w:val="18"/>
                <w:szCs w:val="18"/>
                <w:color w:val="auto"/>
              </w:rPr>
              <w:t>3,249</w:t>
            </w:r>
          </w:p>
        </w:tc>
        <w:tc>
          <w:tcPr>
            <w:tcW w:w="54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1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2,604</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7</w:t>
            </w:r>
          </w:p>
        </w:tc>
        <w:tc>
          <w:tcPr>
            <w:tcW w:w="6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95</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52"/>
              <w:spacing w:after="0"/>
              <w:rPr>
                <w:sz w:val="20"/>
                <w:szCs w:val="20"/>
                <w:color w:val="auto"/>
              </w:rPr>
            </w:pPr>
            <w:r>
              <w:rPr>
                <w:rFonts w:ascii="Arial" w:cs="Arial" w:eastAsia="Arial" w:hAnsi="Arial"/>
                <w:sz w:val="18"/>
                <w:szCs w:val="18"/>
                <w:color w:val="auto"/>
              </w:rPr>
              <w:t>1,008</w:t>
            </w:r>
          </w:p>
        </w:tc>
        <w:tc>
          <w:tcPr>
            <w:tcW w:w="54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145</w:t>
            </w:r>
          </w:p>
        </w:tc>
        <w:tc>
          <w:tcPr>
            <w:tcW w:w="60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18</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124</w:t>
            </w:r>
          </w:p>
        </w:tc>
        <w:tc>
          <w:tcPr>
            <w:tcW w:w="6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11,335</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2,144</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693</w:t>
            </w:r>
          </w:p>
        </w:tc>
        <w:tc>
          <w:tcPr>
            <w:tcW w:w="6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1,451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Corporate and Other</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52"/>
              <w:spacing w:after="0"/>
              <w:rPr>
                <w:sz w:val="20"/>
                <w:szCs w:val="20"/>
                <w:color w:val="auto"/>
              </w:rPr>
            </w:pPr>
            <w:r>
              <w:rPr>
                <w:rFonts w:ascii="Arial" w:cs="Arial" w:eastAsia="Arial" w:hAnsi="Arial"/>
                <w:sz w:val="18"/>
                <w:szCs w:val="18"/>
                <w:color w:val="auto"/>
              </w:rPr>
              <w:t>298</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6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(737)</w:t>
            </w:r>
          </w:p>
        </w:tc>
        <w:tc>
          <w:tcPr>
            <w:tcW w:w="5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$ 31,580</w:t>
            </w: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10,459</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3,957</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6,502</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color w:val="auto"/>
                <w:w w:val="87"/>
              </w:rPr>
              <w:t>Six Months Ended June 30, 2012</w:t>
            </w:r>
          </w:p>
        </w:tc>
        <w:tc>
          <w:tcPr>
            <w:tcW w:w="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20" w:type="dxa"/>
            <w:vAlign w:val="bottom"/>
            <w:gridSpan w:val="3"/>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vMerge w:val="restart"/>
          </w:tcPr>
          <w:p>
            <w:pPr>
              <w:jc w:val="right"/>
              <w:ind w:right="31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020" w:type="dxa"/>
            <w:vAlign w:val="bottom"/>
            <w:gridSpan w:val="3"/>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1540" w:type="dxa"/>
            <w:vAlign w:val="bottom"/>
            <w:gridSpan w:val="2"/>
          </w:tcPr>
          <w:p>
            <w:pPr>
              <w:ind w:left="460"/>
              <w:spacing w:after="0" w:line="133" w:lineRule="exact"/>
              <w:rPr>
                <w:sz w:val="20"/>
                <w:szCs w:val="20"/>
                <w:color w:val="auto"/>
              </w:rPr>
            </w:pPr>
            <w:r>
              <w:rPr>
                <w:rFonts w:ascii="Arial" w:cs="Arial" w:eastAsia="Arial" w:hAnsi="Arial"/>
                <w:sz w:val="14"/>
                <w:szCs w:val="14"/>
                <w:color w:val="auto"/>
              </w:rPr>
              <w:t>Depreciation and</w:t>
            </w:r>
          </w:p>
        </w:tc>
        <w:tc>
          <w:tcPr>
            <w:tcW w:w="180" w:type="dxa"/>
            <w:vAlign w:val="bottom"/>
          </w:tcPr>
          <w:p>
            <w:pPr>
              <w:spacing w:after="0"/>
              <w:rPr>
                <w:sz w:val="11"/>
                <w:szCs w:val="11"/>
                <w:color w:val="auto"/>
              </w:rPr>
            </w:pPr>
          </w:p>
        </w:tc>
        <w:tc>
          <w:tcPr>
            <w:tcW w:w="1540" w:type="dxa"/>
            <w:vAlign w:val="bottom"/>
            <w:gridSpan w:val="2"/>
          </w:tcPr>
          <w:p>
            <w:pPr>
              <w:ind w:left="440"/>
              <w:spacing w:after="0" w:line="133" w:lineRule="exact"/>
              <w:rPr>
                <w:sz w:val="20"/>
                <w:szCs w:val="20"/>
                <w:color w:val="auto"/>
              </w:rPr>
            </w:pPr>
            <w:r>
              <w:rPr>
                <w:rFonts w:ascii="Arial" w:cs="Arial" w:eastAsia="Arial" w:hAnsi="Arial"/>
                <w:sz w:val="14"/>
                <w:szCs w:val="14"/>
                <w:color w:val="auto"/>
                <w:w w:val="97"/>
              </w:rPr>
              <w:t>Operating Income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gridSpan w:val="2"/>
          </w:tcPr>
          <w:p>
            <w:pPr>
              <w:jc w:val="center"/>
              <w:ind w:right="392"/>
              <w:spacing w:after="0" w:line="176" w:lineRule="exact"/>
              <w:rPr>
                <w:sz w:val="20"/>
                <w:szCs w:val="20"/>
                <w:color w:val="auto"/>
              </w:rPr>
            </w:pPr>
            <w:r>
              <w:rPr>
                <w:rFonts w:ascii="Arial" w:cs="Arial" w:eastAsia="Arial" w:hAnsi="Arial"/>
                <w:sz w:val="13"/>
                <w:szCs w:val="13"/>
                <w:color w:val="auto"/>
                <w:w w:val="94"/>
              </w:rPr>
              <w:t>Amortization</w:t>
            </w:r>
            <w:r>
              <w:rPr>
                <w:rFonts w:ascii="Arial" w:cs="Arial" w:eastAsia="Arial" w:hAnsi="Arial"/>
                <w:sz w:val="20"/>
                <w:szCs w:val="20"/>
                <w:color w:val="auto"/>
                <w:w w:val="94"/>
                <w:vertAlign w:val="superscript"/>
              </w:rPr>
              <w:t>(e)</w:t>
            </w:r>
          </w:p>
        </w:tc>
        <w:tc>
          <w:tcPr>
            <w:tcW w:w="540" w:type="dxa"/>
            <w:vAlign w:val="bottom"/>
          </w:tcPr>
          <w:p>
            <w:pPr>
              <w:spacing w:after="0"/>
              <w:rPr>
                <w:sz w:val="15"/>
                <w:szCs w:val="15"/>
                <w:color w:val="auto"/>
              </w:rPr>
            </w:pPr>
          </w:p>
        </w:tc>
        <w:tc>
          <w:tcPr>
            <w:tcW w:w="1000" w:type="dxa"/>
            <w:vAlign w:val="bottom"/>
          </w:tcPr>
          <w:p>
            <w:pPr>
              <w:jc w:val="right"/>
              <w:ind w:right="174"/>
              <w:spacing w:after="0"/>
              <w:rPr>
                <w:sz w:val="20"/>
                <w:szCs w:val="20"/>
                <w:color w:val="auto"/>
              </w:rPr>
            </w:pPr>
            <w:r>
              <w:rPr>
                <w:rFonts w:ascii="Arial" w:cs="Arial" w:eastAsia="Arial" w:hAnsi="Arial"/>
                <w:sz w:val="14"/>
                <w:szCs w:val="14"/>
                <w:color w:val="auto"/>
                <w:w w:val="92"/>
              </w:rPr>
              <w:t>Amortization</w:t>
            </w:r>
          </w:p>
        </w:tc>
        <w:tc>
          <w:tcPr>
            <w:tcW w:w="180" w:type="dxa"/>
            <w:vAlign w:val="bottom"/>
          </w:tcPr>
          <w:p>
            <w:pPr>
              <w:spacing w:after="0"/>
              <w:rPr>
                <w:sz w:val="15"/>
                <w:szCs w:val="15"/>
                <w:color w:val="auto"/>
              </w:rPr>
            </w:pPr>
          </w:p>
        </w:tc>
        <w:tc>
          <w:tcPr>
            <w:tcW w:w="1540" w:type="dxa"/>
            <w:vAlign w:val="bottom"/>
            <w:gridSpan w:val="2"/>
          </w:tcPr>
          <w:p>
            <w:pPr>
              <w:jc w:val="right"/>
              <w:ind w:right="356"/>
              <w:spacing w:after="0"/>
              <w:rPr>
                <w:sz w:val="20"/>
                <w:szCs w:val="20"/>
                <w:color w:val="auto"/>
              </w:rPr>
            </w:pPr>
            <w:r>
              <w:rPr>
                <w:rFonts w:ascii="Arial" w:cs="Arial" w:eastAsia="Arial" w:hAnsi="Arial"/>
                <w:sz w:val="14"/>
                <w:szCs w:val="14"/>
                <w:color w:val="auto"/>
              </w:rPr>
              <w:t>(Loss)</w:t>
            </w:r>
          </w:p>
        </w:tc>
        <w:tc>
          <w:tcPr>
            <w:tcW w:w="5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660" w:type="dxa"/>
            <w:vAlign w:val="bottom"/>
            <w:tcBorders>
              <w:top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color w:val="auto"/>
              </w:rPr>
              <w:t>$ 19,496</w:t>
            </w:r>
          </w:p>
        </w:tc>
        <w:tc>
          <w:tcPr>
            <w:tcW w:w="52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gridSpan w:val="2"/>
            <w:shd w:val="clear" w:color="auto" w:fill="E5E5E5"/>
          </w:tcPr>
          <w:p>
            <w:pPr>
              <w:jc w:val="right"/>
              <w:ind w:right="232"/>
              <w:spacing w:after="0"/>
              <w:rPr>
                <w:sz w:val="20"/>
                <w:szCs w:val="20"/>
                <w:color w:val="auto"/>
              </w:rPr>
            </w:pPr>
            <w:r>
              <w:rPr>
                <w:rFonts w:ascii="Arial" w:cs="Arial" w:eastAsia="Arial" w:hAnsi="Arial"/>
                <w:sz w:val="18"/>
                <w:szCs w:val="18"/>
                <w:color w:val="auto"/>
              </w:rPr>
              <w:t>8,056</w:t>
            </w:r>
          </w:p>
        </w:tc>
        <w:tc>
          <w:tcPr>
            <w:tcW w:w="540" w:type="dxa"/>
            <w:vAlign w:val="bottom"/>
            <w:tcBorders>
              <w:top w:val="single" w:sz="8" w:color="auto"/>
            </w:tcBorders>
            <w:shd w:val="clear" w:color="auto" w:fill="E5E5E5"/>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3,195</w:t>
            </w:r>
          </w:p>
        </w:tc>
        <w:tc>
          <w:tcPr>
            <w:tcW w:w="18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4,861</w:t>
            </w: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NBCUniversal</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166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4,368</w:t>
            </w: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232"/>
              <w:spacing w:after="0"/>
              <w:rPr>
                <w:sz w:val="20"/>
                <w:szCs w:val="20"/>
                <w:color w:val="auto"/>
              </w:rPr>
            </w:pPr>
            <w:r>
              <w:rPr>
                <w:rFonts w:ascii="Arial" w:cs="Arial" w:eastAsia="Arial" w:hAnsi="Arial"/>
                <w:sz w:val="18"/>
                <w:szCs w:val="18"/>
                <w:color w:val="auto"/>
              </w:rPr>
              <w:t>1,599</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1,241</w:t>
            </w: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1660" w:type="dxa"/>
            <w:vAlign w:val="bottom"/>
          </w:tcPr>
          <w:p>
            <w:pPr>
              <w:jc w:val="right"/>
              <w:ind w:right="314"/>
              <w:spacing w:after="0"/>
              <w:rPr>
                <w:sz w:val="20"/>
                <w:szCs w:val="20"/>
                <w:color w:val="auto"/>
              </w:rPr>
            </w:pPr>
            <w:r>
              <w:rPr>
                <w:rFonts w:ascii="Arial" w:cs="Arial" w:eastAsia="Arial" w:hAnsi="Arial"/>
                <w:sz w:val="18"/>
                <w:szCs w:val="18"/>
                <w:color w:val="auto"/>
              </w:rPr>
              <w:t>3,413</w:t>
            </w:r>
          </w:p>
        </w:tc>
        <w:tc>
          <w:tcPr>
            <w:tcW w:w="520" w:type="dxa"/>
            <w:vAlign w:val="bottom"/>
          </w:tcPr>
          <w:p>
            <w:pPr>
              <w:spacing w:after="0"/>
              <w:rPr>
                <w:sz w:val="18"/>
                <w:szCs w:val="18"/>
                <w:color w:val="auto"/>
              </w:rPr>
            </w:pPr>
          </w:p>
        </w:tc>
        <w:tc>
          <w:tcPr>
            <w:tcW w:w="1500" w:type="dxa"/>
            <w:vAlign w:val="bottom"/>
            <w:gridSpan w:val="2"/>
          </w:tcPr>
          <w:p>
            <w:pPr>
              <w:jc w:val="right"/>
              <w:ind w:right="232"/>
              <w:spacing w:after="0"/>
              <w:rPr>
                <w:sz w:val="20"/>
                <w:szCs w:val="20"/>
                <w:color w:val="auto"/>
              </w:rPr>
            </w:pPr>
            <w:r>
              <w:rPr>
                <w:rFonts w:ascii="Arial" w:cs="Arial" w:eastAsia="Arial" w:hAnsi="Arial"/>
                <w:sz w:val="18"/>
                <w:szCs w:val="18"/>
                <w:color w:val="auto"/>
              </w:rPr>
              <w:t>180</w:t>
            </w:r>
          </w:p>
        </w:tc>
        <w:tc>
          <w:tcPr>
            <w:tcW w:w="540" w:type="dxa"/>
            <w:vAlign w:val="bottom"/>
          </w:tcPr>
          <w:p>
            <w:pPr>
              <w:spacing w:after="0"/>
              <w:rPr>
                <w:sz w:val="18"/>
                <w:szCs w:val="18"/>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135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166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2,423</w:t>
            </w: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172"/>
              <w:spacing w:after="0"/>
              <w:rPr>
                <w:sz w:val="20"/>
                <w:szCs w:val="20"/>
                <w:color w:val="auto"/>
              </w:rPr>
            </w:pPr>
            <w:r>
              <w:rPr>
                <w:rFonts w:ascii="Arial" w:cs="Arial" w:eastAsia="Arial" w:hAnsi="Arial"/>
                <w:sz w:val="18"/>
                <w:szCs w:val="18"/>
                <w:color w:val="auto"/>
              </w:rPr>
              <w:t>(77)</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8</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1660" w:type="dxa"/>
            <w:vAlign w:val="bottom"/>
          </w:tcPr>
          <w:p>
            <w:pPr>
              <w:jc w:val="right"/>
              <w:ind w:right="314"/>
              <w:spacing w:after="0"/>
              <w:rPr>
                <w:sz w:val="20"/>
                <w:szCs w:val="20"/>
                <w:color w:val="auto"/>
              </w:rPr>
            </w:pPr>
            <w:r>
              <w:rPr>
                <w:rFonts w:ascii="Arial" w:cs="Arial" w:eastAsia="Arial" w:hAnsi="Arial"/>
                <w:sz w:val="18"/>
                <w:szCs w:val="18"/>
                <w:color w:val="auto"/>
              </w:rPr>
              <w:t>951</w:t>
            </w:r>
          </w:p>
        </w:tc>
        <w:tc>
          <w:tcPr>
            <w:tcW w:w="520" w:type="dxa"/>
            <w:vAlign w:val="bottom"/>
          </w:tcPr>
          <w:p>
            <w:pPr>
              <w:spacing w:after="0"/>
              <w:rPr>
                <w:sz w:val="18"/>
                <w:szCs w:val="18"/>
                <w:color w:val="auto"/>
              </w:rPr>
            </w:pPr>
          </w:p>
        </w:tc>
        <w:tc>
          <w:tcPr>
            <w:tcW w:w="1500" w:type="dxa"/>
            <w:vAlign w:val="bottom"/>
            <w:gridSpan w:val="2"/>
          </w:tcPr>
          <w:p>
            <w:pPr>
              <w:jc w:val="right"/>
              <w:ind w:right="232"/>
              <w:spacing w:after="0"/>
              <w:rPr>
                <w:sz w:val="20"/>
                <w:szCs w:val="20"/>
                <w:color w:val="auto"/>
              </w:rPr>
            </w:pPr>
            <w:r>
              <w:rPr>
                <w:rFonts w:ascii="Arial" w:cs="Arial" w:eastAsia="Arial" w:hAnsi="Arial"/>
                <w:sz w:val="18"/>
                <w:szCs w:val="18"/>
                <w:color w:val="auto"/>
              </w:rPr>
              <w:t>392</w:t>
            </w:r>
          </w:p>
        </w:tc>
        <w:tc>
          <w:tcPr>
            <w:tcW w:w="540" w:type="dxa"/>
            <w:vAlign w:val="bottom"/>
          </w:tcPr>
          <w:p>
            <w:pPr>
              <w:spacing w:after="0"/>
              <w:rPr>
                <w:sz w:val="18"/>
                <w:szCs w:val="18"/>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267</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66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23</w:t>
            </w: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172"/>
              <w:spacing w:after="0"/>
              <w:rPr>
                <w:sz w:val="20"/>
                <w:szCs w:val="20"/>
                <w:color w:val="auto"/>
              </w:rPr>
            </w:pPr>
            <w:r>
              <w:rPr>
                <w:rFonts w:ascii="Arial" w:cs="Arial" w:eastAsia="Arial" w:hAnsi="Arial"/>
                <w:sz w:val="18"/>
                <w:szCs w:val="18"/>
                <w:color w:val="auto"/>
              </w:rPr>
              <w:t>(301)</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96</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(397)</w:t>
            </w: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6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(202)</w:t>
            </w: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color w:val="auto"/>
              </w:rPr>
              <w:t>2</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66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10,976</w:t>
            </w:r>
          </w:p>
        </w:tc>
        <w:tc>
          <w:tcPr>
            <w:tcW w:w="520" w:type="dxa"/>
            <w:vAlign w:val="bottom"/>
            <w:shd w:val="clear" w:color="auto" w:fill="E5E5E5"/>
          </w:tcPr>
          <w:p>
            <w:pPr>
              <w:spacing w:after="0"/>
              <w:rPr>
                <w:sz w:val="18"/>
                <w:szCs w:val="18"/>
                <w:color w:val="auto"/>
              </w:rPr>
            </w:pPr>
          </w:p>
        </w:tc>
        <w:tc>
          <w:tcPr>
            <w:tcW w:w="1500" w:type="dxa"/>
            <w:vAlign w:val="bottom"/>
            <w:gridSpan w:val="2"/>
            <w:shd w:val="clear" w:color="auto" w:fill="E5E5E5"/>
          </w:tcPr>
          <w:p>
            <w:pPr>
              <w:jc w:val="right"/>
              <w:ind w:right="232"/>
              <w:spacing w:after="0"/>
              <w:rPr>
                <w:sz w:val="20"/>
                <w:szCs w:val="20"/>
                <w:color w:val="auto"/>
              </w:rPr>
            </w:pPr>
            <w:r>
              <w:rPr>
                <w:rFonts w:ascii="Arial" w:cs="Arial" w:eastAsia="Arial" w:hAnsi="Arial"/>
                <w:sz w:val="18"/>
                <w:szCs w:val="18"/>
                <w:color w:val="auto"/>
              </w:rPr>
              <w:t>1,795</w:t>
            </w:r>
          </w:p>
        </w:tc>
        <w:tc>
          <w:tcPr>
            <w:tcW w:w="5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632</w:t>
            </w:r>
          </w:p>
        </w:tc>
        <w:tc>
          <w:tcPr>
            <w:tcW w:w="18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1,163</w:t>
            </w: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Corporate and Other</w:t>
            </w:r>
          </w:p>
        </w:tc>
        <w:tc>
          <w:tcPr>
            <w:tcW w:w="1660" w:type="dxa"/>
            <w:vAlign w:val="bottom"/>
          </w:tcPr>
          <w:p>
            <w:pPr>
              <w:jc w:val="right"/>
              <w:ind w:right="314"/>
              <w:spacing w:after="0"/>
              <w:rPr>
                <w:sz w:val="20"/>
                <w:szCs w:val="20"/>
                <w:color w:val="auto"/>
              </w:rPr>
            </w:pPr>
            <w:r>
              <w:rPr>
                <w:rFonts w:ascii="Arial" w:cs="Arial" w:eastAsia="Arial" w:hAnsi="Arial"/>
                <w:sz w:val="18"/>
                <w:szCs w:val="18"/>
                <w:color w:val="auto"/>
              </w:rPr>
              <w:t>304</w:t>
            </w:r>
          </w:p>
        </w:tc>
        <w:tc>
          <w:tcPr>
            <w:tcW w:w="520" w:type="dxa"/>
            <w:vAlign w:val="bottom"/>
          </w:tcPr>
          <w:p>
            <w:pPr>
              <w:spacing w:after="0"/>
              <w:rPr>
                <w:sz w:val="18"/>
                <w:szCs w:val="18"/>
                <w:color w:val="auto"/>
              </w:rPr>
            </w:pPr>
          </w:p>
        </w:tc>
        <w:tc>
          <w:tcPr>
            <w:tcW w:w="1500" w:type="dxa"/>
            <w:vAlign w:val="bottom"/>
            <w:gridSpan w:val="2"/>
          </w:tcPr>
          <w:p>
            <w:pPr>
              <w:jc w:val="right"/>
              <w:ind w:right="172"/>
              <w:spacing w:after="0"/>
              <w:rPr>
                <w:sz w:val="20"/>
                <w:szCs w:val="20"/>
                <w:color w:val="auto"/>
              </w:rPr>
            </w:pPr>
            <w:r>
              <w:rPr>
                <w:rFonts w:ascii="Arial" w:cs="Arial" w:eastAsia="Arial" w:hAnsi="Arial"/>
                <w:sz w:val="18"/>
                <w:szCs w:val="18"/>
                <w:color w:val="auto"/>
              </w:rPr>
              <w:t>(154)</w:t>
            </w:r>
          </w:p>
        </w:tc>
        <w:tc>
          <w:tcPr>
            <w:tcW w:w="540" w:type="dxa"/>
            <w:vAlign w:val="bottom"/>
          </w:tcPr>
          <w:p>
            <w:pPr>
              <w:spacing w:after="0"/>
              <w:rPr>
                <w:sz w:val="18"/>
                <w:szCs w:val="18"/>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66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(687)</w:t>
            </w:r>
          </w:p>
        </w:tc>
        <w:tc>
          <w:tcPr>
            <w:tcW w:w="52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gridSpan w:val="2"/>
            <w:shd w:val="clear" w:color="auto" w:fill="E5E5E5"/>
          </w:tcPr>
          <w:p>
            <w:pPr>
              <w:jc w:val="right"/>
              <w:ind w:right="172"/>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66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$ 30,089</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color w:val="auto"/>
              </w:rPr>
              <w:t>9,692</w:t>
            </w:r>
          </w:p>
        </w:tc>
        <w:tc>
          <w:tcPr>
            <w:tcW w:w="54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3,855</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5,837</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and six months ended June 30, 2013 and 2012, Cable Communications segment revenue was derived from the following sources: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140" w:type="dxa"/>
            <w:vAlign w:val="bottom"/>
            <w:gridSpan w:val="2"/>
          </w:tcPr>
          <w:p>
            <w:pPr>
              <w:jc w:val="right"/>
              <w:ind w:right="832"/>
              <w:spacing w:after="0"/>
              <w:rPr>
                <w:sz w:val="20"/>
                <w:szCs w:val="20"/>
                <w:color w:val="auto"/>
              </w:rPr>
            </w:pPr>
            <w:r>
              <w:rPr>
                <w:rFonts w:ascii="Arial" w:cs="Arial" w:eastAsia="Arial" w:hAnsi="Arial"/>
                <w:sz w:val="14"/>
                <w:szCs w:val="14"/>
                <w:color w:val="auto"/>
              </w:rPr>
              <w:t>Three Months Ended</w:t>
            </w:r>
          </w:p>
        </w:tc>
        <w:tc>
          <w:tcPr>
            <w:tcW w:w="1740" w:type="dxa"/>
            <w:vAlign w:val="bottom"/>
          </w:tcPr>
          <w:p>
            <w:pPr>
              <w:jc w:val="right"/>
              <w:spacing w:after="0"/>
              <w:rPr>
                <w:sz w:val="20"/>
                <w:szCs w:val="20"/>
                <w:color w:val="auto"/>
              </w:rPr>
            </w:pPr>
            <w:r>
              <w:rPr>
                <w:rFonts w:ascii="Arial" w:cs="Arial" w:eastAsia="Arial" w:hAnsi="Arial"/>
                <w:sz w:val="14"/>
                <w:szCs w:val="14"/>
                <w:color w:val="auto"/>
              </w:rPr>
              <w:t>Six Months Ended</w:t>
            </w:r>
          </w:p>
        </w:tc>
        <w:tc>
          <w:tcPr>
            <w:tcW w:w="56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1192"/>
              <w:spacing w:after="0" w:line="159" w:lineRule="exact"/>
              <w:rPr>
                <w:sz w:val="20"/>
                <w:szCs w:val="20"/>
                <w:color w:val="auto"/>
              </w:rPr>
            </w:pPr>
            <w:r>
              <w:rPr>
                <w:rFonts w:ascii="Arial" w:cs="Arial" w:eastAsia="Arial" w:hAnsi="Arial"/>
                <w:sz w:val="14"/>
                <w:szCs w:val="14"/>
                <w:color w:val="auto"/>
                <w:w w:val="84"/>
              </w:rPr>
              <w:t>June 30</w:t>
            </w:r>
          </w:p>
        </w:tc>
        <w:tc>
          <w:tcPr>
            <w:tcW w:w="1740" w:type="dxa"/>
            <w:vAlign w:val="bottom"/>
            <w:tcBorders>
              <w:bottom w:val="single" w:sz="8" w:color="auto"/>
            </w:tcBorders>
          </w:tcPr>
          <w:p>
            <w:pPr>
              <w:jc w:val="right"/>
              <w:ind w:right="252"/>
              <w:spacing w:after="0" w:line="159" w:lineRule="exact"/>
              <w:rPr>
                <w:sz w:val="20"/>
                <w:szCs w:val="20"/>
                <w:color w:val="auto"/>
              </w:rPr>
            </w:pPr>
            <w:r>
              <w:rPr>
                <w:rFonts w:ascii="Arial" w:cs="Arial" w:eastAsia="Arial" w:hAnsi="Arial"/>
                <w:sz w:val="14"/>
                <w:szCs w:val="14"/>
                <w:color w:val="auto"/>
              </w:rPr>
              <w:t>June 30</w:t>
            </w:r>
          </w:p>
        </w:tc>
        <w:tc>
          <w:tcPr>
            <w:tcW w:w="560" w:type="dxa"/>
            <w:vAlign w:val="bottom"/>
            <w:tcBorders>
              <w:bottom w:val="single" w:sz="8" w:color="auto"/>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2013</w:t>
            </w:r>
          </w:p>
        </w:tc>
        <w:tc>
          <w:tcPr>
            <w:tcW w:w="17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2012</w:t>
            </w:r>
          </w:p>
        </w:tc>
        <w:tc>
          <w:tcPr>
            <w:tcW w:w="174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83"/>
              </w:rPr>
              <w:t>2012</w:t>
            </w:r>
          </w:p>
        </w:tc>
      </w:tr>
      <w:tr>
        <w:trPr>
          <w:trHeight w:val="142"/>
        </w:trPr>
        <w:tc>
          <w:tcPr>
            <w:tcW w:w="20" w:type="dxa"/>
            <w:vAlign w:val="bottom"/>
          </w:tcPr>
          <w:p>
            <w:pPr>
              <w:spacing w:after="0"/>
              <w:rPr>
                <w:sz w:val="12"/>
                <w:szCs w:val="12"/>
                <w:color w:val="auto"/>
              </w:rPr>
            </w:pPr>
          </w:p>
        </w:tc>
        <w:tc>
          <w:tcPr>
            <w:tcW w:w="59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1440" w:type="dxa"/>
            <w:vAlign w:val="bottom"/>
            <w:shd w:val="clear" w:color="auto" w:fill="E5E5E5"/>
          </w:tcPr>
          <w:p>
            <w:pPr>
              <w:spacing w:after="0"/>
              <w:rPr>
                <w:sz w:val="12"/>
                <w:szCs w:val="12"/>
                <w:color w:val="auto"/>
              </w:rPr>
            </w:pPr>
          </w:p>
        </w:tc>
        <w:tc>
          <w:tcPr>
            <w:tcW w:w="1700" w:type="dxa"/>
            <w:vAlign w:val="bottom"/>
            <w:shd w:val="clear" w:color="auto" w:fill="E5E5E5"/>
          </w:tcPr>
          <w:p>
            <w:pPr>
              <w:spacing w:after="0"/>
              <w:rPr>
                <w:sz w:val="12"/>
                <w:szCs w:val="12"/>
                <w:color w:val="auto"/>
              </w:rPr>
            </w:pPr>
          </w:p>
        </w:tc>
        <w:tc>
          <w:tcPr>
            <w:tcW w:w="174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Video</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17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50.9%</w:t>
            </w:r>
          </w:p>
        </w:tc>
        <w:tc>
          <w:tcPr>
            <w:tcW w:w="1740" w:type="dxa"/>
            <w:vAlign w:val="bottom"/>
          </w:tcPr>
          <w:p>
            <w:pPr>
              <w:jc w:val="right"/>
              <w:ind w:right="752"/>
              <w:spacing w:after="0" w:line="149" w:lineRule="exact"/>
              <w:rPr>
                <w:sz w:val="20"/>
                <w:szCs w:val="20"/>
                <w:color w:val="auto"/>
              </w:rPr>
            </w:pPr>
            <w:r>
              <w:rPr>
                <w:rFonts w:ascii="Arial" w:cs="Arial" w:eastAsia="Arial" w:hAnsi="Arial"/>
                <w:sz w:val="14"/>
                <w:szCs w:val="14"/>
                <w:color w:val="auto"/>
              </w:rPr>
              <w:t>49.7%</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51.1%</w:t>
            </w:r>
          </w:p>
        </w:tc>
      </w:tr>
      <w:tr>
        <w:trPr>
          <w:trHeight w:val="149"/>
        </w:trPr>
        <w:tc>
          <w:tcPr>
            <w:tcW w:w="20" w:type="dxa"/>
            <w:vAlign w:val="bottom"/>
          </w:tcPr>
          <w:p>
            <w:pPr>
              <w:spacing w:after="0"/>
              <w:rPr>
                <w:sz w:val="12"/>
                <w:szCs w:val="12"/>
                <w:color w:val="auto"/>
              </w:rPr>
            </w:pPr>
          </w:p>
        </w:tc>
        <w:tc>
          <w:tcPr>
            <w:tcW w:w="5960" w:type="dxa"/>
            <w:vAlign w:val="bottom"/>
            <w:shd w:val="clear" w:color="auto" w:fill="E5E5E5"/>
          </w:tcPr>
          <w:p>
            <w:pPr>
              <w:ind w:left="420"/>
              <w:spacing w:after="0" w:line="149" w:lineRule="exact"/>
              <w:rPr>
                <w:sz w:val="20"/>
                <w:szCs w:val="20"/>
                <w:color w:val="auto"/>
              </w:rPr>
            </w:pPr>
            <w:r>
              <w:rPr>
                <w:rFonts w:ascii="Arial" w:cs="Arial" w:eastAsia="Arial" w:hAnsi="Arial"/>
                <w:sz w:val="14"/>
                <w:szCs w:val="14"/>
                <w:color w:val="auto"/>
              </w:rPr>
              <w:t>High-speed Internet</w:t>
            </w:r>
          </w:p>
        </w:tc>
        <w:tc>
          <w:tcPr>
            <w:tcW w:w="14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24.5%</w:t>
            </w:r>
          </w:p>
        </w:tc>
        <w:tc>
          <w:tcPr>
            <w:tcW w:w="1700" w:type="dxa"/>
            <w:vAlign w:val="bottom"/>
            <w:shd w:val="clear" w:color="auto" w:fill="E5E5E5"/>
          </w:tcPr>
          <w:p>
            <w:pPr>
              <w:jc w:val="right"/>
              <w:ind w:right="352"/>
              <w:spacing w:after="0" w:line="149" w:lineRule="exact"/>
              <w:rPr>
                <w:sz w:val="20"/>
                <w:szCs w:val="20"/>
                <w:color w:val="auto"/>
              </w:rPr>
            </w:pPr>
            <w:r>
              <w:rPr>
                <w:rFonts w:ascii="Arial" w:cs="Arial" w:eastAsia="Arial" w:hAnsi="Arial"/>
                <w:sz w:val="14"/>
                <w:szCs w:val="14"/>
                <w:color w:val="auto"/>
              </w:rPr>
              <w:t>24.0%</w:t>
            </w:r>
          </w:p>
        </w:tc>
        <w:tc>
          <w:tcPr>
            <w:tcW w:w="1740" w:type="dxa"/>
            <w:vAlign w:val="bottom"/>
            <w:shd w:val="clear" w:color="auto" w:fill="E5E5E5"/>
          </w:tcPr>
          <w:p>
            <w:pPr>
              <w:jc w:val="right"/>
              <w:ind w:right="752"/>
              <w:spacing w:after="0" w:line="149" w:lineRule="exact"/>
              <w:rPr>
                <w:sz w:val="20"/>
                <w:szCs w:val="20"/>
                <w:color w:val="auto"/>
              </w:rPr>
            </w:pPr>
            <w:r>
              <w:rPr>
                <w:rFonts w:ascii="Arial" w:cs="Arial" w:eastAsia="Arial" w:hAnsi="Arial"/>
                <w:sz w:val="14"/>
                <w:szCs w:val="14"/>
                <w:color w:val="auto"/>
              </w:rPr>
              <w:t>24.6%</w:t>
            </w:r>
          </w:p>
        </w:tc>
        <w:tc>
          <w:tcPr>
            <w:tcW w:w="5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24.1%</w:t>
            </w: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Voice</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17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9.0%</w:t>
            </w:r>
          </w:p>
        </w:tc>
        <w:tc>
          <w:tcPr>
            <w:tcW w:w="1740" w:type="dxa"/>
            <w:vAlign w:val="bottom"/>
          </w:tcPr>
          <w:p>
            <w:pPr>
              <w:jc w:val="right"/>
              <w:ind w:right="752"/>
              <w:spacing w:after="0" w:line="149" w:lineRule="exact"/>
              <w:rPr>
                <w:sz w:val="20"/>
                <w:szCs w:val="20"/>
                <w:color w:val="auto"/>
              </w:rPr>
            </w:pPr>
            <w:r>
              <w:rPr>
                <w:rFonts w:ascii="Arial" w:cs="Arial" w:eastAsia="Arial" w:hAnsi="Arial"/>
                <w:sz w:val="14"/>
                <w:szCs w:val="14"/>
                <w:color w:val="auto"/>
              </w:rPr>
              <w:t>8.8%</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r>
      <w:tr>
        <w:trPr>
          <w:trHeight w:val="149"/>
        </w:trPr>
        <w:tc>
          <w:tcPr>
            <w:tcW w:w="20" w:type="dxa"/>
            <w:vAlign w:val="bottom"/>
          </w:tcPr>
          <w:p>
            <w:pPr>
              <w:spacing w:after="0"/>
              <w:rPr>
                <w:sz w:val="12"/>
                <w:szCs w:val="12"/>
                <w:color w:val="auto"/>
              </w:rPr>
            </w:pPr>
          </w:p>
        </w:tc>
        <w:tc>
          <w:tcPr>
            <w:tcW w:w="59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14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7.5%</w:t>
            </w:r>
          </w:p>
        </w:tc>
        <w:tc>
          <w:tcPr>
            <w:tcW w:w="1700" w:type="dxa"/>
            <w:vAlign w:val="bottom"/>
            <w:shd w:val="clear" w:color="auto" w:fill="E5E5E5"/>
          </w:tcPr>
          <w:p>
            <w:pPr>
              <w:jc w:val="right"/>
              <w:ind w:right="352"/>
              <w:spacing w:after="0" w:line="149" w:lineRule="exact"/>
              <w:rPr>
                <w:sz w:val="20"/>
                <w:szCs w:val="20"/>
                <w:color w:val="auto"/>
              </w:rPr>
            </w:pPr>
            <w:r>
              <w:rPr>
                <w:rFonts w:ascii="Arial" w:cs="Arial" w:eastAsia="Arial" w:hAnsi="Arial"/>
                <w:sz w:val="14"/>
                <w:szCs w:val="14"/>
                <w:color w:val="auto"/>
              </w:rPr>
              <w:t>6.3%</w:t>
            </w:r>
          </w:p>
        </w:tc>
        <w:tc>
          <w:tcPr>
            <w:tcW w:w="1740" w:type="dxa"/>
            <w:vAlign w:val="bottom"/>
            <w:shd w:val="clear" w:color="auto" w:fill="E5E5E5"/>
          </w:tcPr>
          <w:p>
            <w:pPr>
              <w:jc w:val="right"/>
              <w:ind w:right="752"/>
              <w:spacing w:after="0" w:line="149" w:lineRule="exact"/>
              <w:rPr>
                <w:sz w:val="20"/>
                <w:szCs w:val="20"/>
                <w:color w:val="auto"/>
              </w:rPr>
            </w:pPr>
            <w:r>
              <w:rPr>
                <w:rFonts w:ascii="Arial" w:cs="Arial" w:eastAsia="Arial" w:hAnsi="Arial"/>
                <w:sz w:val="14"/>
                <w:szCs w:val="14"/>
                <w:color w:val="auto"/>
              </w:rPr>
              <w:t>7.4%</w:t>
            </w:r>
          </w:p>
        </w:tc>
        <w:tc>
          <w:tcPr>
            <w:tcW w:w="5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6.2%</w:t>
            </w: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7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5.6%</w:t>
            </w:r>
          </w:p>
        </w:tc>
        <w:tc>
          <w:tcPr>
            <w:tcW w:w="1740" w:type="dxa"/>
            <w:vAlign w:val="bottom"/>
          </w:tcPr>
          <w:p>
            <w:pPr>
              <w:jc w:val="right"/>
              <w:ind w:right="752"/>
              <w:spacing w:after="0" w:line="149" w:lineRule="exact"/>
              <w:rPr>
                <w:sz w:val="20"/>
                <w:szCs w:val="20"/>
                <w:color w:val="auto"/>
              </w:rPr>
            </w:pPr>
            <w:r>
              <w:rPr>
                <w:rFonts w:ascii="Arial" w:cs="Arial" w:eastAsia="Arial" w:hAnsi="Arial"/>
                <w:sz w:val="14"/>
                <w:szCs w:val="14"/>
                <w:color w:val="auto"/>
              </w:rPr>
              <w:t>5.1%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r>
      <w:tr>
        <w:trPr>
          <w:trHeight w:val="149"/>
        </w:trPr>
        <w:tc>
          <w:tcPr>
            <w:tcW w:w="20" w:type="dxa"/>
            <w:vAlign w:val="bottom"/>
          </w:tcPr>
          <w:p>
            <w:pPr>
              <w:spacing w:after="0"/>
              <w:rPr>
                <w:sz w:val="12"/>
                <w:szCs w:val="12"/>
                <w:color w:val="auto"/>
              </w:rPr>
            </w:pPr>
          </w:p>
        </w:tc>
        <w:tc>
          <w:tcPr>
            <w:tcW w:w="596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144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4.6%</w:t>
            </w:r>
          </w:p>
        </w:tc>
        <w:tc>
          <w:tcPr>
            <w:tcW w:w="1700" w:type="dxa"/>
            <w:vAlign w:val="bottom"/>
            <w:tcBorders>
              <w:bottom w:val="single" w:sz="8" w:color="auto"/>
            </w:tcBorders>
            <w:shd w:val="clear" w:color="auto" w:fill="E5E5E5"/>
          </w:tcPr>
          <w:p>
            <w:pPr>
              <w:jc w:val="right"/>
              <w:ind w:right="352"/>
              <w:spacing w:after="0" w:line="149" w:lineRule="exact"/>
              <w:rPr>
                <w:sz w:val="20"/>
                <w:szCs w:val="20"/>
                <w:color w:val="auto"/>
              </w:rPr>
            </w:pPr>
            <w:r>
              <w:rPr>
                <w:rFonts w:ascii="Arial" w:cs="Arial" w:eastAsia="Arial" w:hAnsi="Arial"/>
                <w:sz w:val="14"/>
                <w:szCs w:val="14"/>
                <w:color w:val="auto"/>
              </w:rPr>
              <w:t>4.2%</w:t>
            </w:r>
          </w:p>
        </w:tc>
        <w:tc>
          <w:tcPr>
            <w:tcW w:w="1740" w:type="dxa"/>
            <w:vAlign w:val="bottom"/>
            <w:tcBorders>
              <w:bottom w:val="single" w:sz="8" w:color="auto"/>
            </w:tcBorders>
            <w:shd w:val="clear" w:color="auto" w:fill="E5E5E5"/>
          </w:tcPr>
          <w:p>
            <w:pPr>
              <w:jc w:val="right"/>
              <w:ind w:right="752"/>
              <w:spacing w:after="0" w:line="149" w:lineRule="exact"/>
              <w:rPr>
                <w:sz w:val="20"/>
                <w:szCs w:val="20"/>
                <w:color w:val="auto"/>
              </w:rPr>
            </w:pPr>
            <w:r>
              <w:rPr>
                <w:rFonts w:ascii="Arial" w:cs="Arial" w:eastAsia="Arial" w:hAnsi="Arial"/>
                <w:sz w:val="14"/>
                <w:szCs w:val="14"/>
                <w:color w:val="auto"/>
              </w:rPr>
              <w:t>4.4%</w:t>
            </w:r>
          </w:p>
        </w:tc>
        <w:tc>
          <w:tcPr>
            <w:tcW w:w="56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49"/>
        </w:trPr>
        <w:tc>
          <w:tcPr>
            <w:tcW w:w="20" w:type="dxa"/>
            <w:vAlign w:val="bottom"/>
            <w:tcBorders>
              <w:bottom w:val="single" w:sz="8" w:color="auto"/>
            </w:tcBorders>
          </w:tcPr>
          <w:p>
            <w:pPr>
              <w:spacing w:after="0"/>
              <w:rPr>
                <w:sz w:val="12"/>
                <w:szCs w:val="12"/>
                <w:color w:val="auto"/>
              </w:rPr>
            </w:pPr>
          </w:p>
        </w:tc>
        <w:tc>
          <w:tcPr>
            <w:tcW w:w="59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7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color w:val="auto"/>
              </w:rPr>
              <w:t>100%</w:t>
            </w:r>
          </w:p>
        </w:tc>
        <w:tc>
          <w:tcPr>
            <w:tcW w:w="1740" w:type="dxa"/>
            <w:vAlign w:val="bottom"/>
            <w:tcBorders>
              <w:bottom w:val="single" w:sz="8" w:color="auto"/>
            </w:tcBorders>
          </w:tcPr>
          <w:p>
            <w:pPr>
              <w:jc w:val="right"/>
              <w:ind w:right="752"/>
              <w:spacing w:after="0" w:line="142" w:lineRule="exact"/>
              <w:rPr>
                <w:sz w:val="20"/>
                <w:szCs w:val="20"/>
                <w:color w:val="auto"/>
              </w:rPr>
            </w:pPr>
            <w:r>
              <w:rPr>
                <w:rFonts w:ascii="Arial" w:cs="Arial" w:eastAsia="Arial" w:hAnsi="Arial"/>
                <w:sz w:val="14"/>
                <w:szCs w:val="14"/>
                <w:color w:val="auto"/>
              </w:rPr>
              <w:t>100%</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57" w:lineRule="exact"/>
        <w:rPr>
          <w:sz w:val="20"/>
          <w:szCs w:val="20"/>
          <w:color w:val="auto"/>
        </w:rPr>
      </w:pPr>
    </w:p>
    <w:p>
      <w:pPr>
        <w:jc w:val="both"/>
        <w:ind w:left="360"/>
        <w:spacing w:after="0" w:line="233"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service based on the individual service’s price on a stand-alone basis. Beginning in 2013, revenue from certain business customers, such as hotels, restaurants and bars, is presented in business services revenue rather than in the video revenue line item. Reclassifications have been made for the prior year to conform to this presentation.</w:t>
      </w:r>
    </w:p>
    <w:p>
      <w:pPr>
        <w:spacing w:after="0" w:line="44" w:lineRule="exact"/>
        <w:rPr>
          <w:sz w:val="20"/>
          <w:szCs w:val="20"/>
          <w:color w:val="auto"/>
        </w:rPr>
      </w:pPr>
    </w:p>
    <w:p>
      <w:pPr>
        <w:jc w:val="both"/>
        <w:ind w:left="360"/>
        <w:spacing w:after="0" w:line="239" w:lineRule="auto"/>
        <w:rPr>
          <w:sz w:val="20"/>
          <w:szCs w:val="20"/>
          <w:color w:val="auto"/>
        </w:rPr>
      </w:pPr>
      <w:r>
        <w:rPr>
          <w:rFonts w:ascii="Arial" w:cs="Arial" w:eastAsia="Arial" w:hAnsi="Arial"/>
          <w:sz w:val="14"/>
          <w:szCs w:val="14"/>
          <w:color w:val="auto"/>
        </w:rPr>
        <w:t>For the three and six months ended June 30, 2013, 2.8% and 2.9%, respectively, of Cable Communications revenue was derived from franchise and other regulatory fees. For both the three and six months ended June 30, 2012, 2.8% of Cable Communications revenue was derived from franchise and other regulatory fees.</w:t>
      </w:r>
    </w:p>
    <w:p>
      <w:pPr>
        <w:spacing w:after="0" w:line="4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included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the substantial majority of the transactions among our segments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Condensed Consolidating Financial Information</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(“Comcast Parent”) and four of our 100% owned cable holding company subsidiaries, Comcast Cable Communications, LLC (“CCCL Parent”), Comcast MO Group, Inc. (“Comcast MO Group”), Comcast Cable Holdings, LLC (“CCH”) and Comcast MO of Delaware, LLC (“Comcast MO of Delaware”) (collectively, the “cable guarantors”),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March 27, 2013, Comcast Parent, the cable guarantors and NBCUniversal Media, LLC (referred to as “NBCUniversal Media Parent” in the tables below) entered into a series of agreements and supplemental indentures to include NBCUniversal Media, LLC as part of our existing cross-guarantee structure. As members of the cross-guarantee structure, Comcast Parent and the cable guarantors fully and unconditionally guarantee NBCUniversal Media, LLC’s public debt securities, and NBCUniversal Media, LLC fully and unconditionally guarantees all of Comcast’s and the cable guarantors’ public debt securities, as well as the Comcast and Comcast Cable Communications, LLC $6.25 billion revolving credit facility.</w:t>
      </w:r>
    </w:p>
    <w:p>
      <w:pPr>
        <w:spacing w:after="0" w:line="21"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Comcast Parent and the cable guarantors also fully and unconditionally guarantee NBCUniversal Enterprise’s $4 billion of senior notes and its $1.35 billion credit facility due March 2018. NBCUniversal Media, LLC does not guarantee the NBCUniversal Enterprise senior notes or credit facility.</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the cable guarantors nor NBCUniversal Media, LLC guarantee the Comcast Holdings ZONES due October 2029. None of Comcast Parent, the cable guarantors nor NBCUniversal Media, LLC guarantee the $62 million principal amount currently outstanding of Comcast Holdings’ ZONES due November 2029.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4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640" w:type="dxa"/>
            <w:vAlign w:val="bottom"/>
          </w:tcPr>
          <w:p>
            <w:pPr>
              <w:jc w:val="right"/>
              <w:ind w:right="173"/>
              <w:spacing w:after="0" w:line="149" w:lineRule="exact"/>
              <w:rPr>
                <w:sz w:val="20"/>
                <w:szCs w:val="20"/>
                <w:color w:val="auto"/>
              </w:rPr>
            </w:pPr>
            <w:r>
              <w:rPr>
                <w:rFonts w:ascii="Arial" w:cs="Arial" w:eastAsia="Arial" w:hAnsi="Arial"/>
                <w:sz w:val="14"/>
                <w:szCs w:val="14"/>
                <w:color w:val="auto"/>
                <w:w w:val="94"/>
              </w:rPr>
              <w:t>CCCL</w:t>
            </w:r>
          </w:p>
        </w:tc>
        <w:tc>
          <w:tcPr>
            <w:tcW w:w="90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59"/>
        </w:trPr>
        <w:tc>
          <w:tcPr>
            <w:tcW w:w="37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3"/>
                <w:szCs w:val="13"/>
                <w:color w:val="auto"/>
              </w:rPr>
            </w:pPr>
          </w:p>
        </w:tc>
        <w:tc>
          <w:tcPr>
            <w:tcW w:w="640" w:type="dxa"/>
            <w:vAlign w:val="bottom"/>
          </w:tcPr>
          <w:p>
            <w:pPr>
              <w:jc w:val="right"/>
              <w:ind w:right="193"/>
              <w:spacing w:after="0" w:line="159" w:lineRule="exact"/>
              <w:rPr>
                <w:sz w:val="20"/>
                <w:szCs w:val="20"/>
                <w:color w:val="auto"/>
              </w:rPr>
            </w:pPr>
            <w:r>
              <w:rPr>
                <w:rFonts w:ascii="Arial" w:cs="Arial" w:eastAsia="Arial" w:hAnsi="Arial"/>
                <w:sz w:val="14"/>
                <w:szCs w:val="14"/>
                <w:color w:val="auto"/>
                <w:w w:val="82"/>
              </w:rPr>
              <w:t>Parent</w:t>
            </w:r>
          </w:p>
        </w:tc>
        <w:tc>
          <w:tcPr>
            <w:tcW w:w="88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Holdings</w:t>
            </w:r>
          </w:p>
        </w:tc>
        <w:tc>
          <w:tcPr>
            <w:tcW w:w="260" w:type="dxa"/>
            <w:vAlign w:val="bottom"/>
          </w:tcPr>
          <w:p>
            <w:pPr>
              <w:spacing w:after="0"/>
              <w:rPr>
                <w:sz w:val="13"/>
                <w:szCs w:val="13"/>
                <w:color w:val="auto"/>
              </w:rPr>
            </w:pPr>
          </w:p>
        </w:tc>
        <w:tc>
          <w:tcPr>
            <w:tcW w:w="640" w:type="dxa"/>
            <w:vAlign w:val="bottom"/>
          </w:tcPr>
          <w:p>
            <w:pPr>
              <w:jc w:val="right"/>
              <w:ind w:right="193"/>
              <w:spacing w:after="0" w:line="159" w:lineRule="exact"/>
              <w:rPr>
                <w:sz w:val="20"/>
                <w:szCs w:val="20"/>
                <w:color w:val="auto"/>
              </w:rPr>
            </w:pPr>
            <w:r>
              <w:rPr>
                <w:rFonts w:ascii="Arial" w:cs="Arial" w:eastAsia="Arial" w:hAnsi="Arial"/>
                <w:sz w:val="14"/>
                <w:szCs w:val="14"/>
                <w:color w:val="auto"/>
                <w:w w:val="82"/>
              </w:rPr>
              <w:t>Parent</w:t>
            </w:r>
          </w:p>
        </w:tc>
        <w:tc>
          <w:tcPr>
            <w:tcW w:w="240" w:type="dxa"/>
            <w:vAlign w:val="bottom"/>
          </w:tcPr>
          <w:p>
            <w:pPr>
              <w:spacing w:after="0"/>
              <w:rPr>
                <w:sz w:val="13"/>
                <w:szCs w:val="13"/>
                <w:color w:val="auto"/>
              </w:rPr>
            </w:pPr>
          </w:p>
        </w:tc>
        <w:tc>
          <w:tcPr>
            <w:tcW w:w="660" w:type="dxa"/>
            <w:vAlign w:val="bottom"/>
          </w:tcPr>
          <w:p>
            <w:pPr>
              <w:jc w:val="right"/>
              <w:ind w:right="173"/>
              <w:spacing w:after="0" w:line="159" w:lineRule="exact"/>
              <w:rPr>
                <w:sz w:val="20"/>
                <w:szCs w:val="20"/>
                <w:color w:val="auto"/>
              </w:rPr>
            </w:pPr>
            <w:r>
              <w:rPr>
                <w:rFonts w:ascii="Arial" w:cs="Arial" w:eastAsia="Arial" w:hAnsi="Arial"/>
                <w:sz w:val="14"/>
                <w:szCs w:val="14"/>
                <w:color w:val="auto"/>
                <w:w w:val="78"/>
              </w:rPr>
              <w:t>Parents</w:t>
            </w:r>
          </w:p>
        </w:tc>
        <w:tc>
          <w:tcPr>
            <w:tcW w:w="11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Media Parent</w:t>
            </w:r>
          </w:p>
        </w:tc>
        <w:tc>
          <w:tcPr>
            <w:tcW w:w="9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line="159" w:lineRule="exact"/>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351</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1,038</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3,765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5,507</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859</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916</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12,085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4,340</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4,910</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4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77,490</w:t>
            </w:r>
          </w:p>
        </w:tc>
        <w:tc>
          <w:tcPr>
            <w:tcW w:w="2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93,560</w:t>
            </w:r>
          </w:p>
        </w:tc>
        <w:tc>
          <w:tcPr>
            <w:tcW w:w="26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98,253</w:t>
            </w:r>
          </w:p>
        </w:tc>
        <w:tc>
          <w:tcPr>
            <w:tcW w:w="24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52,060</w:t>
            </w:r>
          </w:p>
        </w:tc>
        <w:tc>
          <w:tcPr>
            <w:tcW w:w="36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40,426</w:t>
            </w:r>
          </w:p>
        </w:tc>
        <w:tc>
          <w:tcPr>
            <w:tcW w:w="24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80,780</w:t>
            </w:r>
          </w:p>
        </w:tc>
        <w:tc>
          <w:tcPr>
            <w:tcW w:w="28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w w:val="88"/>
              </w:rPr>
              <w:t>(442,569)</w:t>
            </w:r>
          </w:p>
        </w:tc>
        <w:tc>
          <w:tcPr>
            <w:tcW w:w="24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28,026</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27,075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17,430</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1,023</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145</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1,911</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(876)</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78,997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7"/>
              </w:rPr>
              <w:t>93,705</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98,255</w:t>
            </w: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7"/>
              </w:rPr>
              <w:t>52,062</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41,324</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6"/>
              </w:rPr>
              <w:t>235,921</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8"/>
              </w:rPr>
              <w:t>(443,445)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156,819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w w:val="89"/>
              </w:rPr>
              <w:t>Accounts payable and accrued expenses related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6,066</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1,625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w w:val="95"/>
              </w:rPr>
              <w:t>Accrued expenses and other current liabilities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1,421</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6,186</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1,371</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239</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904</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2,803</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293</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1,180</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13,898</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25,096</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1,827</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1,509</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10,225</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5,344</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31,193</w:t>
            </w:r>
          </w:p>
        </w:tc>
        <w:tc>
          <w:tcPr>
            <w:tcW w:w="28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9,605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12,461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Redeemable noncontrolling interests and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4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853</w:t>
            </w:r>
          </w:p>
        </w:tc>
        <w:tc>
          <w:tcPr>
            <w:tcW w:w="280" w:type="dxa"/>
            <w:vAlign w:val="bottom"/>
          </w:tcPr>
          <w:p>
            <w:pPr>
              <w:spacing w:after="0"/>
              <w:rPr>
                <w:sz w:val="19"/>
                <w:szCs w:val="19"/>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49,060</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7"/>
              </w:rPr>
              <w:t>92,557</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96,266</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7"/>
              </w:rPr>
              <w:t>50,260</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28,853</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6"/>
              </w:rPr>
              <w:t>174,633</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8"/>
              </w:rPr>
              <w:t>(442,569)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49,060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6"/>
              </w:rPr>
              <w:t>Total Comcast Corporation shareholders’ equity</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49,091</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92,557</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96,266</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50,260</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28,853</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86"/>
              </w:rPr>
              <w:t>174,633</w:t>
            </w:r>
          </w:p>
        </w:tc>
        <w:tc>
          <w:tcPr>
            <w:tcW w:w="28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w w:val="88"/>
              </w:rPr>
              <w:t>(442,569)</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395</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49,091</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7"/>
              </w:rPr>
              <w:t>92,557</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96,266</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7"/>
              </w:rPr>
              <w:t>50,260</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28,853</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175,028</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8"/>
              </w:rPr>
              <w:t>(442,569)</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49,486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78,997</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7"/>
              </w:rPr>
              <w:t>93,705</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98,255</w:t>
            </w:r>
          </w:p>
        </w:tc>
        <w:tc>
          <w:tcPr>
            <w:tcW w:w="2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7"/>
              </w:rPr>
              <w:t>52,062</w:t>
            </w:r>
          </w:p>
        </w:tc>
        <w:tc>
          <w:tcPr>
            <w:tcW w:w="3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41,324</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6"/>
              </w:rPr>
              <w:t>235,921</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8"/>
              </w:rPr>
              <w:t>(443,445)</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156,819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4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640" w:type="dxa"/>
            <w:vAlign w:val="bottom"/>
          </w:tcPr>
          <w:p>
            <w:pPr>
              <w:jc w:val="right"/>
              <w:ind w:right="173"/>
              <w:spacing w:after="0" w:line="149" w:lineRule="exact"/>
              <w:rPr>
                <w:sz w:val="20"/>
                <w:szCs w:val="20"/>
                <w:color w:val="auto"/>
              </w:rPr>
            </w:pPr>
            <w:r>
              <w:rPr>
                <w:rFonts w:ascii="Arial" w:cs="Arial" w:eastAsia="Arial" w:hAnsi="Arial"/>
                <w:sz w:val="14"/>
                <w:szCs w:val="14"/>
                <w:color w:val="auto"/>
                <w:w w:val="94"/>
              </w:rPr>
              <w:t>CCCL</w:t>
            </w:r>
          </w:p>
        </w:tc>
        <w:tc>
          <w:tcPr>
            <w:tcW w:w="90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59"/>
        </w:trPr>
        <w:tc>
          <w:tcPr>
            <w:tcW w:w="37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3"/>
                <w:szCs w:val="13"/>
                <w:color w:val="auto"/>
              </w:rPr>
            </w:pPr>
          </w:p>
        </w:tc>
        <w:tc>
          <w:tcPr>
            <w:tcW w:w="640" w:type="dxa"/>
            <w:vAlign w:val="bottom"/>
          </w:tcPr>
          <w:p>
            <w:pPr>
              <w:jc w:val="right"/>
              <w:ind w:right="193"/>
              <w:spacing w:after="0" w:line="159" w:lineRule="exact"/>
              <w:rPr>
                <w:sz w:val="20"/>
                <w:szCs w:val="20"/>
                <w:color w:val="auto"/>
              </w:rPr>
            </w:pPr>
            <w:r>
              <w:rPr>
                <w:rFonts w:ascii="Arial" w:cs="Arial" w:eastAsia="Arial" w:hAnsi="Arial"/>
                <w:sz w:val="14"/>
                <w:szCs w:val="14"/>
                <w:color w:val="auto"/>
                <w:w w:val="82"/>
              </w:rPr>
              <w:t>Parent</w:t>
            </w:r>
          </w:p>
        </w:tc>
        <w:tc>
          <w:tcPr>
            <w:tcW w:w="88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Holdings</w:t>
            </w:r>
          </w:p>
        </w:tc>
        <w:tc>
          <w:tcPr>
            <w:tcW w:w="260" w:type="dxa"/>
            <w:vAlign w:val="bottom"/>
          </w:tcPr>
          <w:p>
            <w:pPr>
              <w:spacing w:after="0"/>
              <w:rPr>
                <w:sz w:val="13"/>
                <w:szCs w:val="13"/>
                <w:color w:val="auto"/>
              </w:rPr>
            </w:pPr>
          </w:p>
        </w:tc>
        <w:tc>
          <w:tcPr>
            <w:tcW w:w="640" w:type="dxa"/>
            <w:vAlign w:val="bottom"/>
          </w:tcPr>
          <w:p>
            <w:pPr>
              <w:jc w:val="right"/>
              <w:ind w:right="193"/>
              <w:spacing w:after="0" w:line="159" w:lineRule="exact"/>
              <w:rPr>
                <w:sz w:val="20"/>
                <w:szCs w:val="20"/>
                <w:color w:val="auto"/>
              </w:rPr>
            </w:pPr>
            <w:r>
              <w:rPr>
                <w:rFonts w:ascii="Arial" w:cs="Arial" w:eastAsia="Arial" w:hAnsi="Arial"/>
                <w:sz w:val="14"/>
                <w:szCs w:val="14"/>
                <w:color w:val="auto"/>
                <w:w w:val="82"/>
              </w:rPr>
              <w:t>Parent</w:t>
            </w:r>
          </w:p>
        </w:tc>
        <w:tc>
          <w:tcPr>
            <w:tcW w:w="240" w:type="dxa"/>
            <w:vAlign w:val="bottom"/>
          </w:tcPr>
          <w:p>
            <w:pPr>
              <w:spacing w:after="0"/>
              <w:rPr>
                <w:sz w:val="13"/>
                <w:szCs w:val="13"/>
                <w:color w:val="auto"/>
              </w:rPr>
            </w:pPr>
          </w:p>
        </w:tc>
        <w:tc>
          <w:tcPr>
            <w:tcW w:w="660" w:type="dxa"/>
            <w:vAlign w:val="bottom"/>
          </w:tcPr>
          <w:p>
            <w:pPr>
              <w:jc w:val="right"/>
              <w:ind w:right="173"/>
              <w:spacing w:after="0" w:line="159" w:lineRule="exact"/>
              <w:rPr>
                <w:sz w:val="20"/>
                <w:szCs w:val="20"/>
                <w:color w:val="auto"/>
              </w:rPr>
            </w:pPr>
            <w:r>
              <w:rPr>
                <w:rFonts w:ascii="Arial" w:cs="Arial" w:eastAsia="Arial" w:hAnsi="Arial"/>
                <w:sz w:val="14"/>
                <w:szCs w:val="14"/>
                <w:color w:val="auto"/>
                <w:w w:val="78"/>
              </w:rPr>
              <w:t>Parents</w:t>
            </w:r>
          </w:p>
        </w:tc>
        <w:tc>
          <w:tcPr>
            <w:tcW w:w="11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Media Parent</w:t>
            </w:r>
          </w:p>
        </w:tc>
        <w:tc>
          <w:tcPr>
            <w:tcW w:w="9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line="159" w:lineRule="exact"/>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5,129</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5,822</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1,464</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5,518</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909</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844</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14</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5,183</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14,557</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5,054</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5,796</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4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74,227</w:t>
            </w:r>
          </w:p>
        </w:tc>
        <w:tc>
          <w:tcPr>
            <w:tcW w:w="2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87,630</w:t>
            </w:r>
          </w:p>
        </w:tc>
        <w:tc>
          <w:tcPr>
            <w:tcW w:w="26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96,853</w:t>
            </w:r>
          </w:p>
        </w:tc>
        <w:tc>
          <w:tcPr>
            <w:tcW w:w="24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50,242</w:t>
            </w:r>
          </w:p>
        </w:tc>
        <w:tc>
          <w:tcPr>
            <w:tcW w:w="36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38,464</w:t>
            </w:r>
          </w:p>
        </w:tc>
        <w:tc>
          <w:tcPr>
            <w:tcW w:w="24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73,298</w:t>
            </w:r>
          </w:p>
        </w:tc>
        <w:tc>
          <w:tcPr>
            <w:tcW w:w="28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w w:val="88"/>
              </w:rPr>
              <w:t>(420,714)</w:t>
            </w:r>
          </w:p>
        </w:tc>
        <w:tc>
          <w:tcPr>
            <w:tcW w:w="24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26,990</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26,985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17,828</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1,130</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152</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1,650</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(900)</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75,844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7"/>
              </w:rPr>
              <w:t>87,777</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96,868</w:t>
            </w: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7"/>
              </w:rPr>
              <w:t>50,246</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44,328</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6"/>
              </w:rPr>
              <w:t>231,522</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8"/>
              </w:rPr>
              <w:t>(421,614)</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164,971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w w:val="89"/>
              </w:rPr>
              <w:t>Accounts payable and accrued expenses related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6,198</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1,350</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w w:val="95"/>
              </w:rPr>
              <w:t>Accrued expenses and other current liabilities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1,290</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4,690</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2,105</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241</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1,298</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2,315</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12,261</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23,306</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1,827</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1,512</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11,219</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754</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30,035</w:t>
            </w:r>
          </w:p>
        </w:tc>
        <w:tc>
          <w:tcPr>
            <w:tcW w:w="28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1,884</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926</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10,604</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Redeemable noncontrolling interests and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4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16,998</w:t>
            </w:r>
          </w:p>
        </w:tc>
        <w:tc>
          <w:tcPr>
            <w:tcW w:w="280" w:type="dxa"/>
            <w:vAlign w:val="bottom"/>
          </w:tcPr>
          <w:p>
            <w:pPr>
              <w:spacing w:after="0"/>
              <w:rPr>
                <w:sz w:val="19"/>
                <w:szCs w:val="19"/>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49,325</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7"/>
              </w:rPr>
              <w:t>86,635</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92,726</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7"/>
              </w:rPr>
              <w:t>48,439</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31,835</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6"/>
              </w:rPr>
              <w:t>161,079</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8"/>
              </w:rPr>
              <w:t>(420,714)</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49,325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6"/>
              </w:rPr>
              <w:t>Total Comcast Corporation shareholders’ equity</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49,356</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86,635</w:t>
            </w:r>
          </w:p>
        </w:tc>
        <w:tc>
          <w:tcPr>
            <w:tcW w:w="2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92,726</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48,439</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31,835</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86"/>
              </w:rPr>
              <w:t>161,079</w:t>
            </w:r>
          </w:p>
        </w:tc>
        <w:tc>
          <w:tcPr>
            <w:tcW w:w="28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w w:val="88"/>
              </w:rPr>
              <w:t>(420,714)</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440</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49,356</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7"/>
              </w:rPr>
              <w:t>86,635</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92,726</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7"/>
              </w:rPr>
              <w:t>48,439</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31,835</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161,519</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8"/>
              </w:rPr>
              <w:t>(420,714)</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49,796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75,844</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7"/>
              </w:rPr>
              <w:t>87,777</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96,868</w:t>
            </w:r>
          </w:p>
        </w:tc>
        <w:tc>
          <w:tcPr>
            <w:tcW w:w="2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7"/>
              </w:rPr>
              <w:t>50,246</w:t>
            </w:r>
          </w:p>
        </w:tc>
        <w:tc>
          <w:tcPr>
            <w:tcW w:w="3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44,328</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6"/>
              </w:rPr>
              <w:t>231,522</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8"/>
              </w:rPr>
              <w:t>(421,614)</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164,971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10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3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98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8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Holdings</w:t>
            </w:r>
          </w:p>
        </w:tc>
        <w:tc>
          <w:tcPr>
            <w:tcW w:w="88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118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Media Parent</w:t>
            </w:r>
          </w:p>
        </w:tc>
        <w:tc>
          <w:tcPr>
            <w:tcW w:w="10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16,270</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16,270</w:t>
            </w:r>
          </w:p>
        </w:tc>
      </w:tr>
      <w:tr>
        <w:trPr>
          <w:trHeight w:val="216"/>
        </w:trPr>
        <w:tc>
          <w:tcPr>
            <w:tcW w:w="20" w:type="dxa"/>
            <w:vAlign w:val="bottom"/>
          </w:tcPr>
          <w:p>
            <w:pPr>
              <w:spacing w:after="0"/>
              <w:rPr>
                <w:sz w:val="18"/>
                <w:szCs w:val="18"/>
                <w:color w:val="auto"/>
              </w:rPr>
            </w:pPr>
          </w:p>
        </w:tc>
        <w:tc>
          <w:tcPr>
            <w:tcW w:w="33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16,270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16,270</w:t>
            </w:r>
          </w:p>
        </w:tc>
      </w:tr>
      <w:tr>
        <w:trPr>
          <w:trHeight w:val="210"/>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4,968</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4,968</w:t>
            </w: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205</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4,489</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4,570</w:t>
            </w: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1,307</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1,307</w:t>
            </w: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1,575</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1,583</w:t>
            </w:r>
          </w:p>
        </w:tc>
      </w:tr>
      <w:tr>
        <w:trPr>
          <w:trHeight w:val="216"/>
        </w:trPr>
        <w:tc>
          <w:tcPr>
            <w:tcW w:w="20" w:type="dxa"/>
            <w:vAlign w:val="bottom"/>
          </w:tcPr>
          <w:p>
            <w:pPr>
              <w:spacing w:after="0"/>
              <w:rPr>
                <w:sz w:val="18"/>
                <w:szCs w:val="18"/>
                <w:color w:val="auto"/>
              </w:rPr>
            </w:pPr>
          </w:p>
        </w:tc>
        <w:tc>
          <w:tcPr>
            <w:tcW w:w="3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405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407</w:t>
            </w:r>
          </w:p>
        </w:tc>
      </w:tr>
      <w:tr>
        <w:trPr>
          <w:trHeight w:val="210"/>
        </w:trPr>
        <w:tc>
          <w:tcPr>
            <w:tcW w:w="20" w:type="dxa"/>
            <w:vAlign w:val="bottom"/>
          </w:tcPr>
          <w:p>
            <w:pPr>
              <w:spacing w:after="0"/>
              <w:rPr>
                <w:sz w:val="18"/>
                <w:szCs w:val="18"/>
                <w:color w:val="auto"/>
              </w:rPr>
            </w:pPr>
          </w:p>
        </w:tc>
        <w:tc>
          <w:tcPr>
            <w:tcW w:w="336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205</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4"/>
              </w:rPr>
              <w:t>12,744</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12,835</w:t>
            </w: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3,526</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3,435</w:t>
            </w: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6</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Equity in net income</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(losses) of investees, net</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1,910</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1,909</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1,835</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1,349</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951</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646</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(8,577)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3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336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4"/>
              </w:rPr>
              <w:t>1,527</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4"/>
              </w:rPr>
              <w:t>1,913</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4"/>
              </w:rPr>
              <w:t>1,791</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3"/>
              </w:rPr>
              <w:t>1,316</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833</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554</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(8,577)</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(643)</w:t>
            </w: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1,641</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1,913</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1,791</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1,316</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628</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4,080</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(8,577)</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2,792</w:t>
            </w:r>
          </w:p>
        </w:tc>
      </w:tr>
      <w:tr>
        <w:trPr>
          <w:trHeight w:val="216"/>
        </w:trPr>
        <w:tc>
          <w:tcPr>
            <w:tcW w:w="20" w:type="dxa"/>
            <w:vAlign w:val="bottom"/>
          </w:tcPr>
          <w:p>
            <w:pPr>
              <w:spacing w:after="0"/>
              <w:rPr>
                <w:sz w:val="18"/>
                <w:szCs w:val="18"/>
                <w:color w:val="auto"/>
              </w:rPr>
            </w:pPr>
          </w:p>
        </w:tc>
        <w:tc>
          <w:tcPr>
            <w:tcW w:w="3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8"/>
              </w:rPr>
              <w:t>(1,163)</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(1,048)</w:t>
            </w: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1,734</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1,912</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1,807</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1,328</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2,917</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(8,577)</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1,744</w:t>
            </w:r>
          </w:p>
        </w:tc>
      </w:tr>
      <w:tr>
        <w:trPr>
          <w:trHeight w:val="208"/>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attributable to</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8"/>
              </w:rPr>
              <w:t>noncontrolling interests and redeemable</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36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9"/>
                <w:szCs w:val="19"/>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w:t>
            </w:r>
          </w:p>
        </w:tc>
      </w:tr>
      <w:tr>
        <w:trPr>
          <w:trHeight w:val="197"/>
        </w:trPr>
        <w:tc>
          <w:tcPr>
            <w:tcW w:w="20" w:type="dxa"/>
            <w:vAlign w:val="bottom"/>
          </w:tcPr>
          <w:p>
            <w:pPr>
              <w:spacing w:after="0"/>
              <w:rPr>
                <w:sz w:val="17"/>
                <w:szCs w:val="17"/>
                <w:color w:val="auto"/>
              </w:rPr>
            </w:pPr>
          </w:p>
        </w:tc>
        <w:tc>
          <w:tcPr>
            <w:tcW w:w="3360" w:type="dxa"/>
            <w:vAlign w:val="bottom"/>
          </w:tcPr>
          <w:p>
            <w:pPr>
              <w:spacing w:after="0" w:line="197" w:lineRule="exact"/>
              <w:rPr>
                <w:sz w:val="20"/>
                <w:szCs w:val="20"/>
                <w:color w:val="auto"/>
              </w:rPr>
            </w:pPr>
            <w:r>
              <w:rPr>
                <w:rFonts w:ascii="Arial" w:cs="Arial" w:eastAsia="Arial" w:hAnsi="Arial"/>
                <w:sz w:val="18"/>
                <w:szCs w:val="18"/>
                <w:b w:val="1"/>
                <w:bCs w:val="1"/>
                <w:color w:val="auto"/>
                <w:w w:val="93"/>
              </w:rPr>
              <w:t>Net income (loss) attributable to Comcast</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1,734</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1,912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1,807</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1,328</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623</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2,907</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(8,577)</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1,734</w:t>
            </w:r>
          </w:p>
        </w:tc>
      </w:tr>
      <w:tr>
        <w:trPr>
          <w:trHeight w:val="202"/>
        </w:trPr>
        <w:tc>
          <w:tcPr>
            <w:tcW w:w="20" w:type="dxa"/>
            <w:vAlign w:val="bottom"/>
          </w:tcPr>
          <w:p>
            <w:pPr>
              <w:spacing w:after="0"/>
              <w:rPr>
                <w:sz w:val="17"/>
                <w:szCs w:val="17"/>
                <w:color w:val="auto"/>
              </w:rPr>
            </w:pPr>
          </w:p>
        </w:tc>
        <w:tc>
          <w:tcPr>
            <w:tcW w:w="3360" w:type="dxa"/>
            <w:vAlign w:val="bottom"/>
            <w:shd w:val="clear" w:color="auto" w:fill="E5E5E5"/>
          </w:tcPr>
          <w:p>
            <w:pPr>
              <w:spacing w:after="0" w:line="201" w:lineRule="exact"/>
              <w:rPr>
                <w:sz w:val="20"/>
                <w:szCs w:val="20"/>
                <w:color w:val="auto"/>
              </w:rPr>
            </w:pPr>
            <w:r>
              <w:rPr>
                <w:rFonts w:ascii="Arial" w:cs="Arial" w:eastAsia="Arial" w:hAnsi="Arial"/>
                <w:sz w:val="18"/>
                <w:szCs w:val="18"/>
                <w:b w:val="1"/>
                <w:bCs w:val="1"/>
                <w:color w:val="auto"/>
                <w:w w:val="93"/>
              </w:rPr>
              <w:t>Comprehensive income (loss) attributable</w:t>
            </w:r>
          </w:p>
        </w:tc>
        <w:tc>
          <w:tcPr>
            <w:tcW w:w="3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to Comcast Corporation</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1,822</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1,905</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1,808</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1,328</w:t>
            </w:r>
          </w:p>
        </w:tc>
        <w:tc>
          <w:tcPr>
            <w:tcW w:w="4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599</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3,007</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(8,647)</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1,822</w:t>
            </w:r>
          </w:p>
        </w:tc>
      </w:tr>
      <w:tr>
        <w:trPr>
          <w:trHeight w:val="36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10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86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8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Holdings</w:t>
            </w:r>
          </w:p>
        </w:tc>
        <w:tc>
          <w:tcPr>
            <w:tcW w:w="88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118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Media Parent</w:t>
            </w:r>
          </w:p>
        </w:tc>
        <w:tc>
          <w:tcPr>
            <w:tcW w:w="10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15,211</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15,211</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210</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205</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127</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(542)</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210</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205</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127</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15,211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(542)</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15,211</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4,551</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4,551</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99</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127</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4,254</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(542)</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4,365</w:t>
            </w: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1,291</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1,291</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1,508</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1,516</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408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409</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205</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127</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222</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4"/>
              </w:rPr>
              <w:t>12,012</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(542)</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12,132</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3,199</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3,079</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(354)</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w:t>
            </w:r>
          </w:p>
        </w:tc>
      </w:tr>
      <w:tr>
        <w:trPr>
          <w:trHeight w:val="208"/>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w w:val="96"/>
              </w:rPr>
              <w:t>Equity in net income (losses) of investees,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1,511</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1,620</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1,679</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1,326</w:t>
            </w:r>
          </w:p>
        </w:tc>
        <w:tc>
          <w:tcPr>
            <w:tcW w:w="44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841</w:t>
            </w:r>
          </w:p>
        </w:tc>
        <w:tc>
          <w:tcPr>
            <w:tcW w:w="30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542</w:t>
            </w:r>
          </w:p>
        </w:tc>
        <w:tc>
          <w:tcPr>
            <w:tcW w:w="360" w:type="dxa"/>
            <w:vAlign w:val="bottom"/>
          </w:tcPr>
          <w:p>
            <w:pPr>
              <w:spacing w:after="0"/>
              <w:rPr>
                <w:sz w:val="19"/>
                <w:szCs w:val="19"/>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(7,490)</w:t>
            </w:r>
          </w:p>
        </w:tc>
        <w:tc>
          <w:tcPr>
            <w:tcW w:w="2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1,159</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1,613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1,596</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3"/>
              </w:rPr>
              <w:t>1,293</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724</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470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(7,490)</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1,261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1,613</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1,596</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1,293</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3,669</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(7,490)</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2,444</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(951)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1,348</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1,615</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1,625</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1,304</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513</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2,718</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(7,490)</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1,633</w:t>
            </w: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interests and redeemable subsidiary</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(285)</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r>
      <w:tr>
        <w:trPr>
          <w:trHeight w:val="197"/>
        </w:trPr>
        <w:tc>
          <w:tcPr>
            <w:tcW w:w="20" w:type="dxa"/>
            <w:vAlign w:val="bottom"/>
          </w:tcPr>
          <w:p>
            <w:pPr>
              <w:spacing w:after="0"/>
              <w:rPr>
                <w:sz w:val="17"/>
                <w:szCs w:val="17"/>
                <w:color w:val="auto"/>
              </w:rPr>
            </w:pPr>
          </w:p>
        </w:tc>
        <w:tc>
          <w:tcPr>
            <w:tcW w:w="34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w w:val="97"/>
              </w:rPr>
              <w:t>Net (income) loss attributable to Comcast</w:t>
            </w: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1,348</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1,615</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1,625</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1,304</w:t>
            </w:r>
          </w:p>
        </w:tc>
        <w:tc>
          <w:tcPr>
            <w:tcW w:w="4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513</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2,433</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(7,490)</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1,348</w:t>
            </w: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b w:val="1"/>
                <w:bCs w:val="1"/>
                <w:color w:val="auto"/>
                <w:w w:val="90"/>
              </w:rPr>
              <w:t>Comprehensive income (loss) attributable to</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1,326</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1,615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1,627</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1,304</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495</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2,447</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(7,488)</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1,326</w:t>
            </w: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84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10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86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8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Holdings</w:t>
            </w:r>
          </w:p>
        </w:tc>
        <w:tc>
          <w:tcPr>
            <w:tcW w:w="88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118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Media Parent</w:t>
            </w:r>
          </w:p>
        </w:tc>
        <w:tc>
          <w:tcPr>
            <w:tcW w:w="10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31,580</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31,580</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443</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431</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270</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(1,144)</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431</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270</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31,580</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(1,144)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31,580</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9,631</w:t>
            </w:r>
          </w:p>
        </w:tc>
        <w:tc>
          <w:tcPr>
            <w:tcW w:w="3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9,631</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431</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270</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430</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8,850</w:t>
            </w: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(1,144)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9,036</w:t>
            </w: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2,454</w:t>
            </w:r>
          </w:p>
        </w:tc>
        <w:tc>
          <w:tcPr>
            <w:tcW w:w="3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2,454</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15</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3,134</w:t>
            </w: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3,149</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805</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808</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217</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431</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270</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430</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4"/>
              </w:rPr>
              <w:t>24,874</w:t>
            </w:r>
          </w:p>
        </w:tc>
        <w:tc>
          <w:tcPr>
            <w:tcW w:w="3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(1,144)</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25,078</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6,706</w:t>
            </w:r>
          </w:p>
        </w:tc>
        <w:tc>
          <w:tcPr>
            <w:tcW w:w="3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6,502</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(759)</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3</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79</w:t>
            </w: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85</w:t>
            </w:r>
          </w:p>
        </w:tc>
      </w:tr>
      <w:tr>
        <w:trPr>
          <w:trHeight w:val="208"/>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w w:val="96"/>
              </w:rPr>
              <w:t>Equity in net income (losses) of investees,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3,518</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3,651</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3,598</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2,611</w:t>
            </w:r>
          </w:p>
        </w:tc>
        <w:tc>
          <w:tcPr>
            <w:tcW w:w="42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1,660</w:t>
            </w:r>
          </w:p>
        </w:tc>
        <w:tc>
          <w:tcPr>
            <w:tcW w:w="30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w w:val="98"/>
              </w:rPr>
              <w:t>(16,016)</w:t>
            </w:r>
          </w:p>
        </w:tc>
        <w:tc>
          <w:tcPr>
            <w:tcW w:w="2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30</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2,759</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3,649</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3,476</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3"/>
              </w:rPr>
              <w:t>2,545</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1,418</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1,029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(16,016)</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2,985</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3,649</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3,476</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2,545</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988</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7,735</w:t>
            </w: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8"/>
              </w:rPr>
              <w:t>(16,016)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5,362</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186</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(2,216)</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3,171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3,650</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3,519</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2,568</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978</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5,519</w:t>
            </w: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8"/>
              </w:rPr>
              <w:t>(16,016)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3,389</w:t>
            </w: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interests and redeemable subsidiary</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(218)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197"/>
        </w:trPr>
        <w:tc>
          <w:tcPr>
            <w:tcW w:w="20" w:type="dxa"/>
            <w:vAlign w:val="bottom"/>
          </w:tcPr>
          <w:p>
            <w:pPr>
              <w:spacing w:after="0"/>
              <w:rPr>
                <w:sz w:val="17"/>
                <w:szCs w:val="17"/>
                <w:color w:val="auto"/>
              </w:rPr>
            </w:pPr>
          </w:p>
        </w:tc>
        <w:tc>
          <w:tcPr>
            <w:tcW w:w="34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w w:val="97"/>
              </w:rPr>
              <w:t>Net income (loss) attributable to Comcast</w:t>
            </w: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3,171</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3,650</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3,519</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2,568</w:t>
            </w:r>
          </w:p>
        </w:tc>
        <w:tc>
          <w:tcPr>
            <w:tcW w:w="4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978</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5,301</w:t>
            </w:r>
          </w:p>
        </w:tc>
        <w:tc>
          <w:tcPr>
            <w:tcW w:w="3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98"/>
              </w:rPr>
              <w:t>(16,016)</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3,171</w:t>
            </w: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b w:val="1"/>
                <w:bCs w:val="1"/>
                <w:color w:val="auto"/>
                <w:w w:val="90"/>
              </w:rPr>
              <w:t>Comprehensive income (loss) attributable to</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3,259</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3,643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3,522</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2,568</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932</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5,414</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8"/>
              </w:rPr>
              <w:t>(16,079)</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3,259</w:t>
            </w: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84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10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86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8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Holdings</w:t>
            </w:r>
          </w:p>
        </w:tc>
        <w:tc>
          <w:tcPr>
            <w:tcW w:w="88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118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Media Parent</w:t>
            </w:r>
          </w:p>
        </w:tc>
        <w:tc>
          <w:tcPr>
            <w:tcW w:w="10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30,089</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30,089</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414</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405</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252</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(1,071)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414</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405</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252</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30,089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(1,071)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30,089</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9,287</w:t>
            </w:r>
          </w:p>
        </w:tc>
        <w:tc>
          <w:tcPr>
            <w:tcW w:w="3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9,287</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252</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8,358</w:t>
            </w: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(1,071)</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8,610</w:t>
            </w: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2,500</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15</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3,030</w:t>
            </w: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3,045</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808</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810</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208</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405</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252</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475</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4"/>
              </w:rPr>
              <w:t>23,983</w:t>
            </w:r>
          </w:p>
        </w:tc>
        <w:tc>
          <w:tcPr>
            <w:tcW w:w="3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(1,071)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24,252</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(475)</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6,106</w:t>
            </w:r>
          </w:p>
        </w:tc>
        <w:tc>
          <w:tcPr>
            <w:tcW w:w="3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5,837</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(721)</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3</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96</w:t>
            </w: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100</w:t>
            </w:r>
          </w:p>
        </w:tc>
      </w:tr>
      <w:tr>
        <w:trPr>
          <w:trHeight w:val="208"/>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w w:val="96"/>
              </w:rPr>
              <w:t>Equity in net income (losses) of investees,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2,905</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3,124</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3,222</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2,375</w:t>
            </w:r>
          </w:p>
        </w:tc>
        <w:tc>
          <w:tcPr>
            <w:tcW w:w="42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1,584</w:t>
            </w:r>
          </w:p>
        </w:tc>
        <w:tc>
          <w:tcPr>
            <w:tcW w:w="30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930</w:t>
            </w:r>
          </w:p>
        </w:tc>
        <w:tc>
          <w:tcPr>
            <w:tcW w:w="32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w w:val="98"/>
              </w:rPr>
              <w:t>(14,108)</w:t>
            </w:r>
          </w:p>
        </w:tc>
        <w:tc>
          <w:tcPr>
            <w:tcW w:w="2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2,187</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3,109</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3,057</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3"/>
              </w:rPr>
              <w:t>2,306</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1,364</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889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(14,108)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2,393</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3,109</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3,057</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2,306</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889</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6,995</w:t>
            </w: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8"/>
              </w:rPr>
              <w:t>(14,108)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4,641</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179</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(1,836)</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2,572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3,114</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3,115</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2,330</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898</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5,159</w:t>
            </w: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8"/>
              </w:rPr>
              <w:t>(14,108)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3,080</w:t>
            </w: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interests and redeemable subsidiary</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(508)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197"/>
        </w:trPr>
        <w:tc>
          <w:tcPr>
            <w:tcW w:w="20" w:type="dxa"/>
            <w:vAlign w:val="bottom"/>
          </w:tcPr>
          <w:p>
            <w:pPr>
              <w:spacing w:after="0"/>
              <w:rPr>
                <w:sz w:val="17"/>
                <w:szCs w:val="17"/>
                <w:color w:val="auto"/>
              </w:rPr>
            </w:pPr>
          </w:p>
        </w:tc>
        <w:tc>
          <w:tcPr>
            <w:tcW w:w="34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w w:val="97"/>
              </w:rPr>
              <w:t>Net income (loss) attributable to Comcast</w:t>
            </w: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2,572</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3,114</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3,115</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2,330</w:t>
            </w:r>
          </w:p>
        </w:tc>
        <w:tc>
          <w:tcPr>
            <w:tcW w:w="4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898</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4,651</w:t>
            </w:r>
          </w:p>
        </w:tc>
        <w:tc>
          <w:tcPr>
            <w:tcW w:w="3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98"/>
              </w:rPr>
              <w:t>(14,108)</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2,572</w:t>
            </w: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b w:val="1"/>
                <w:bCs w:val="1"/>
                <w:color w:val="auto"/>
                <w:w w:val="90"/>
              </w:rPr>
              <w:t>Comprehensive income (loss) attributable to</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2,554</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3,114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3,119</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2,330</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881</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4,663</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8"/>
              </w:rPr>
              <w:t>(14,107)</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2,554</w:t>
            </w: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680" w:type="dxa"/>
            <w:vAlign w:val="bottom"/>
          </w:tcPr>
          <w:p>
            <w:pPr>
              <w:jc w:val="right"/>
              <w:ind w:right="234"/>
              <w:spacing w:after="0" w:line="149" w:lineRule="exact"/>
              <w:rPr>
                <w:sz w:val="20"/>
                <w:szCs w:val="20"/>
                <w:color w:val="auto"/>
              </w:rPr>
            </w:pPr>
            <w:r>
              <w:rPr>
                <w:rFonts w:ascii="Arial" w:cs="Arial" w:eastAsia="Arial" w:hAnsi="Arial"/>
                <w:sz w:val="14"/>
                <w:szCs w:val="14"/>
                <w:color w:val="auto"/>
                <w:w w:val="89"/>
              </w:rPr>
              <w:t>CCCL</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2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3"/>
                <w:szCs w:val="13"/>
                <w:color w:val="auto"/>
              </w:rPr>
            </w:pPr>
          </w:p>
        </w:tc>
        <w:tc>
          <w:tcPr>
            <w:tcW w:w="700" w:type="dxa"/>
            <w:vAlign w:val="bottom"/>
          </w:tcPr>
          <w:p>
            <w:pPr>
              <w:jc w:val="right"/>
              <w:ind w:right="253"/>
              <w:spacing w:after="0" w:line="159" w:lineRule="exact"/>
              <w:rPr>
                <w:sz w:val="20"/>
                <w:szCs w:val="20"/>
                <w:color w:val="auto"/>
              </w:rPr>
            </w:pPr>
            <w:r>
              <w:rPr>
                <w:rFonts w:ascii="Arial" w:cs="Arial" w:eastAsia="Arial" w:hAnsi="Arial"/>
                <w:sz w:val="14"/>
                <w:szCs w:val="14"/>
                <w:color w:val="auto"/>
                <w:w w:val="82"/>
              </w:rPr>
              <w:t>Parent</w:t>
            </w:r>
          </w:p>
        </w:tc>
        <w:tc>
          <w:tcPr>
            <w:tcW w:w="8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Holdings</w:t>
            </w:r>
          </w:p>
        </w:tc>
        <w:tc>
          <w:tcPr>
            <w:tcW w:w="260" w:type="dxa"/>
            <w:vAlign w:val="bottom"/>
          </w:tcPr>
          <w:p>
            <w:pPr>
              <w:spacing w:after="0"/>
              <w:rPr>
                <w:sz w:val="13"/>
                <w:szCs w:val="13"/>
                <w:color w:val="auto"/>
              </w:rPr>
            </w:pPr>
          </w:p>
        </w:tc>
        <w:tc>
          <w:tcPr>
            <w:tcW w:w="680" w:type="dxa"/>
            <w:vAlign w:val="bottom"/>
          </w:tcPr>
          <w:p>
            <w:pPr>
              <w:jc w:val="right"/>
              <w:ind w:right="234"/>
              <w:spacing w:after="0" w:line="159" w:lineRule="exact"/>
              <w:rPr>
                <w:sz w:val="20"/>
                <w:szCs w:val="20"/>
                <w:color w:val="auto"/>
              </w:rPr>
            </w:pPr>
            <w:r>
              <w:rPr>
                <w:rFonts w:ascii="Arial" w:cs="Arial" w:eastAsia="Arial" w:hAnsi="Arial"/>
                <w:sz w:val="14"/>
                <w:szCs w:val="14"/>
                <w:color w:val="auto"/>
                <w:w w:val="82"/>
              </w:rPr>
              <w:t>Parent</w:t>
            </w:r>
          </w:p>
        </w:tc>
        <w:tc>
          <w:tcPr>
            <w:tcW w:w="96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122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Media Parent</w:t>
            </w:r>
          </w:p>
        </w:tc>
        <w:tc>
          <w:tcPr>
            <w:tcW w:w="10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24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w w:val="99"/>
              </w:rPr>
              <w:t>Net cash provided by (used in) operating</w:t>
            </w:r>
          </w:p>
        </w:tc>
        <w:tc>
          <w:tcPr>
            <w:tcW w:w="24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26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2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(181)</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(120)</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(582)</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8,623</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7,685</w:t>
            </w:r>
          </w:p>
        </w:tc>
      </w:tr>
      <w:tr>
        <w:trPr>
          <w:trHeight w:val="212"/>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(1,301)</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7"/>
              </w:rPr>
              <w:t>2,217</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47</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(984)</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13</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(2,865)</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(2,867)</w:t>
            </w:r>
          </w:p>
        </w:tc>
      </w:tr>
      <w:tr>
        <w:trPr>
          <w:trHeight w:val="216"/>
        </w:trPr>
        <w:tc>
          <w:tcPr>
            <w:tcW w:w="20" w:type="dxa"/>
            <w:vAlign w:val="bottom"/>
          </w:tcPr>
          <w:p>
            <w:pPr>
              <w:spacing w:after="0"/>
              <w:rPr>
                <w:sz w:val="18"/>
                <w:szCs w:val="18"/>
                <w:color w:val="auto"/>
              </w:rPr>
            </w:pPr>
          </w:p>
        </w:tc>
        <w:tc>
          <w:tcPr>
            <w:tcW w:w="32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(443)</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(444)</w:t>
            </w:r>
          </w:p>
        </w:tc>
      </w:tr>
      <w:tr>
        <w:trPr>
          <w:trHeight w:val="208"/>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Acquisition of 30 Rockefeller Plaza</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420"/>
              <w:spacing w:after="0"/>
              <w:rPr>
                <w:sz w:val="20"/>
                <w:szCs w:val="20"/>
                <w:color w:val="auto"/>
              </w:rPr>
            </w:pPr>
            <w:r>
              <w:rPr>
                <w:rFonts w:ascii="Arial" w:cs="Arial" w:eastAsia="Arial" w:hAnsi="Arial"/>
                <w:sz w:val="18"/>
                <w:szCs w:val="18"/>
                <w:color w:val="auto"/>
              </w:rPr>
              <w:t>properties</w:t>
            </w:r>
          </w:p>
        </w:tc>
        <w:tc>
          <w:tcPr>
            <w:tcW w:w="24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(1,311)</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09"/>
        </w:trPr>
        <w:tc>
          <w:tcPr>
            <w:tcW w:w="20" w:type="dxa"/>
            <w:vAlign w:val="bottom"/>
          </w:tcPr>
          <w:p>
            <w:pPr>
              <w:spacing w:after="0"/>
              <w:rPr>
                <w:sz w:val="18"/>
                <w:szCs w:val="18"/>
                <w:color w:val="auto"/>
              </w:rPr>
            </w:pPr>
          </w:p>
        </w:tc>
        <w:tc>
          <w:tcPr>
            <w:tcW w:w="324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6"/>
              </w:rPr>
              <w:t>Proceeds from sales of businesses and</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91</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Return of capital from investees</w:t>
            </w:r>
          </w:p>
        </w:tc>
        <w:tc>
          <w:tcPr>
            <w:tcW w:w="24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32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(8)</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(631)</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(641)</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w:t>
            </w:r>
          </w:p>
        </w:tc>
      </w:tr>
      <w:tr>
        <w:trPr>
          <w:trHeight w:val="201"/>
        </w:trPr>
        <w:tc>
          <w:tcPr>
            <w:tcW w:w="20" w:type="dxa"/>
            <w:vAlign w:val="bottom"/>
          </w:tcPr>
          <w:p>
            <w:pPr>
              <w:spacing w:after="0"/>
              <w:rPr>
                <w:sz w:val="17"/>
                <w:szCs w:val="17"/>
                <w:color w:val="auto"/>
              </w:rPr>
            </w:pPr>
          </w:p>
        </w:tc>
        <w:tc>
          <w:tcPr>
            <w:tcW w:w="324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2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4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87"/>
              </w:rPr>
              <w:t>(1,312)</w:t>
            </w:r>
          </w:p>
        </w:tc>
        <w:tc>
          <w:tcPr>
            <w:tcW w:w="36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97"/>
              </w:rPr>
              <w:t>2,217</w:t>
            </w:r>
          </w:p>
        </w:tc>
        <w:tc>
          <w:tcPr>
            <w:tcW w:w="38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(868)</w:t>
            </w:r>
          </w:p>
        </w:tc>
        <w:tc>
          <w:tcPr>
            <w:tcW w:w="30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8"/>
              </w:rPr>
              <w:t>(5,052)</w:t>
            </w:r>
          </w:p>
        </w:tc>
        <w:tc>
          <w:tcPr>
            <w:tcW w:w="36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(4,960)</w:t>
            </w:r>
          </w:p>
        </w:tc>
      </w:tr>
      <w:tr>
        <w:trPr>
          <w:trHeight w:val="212"/>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(repayments of) short-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term borrowings, net</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348</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24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w w:val="97"/>
              </w:rPr>
              <w:t>2,933</w:t>
            </w:r>
          </w:p>
        </w:tc>
        <w:tc>
          <w:tcPr>
            <w:tcW w:w="36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2,933</w:t>
            </w:r>
          </w:p>
        </w:tc>
      </w:tr>
      <w:tr>
        <w:trPr>
          <w:trHeight w:val="216"/>
        </w:trPr>
        <w:tc>
          <w:tcPr>
            <w:tcW w:w="20" w:type="dxa"/>
            <w:vAlign w:val="bottom"/>
          </w:tcPr>
          <w:p>
            <w:pPr>
              <w:spacing w:after="0"/>
              <w:rPr>
                <w:sz w:val="18"/>
                <w:szCs w:val="18"/>
                <w:color w:val="auto"/>
              </w:rPr>
            </w:pPr>
          </w:p>
        </w:tc>
        <w:tc>
          <w:tcPr>
            <w:tcW w:w="32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87"/>
              </w:rPr>
              <w:t>(2,097)</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(88)</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(10)</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(2,195)</w:t>
            </w:r>
          </w:p>
        </w:tc>
      </w:tr>
      <w:tr>
        <w:trPr>
          <w:trHeight w:val="208"/>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w w:val="91"/>
              </w:rPr>
              <w:t>Repurchases and retirements of common</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42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(1,000)</w:t>
            </w:r>
          </w:p>
        </w:tc>
        <w:tc>
          <w:tcPr>
            <w:tcW w:w="36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7"/>
        </w:trPr>
        <w:tc>
          <w:tcPr>
            <w:tcW w:w="20" w:type="dxa"/>
            <w:vAlign w:val="bottom"/>
          </w:tcPr>
          <w:p>
            <w:pPr>
              <w:spacing w:after="0"/>
              <w:rPr>
                <w:sz w:val="18"/>
                <w:szCs w:val="18"/>
                <w:color w:val="auto"/>
              </w:rPr>
            </w:pPr>
          </w:p>
        </w:tc>
        <w:tc>
          <w:tcPr>
            <w:tcW w:w="32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(942)</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(942)</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24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08"/>
        </w:trPr>
        <w:tc>
          <w:tcPr>
            <w:tcW w:w="20" w:type="dxa"/>
            <w:vAlign w:val="bottom"/>
          </w:tcPr>
          <w:p>
            <w:pPr>
              <w:spacing w:after="0"/>
              <w:rPr>
                <w:sz w:val="18"/>
                <w:szCs w:val="18"/>
                <w:color w:val="auto"/>
              </w:rPr>
            </w:pPr>
          </w:p>
        </w:tc>
        <w:tc>
          <w:tcPr>
            <w:tcW w:w="32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 of NBCUniversal</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noncontrolling common equity</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(3,200)</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(7,561)</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(10,761)</w:t>
            </w:r>
          </w:p>
        </w:tc>
      </w:tr>
      <w:tr>
        <w:trPr>
          <w:trHeight w:val="208"/>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Distributions (to) from noncontrolling</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420"/>
              <w:spacing w:after="0"/>
              <w:rPr>
                <w:sz w:val="20"/>
                <w:szCs w:val="20"/>
                <w:color w:val="auto"/>
              </w:rPr>
            </w:pPr>
            <w:r>
              <w:rPr>
                <w:rFonts w:ascii="Arial" w:cs="Arial" w:eastAsia="Arial" w:hAnsi="Arial"/>
                <w:sz w:val="18"/>
                <w:szCs w:val="18"/>
                <w:color w:val="auto"/>
              </w:rPr>
              <w:t>interests and dividends for</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420"/>
              <w:spacing w:after="0"/>
              <w:rPr>
                <w:sz w:val="20"/>
                <w:szCs w:val="20"/>
                <w:color w:val="auto"/>
              </w:rPr>
            </w:pPr>
            <w:r>
              <w:rPr>
                <w:rFonts w:ascii="Arial" w:cs="Arial" w:eastAsia="Arial" w:hAnsi="Arial"/>
                <w:sz w:val="18"/>
                <w:szCs w:val="18"/>
                <w:color w:val="auto"/>
                <w:w w:val="91"/>
              </w:rPr>
              <w:t>redeemable subsidiary preferred stock</w:t>
            </w:r>
          </w:p>
        </w:tc>
        <w:tc>
          <w:tcPr>
            <w:tcW w:w="24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7"/>
        </w:trPr>
        <w:tc>
          <w:tcPr>
            <w:tcW w:w="20" w:type="dxa"/>
            <w:vAlign w:val="bottom"/>
          </w:tcPr>
          <w:p>
            <w:pPr>
              <w:spacing w:after="0"/>
              <w:rPr>
                <w:sz w:val="18"/>
                <w:szCs w:val="18"/>
                <w:color w:val="auto"/>
              </w:rPr>
            </w:pPr>
          </w:p>
        </w:tc>
        <w:tc>
          <w:tcPr>
            <w:tcW w:w="32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Settlement of Station Venture liability</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(602)</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128</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(64)</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r>
      <w:tr>
        <w:trPr>
          <w:trHeight w:val="201"/>
        </w:trPr>
        <w:tc>
          <w:tcPr>
            <w:tcW w:w="20" w:type="dxa"/>
            <w:vAlign w:val="bottom"/>
          </w:tcPr>
          <w:p>
            <w:pPr>
              <w:spacing w:after="0"/>
              <w:rPr>
                <w:sz w:val="17"/>
                <w:szCs w:val="17"/>
                <w:color w:val="auto"/>
              </w:rPr>
            </w:pPr>
          </w:p>
        </w:tc>
        <w:tc>
          <w:tcPr>
            <w:tcW w:w="324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4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7"/>
              </w:rPr>
              <w:t>1,493</w:t>
            </w:r>
          </w:p>
        </w:tc>
        <w:tc>
          <w:tcPr>
            <w:tcW w:w="36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w w:val="87"/>
              </w:rPr>
              <w:t>(2,097)</w:t>
            </w:r>
          </w:p>
        </w:tc>
        <w:tc>
          <w:tcPr>
            <w:tcW w:w="38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(3,328)</w:t>
            </w:r>
          </w:p>
        </w:tc>
        <w:tc>
          <w:tcPr>
            <w:tcW w:w="30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8"/>
              </w:rPr>
              <w:t>(8,355)</w:t>
            </w:r>
          </w:p>
        </w:tc>
        <w:tc>
          <w:tcPr>
            <w:tcW w:w="36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8"/>
              </w:rPr>
              <w:t>(12,287)</w:t>
            </w:r>
          </w:p>
        </w:tc>
      </w:tr>
      <w:tr>
        <w:trPr>
          <w:trHeight w:val="202"/>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(4,778)</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(4,784)</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(9,562)</w:t>
            </w:r>
          </w:p>
        </w:tc>
      </w:tr>
      <w:tr>
        <w:trPr>
          <w:trHeight w:val="210"/>
        </w:trPr>
        <w:tc>
          <w:tcPr>
            <w:tcW w:w="20" w:type="dxa"/>
            <w:vAlign w:val="bottom"/>
          </w:tcPr>
          <w:p>
            <w:pPr>
              <w:spacing w:after="0"/>
              <w:rPr>
                <w:sz w:val="18"/>
                <w:szCs w:val="18"/>
                <w:color w:val="auto"/>
              </w:rPr>
            </w:pPr>
          </w:p>
        </w:tc>
        <w:tc>
          <w:tcPr>
            <w:tcW w:w="3240" w:type="dxa"/>
            <w:vAlign w:val="bottom"/>
            <w:shd w:val="clear" w:color="auto" w:fill="E5E5E5"/>
          </w:tcPr>
          <w:p>
            <w:pPr>
              <w:spacing w:after="0"/>
              <w:rPr>
                <w:sz w:val="20"/>
                <w:szCs w:val="20"/>
                <w:color w:val="auto"/>
              </w:rPr>
            </w:pPr>
            <w:r>
              <w:rPr>
                <w:rFonts w:ascii="Arial" w:cs="Arial" w:eastAsia="Arial" w:hAnsi="Arial"/>
                <w:sz w:val="18"/>
                <w:szCs w:val="18"/>
                <w:color w:val="auto"/>
                <w:w w:val="99"/>
              </w:rPr>
              <w:t>Cash and cash equivalents, beginning of</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5,129</w:t>
            </w:r>
          </w:p>
        </w:tc>
        <w:tc>
          <w:tcPr>
            <w:tcW w:w="30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5,822</w:t>
            </w:r>
          </w:p>
        </w:tc>
        <w:tc>
          <w:tcPr>
            <w:tcW w:w="36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10,951</w:t>
            </w:r>
          </w:p>
        </w:tc>
      </w:tr>
      <w:tr>
        <w:trPr>
          <w:trHeight w:val="219"/>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Cash and cash equivalents, end of period</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351</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1,038</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1,389</w:t>
            </w:r>
          </w:p>
        </w:tc>
      </w:tr>
      <w:tr>
        <w:trPr>
          <w:trHeight w:val="363"/>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3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3"/>
                <w:szCs w:val="13"/>
                <w:color w:val="auto"/>
              </w:rPr>
            </w:pPr>
          </w:p>
        </w:tc>
        <w:tc>
          <w:tcPr>
            <w:tcW w:w="700" w:type="dxa"/>
            <w:vAlign w:val="bottom"/>
          </w:tcPr>
          <w:p>
            <w:pPr>
              <w:jc w:val="right"/>
              <w:ind w:right="253"/>
              <w:spacing w:after="0" w:line="159" w:lineRule="exact"/>
              <w:rPr>
                <w:sz w:val="20"/>
                <w:szCs w:val="20"/>
                <w:color w:val="auto"/>
              </w:rPr>
            </w:pPr>
            <w:r>
              <w:rPr>
                <w:rFonts w:ascii="Arial" w:cs="Arial" w:eastAsia="Arial" w:hAnsi="Arial"/>
                <w:sz w:val="14"/>
                <w:szCs w:val="14"/>
                <w:color w:val="auto"/>
                <w:w w:val="82"/>
              </w:rPr>
              <w:t>Parent</w:t>
            </w:r>
          </w:p>
        </w:tc>
        <w:tc>
          <w:tcPr>
            <w:tcW w:w="9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Holdings</w:t>
            </w:r>
          </w:p>
        </w:tc>
        <w:tc>
          <w:tcPr>
            <w:tcW w:w="82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Parent</w:t>
            </w:r>
          </w:p>
        </w:tc>
        <w:tc>
          <w:tcPr>
            <w:tcW w:w="98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Parents</w:t>
            </w:r>
          </w:p>
        </w:tc>
        <w:tc>
          <w:tcPr>
            <w:tcW w:w="122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Media Parent</w:t>
            </w:r>
          </w:p>
        </w:tc>
        <w:tc>
          <w:tcPr>
            <w:tcW w:w="10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32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24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26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spacing w:after="0"/>
              <w:rPr>
                <w:sz w:val="17"/>
                <w:szCs w:val="17"/>
                <w:color w:val="auto"/>
              </w:rPr>
            </w:pPr>
          </w:p>
        </w:tc>
        <w:tc>
          <w:tcPr>
            <w:tcW w:w="42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(194)</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0"/>
              </w:rPr>
              <w:t>(100)</w:t>
            </w:r>
          </w:p>
        </w:tc>
        <w:tc>
          <w:tcPr>
            <w:tcW w:w="3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(71)</w:t>
            </w:r>
          </w:p>
        </w:tc>
        <w:tc>
          <w:tcPr>
            <w:tcW w:w="4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(739)</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8,913</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7,815</w:t>
            </w: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3,317</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624</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1,708</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(5,743)</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(2,457)</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(2,461)</w:t>
            </w: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(410)</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(414)</w:t>
            </w:r>
          </w:p>
        </w:tc>
      </w:tr>
      <w:tr>
        <w:trPr>
          <w:trHeight w:val="208"/>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w w:val="98"/>
              </w:rPr>
              <w:t>Proceeds from sales of businesses and</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64</w:t>
            </w:r>
          </w:p>
        </w:tc>
      </w:tr>
      <w:tr>
        <w:trPr>
          <w:trHeight w:val="217"/>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Return of capital from investees</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7</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95</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83</w:t>
            </w:r>
          </w:p>
        </w:tc>
      </w:tr>
      <w:tr>
        <w:trPr>
          <w:trHeight w:val="201"/>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7"/>
              </w:rPr>
              <w:t>3,309</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624</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1,693</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(8,549)</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r>
      <w:tr>
        <w:trPr>
          <w:trHeight w:val="212"/>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w w:val="92"/>
              </w:rPr>
              <w:t>Proceeds from (repayments of) short-term</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borrowings, net</w:t>
            </w:r>
          </w:p>
        </w:tc>
        <w:tc>
          <w:tcPr>
            <w:tcW w:w="24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(550)</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17"/>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(1,125)</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(553)</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(14)</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(1,692)</w:t>
            </w:r>
          </w:p>
        </w:tc>
      </w:tr>
      <w:tr>
        <w:trPr>
          <w:trHeight w:val="208"/>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w w:val="93"/>
              </w:rPr>
              <w:t>Repurchases and retirements of common</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(1,500)</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17"/>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(741)</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(741)</w:t>
            </w: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24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184</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184</w:t>
            </w:r>
          </w:p>
        </w:tc>
      </w:tr>
      <w:tr>
        <w:trPr>
          <w:trHeight w:val="208"/>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Distributions (to) from noncontrolling</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interests and dividends for redeemable</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subsidiary preferred stock</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68</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w:t>
            </w:r>
          </w:p>
        </w:tc>
      </w:tr>
      <w:tr>
        <w:trPr>
          <w:trHeight w:val="201"/>
        </w:trPr>
        <w:tc>
          <w:tcPr>
            <w:tcW w:w="20" w:type="dxa"/>
            <w:vAlign w:val="bottom"/>
          </w:tcPr>
          <w:p>
            <w:pPr>
              <w:spacing w:after="0"/>
              <w:rPr>
                <w:sz w:val="17"/>
                <w:szCs w:val="17"/>
                <w:color w:val="auto"/>
              </w:rPr>
            </w:pPr>
          </w:p>
        </w:tc>
        <w:tc>
          <w:tcPr>
            <w:tcW w:w="332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4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87"/>
              </w:rPr>
              <w:t>(3,115)</w:t>
            </w:r>
          </w:p>
        </w:tc>
        <w:tc>
          <w:tcPr>
            <w:tcW w:w="38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(553)</w:t>
            </w:r>
          </w:p>
        </w:tc>
        <w:tc>
          <w:tcPr>
            <w:tcW w:w="42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(550)</w:t>
            </w:r>
          </w:p>
        </w:tc>
        <w:tc>
          <w:tcPr>
            <w:tcW w:w="30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(287)</w:t>
            </w:r>
          </w:p>
        </w:tc>
        <w:tc>
          <w:tcPr>
            <w:tcW w:w="36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(4,505)</w:t>
            </w:r>
          </w:p>
        </w:tc>
      </w:tr>
      <w:tr>
        <w:trPr>
          <w:trHeight w:val="202"/>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481</w:t>
            </w:r>
          </w:p>
        </w:tc>
      </w:tr>
      <w:tr>
        <w:trPr>
          <w:trHeight w:val="210"/>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 beginning of</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238</w:t>
            </w:r>
          </w:p>
        </w:tc>
        <w:tc>
          <w:tcPr>
            <w:tcW w:w="30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1,382</w:t>
            </w:r>
          </w:p>
        </w:tc>
        <w:tc>
          <w:tcPr>
            <w:tcW w:w="36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1,620</w:t>
            </w:r>
          </w:p>
        </w:tc>
      </w:tr>
      <w:tr>
        <w:trPr>
          <w:trHeight w:val="219"/>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Cash and cash equivalents, end of period</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642</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1,459</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2,101</w:t>
            </w:r>
          </w:p>
        </w:tc>
      </w:tr>
      <w:tr>
        <w:trPr>
          <w:trHeight w:val="36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in the following five reportable business segments: Cable Communications, Cable Networks, Broadcast Television, Filmed Entertainment and Theme Parks. The Cable Networks, Broadcast Television, Filmed Entertainment and Theme Parks segments comprise the NBCUniversal businesses and are collectively referred to as the “NBCUniversal segments.”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the nation’s largest provider of video, high-speed Internet and voice services (“cable services”) to residential customers under the XFINITY brand and we also provide these services to businesses. As of June 30, 2013, our cable systems served 21.8 million video customers, 20.0 million high-speed Internet customers and 10.3 million voice customers and passed more than 53 million homes and businesses. Our Cable Communications segment generates revenue primarily from subscriptions to our cable services, which we market individually and in packages, and from the sale of advertising. During the six months ended June 30, 2013, our Cable Communications segment generated 65% of our consolidated revenue and more than 80% of our operating income before depreciation and amortization.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NBCUniversal is a leading media and entertainment company that develops, produces and distributes entertainment, news and information, sports, and other content for global audiences.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Networks segment consists primarily of our national cable networks, which provide entertainment, news and information, and sports programming, our regional sports and news networks, our international cable networks, our cable television production operations, and our related digital media properties, which are primarily brand-aligned and other websites. Our Cable Networks segment generates revenue primarily from the distribution of our cable network programming to multichannel video providers, the sale of advertising and the licensing of our owned programming.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Broadcast Television segment consists primarily of the NBC and Telemundo broadcast networks, our NBC and Telemundo owned local broadcast television stations, our broadcast television production operations, and our related digital media properties, which are primarily brand-aligned websites. Our Broadcast Television segment generates revenue primarily from the sale of advertising and the licensing and sale of our owned programming.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produces, acquires, markets and distributes filmed entertainment worldwide. We also develop, produce and license live stage plays. Our Filmed Entertainment segment generates revenue primarily from the worldwide distribution of our owned and acquired films and the licensing and sale of our owned and acquired films. Our Filmed Entertainment segment also generates revenue from producing and licensing live stage plays and distributing filmed entertainment produced by third parties.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 Our Theme Parks segment generates revenue primarily from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theme park attendance and per capita spending at our Universal theme parks in Orlando and Hollywood, as well as from licensing and other fees. Per capita spending includes ticket price and in-park spending on food, beverages and merchandise.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2013, we acquired GE’s 49% common equity interest in NBCUniversal Holdings for approximately $16.7 billion (the “Redemption Transaction”). In addition to this transaction, NBCUniversal purchased from GE certain properties it occupies at 30 Rockefeller Plaza in New York City and CNBC’s headquarters in Englewood Cliffs, New Jersey for approximately $1.4 billion.</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total consideration for these transactions consisted of $11.4 billion of cash on hand; $4 billion of senior debt securities issued by NBCUniversal Enterprise, Inc. (“NBCUniversal Enterprise”), a holding company whose principal assets are its interests in NBCUniversal Holdings; $750 million of cash funded through our commercial paper program; $1.25 billion of borrowings under NBCUniversal Enterprise’s credit facility, which replaced NBCUniversal’s credit facility; and $725 million aggregate liquidation preference of Series A cumulative preferred stock of NBCUniversal Enterprise. See Note 7 to our condensed consolidated financial statements for additional information on NBCUniversal Enterprise’s senior debt securities and credit facility.</w:t>
      </w:r>
    </w:p>
    <w:p>
      <w:pPr>
        <w:spacing w:after="0" w:line="2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Following the close of the Redemption Transaction, we control and consolidate NBCUniversal Enterprise and own all of its capital stock other than its preferred stock. NBCUniversal Enterprise’s senior debt securities and credit facility are guaranteed by us and four of our wholly owned cable holding company subsidiaries, but are not guaranteed by NBCUniversal. In March 2013, NBCUniversal became a part of our existing cross-guarantee structure. See Note 15 to our condensed consolidated financial statements for additional information on our guarantor structure.</w:t>
      </w:r>
    </w:p>
    <w:p>
      <w:pPr>
        <w:spacing w:after="0" w:line="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After the close of the transaction, GE sold the interests in NBCUniversal Enterprise’s senior debt securities and preferred stock it acquired in the Redemption Transaction to unaffiliated third parties. The preferred stock pays dividends at a fixed rate of 5.25% per annum and the holders have the right to cause NBCUniversal Enterprise to redeem their shares at a price equal to the liquidation preference plus accrued but unpaid dividends for a 30 day period beginning on March 19, 2020 and thereafter on every third anniversary of such date (each such date, a “put date”). Shares of preferred stock can be called for redemption by NBCUniversal Enterprise at a price equal to the liquidation preference plus accrued but unpaid dividends one year following each put date applicable to such shares. Because certain of these redemption provisions are outside of our control, the NBCUniversal Enterprise preferred stock is presented outside of equity under the caption “redeemable noncontrolling interests and redeemable subsidiary preferred stock” in our condensed consolidated balance sheet. Its initial value was based on the liquidation preference of the preferred stock and is adjusted for accrued but unpaid dividends.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3"/>
          </w:tcPr>
          <w:p>
            <w:pPr>
              <w:jc w:val="right"/>
              <w:ind w:right="374"/>
              <w:spacing w:after="0"/>
              <w:rPr>
                <w:sz w:val="20"/>
                <w:szCs w:val="20"/>
                <w:color w:val="auto"/>
              </w:rPr>
            </w:pPr>
            <w:r>
              <w:rPr>
                <w:rFonts w:ascii="Arial" w:cs="Arial" w:eastAsia="Arial" w:hAnsi="Arial"/>
                <w:sz w:val="14"/>
                <w:szCs w:val="14"/>
                <w:color w:val="auto"/>
                <w:w w:val="94"/>
              </w:rPr>
              <w:t>Three Months Ended</w:t>
            </w:r>
          </w:p>
        </w:tc>
        <w:tc>
          <w:tcPr>
            <w:tcW w:w="1140" w:type="dxa"/>
            <w:vAlign w:val="bottom"/>
          </w:tcPr>
          <w:p>
            <w:pPr>
              <w:jc w:val="right"/>
              <w:ind w:right="33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720" w:type="dxa"/>
            <w:vAlign w:val="bottom"/>
            <w:gridSpan w:val="3"/>
          </w:tcPr>
          <w:p>
            <w:pPr>
              <w:jc w:val="right"/>
              <w:ind w:right="434"/>
              <w:spacing w:after="0"/>
              <w:rPr>
                <w:sz w:val="20"/>
                <w:szCs w:val="20"/>
                <w:color w:val="auto"/>
              </w:rPr>
            </w:pPr>
            <w:r>
              <w:rPr>
                <w:rFonts w:ascii="Arial" w:cs="Arial" w:eastAsia="Arial" w:hAnsi="Arial"/>
                <w:sz w:val="14"/>
                <w:szCs w:val="14"/>
                <w:color w:val="auto"/>
              </w:rPr>
              <w:t>Six Months Ended</w:t>
            </w:r>
          </w:p>
        </w:tc>
        <w:tc>
          <w:tcPr>
            <w:tcW w:w="10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75"/>
              <w:spacing w:after="0" w:line="159" w:lineRule="exact"/>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51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720" w:type="dxa"/>
            <w:vAlign w:val="bottom"/>
          </w:tcPr>
          <w:p>
            <w:pPr>
              <w:jc w:val="right"/>
              <w:ind w:right="316"/>
              <w:spacing w:after="0"/>
              <w:rPr>
                <w:sz w:val="20"/>
                <w:szCs w:val="20"/>
                <w:color w:val="auto"/>
              </w:rPr>
            </w:pPr>
            <w:r>
              <w:rPr>
                <w:rFonts w:ascii="Arial" w:cs="Arial" w:eastAsia="Arial" w:hAnsi="Arial"/>
                <w:sz w:val="14"/>
                <w:szCs w:val="14"/>
                <w:color w:val="auto"/>
                <w:w w:val="96"/>
              </w:rPr>
              <w:t>2013</w:t>
            </w:r>
          </w:p>
        </w:tc>
        <w:tc>
          <w:tcPr>
            <w:tcW w:w="280" w:type="dxa"/>
            <w:vAlign w:val="bottom"/>
          </w:tcPr>
          <w:p>
            <w:pPr>
              <w:spacing w:after="0"/>
              <w:rPr>
                <w:sz w:val="20"/>
                <w:szCs w:val="20"/>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color w:val="auto"/>
                <w:w w:val="96"/>
              </w:rPr>
              <w:t>2012</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16"/>
              <w:spacing w:after="0"/>
              <w:rPr>
                <w:sz w:val="20"/>
                <w:szCs w:val="20"/>
                <w:color w:val="auto"/>
              </w:rPr>
            </w:pPr>
            <w:r>
              <w:rPr>
                <w:rFonts w:ascii="Arial" w:cs="Arial" w:eastAsia="Arial" w:hAnsi="Arial"/>
                <w:sz w:val="14"/>
                <w:szCs w:val="14"/>
                <w:color w:val="auto"/>
                <w:w w:val="96"/>
              </w:rPr>
              <w:t>2013</w:t>
            </w:r>
          </w:p>
        </w:tc>
        <w:tc>
          <w:tcPr>
            <w:tcW w:w="260" w:type="dxa"/>
            <w:vAlign w:val="bottom"/>
          </w:tcPr>
          <w:p>
            <w:pPr>
              <w:spacing w:after="0"/>
              <w:rPr>
                <w:sz w:val="20"/>
                <w:szCs w:val="20"/>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color w:val="auto"/>
              </w:rPr>
              <w:t>2012</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w w:val="83"/>
              </w:rPr>
              <w:t>16,270</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3"/>
              </w:rPr>
              <w:t>15,211</w:t>
            </w:r>
          </w:p>
        </w:tc>
        <w:tc>
          <w:tcPr>
            <w:tcW w:w="1140" w:type="dxa"/>
            <w:vAlign w:val="bottom"/>
            <w:tcBorders>
              <w:top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w w:val="83"/>
              </w:rPr>
              <w:t>31,580</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7"/>
              </w:rPr>
              <w:t>30,089</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4,968</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4,551</w:t>
            </w:r>
          </w:p>
        </w:tc>
        <w:tc>
          <w:tcPr>
            <w:tcW w:w="114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9.2</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9,631</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9,287</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0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4,570</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4,365</w:t>
            </w:r>
          </w:p>
        </w:tc>
        <w:tc>
          <w:tcPr>
            <w:tcW w:w="1140" w:type="dxa"/>
            <w:vAlign w:val="bottom"/>
          </w:tcPr>
          <w:p>
            <w:pPr>
              <w:jc w:val="right"/>
              <w:ind w:right="275"/>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9,036</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8,610</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1,307</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1,291</w:t>
            </w:r>
          </w:p>
        </w:tc>
        <w:tc>
          <w:tcPr>
            <w:tcW w:w="114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2,454</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2,500</w:t>
            </w:r>
          </w:p>
        </w:tc>
        <w:tc>
          <w:tcPr>
            <w:tcW w:w="10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1,583</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1,516</w:t>
            </w:r>
          </w:p>
        </w:tc>
        <w:tc>
          <w:tcPr>
            <w:tcW w:w="1140" w:type="dxa"/>
            <w:vAlign w:val="bottom"/>
          </w:tcPr>
          <w:p>
            <w:pPr>
              <w:jc w:val="right"/>
              <w:ind w:right="275"/>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3,149</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3,045</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407</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409</w:t>
            </w:r>
          </w:p>
        </w:tc>
        <w:tc>
          <w:tcPr>
            <w:tcW w:w="114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808</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810</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(0.4)</w:t>
            </w: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3,435</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3,079</w:t>
            </w:r>
          </w:p>
        </w:tc>
        <w:tc>
          <w:tcPr>
            <w:tcW w:w="1140" w:type="dxa"/>
            <w:vAlign w:val="bottom"/>
          </w:tcPr>
          <w:p>
            <w:pPr>
              <w:jc w:val="right"/>
              <w:ind w:right="275"/>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6,502</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5,837</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(643)</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(635)</w:t>
            </w:r>
          </w:p>
        </w:tc>
        <w:tc>
          <w:tcPr>
            <w:tcW w:w="114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1"/>
              </w:rPr>
              <w:t>(1,140)</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4"/>
              </w:rPr>
              <w:t>(1,196)</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(4.7)</w:t>
            </w: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2,792</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2,444</w:t>
            </w:r>
          </w:p>
        </w:tc>
        <w:tc>
          <w:tcPr>
            <w:tcW w:w="1140" w:type="dxa"/>
            <w:vAlign w:val="bottom"/>
          </w:tcPr>
          <w:p>
            <w:pPr>
              <w:jc w:val="right"/>
              <w:ind w:right="275"/>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5,362</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4,641</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1"/>
              </w:rPr>
              <w:t>(1,048)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(811)</w:t>
            </w:r>
          </w:p>
        </w:tc>
        <w:tc>
          <w:tcPr>
            <w:tcW w:w="114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29.3</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1"/>
              </w:rPr>
              <w:t>(1,973)</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4"/>
              </w:rPr>
              <w:t>(1,561)</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26.4</w:t>
            </w: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1,744</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1,633</w:t>
            </w:r>
          </w:p>
        </w:tc>
        <w:tc>
          <w:tcPr>
            <w:tcW w:w="1140" w:type="dxa"/>
            <w:vAlign w:val="bottom"/>
          </w:tcPr>
          <w:p>
            <w:pPr>
              <w:jc w:val="right"/>
              <w:ind w:right="275"/>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3,389</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3,080</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10.0</w:t>
            </w:r>
          </w:p>
        </w:tc>
      </w:tr>
      <w:tr>
        <w:trPr>
          <w:trHeight w:val="208"/>
        </w:trPr>
        <w:tc>
          <w:tcPr>
            <w:tcW w:w="20" w:type="dxa"/>
            <w:vAlign w:val="bottom"/>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w w:val="88"/>
              </w:rPr>
              <w:t>Net (income) loss attributable to noncontrolling interests and redeemable</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4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(285)</w:t>
            </w:r>
          </w:p>
        </w:tc>
        <w:tc>
          <w:tcPr>
            <w:tcW w:w="114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(96.7)</w:t>
            </w:r>
          </w:p>
        </w:tc>
        <w:tc>
          <w:tcPr>
            <w:tcW w:w="2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(218)</w:t>
            </w:r>
          </w:p>
        </w:tc>
        <w:tc>
          <w:tcPr>
            <w:tcW w:w="260" w:type="dxa"/>
            <w:vAlign w:val="bottom"/>
            <w:tcBorders>
              <w:bottom w:val="single" w:sz="8" w:color="auto"/>
            </w:tcBorders>
            <w:shd w:val="clear" w:color="auto" w:fill="E5E5E5"/>
          </w:tcPr>
          <w:p>
            <w:pPr>
              <w:spacing w:after="0"/>
              <w:rPr>
                <w:sz w:val="19"/>
                <w:szCs w:val="19"/>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(508)</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(57.2)</w:t>
            </w:r>
          </w:p>
        </w:tc>
      </w:tr>
      <w:tr>
        <w:trPr>
          <w:trHeight w:val="219"/>
        </w:trPr>
        <w:tc>
          <w:tcPr>
            <w:tcW w:w="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1,734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1,348</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3,171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2,572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of our businesses is subject to seasonal and cyclical variations. Revenue and operating costs and expenses in our Broadcast Television segment are cyclical as a result of our periodic broadcasts of the Olympic Games and the Super Bowl. Our advertising revenue and programming and production costs for the six months ended June 30, 2012 include amounts attributable to our broadcast of the 2012 Super Bowl. There was no such broadcast in the current year period. All of the revenue and operating costs and expenses associated with our broadcast of the 2012 Super Bowl are reported in our Broadcast Television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Communications, Cable Networks, Broadcast Television and Filmed Entertainment segments accounted for substantially all of the increase in consolidated revenue for the three months ended June 30, 2013. Our Cable Communications, Cable Networks, Filmed Entertainment and Theme Parks segments accounted for substantially all of the increase in consolidated revenue for the six months ended June 30, 2013, partially offset by a decrease in revenue in our Broadcast Television segment due to our broadcast of the 2012 Super Bowl in the prior year period.</w:t>
      </w:r>
    </w:p>
    <w:p>
      <w:pPr>
        <w:spacing w:after="0" w:line="18" w:lineRule="exact"/>
        <w:rPr>
          <w:sz w:val="20"/>
          <w:szCs w:val="20"/>
          <w:color w:val="auto"/>
        </w:rPr>
      </w:pPr>
    </w:p>
    <w:p>
      <w:pPr>
        <w:ind w:right="920"/>
        <w:spacing w:after="0" w:line="352" w:lineRule="auto"/>
        <w:rPr>
          <w:sz w:val="20"/>
          <w:szCs w:val="20"/>
          <w:color w:val="auto"/>
        </w:rPr>
      </w:pPr>
      <w:r>
        <w:rPr>
          <w:rFonts w:ascii="Arial" w:cs="Arial" w:eastAsia="Arial" w:hAnsi="Arial"/>
          <w:sz w:val="18"/>
          <w:szCs w:val="18"/>
          <w:color w:val="auto"/>
        </w:rPr>
        <w:t xml:space="preserve">Revenue for our Cable Communications and NBCUniversal segments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Communications, Cable Networks and Broadcast Television segments accounted for substantially all of the increase in consolidated costs and expenses, excluding depreciation and amortization (“operating costs and expenses”), for the three months ended June 30, 2013. Our Cable Communications and Cable Networks segments accounted for substantially all of the increase in consolidated operating costs and expenses for the six months ended June 30, 2013, partially offset by lower costs in our Broadcast Television segment due to our broadcast of the 2012 Super Bowl in the prior year period.</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costs and expenses for our Cable Communications and NBCUniversal segments are discussed separately below under the heading “Segment Operating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depreciation and amortization increased slightly for the three and six months ended June 30, 2013 compared to the same periods in 2012 primarily due to increases in capital spending in our Cable Communications and Theme Parks segments, as well as depreciation associated with the properties purchased by NBCUniversal in connection with the Redemption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the business segment footnote to our condensed consolidated financial statements (see Note 14 to our condensed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2013, revenue from certain business customers, such as hotels, restaurants and bars, is presented in business services revenue rather than in the video revenue line item. Also beginning in 2013, operating costs and expenses for our Cable Communications segment present franchise and other regulatory fees under a new caption, and the former technical labor caption was expanded to include both technical and product support expenses; previously, franchise and other regulatory fees and product support expenses had been included under the “other” caption. The presentation of operating costs and expenses in our Cable Networks, Broadcast Television and Filmed Entertainment segments was also expanded to present programming and production costs, other operating and administrative expenses, and advertising, marketing and promotion expenses. Reclassifications have been made to the prior year to conform to classifications used in the current period.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gridSpan w:val="3"/>
          </w:tcPr>
          <w:p>
            <w:pPr>
              <w:jc w:val="center"/>
              <w:ind w:right="253"/>
              <w:spacing w:after="0"/>
              <w:rPr>
                <w:sz w:val="20"/>
                <w:szCs w:val="20"/>
                <w:color w:val="auto"/>
              </w:rPr>
            </w:pPr>
            <w:r>
              <w:rPr>
                <w:rFonts w:ascii="Arial" w:cs="Arial" w:eastAsia="Arial" w:hAnsi="Arial"/>
                <w:sz w:val="14"/>
                <w:szCs w:val="14"/>
                <w:color w:val="auto"/>
                <w:w w:val="87"/>
              </w:rPr>
              <w:t>Three Months Ended</w:t>
            </w:r>
          </w:p>
        </w:tc>
        <w:tc>
          <w:tcPr>
            <w:tcW w:w="360" w:type="dxa"/>
            <w:vAlign w:val="bottom"/>
          </w:tcPr>
          <w:p>
            <w:pPr>
              <w:spacing w:after="0"/>
              <w:rPr>
                <w:sz w:val="14"/>
                <w:szCs w:val="14"/>
                <w:color w:val="auto"/>
              </w:rPr>
            </w:pPr>
          </w:p>
        </w:tc>
        <w:tc>
          <w:tcPr>
            <w:tcW w:w="940" w:type="dxa"/>
            <w:vAlign w:val="bottom"/>
          </w:tcPr>
          <w:p>
            <w:pPr>
              <w:jc w:val="center"/>
              <w:ind w:left="176"/>
              <w:spacing w:after="0"/>
              <w:rPr>
                <w:sz w:val="20"/>
                <w:szCs w:val="20"/>
                <w:color w:val="auto"/>
              </w:rPr>
            </w:pPr>
            <w:r>
              <w:rPr>
                <w:rFonts w:ascii="Arial" w:cs="Arial" w:eastAsia="Arial" w:hAnsi="Arial"/>
                <w:sz w:val="14"/>
                <w:szCs w:val="14"/>
                <w:color w:val="auto"/>
                <w:w w:val="83"/>
              </w:rPr>
              <w:t>Increase/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9"/>
              <w:spacing w:after="0" w:line="159" w:lineRule="exact"/>
              <w:rPr>
                <w:sz w:val="20"/>
                <w:szCs w:val="20"/>
                <w:color w:val="auto"/>
              </w:rPr>
            </w:pPr>
            <w:r>
              <w:rPr>
                <w:rFonts w:ascii="Arial" w:cs="Arial" w:eastAsia="Arial" w:hAnsi="Arial"/>
                <w:sz w:val="14"/>
                <w:szCs w:val="14"/>
                <w:color w:val="auto"/>
                <w:w w:val="84"/>
              </w:rPr>
              <w:t>June 30</w:t>
            </w: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left="156"/>
              <w:spacing w:after="0" w:line="159" w:lineRule="exact"/>
              <w:rPr>
                <w:sz w:val="20"/>
                <w:szCs w:val="20"/>
                <w:color w:val="auto"/>
              </w:rPr>
            </w:pPr>
            <w:r>
              <w:rPr>
                <w:rFonts w:ascii="Arial" w:cs="Arial" w:eastAsia="Arial" w:hAnsi="Arial"/>
                <w:sz w:val="14"/>
                <w:szCs w:val="14"/>
                <w:color w:val="auto"/>
                <w:w w:val="83"/>
              </w:rPr>
              <w:t>(Decrease)</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w w:val="96"/>
              </w:rPr>
              <w:t>2013</w:t>
            </w:r>
          </w:p>
        </w:tc>
        <w:tc>
          <w:tcPr>
            <w:tcW w:w="5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w w:val="96"/>
              </w:rPr>
              <w:t>2012</w:t>
            </w: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76"/>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28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5,175</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5,039</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136</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2,569</w:t>
            </w:r>
          </w:p>
        </w:tc>
        <w:tc>
          <w:tcPr>
            <w:tcW w:w="5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2,380</w:t>
            </w:r>
          </w:p>
        </w:tc>
        <w:tc>
          <w:tcPr>
            <w:tcW w:w="360" w:type="dxa"/>
            <w:vAlign w:val="bottom"/>
          </w:tcPr>
          <w:p>
            <w:pPr>
              <w:spacing w:after="0"/>
              <w:rPr>
                <w:sz w:val="18"/>
                <w:szCs w:val="18"/>
                <w:color w:val="auto"/>
              </w:rPr>
            </w:pPr>
          </w:p>
        </w:tc>
        <w:tc>
          <w:tcPr>
            <w:tcW w:w="940" w:type="dxa"/>
            <w:vAlign w:val="bottom"/>
          </w:tcPr>
          <w:p>
            <w:pPr>
              <w:jc w:val="right"/>
              <w:ind w:right="456"/>
              <w:spacing w:after="0"/>
              <w:rPr>
                <w:sz w:val="20"/>
                <w:szCs w:val="20"/>
                <w:color w:val="auto"/>
              </w:rPr>
            </w:pPr>
            <w:r>
              <w:rPr>
                <w:rFonts w:ascii="Arial" w:cs="Arial" w:eastAsia="Arial" w:hAnsi="Arial"/>
                <w:sz w:val="18"/>
                <w:szCs w:val="18"/>
                <w:color w:val="auto"/>
              </w:rPr>
              <w:t>189</w:t>
            </w: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910</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889</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21</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788</w:t>
            </w:r>
          </w:p>
        </w:tc>
        <w:tc>
          <w:tcPr>
            <w:tcW w:w="5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623</w:t>
            </w:r>
          </w:p>
        </w:tc>
        <w:tc>
          <w:tcPr>
            <w:tcW w:w="360" w:type="dxa"/>
            <w:vAlign w:val="bottom"/>
          </w:tcPr>
          <w:p>
            <w:pPr>
              <w:spacing w:after="0"/>
              <w:rPr>
                <w:sz w:val="18"/>
                <w:szCs w:val="18"/>
                <w:color w:val="auto"/>
              </w:rPr>
            </w:pPr>
          </w:p>
        </w:tc>
        <w:tc>
          <w:tcPr>
            <w:tcW w:w="940" w:type="dxa"/>
            <w:vAlign w:val="bottom"/>
          </w:tcPr>
          <w:p>
            <w:pPr>
              <w:jc w:val="right"/>
              <w:ind w:right="456"/>
              <w:spacing w:after="0"/>
              <w:rPr>
                <w:sz w:val="20"/>
                <w:szCs w:val="20"/>
                <w:color w:val="auto"/>
              </w:rPr>
            </w:pPr>
            <w:r>
              <w:rPr>
                <w:rFonts w:ascii="Arial" w:cs="Arial" w:eastAsia="Arial" w:hAnsi="Arial"/>
                <w:sz w:val="18"/>
                <w:szCs w:val="18"/>
                <w:color w:val="auto"/>
              </w:rPr>
              <w:t>165</w:t>
            </w:r>
          </w:p>
        </w:tc>
        <w:tc>
          <w:tcPr>
            <w:tcW w:w="580" w:type="dxa"/>
            <w:vAlign w:val="bottom"/>
          </w:tcPr>
          <w:p>
            <w:pPr>
              <w:jc w:val="right"/>
              <w:ind w:right="133"/>
              <w:spacing w:after="0"/>
              <w:rPr>
                <w:sz w:val="20"/>
                <w:szCs w:val="20"/>
                <w:color w:val="auto"/>
              </w:rPr>
            </w:pPr>
            <w:r>
              <w:rPr>
                <w:rFonts w:ascii="Arial" w:cs="Arial" w:eastAsia="Arial" w:hAnsi="Arial"/>
                <w:sz w:val="18"/>
                <w:szCs w:val="18"/>
                <w:color w:val="auto"/>
                <w:w w:val="96"/>
              </w:rPr>
              <w:t>26.4</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558</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551</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7</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415</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52</w:t>
            </w: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6"/>
              </w:rPr>
              <w:t>12.3</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83"/>
              </w:rPr>
              <w:t>10,467</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9,897</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b w:val="1"/>
                <w:bCs w:val="1"/>
                <w:color w:val="auto"/>
              </w:rPr>
              <w:t>570</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 and production</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2,280</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2,109</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171</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1,330</w:t>
            </w:r>
          </w:p>
        </w:tc>
        <w:tc>
          <w:tcPr>
            <w:tcW w:w="5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1,277</w:t>
            </w:r>
          </w:p>
        </w:tc>
        <w:tc>
          <w:tcPr>
            <w:tcW w:w="360" w:type="dxa"/>
            <w:vAlign w:val="bottom"/>
          </w:tcPr>
          <w:p>
            <w:pPr>
              <w:spacing w:after="0"/>
              <w:rPr>
                <w:sz w:val="18"/>
                <w:szCs w:val="18"/>
                <w:color w:val="auto"/>
              </w:rPr>
            </w:pPr>
          </w:p>
        </w:tc>
        <w:tc>
          <w:tcPr>
            <w:tcW w:w="940" w:type="dxa"/>
            <w:vAlign w:val="bottom"/>
          </w:tcPr>
          <w:p>
            <w:pPr>
              <w:jc w:val="right"/>
              <w:ind w:right="456"/>
              <w:spacing w:after="0"/>
              <w:rPr>
                <w:sz w:val="20"/>
                <w:szCs w:val="20"/>
                <w:color w:val="auto"/>
              </w:rPr>
            </w:pPr>
            <w:r>
              <w:rPr>
                <w:rFonts w:ascii="Arial" w:cs="Arial" w:eastAsia="Arial" w:hAnsi="Arial"/>
                <w:sz w:val="18"/>
                <w:szCs w:val="18"/>
                <w:color w:val="auto"/>
              </w:rPr>
              <w:t>53</w:t>
            </w: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517</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490</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27</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Advertising, marketing and promotion</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724</w:t>
            </w:r>
          </w:p>
        </w:tc>
        <w:tc>
          <w:tcPr>
            <w:tcW w:w="5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669</w:t>
            </w:r>
          </w:p>
        </w:tc>
        <w:tc>
          <w:tcPr>
            <w:tcW w:w="360" w:type="dxa"/>
            <w:vAlign w:val="bottom"/>
          </w:tcPr>
          <w:p>
            <w:pPr>
              <w:spacing w:after="0"/>
              <w:rPr>
                <w:sz w:val="18"/>
                <w:szCs w:val="18"/>
                <w:color w:val="auto"/>
              </w:rPr>
            </w:pPr>
          </w:p>
        </w:tc>
        <w:tc>
          <w:tcPr>
            <w:tcW w:w="940" w:type="dxa"/>
            <w:vAlign w:val="bottom"/>
          </w:tcPr>
          <w:p>
            <w:pPr>
              <w:jc w:val="right"/>
              <w:ind w:right="456"/>
              <w:spacing w:after="0"/>
              <w:rPr>
                <w:sz w:val="20"/>
                <w:szCs w:val="20"/>
                <w:color w:val="auto"/>
              </w:rPr>
            </w:pPr>
            <w:r>
              <w:rPr>
                <w:rFonts w:ascii="Arial" w:cs="Arial" w:eastAsia="Arial" w:hAnsi="Arial"/>
                <w:sz w:val="18"/>
                <w:szCs w:val="18"/>
                <w:color w:val="auto"/>
              </w:rPr>
              <w:t>55</w:t>
            </w: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Franchise and other regulatory fees</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311</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295</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16</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956</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14</w:t>
            </w: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6,132</w:t>
            </w:r>
          </w:p>
        </w:tc>
        <w:tc>
          <w:tcPr>
            <w:tcW w:w="5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5,796</w:t>
            </w:r>
          </w:p>
        </w:tc>
        <w:tc>
          <w:tcPr>
            <w:tcW w:w="3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456"/>
              <w:spacing w:after="0"/>
              <w:rPr>
                <w:sz w:val="20"/>
                <w:szCs w:val="20"/>
                <w:color w:val="auto"/>
              </w:rPr>
            </w:pPr>
            <w:r>
              <w:rPr>
                <w:rFonts w:ascii="Arial" w:cs="Arial" w:eastAsia="Arial" w:hAnsi="Arial"/>
                <w:sz w:val="18"/>
                <w:szCs w:val="18"/>
                <w:color w:val="auto"/>
              </w:rPr>
              <w:t>336</w:t>
            </w:r>
          </w:p>
        </w:tc>
        <w:tc>
          <w:tcPr>
            <w:tcW w:w="5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4,101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b w:val="1"/>
                <w:bCs w:val="1"/>
                <w:color w:val="auto"/>
              </w:rPr>
              <w:t>234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340"/>
        </w:trPr>
        <w:tc>
          <w:tcPr>
            <w:tcW w:w="4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gridSpan w:val="3"/>
          </w:tcPr>
          <w:p>
            <w:pPr>
              <w:jc w:val="center"/>
              <w:ind w:right="253"/>
              <w:spacing w:after="0"/>
              <w:rPr>
                <w:sz w:val="20"/>
                <w:szCs w:val="20"/>
                <w:color w:val="auto"/>
              </w:rPr>
            </w:pPr>
            <w:r>
              <w:rPr>
                <w:rFonts w:ascii="Arial" w:cs="Arial" w:eastAsia="Arial" w:hAnsi="Arial"/>
                <w:sz w:val="14"/>
                <w:szCs w:val="14"/>
                <w:color w:val="auto"/>
                <w:w w:val="89"/>
              </w:rPr>
              <w:t>Six Months Ended</w:t>
            </w:r>
          </w:p>
        </w:tc>
        <w:tc>
          <w:tcPr>
            <w:tcW w:w="360" w:type="dxa"/>
            <w:vAlign w:val="bottom"/>
          </w:tcPr>
          <w:p>
            <w:pPr>
              <w:spacing w:after="0"/>
              <w:rPr>
                <w:sz w:val="24"/>
                <w:szCs w:val="24"/>
                <w:color w:val="auto"/>
              </w:rPr>
            </w:pPr>
          </w:p>
        </w:tc>
        <w:tc>
          <w:tcPr>
            <w:tcW w:w="940" w:type="dxa"/>
            <w:vAlign w:val="bottom"/>
          </w:tcPr>
          <w:p>
            <w:pPr>
              <w:jc w:val="center"/>
              <w:ind w:left="176"/>
              <w:spacing w:after="0"/>
              <w:rPr>
                <w:sz w:val="20"/>
                <w:szCs w:val="20"/>
                <w:color w:val="auto"/>
              </w:rPr>
            </w:pPr>
            <w:r>
              <w:rPr>
                <w:rFonts w:ascii="Arial" w:cs="Arial" w:eastAsia="Arial" w:hAnsi="Arial"/>
                <w:sz w:val="14"/>
                <w:szCs w:val="14"/>
                <w:color w:val="auto"/>
                <w:w w:val="83"/>
              </w:rPr>
              <w:t>Increase/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9"/>
              <w:spacing w:after="0" w:line="159" w:lineRule="exact"/>
              <w:rPr>
                <w:sz w:val="20"/>
                <w:szCs w:val="20"/>
                <w:color w:val="auto"/>
              </w:rPr>
            </w:pPr>
            <w:r>
              <w:rPr>
                <w:rFonts w:ascii="Arial" w:cs="Arial" w:eastAsia="Arial" w:hAnsi="Arial"/>
                <w:sz w:val="14"/>
                <w:szCs w:val="14"/>
                <w:color w:val="auto"/>
                <w:w w:val="84"/>
              </w:rPr>
              <w:t>June 30</w:t>
            </w: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left="156"/>
              <w:spacing w:after="0" w:line="159" w:lineRule="exact"/>
              <w:rPr>
                <w:sz w:val="20"/>
                <w:szCs w:val="20"/>
                <w:color w:val="auto"/>
              </w:rPr>
            </w:pPr>
            <w:r>
              <w:rPr>
                <w:rFonts w:ascii="Arial" w:cs="Arial" w:eastAsia="Arial" w:hAnsi="Arial"/>
                <w:sz w:val="14"/>
                <w:szCs w:val="14"/>
                <w:color w:val="auto"/>
                <w:w w:val="83"/>
              </w:rPr>
              <w:t>(Decrease)</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w w:val="96"/>
              </w:rPr>
              <w:t>2013</w:t>
            </w:r>
          </w:p>
        </w:tc>
        <w:tc>
          <w:tcPr>
            <w:tcW w:w="5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w w:val="96"/>
              </w:rPr>
              <w:t>2012</w:t>
            </w: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76"/>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28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3"/>
              </w:rPr>
              <w:t>10,288</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9,968</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320</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5,092</w:t>
            </w:r>
          </w:p>
        </w:tc>
        <w:tc>
          <w:tcPr>
            <w:tcW w:w="5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4,703</w:t>
            </w:r>
          </w:p>
        </w:tc>
        <w:tc>
          <w:tcPr>
            <w:tcW w:w="360" w:type="dxa"/>
            <w:vAlign w:val="bottom"/>
          </w:tcPr>
          <w:p>
            <w:pPr>
              <w:spacing w:after="0"/>
              <w:rPr>
                <w:sz w:val="18"/>
                <w:szCs w:val="18"/>
                <w:color w:val="auto"/>
              </w:rPr>
            </w:pPr>
          </w:p>
        </w:tc>
        <w:tc>
          <w:tcPr>
            <w:tcW w:w="940" w:type="dxa"/>
            <w:vAlign w:val="bottom"/>
          </w:tcPr>
          <w:p>
            <w:pPr>
              <w:jc w:val="right"/>
              <w:ind w:right="456"/>
              <w:spacing w:after="0"/>
              <w:rPr>
                <w:sz w:val="20"/>
                <w:szCs w:val="20"/>
                <w:color w:val="auto"/>
              </w:rPr>
            </w:pPr>
            <w:r>
              <w:rPr>
                <w:rFonts w:ascii="Arial" w:cs="Arial" w:eastAsia="Arial" w:hAnsi="Arial"/>
                <w:sz w:val="18"/>
                <w:szCs w:val="18"/>
                <w:color w:val="auto"/>
              </w:rPr>
              <w:t>389</w:t>
            </w: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1,810</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1,767</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43</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1,529</w:t>
            </w:r>
          </w:p>
        </w:tc>
        <w:tc>
          <w:tcPr>
            <w:tcW w:w="5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1,204</w:t>
            </w:r>
          </w:p>
        </w:tc>
        <w:tc>
          <w:tcPr>
            <w:tcW w:w="360" w:type="dxa"/>
            <w:vAlign w:val="bottom"/>
          </w:tcPr>
          <w:p>
            <w:pPr>
              <w:spacing w:after="0"/>
              <w:rPr>
                <w:sz w:val="18"/>
                <w:szCs w:val="18"/>
                <w:color w:val="auto"/>
              </w:rPr>
            </w:pPr>
          </w:p>
        </w:tc>
        <w:tc>
          <w:tcPr>
            <w:tcW w:w="940" w:type="dxa"/>
            <w:vAlign w:val="bottom"/>
          </w:tcPr>
          <w:p>
            <w:pPr>
              <w:jc w:val="right"/>
              <w:ind w:right="456"/>
              <w:spacing w:after="0"/>
              <w:rPr>
                <w:sz w:val="20"/>
                <w:szCs w:val="20"/>
                <w:color w:val="auto"/>
              </w:rPr>
            </w:pPr>
            <w:r>
              <w:rPr>
                <w:rFonts w:ascii="Arial" w:cs="Arial" w:eastAsia="Arial" w:hAnsi="Arial"/>
                <w:sz w:val="18"/>
                <w:szCs w:val="18"/>
                <w:color w:val="auto"/>
              </w:rPr>
              <w:t>325</w:t>
            </w:r>
          </w:p>
        </w:tc>
        <w:tc>
          <w:tcPr>
            <w:tcW w:w="580" w:type="dxa"/>
            <w:vAlign w:val="bottom"/>
          </w:tcPr>
          <w:p>
            <w:pPr>
              <w:jc w:val="right"/>
              <w:ind w:right="133"/>
              <w:spacing w:after="0"/>
              <w:rPr>
                <w:sz w:val="20"/>
                <w:szCs w:val="20"/>
                <w:color w:val="auto"/>
              </w:rPr>
            </w:pPr>
            <w:r>
              <w:rPr>
                <w:rFonts w:ascii="Arial" w:cs="Arial" w:eastAsia="Arial" w:hAnsi="Arial"/>
                <w:sz w:val="18"/>
                <w:szCs w:val="18"/>
                <w:color w:val="auto"/>
                <w:w w:val="96"/>
              </w:rPr>
              <w:t>26.9</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1,046</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1,026</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20</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828</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91</w:t>
            </w: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6"/>
              </w:rPr>
              <w:t>10.9</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83"/>
              </w:rPr>
              <w:t>20,684</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w w:val="83"/>
              </w:rPr>
              <w:t>19,496</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b w:val="1"/>
                <w:bCs w:val="1"/>
                <w:color w:val="auto"/>
                <w:w w:val="84"/>
              </w:rPr>
              <w:t>1,188</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 and production</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4,533</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4,185</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348</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2,650</w:t>
            </w:r>
          </w:p>
        </w:tc>
        <w:tc>
          <w:tcPr>
            <w:tcW w:w="5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2,555</w:t>
            </w:r>
          </w:p>
        </w:tc>
        <w:tc>
          <w:tcPr>
            <w:tcW w:w="360" w:type="dxa"/>
            <w:vAlign w:val="bottom"/>
          </w:tcPr>
          <w:p>
            <w:pPr>
              <w:spacing w:after="0"/>
              <w:rPr>
                <w:sz w:val="18"/>
                <w:szCs w:val="18"/>
                <w:color w:val="auto"/>
              </w:rPr>
            </w:pPr>
          </w:p>
        </w:tc>
        <w:tc>
          <w:tcPr>
            <w:tcW w:w="940" w:type="dxa"/>
            <w:vAlign w:val="bottom"/>
          </w:tcPr>
          <w:p>
            <w:pPr>
              <w:jc w:val="right"/>
              <w:ind w:right="456"/>
              <w:spacing w:after="0"/>
              <w:rPr>
                <w:sz w:val="20"/>
                <w:szCs w:val="20"/>
                <w:color w:val="auto"/>
              </w:rPr>
            </w:pPr>
            <w:r>
              <w:rPr>
                <w:rFonts w:ascii="Arial" w:cs="Arial" w:eastAsia="Arial" w:hAnsi="Arial"/>
                <w:sz w:val="18"/>
                <w:szCs w:val="18"/>
                <w:color w:val="auto"/>
              </w:rPr>
              <w:t>95</w:t>
            </w: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1,038</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991</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47</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Advertising, marketing and promotion</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1,393</w:t>
            </w:r>
          </w:p>
        </w:tc>
        <w:tc>
          <w:tcPr>
            <w:tcW w:w="58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1,305</w:t>
            </w:r>
          </w:p>
        </w:tc>
        <w:tc>
          <w:tcPr>
            <w:tcW w:w="360" w:type="dxa"/>
            <w:vAlign w:val="bottom"/>
          </w:tcPr>
          <w:p>
            <w:pPr>
              <w:spacing w:after="0"/>
              <w:rPr>
                <w:sz w:val="18"/>
                <w:szCs w:val="18"/>
                <w:color w:val="auto"/>
              </w:rPr>
            </w:pPr>
          </w:p>
        </w:tc>
        <w:tc>
          <w:tcPr>
            <w:tcW w:w="940" w:type="dxa"/>
            <w:vAlign w:val="bottom"/>
          </w:tcPr>
          <w:p>
            <w:pPr>
              <w:jc w:val="right"/>
              <w:ind w:right="456"/>
              <w:spacing w:after="0"/>
              <w:rPr>
                <w:sz w:val="20"/>
                <w:szCs w:val="20"/>
                <w:color w:val="auto"/>
              </w:rPr>
            </w:pPr>
            <w:r>
              <w:rPr>
                <w:rFonts w:ascii="Arial" w:cs="Arial" w:eastAsia="Arial" w:hAnsi="Arial"/>
                <w:sz w:val="18"/>
                <w:szCs w:val="18"/>
                <w:color w:val="auto"/>
              </w:rPr>
              <w:t>88</w:t>
            </w: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Franchise and other regulatory fees</w:t>
            </w:r>
          </w:p>
        </w:tc>
        <w:tc>
          <w:tcPr>
            <w:tcW w:w="2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619</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583</w:t>
            </w:r>
          </w:p>
        </w:tc>
        <w:tc>
          <w:tcPr>
            <w:tcW w:w="3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36</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1,821</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76</w:t>
            </w: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3"/>
              </w:rPr>
              <w:t>12,130</w:t>
            </w:r>
          </w:p>
        </w:tc>
        <w:tc>
          <w:tcPr>
            <w:tcW w:w="5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83"/>
              </w:rPr>
              <w:t>11,440</w:t>
            </w:r>
          </w:p>
        </w:tc>
        <w:tc>
          <w:tcPr>
            <w:tcW w:w="3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456"/>
              <w:spacing w:after="0"/>
              <w:rPr>
                <w:sz w:val="20"/>
                <w:szCs w:val="20"/>
                <w:color w:val="auto"/>
              </w:rPr>
            </w:pPr>
            <w:r>
              <w:rPr>
                <w:rFonts w:ascii="Arial" w:cs="Arial" w:eastAsia="Arial" w:hAnsi="Arial"/>
                <w:sz w:val="18"/>
                <w:szCs w:val="18"/>
                <w:color w:val="auto"/>
              </w:rPr>
              <w:t>690</w:t>
            </w:r>
          </w:p>
        </w:tc>
        <w:tc>
          <w:tcPr>
            <w:tcW w:w="5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8,056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b w:val="1"/>
                <w:bCs w:val="1"/>
                <w:color w:val="auto"/>
              </w:rPr>
              <w:t>498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340" w:type="dxa"/>
            <w:vAlign w:val="bottom"/>
          </w:tcPr>
          <w:p>
            <w:pPr>
              <w:jc w:val="right"/>
              <w:ind w:right="1332"/>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90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color w:val="auto"/>
              </w:rPr>
              <w:t>Total Customers</w:t>
            </w:r>
          </w:p>
        </w:tc>
        <w:tc>
          <w:tcPr>
            <w:tcW w:w="3540" w:type="dxa"/>
            <w:vAlign w:val="bottom"/>
            <w:tcBorders>
              <w:bottom w:val="single" w:sz="8" w:color="auto"/>
            </w:tcBorders>
            <w:gridSpan w:val="2"/>
          </w:tcPr>
          <w:p>
            <w:pPr>
              <w:jc w:val="right"/>
              <w:ind w:right="717"/>
              <w:spacing w:after="0"/>
              <w:rPr>
                <w:sz w:val="20"/>
                <w:szCs w:val="20"/>
                <w:color w:val="auto"/>
              </w:rPr>
            </w:pPr>
            <w:r>
              <w:rPr>
                <w:rFonts w:ascii="Arial" w:cs="Arial" w:eastAsia="Arial" w:hAnsi="Arial"/>
                <w:sz w:val="14"/>
                <w:szCs w:val="14"/>
                <w:color w:val="auto"/>
              </w:rPr>
              <w:t>Net Additional Customers</w:t>
            </w:r>
          </w:p>
        </w:tc>
      </w:tr>
      <w:tr>
        <w:trPr>
          <w:trHeight w:val="166"/>
        </w:trPr>
        <w:tc>
          <w:tcPr>
            <w:tcW w:w="4980" w:type="dxa"/>
            <w:vAlign w:val="bottom"/>
          </w:tcPr>
          <w:p>
            <w:pPr>
              <w:spacing w:after="0"/>
              <w:rPr>
                <w:sz w:val="14"/>
                <w:szCs w:val="14"/>
                <w:color w:val="auto"/>
              </w:rPr>
            </w:pPr>
          </w:p>
        </w:tc>
        <w:tc>
          <w:tcPr>
            <w:tcW w:w="1420" w:type="dxa"/>
            <w:vAlign w:val="bottom"/>
          </w:tcPr>
          <w:p>
            <w:pPr>
              <w:ind w:left="580"/>
              <w:spacing w:after="0"/>
              <w:rPr>
                <w:sz w:val="20"/>
                <w:szCs w:val="20"/>
                <w:color w:val="auto"/>
              </w:rPr>
            </w:pPr>
            <w:r>
              <w:rPr>
                <w:rFonts w:ascii="Arial" w:cs="Arial" w:eastAsia="Arial" w:hAnsi="Arial"/>
                <w:sz w:val="14"/>
                <w:szCs w:val="14"/>
                <w:color w:val="auto"/>
              </w:rPr>
              <w:t>June 30,</w:t>
            </w:r>
          </w:p>
        </w:tc>
        <w:tc>
          <w:tcPr>
            <w:tcW w:w="1480" w:type="dxa"/>
            <w:vAlign w:val="bottom"/>
          </w:tcPr>
          <w:p>
            <w:pPr>
              <w:jc w:val="right"/>
              <w:ind w:right="620"/>
              <w:spacing w:after="0"/>
              <w:rPr>
                <w:sz w:val="20"/>
                <w:szCs w:val="20"/>
                <w:color w:val="auto"/>
              </w:rPr>
            </w:pPr>
            <w:r>
              <w:rPr>
                <w:rFonts w:ascii="Arial" w:cs="Arial" w:eastAsia="Arial" w:hAnsi="Arial"/>
                <w:sz w:val="14"/>
                <w:szCs w:val="14"/>
                <w:color w:val="auto"/>
              </w:rPr>
              <w:t>June 30,</w:t>
            </w:r>
          </w:p>
        </w:tc>
        <w:tc>
          <w:tcPr>
            <w:tcW w:w="2420" w:type="dxa"/>
            <w:vAlign w:val="bottom"/>
          </w:tcPr>
          <w:p>
            <w:pPr>
              <w:jc w:val="right"/>
              <w:ind w:right="582"/>
              <w:spacing w:after="0"/>
              <w:rPr>
                <w:sz w:val="20"/>
                <w:szCs w:val="20"/>
                <w:color w:val="auto"/>
              </w:rPr>
            </w:pPr>
            <w:r>
              <w:rPr>
                <w:rFonts w:ascii="Arial" w:cs="Arial" w:eastAsia="Arial" w:hAnsi="Arial"/>
                <w:sz w:val="14"/>
                <w:szCs w:val="14"/>
                <w:color w:val="auto"/>
              </w:rPr>
              <w:t>Three Months Ended</w:t>
            </w:r>
          </w:p>
        </w:tc>
        <w:tc>
          <w:tcPr>
            <w:tcW w:w="1120" w:type="dxa"/>
            <w:vAlign w:val="bottom"/>
          </w:tcPr>
          <w:p>
            <w:pPr>
              <w:jc w:val="right"/>
              <w:ind w:right="37"/>
              <w:spacing w:after="0"/>
              <w:rPr>
                <w:sz w:val="20"/>
                <w:szCs w:val="20"/>
                <w:color w:val="auto"/>
              </w:rPr>
            </w:pPr>
            <w:r>
              <w:rPr>
                <w:rFonts w:ascii="Arial" w:cs="Arial" w:eastAsia="Arial" w:hAnsi="Arial"/>
                <w:sz w:val="14"/>
                <w:szCs w:val="14"/>
                <w:color w:val="auto"/>
                <w:w w:val="86"/>
              </w:rPr>
              <w:t>Six Months Ended</w:t>
            </w:r>
          </w:p>
        </w:tc>
      </w:tr>
      <w:tr>
        <w:trPr>
          <w:trHeight w:val="219"/>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4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2013</w:t>
            </w:r>
          </w:p>
        </w:tc>
        <w:tc>
          <w:tcPr>
            <w:tcW w:w="14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color w:val="auto"/>
              </w:rPr>
              <w:t>2012</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 2013</w:t>
            </w:r>
          </w:p>
        </w:tc>
        <w:tc>
          <w:tcPr>
            <w:tcW w:w="1120" w:type="dxa"/>
            <w:vAlign w:val="bottom"/>
            <w:tcBorders>
              <w:bottom w:val="single" w:sz="8" w:color="auto"/>
            </w:tcBorders>
          </w:tcPr>
          <w:p>
            <w:pPr>
              <w:spacing w:after="0"/>
              <w:rPr>
                <w:sz w:val="19"/>
                <w:szCs w:val="19"/>
                <w:color w:val="auto"/>
              </w:rPr>
            </w:pPr>
          </w:p>
        </w:tc>
      </w:tr>
      <w:tr>
        <w:trPr>
          <w:trHeight w:val="210"/>
        </w:trPr>
        <w:tc>
          <w:tcPr>
            <w:tcW w:w="498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420" w:type="dxa"/>
            <w:vAlign w:val="bottom"/>
            <w:shd w:val="clear" w:color="auto" w:fill="E5E5E5"/>
          </w:tcPr>
          <w:p>
            <w:pPr>
              <w:ind w:left="600"/>
              <w:spacing w:after="0"/>
              <w:rPr>
                <w:sz w:val="20"/>
                <w:szCs w:val="20"/>
                <w:color w:val="auto"/>
              </w:rPr>
            </w:pPr>
            <w:r>
              <w:rPr>
                <w:rFonts w:ascii="Arial" w:cs="Arial" w:eastAsia="Arial" w:hAnsi="Arial"/>
                <w:sz w:val="18"/>
                <w:szCs w:val="18"/>
                <w:color w:val="auto"/>
              </w:rPr>
              <w:t>21,776</w:t>
            </w:r>
          </w:p>
        </w:tc>
        <w:tc>
          <w:tcPr>
            <w:tcW w:w="1480" w:type="dxa"/>
            <w:vAlign w:val="bottom"/>
            <w:shd w:val="clear" w:color="auto" w:fill="E5E5E5"/>
          </w:tcPr>
          <w:p>
            <w:pPr>
              <w:jc w:val="right"/>
              <w:ind w:right="560"/>
              <w:spacing w:after="0"/>
              <w:rPr>
                <w:sz w:val="20"/>
                <w:szCs w:val="20"/>
                <w:color w:val="auto"/>
              </w:rPr>
            </w:pPr>
            <w:r>
              <w:rPr>
                <w:rFonts w:ascii="Arial" w:cs="Arial" w:eastAsia="Arial" w:hAnsi="Arial"/>
                <w:sz w:val="18"/>
                <w:szCs w:val="18"/>
                <w:color w:val="auto"/>
              </w:rPr>
              <w:t>22,118</w:t>
            </w:r>
          </w:p>
        </w:tc>
        <w:tc>
          <w:tcPr>
            <w:tcW w:w="2420" w:type="dxa"/>
            <w:vAlign w:val="bottom"/>
            <w:shd w:val="clear" w:color="auto" w:fill="E5E5E5"/>
          </w:tcPr>
          <w:p>
            <w:pPr>
              <w:jc w:val="right"/>
              <w:ind w:right="522"/>
              <w:spacing w:after="0"/>
              <w:rPr>
                <w:sz w:val="20"/>
                <w:szCs w:val="20"/>
                <w:color w:val="auto"/>
              </w:rPr>
            </w:pPr>
            <w:r>
              <w:rPr>
                <w:rFonts w:ascii="Arial" w:cs="Arial" w:eastAsia="Arial" w:hAnsi="Arial"/>
                <w:sz w:val="18"/>
                <w:szCs w:val="18"/>
                <w:color w:val="auto"/>
              </w:rPr>
              <w:t>(159)</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420" w:type="dxa"/>
            <w:vAlign w:val="bottom"/>
          </w:tcPr>
          <w:p>
            <w:pPr>
              <w:ind w:left="600"/>
              <w:spacing w:after="0"/>
              <w:rPr>
                <w:sz w:val="20"/>
                <w:szCs w:val="20"/>
                <w:color w:val="auto"/>
              </w:rPr>
            </w:pPr>
            <w:r>
              <w:rPr>
                <w:rFonts w:ascii="Arial" w:cs="Arial" w:eastAsia="Arial" w:hAnsi="Arial"/>
                <w:sz w:val="18"/>
                <w:szCs w:val="18"/>
                <w:color w:val="auto"/>
              </w:rPr>
              <w:t>19,986</w:t>
            </w:r>
          </w:p>
        </w:tc>
        <w:tc>
          <w:tcPr>
            <w:tcW w:w="1480" w:type="dxa"/>
            <w:vAlign w:val="bottom"/>
          </w:tcPr>
          <w:p>
            <w:pPr>
              <w:jc w:val="right"/>
              <w:ind w:right="560"/>
              <w:spacing w:after="0"/>
              <w:rPr>
                <w:sz w:val="20"/>
                <w:szCs w:val="20"/>
                <w:color w:val="auto"/>
              </w:rPr>
            </w:pPr>
            <w:r>
              <w:rPr>
                <w:rFonts w:ascii="Arial" w:cs="Arial" w:eastAsia="Arial" w:hAnsi="Arial"/>
                <w:sz w:val="18"/>
                <w:szCs w:val="18"/>
                <w:color w:val="auto"/>
              </w:rPr>
              <w:t>18,738</w:t>
            </w:r>
          </w:p>
        </w:tc>
        <w:tc>
          <w:tcPr>
            <w:tcW w:w="2420" w:type="dxa"/>
            <w:vAlign w:val="bottom"/>
          </w:tcPr>
          <w:p>
            <w:pPr>
              <w:jc w:val="right"/>
              <w:ind w:right="562"/>
              <w:spacing w:after="0"/>
              <w:rPr>
                <w:sz w:val="20"/>
                <w:szCs w:val="20"/>
                <w:color w:val="auto"/>
              </w:rPr>
            </w:pPr>
            <w:r>
              <w:rPr>
                <w:rFonts w:ascii="Arial" w:cs="Arial" w:eastAsia="Arial" w:hAnsi="Arial"/>
                <w:sz w:val="18"/>
                <w:szCs w:val="18"/>
                <w:color w:val="auto"/>
              </w:rPr>
              <w:t>187</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620</w:t>
            </w:r>
          </w:p>
        </w:tc>
      </w:tr>
      <w:tr>
        <w:trPr>
          <w:trHeight w:val="216"/>
        </w:trPr>
        <w:tc>
          <w:tcPr>
            <w:tcW w:w="4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142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color w:val="auto"/>
              </w:rPr>
              <w:t>10,327</w:t>
            </w:r>
          </w:p>
        </w:tc>
        <w:tc>
          <w:tcPr>
            <w:tcW w:w="1480" w:type="dxa"/>
            <w:vAlign w:val="bottom"/>
            <w:tcBorders>
              <w:bottom w:val="single" w:sz="8" w:color="auto"/>
            </w:tcBorders>
            <w:shd w:val="clear" w:color="auto" w:fill="E5E5E5"/>
          </w:tcPr>
          <w:p>
            <w:pPr>
              <w:jc w:val="right"/>
              <w:ind w:right="560"/>
              <w:spacing w:after="0"/>
              <w:rPr>
                <w:sz w:val="20"/>
                <w:szCs w:val="20"/>
                <w:color w:val="auto"/>
              </w:rPr>
            </w:pPr>
            <w:r>
              <w:rPr>
                <w:rFonts w:ascii="Arial" w:cs="Arial" w:eastAsia="Arial" w:hAnsi="Arial"/>
                <w:sz w:val="18"/>
                <w:szCs w:val="18"/>
                <w:color w:val="auto"/>
              </w:rPr>
              <w:t>9,664</w:t>
            </w:r>
          </w:p>
        </w:tc>
        <w:tc>
          <w:tcPr>
            <w:tcW w:w="2420" w:type="dxa"/>
            <w:vAlign w:val="bottom"/>
            <w:tcBorders>
              <w:bottom w:val="single" w:sz="8" w:color="auto"/>
            </w:tcBorders>
            <w:shd w:val="clear" w:color="auto" w:fill="E5E5E5"/>
          </w:tcPr>
          <w:p>
            <w:pPr>
              <w:jc w:val="right"/>
              <w:ind w:right="562"/>
              <w:spacing w:after="0"/>
              <w:rPr>
                <w:sz w:val="20"/>
                <w:szCs w:val="20"/>
                <w:color w:val="auto"/>
              </w:rPr>
            </w:pPr>
            <w:r>
              <w:rPr>
                <w:rFonts w:ascii="Arial" w:cs="Arial" w:eastAsia="Arial" w:hAnsi="Arial"/>
                <w:sz w:val="18"/>
                <w:szCs w:val="18"/>
                <w:color w:val="auto"/>
              </w:rPr>
              <w:t>161</w:t>
            </w:r>
          </w:p>
        </w:tc>
        <w:tc>
          <w:tcPr>
            <w:tcW w:w="11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372</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Customer data includes residential and business customers.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Communications segment leverages our existing cable distribution system to grow revenue by, among other things, adding new customers, encouraging existing video and high-speed Internet services customers to add new or higher tier services or subscribe to our voice services, and growing newer services, such as business services. We offer our cable services in bundles and often provide promotional incentives. We seek to balance promotional offers and rate increases with their expected effects on the number of customers and overall revenue.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Video revenue increased 2.7% and 3.2% for the three and six months ended June 30, 2013, respectively, compared to the same periods in 2012 primarily due to increases in both periods of approximately 5% from higher rates reflecting the effects of price adjustments and customers receiving additional and higher levels of service. As of June 30, 2013, the number of customers who subscribed to our advanced services, such as HDTV and DVR services, increased 6% to approximately 12 million customers compared to the same period in prior year. In both periods, the increases in revenue were partially offset by an approximate 2% decrease due to fewer residential video customers.</w:t>
      </w:r>
    </w:p>
    <w:p>
      <w:pPr>
        <w:spacing w:after="0" w:line="4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For the three and six months ended June 30, 2013, the number of residential video customers decreased primarily due to competitive pressures in our service areas and the impact of rate adjustments. We may experience further declines in the number of residential video customers.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High-speed Internet revenue increased 8.0% and 8.3% for the three and six months ended June 30, 2013, respectively, compared to the same periods in 2012 due to increases in both periods of approximately 6% from a higher number of residential customers receiving our service and approximately 2% from higher rates reflecting the effect of price adjustments and additional customers receiving higher levels of service. Our customer base continues to grow as consumers continue to choose our high-speed Internet service and seek higher speed offerings.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Voice revenue increased 2.4% and 2.5% for the three and six months ended June 30, 2013, respectively, compared to the same periods in 2012 primarily due to increases of approximately 6% and 5%, respectively, from a higher number of residential customers receiving our service through our discounted bundled offerings. This increase was partially offset in both periods by the impact of the allocation of voice revenue for our bundled customers, because revenue attributable to voice services represents a lower proportion of the bundled rate. The amounts allocated to voice revenue in the bundled rate have decreased because video and high-speed Internet rates have increased, while voice rates have remained relatively flat.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Business services revenue increased 26.4% and 26.9% for the three and six months ended June 30, 2013, respectively, compared to the same periods in 2012 primarily due to increases in both periods in the number of business customers, as well as our continued expansion of services to medium-sized business customers, which include Ethernet and cellular backhaul services. Because business services is a newer offering, we believe the increase in business customers is primarily the result of our efforts to gain share from competitors.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increased 1.2% and 1.9% for the three and six months ended June 30, 2013, respectively, compared to the same periods in 2012 primarily due to improvements in both periods in the national and regional advertising markets, partially offset by decreases in both periods of 4% and 3%, respectively, from the absence of political advertising revenue in the current year periods.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increased 12.3% and 10.9% for the three and six months ended June 30, 2013, respectively, compared to the same periods in 2012 primarily due to increases in franchise and other regulatory fees and in revenue from other services.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Programming costs increased for the three and six months ended June 30, 2013 compared to the same periods in 2012 primarily due to increases in programming license fees and fees to secure rights for additional programming for our customers. Technical and product support expenses increased for the three and six months ended June 30, 2013 compared to the same periods in 2012 primarily due to expenses related to customer fulfillment activities and expenses related to the development, delivery and support of our products and services. Customer service expenses increased for the three and six months ended June 30, 2013 compared to the same periods in 2012 primarily due to increases in total labor costs associated with increases in customer service activity. Advertising, marketing and promotion expenses increased for the three and six months ended June 30, 2013 compared to the same periods in 2012 primarily due to increases in spending associated with the continued expansion of residential and business services, including X1 and our home security and automation services, and costs associated with branding and competitive marketing. Franchise and other regulatory fees increased for the three and six months ended June 30, 2013 compared to the same periods in 2012 primarily due to increases in residential and business services revenue. Other costs and expenses increased for the three and six months ended June 30, 2013 compared to the same periods in 2012 primarily due to increases in other administrative costs and advertising sales activities.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3"/>
          </w:tcPr>
          <w:p>
            <w:pPr>
              <w:jc w:val="right"/>
              <w:ind w:right="334"/>
              <w:spacing w:after="0"/>
              <w:rPr>
                <w:sz w:val="20"/>
                <w:szCs w:val="20"/>
                <w:color w:val="auto"/>
              </w:rPr>
            </w:pPr>
            <w:r>
              <w:rPr>
                <w:rFonts w:ascii="Arial" w:cs="Arial" w:eastAsia="Arial" w:hAnsi="Arial"/>
                <w:sz w:val="14"/>
                <w:szCs w:val="14"/>
                <w:color w:val="auto"/>
                <w:w w:val="90"/>
              </w:rPr>
              <w:t>Three Months Ended</w:t>
            </w:r>
          </w:p>
        </w:tc>
        <w:tc>
          <w:tcPr>
            <w:tcW w:w="1660" w:type="dxa"/>
            <w:vAlign w:val="bottom"/>
            <w:gridSpan w:val="2"/>
          </w:tcPr>
          <w:p>
            <w:pPr>
              <w:jc w:val="right"/>
              <w:ind w:right="51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5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4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47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5300" w:type="dxa"/>
            <w:vAlign w:val="bottom"/>
            <w:tcBorders>
              <w:bottom w:val="single" w:sz="8" w:color="auto"/>
            </w:tcBorders>
            <w:vMerge w:val="continue"/>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color w:val="auto"/>
                <w:w w:val="89"/>
              </w:rPr>
              <w:t>2013</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w w:val="89"/>
              </w:rPr>
              <w:t>2012</w:t>
            </w:r>
          </w:p>
        </w:tc>
        <w:tc>
          <w:tcPr>
            <w:tcW w:w="8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w w:val="93"/>
              </w:rPr>
              <w:t>2,413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54"/>
              <w:spacing w:after="0"/>
              <w:rPr>
                <w:sz w:val="20"/>
                <w:szCs w:val="20"/>
                <w:color w:val="auto"/>
              </w:rPr>
            </w:pPr>
            <w:r>
              <w:rPr>
                <w:rFonts w:ascii="Arial" w:cs="Arial" w:eastAsia="Arial" w:hAnsi="Arial"/>
                <w:sz w:val="18"/>
                <w:szCs w:val="18"/>
                <w:color w:val="auto"/>
                <w:w w:val="88"/>
              </w:rPr>
              <w:t>2,240</w:t>
            </w:r>
          </w:p>
        </w:tc>
        <w:tc>
          <w:tcPr>
            <w:tcW w:w="820" w:type="dxa"/>
            <w:vAlign w:val="bottom"/>
          </w:tcPr>
          <w:p>
            <w:pPr>
              <w:jc w:val="right"/>
              <w:ind w:right="176"/>
              <w:spacing w:after="0"/>
              <w:rPr>
                <w:sz w:val="20"/>
                <w:szCs w:val="20"/>
                <w:color w:val="auto"/>
              </w:rPr>
            </w:pPr>
            <w:r>
              <w:rPr>
                <w:rFonts w:ascii="Arial" w:cs="Arial" w:eastAsia="Arial" w:hAnsi="Arial"/>
                <w:sz w:val="18"/>
                <w:szCs w:val="18"/>
                <w:color w:val="auto"/>
              </w:rPr>
              <w:t>$173</w:t>
            </w: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w w:val="93"/>
              </w:rPr>
              <w:t>1,732</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8"/>
              </w:rPr>
              <w:t>1,552</w:t>
            </w:r>
          </w:p>
        </w:tc>
        <w:tc>
          <w:tcPr>
            <w:tcW w:w="8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180</w:t>
            </w:r>
          </w:p>
        </w:tc>
        <w:tc>
          <w:tcPr>
            <w:tcW w:w="8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16"/>
              <w:spacing w:after="0"/>
              <w:rPr>
                <w:sz w:val="20"/>
                <w:szCs w:val="20"/>
                <w:color w:val="auto"/>
              </w:rPr>
            </w:pPr>
            <w:r>
              <w:rPr>
                <w:rFonts w:ascii="Arial" w:cs="Arial" w:eastAsia="Arial" w:hAnsi="Arial"/>
                <w:sz w:val="18"/>
                <w:szCs w:val="18"/>
                <w:color w:val="auto"/>
                <w:w w:val="93"/>
              </w:rPr>
              <w:t>1,388</w:t>
            </w:r>
          </w:p>
        </w:tc>
        <w:tc>
          <w:tcPr>
            <w:tcW w:w="12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w w:val="88"/>
              </w:rPr>
              <w:t>1,231</w:t>
            </w:r>
          </w:p>
        </w:tc>
        <w:tc>
          <w:tcPr>
            <w:tcW w:w="820" w:type="dxa"/>
            <w:vAlign w:val="bottom"/>
          </w:tcPr>
          <w:p>
            <w:pPr>
              <w:jc w:val="right"/>
              <w:ind w:right="176"/>
              <w:spacing w:after="0"/>
              <w:rPr>
                <w:sz w:val="20"/>
                <w:szCs w:val="20"/>
                <w:color w:val="auto"/>
              </w:rPr>
            </w:pPr>
            <w:r>
              <w:rPr>
                <w:rFonts w:ascii="Arial" w:cs="Arial" w:eastAsia="Arial" w:hAnsi="Arial"/>
                <w:sz w:val="18"/>
                <w:szCs w:val="18"/>
                <w:color w:val="auto"/>
              </w:rPr>
              <w:t>157</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539</w:t>
            </w:r>
          </w:p>
        </w:tc>
        <w:tc>
          <w:tcPr>
            <w:tcW w:w="8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7</w:t>
            </w:r>
          </w:p>
        </w:tc>
        <w:tc>
          <w:tcPr>
            <w:tcW w:w="8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2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(58)</w:t>
            </w: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(26)</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84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16"/>
              <w:spacing w:after="0"/>
              <w:rPr>
                <w:sz w:val="20"/>
                <w:szCs w:val="20"/>
                <w:color w:val="auto"/>
              </w:rPr>
            </w:pPr>
            <w:r>
              <w:rPr>
                <w:rFonts w:ascii="Arial" w:cs="Arial" w:eastAsia="Arial" w:hAnsi="Arial"/>
                <w:sz w:val="18"/>
                <w:szCs w:val="18"/>
                <w:b w:val="1"/>
                <w:bCs w:val="1"/>
                <w:color w:val="auto"/>
                <w:w w:val="93"/>
              </w:rPr>
              <w:t>5,995</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88"/>
              </w:rPr>
              <w:t>5,504</w:t>
            </w:r>
          </w:p>
        </w:tc>
        <w:tc>
          <w:tcPr>
            <w:tcW w:w="82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$491</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w w:val="97"/>
              </w:rPr>
              <w:t>Operating Income (Loss) Before Depreciation and Amortization</w:t>
            </w:r>
          </w:p>
        </w:tc>
        <w:tc>
          <w:tcPr>
            <w:tcW w:w="2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8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790</w:t>
            </w:r>
          </w:p>
        </w:tc>
        <w:tc>
          <w:tcPr>
            <w:tcW w:w="8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$ 70</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2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194</w:t>
            </w:r>
          </w:p>
        </w:tc>
        <w:tc>
          <w:tcPr>
            <w:tcW w:w="820" w:type="dxa"/>
            <w:vAlign w:val="bottom"/>
          </w:tcPr>
          <w:p>
            <w:pPr>
              <w:jc w:val="right"/>
              <w:ind w:right="176"/>
              <w:spacing w:after="0"/>
              <w:rPr>
                <w:sz w:val="20"/>
                <w:szCs w:val="20"/>
                <w:color w:val="auto"/>
              </w:rPr>
            </w:pPr>
            <w:r>
              <w:rPr>
                <w:rFonts w:ascii="Arial" w:cs="Arial" w:eastAsia="Arial" w:hAnsi="Arial"/>
                <w:sz w:val="18"/>
                <w:szCs w:val="18"/>
                <w:color w:val="auto"/>
              </w:rPr>
              <w:t>12</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2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33</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(83)</w:t>
            </w:r>
          </w:p>
        </w:tc>
        <w:tc>
          <w:tcPr>
            <w:tcW w:w="8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116</w:t>
            </w:r>
          </w:p>
        </w:tc>
        <w:tc>
          <w:tcPr>
            <w:tcW w:w="8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2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235</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(4)</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24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(154)</w:t>
            </w:r>
          </w:p>
        </w:tc>
        <w:tc>
          <w:tcPr>
            <w:tcW w:w="82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15</w:t>
            </w:r>
          </w:p>
        </w:tc>
        <w:tc>
          <w:tcPr>
            <w:tcW w:w="8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Total operating income (loss) before depreciation and amortization</w:t>
            </w:r>
          </w:p>
        </w:tc>
        <w:tc>
          <w:tcPr>
            <w:tcW w:w="2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b w:val="1"/>
                <w:bCs w:val="1"/>
                <w:color w:val="auto"/>
                <w:w w:val="93"/>
              </w:rPr>
              <w:t>1,191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982</w:t>
            </w: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$209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363"/>
        </w:trPr>
        <w:tc>
          <w:tcPr>
            <w:tcW w:w="5300" w:type="dxa"/>
            <w:vAlign w:val="bottom"/>
          </w:tcPr>
          <w:p>
            <w:pPr>
              <w:spacing w:after="0"/>
              <w:rPr>
                <w:sz w:val="24"/>
                <w:szCs w:val="24"/>
                <w:color w:val="auto"/>
              </w:rPr>
            </w:pPr>
          </w:p>
        </w:tc>
        <w:tc>
          <w:tcPr>
            <w:tcW w:w="2420" w:type="dxa"/>
            <w:vAlign w:val="bottom"/>
          </w:tcPr>
          <w:p>
            <w:pPr>
              <w:jc w:val="right"/>
              <w:ind w:right="1812"/>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3"/>
          </w:tcPr>
          <w:p>
            <w:pPr>
              <w:jc w:val="right"/>
              <w:ind w:right="534"/>
              <w:spacing w:after="0"/>
              <w:rPr>
                <w:sz w:val="20"/>
                <w:szCs w:val="20"/>
                <w:color w:val="auto"/>
              </w:rPr>
            </w:pPr>
            <w:r>
              <w:rPr>
                <w:rFonts w:ascii="Arial" w:cs="Arial" w:eastAsia="Arial" w:hAnsi="Arial"/>
                <w:sz w:val="14"/>
                <w:szCs w:val="14"/>
                <w:color w:val="auto"/>
              </w:rPr>
              <w:t>Six Months Ended</w:t>
            </w:r>
          </w:p>
        </w:tc>
        <w:tc>
          <w:tcPr>
            <w:tcW w:w="1220" w:type="dxa"/>
            <w:vAlign w:val="bottom"/>
          </w:tcPr>
          <w:p>
            <w:pPr>
              <w:jc w:val="right"/>
              <w:spacing w:after="0"/>
              <w:rPr>
                <w:sz w:val="20"/>
                <w:szCs w:val="20"/>
                <w:color w:val="auto"/>
              </w:rPr>
            </w:pPr>
            <w:r>
              <w:rPr>
                <w:rFonts w:ascii="Arial" w:cs="Arial" w:eastAsia="Arial" w:hAnsi="Arial"/>
                <w:sz w:val="14"/>
                <w:szCs w:val="14"/>
                <w:color w:val="auto"/>
              </w:rPr>
              <w:t>Increase/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2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(Decrease)</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6"/>
              <w:spacing w:after="0" w:line="142" w:lineRule="exact"/>
              <w:rPr>
                <w:sz w:val="20"/>
                <w:szCs w:val="20"/>
                <w:color w:val="auto"/>
              </w:rPr>
            </w:pPr>
            <w:r>
              <w:rPr>
                <w:rFonts w:ascii="Arial" w:cs="Arial" w:eastAsia="Arial" w:hAnsi="Arial"/>
                <w:sz w:val="14"/>
                <w:szCs w:val="14"/>
                <w:color w:val="auto"/>
              </w:rPr>
              <w:t>2013</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2012</w:t>
            </w:r>
          </w:p>
        </w:tc>
        <w:tc>
          <w:tcPr>
            <w:tcW w:w="1220" w:type="dxa"/>
            <w:vAlign w:val="bottom"/>
            <w:tcBorders>
              <w:bottom w:val="single" w:sz="8" w:color="auto"/>
            </w:tcBorders>
          </w:tcPr>
          <w:p>
            <w:pPr>
              <w:jc w:val="right"/>
              <w:ind w:right="67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6"/>
              <w:spacing w:after="0"/>
              <w:rPr>
                <w:sz w:val="20"/>
                <w:szCs w:val="20"/>
                <w:color w:val="auto"/>
              </w:rPr>
            </w:pPr>
            <w:r>
              <w:rPr>
                <w:rFonts w:ascii="Arial" w:cs="Arial" w:eastAsia="Arial" w:hAnsi="Arial"/>
                <w:sz w:val="18"/>
                <w:szCs w:val="18"/>
                <w:color w:val="auto"/>
              </w:rPr>
              <w:t>4,638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4,368</w:t>
            </w:r>
          </w:p>
        </w:tc>
        <w:tc>
          <w:tcPr>
            <w:tcW w:w="1220" w:type="dxa"/>
            <w:vAlign w:val="bottom"/>
          </w:tcPr>
          <w:p>
            <w:pPr>
              <w:jc w:val="right"/>
              <w:ind w:right="496"/>
              <w:spacing w:after="0"/>
              <w:rPr>
                <w:sz w:val="20"/>
                <w:szCs w:val="20"/>
                <w:color w:val="auto"/>
              </w:rPr>
            </w:pPr>
            <w:r>
              <w:rPr>
                <w:rFonts w:ascii="Arial" w:cs="Arial" w:eastAsia="Arial" w:hAnsi="Arial"/>
                <w:sz w:val="18"/>
                <w:szCs w:val="18"/>
                <w:color w:val="auto"/>
              </w:rPr>
              <w:t>$ 270</w:t>
            </w: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5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6"/>
              <w:spacing w:after="0"/>
              <w:rPr>
                <w:sz w:val="20"/>
                <w:szCs w:val="20"/>
                <w:color w:val="auto"/>
              </w:rPr>
            </w:pPr>
            <w:r>
              <w:rPr>
                <w:rFonts w:ascii="Arial" w:cs="Arial" w:eastAsia="Arial" w:hAnsi="Arial"/>
                <w:sz w:val="18"/>
                <w:szCs w:val="18"/>
                <w:color w:val="auto"/>
              </w:rPr>
              <w:t>3,249</w:t>
            </w:r>
          </w:p>
        </w:tc>
        <w:tc>
          <w:tcPr>
            <w:tcW w:w="1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3,413</w:t>
            </w:r>
          </w:p>
        </w:tc>
        <w:tc>
          <w:tcPr>
            <w:tcW w:w="122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rPr>
              <w:t>(164)</w:t>
            </w:r>
          </w:p>
        </w:tc>
        <w:tc>
          <w:tcPr>
            <w:tcW w:w="6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500" w:type="dxa"/>
            <w:vAlign w:val="bottom"/>
          </w:tcPr>
          <w:p>
            <w:pPr>
              <w:spacing w:after="0"/>
              <w:rPr>
                <w:sz w:val="18"/>
                <w:szCs w:val="18"/>
                <w:color w:val="auto"/>
              </w:rPr>
            </w:pPr>
          </w:p>
        </w:tc>
        <w:tc>
          <w:tcPr>
            <w:tcW w:w="980" w:type="dxa"/>
            <w:vAlign w:val="bottom"/>
          </w:tcPr>
          <w:p>
            <w:pPr>
              <w:jc w:val="right"/>
              <w:ind w:right="396"/>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2,423</w:t>
            </w:r>
          </w:p>
        </w:tc>
        <w:tc>
          <w:tcPr>
            <w:tcW w:w="1220" w:type="dxa"/>
            <w:vAlign w:val="bottom"/>
          </w:tcPr>
          <w:p>
            <w:pPr>
              <w:jc w:val="right"/>
              <w:ind w:right="496"/>
              <w:spacing w:after="0"/>
              <w:rPr>
                <w:sz w:val="20"/>
                <w:szCs w:val="20"/>
                <w:color w:val="auto"/>
              </w:rPr>
            </w:pPr>
            <w:r>
              <w:rPr>
                <w:rFonts w:ascii="Arial" w:cs="Arial" w:eastAsia="Arial" w:hAnsi="Arial"/>
                <w:sz w:val="18"/>
                <w:szCs w:val="18"/>
                <w:color w:val="auto"/>
              </w:rPr>
              <w:t>181</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5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6"/>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951</w:t>
            </w:r>
          </w:p>
        </w:tc>
        <w:tc>
          <w:tcPr>
            <w:tcW w:w="122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57</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(179)</w:t>
            </w: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rPr>
              <w:t>15</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7"/>
        </w:trPr>
        <w:tc>
          <w:tcPr>
            <w:tcW w:w="7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396"/>
              <w:spacing w:after="0"/>
              <w:rPr>
                <w:sz w:val="20"/>
                <w:szCs w:val="20"/>
                <w:color w:val="auto"/>
              </w:rPr>
            </w:pPr>
            <w:r>
              <w:rPr>
                <w:rFonts w:ascii="Arial" w:cs="Arial" w:eastAsia="Arial" w:hAnsi="Arial"/>
                <w:sz w:val="18"/>
                <w:szCs w:val="18"/>
                <w:b w:val="1"/>
                <w:bCs w:val="1"/>
                <w:color w:val="auto"/>
                <w:w w:val="87"/>
              </w:rPr>
              <w:t>11,335</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w w:val="83"/>
              </w:rPr>
              <w:t>10,976</w:t>
            </w:r>
          </w:p>
        </w:tc>
        <w:tc>
          <w:tcPr>
            <w:tcW w:w="1220" w:type="dxa"/>
            <w:vAlign w:val="bottom"/>
            <w:tcBorders>
              <w:bottom w:val="single" w:sz="8" w:color="auto"/>
            </w:tcBorders>
            <w:shd w:val="clear" w:color="auto" w:fill="E5E5E5"/>
          </w:tcPr>
          <w:p>
            <w:pPr>
              <w:jc w:val="right"/>
              <w:ind w:right="496"/>
              <w:spacing w:after="0"/>
              <w:rPr>
                <w:sz w:val="20"/>
                <w:szCs w:val="20"/>
                <w:color w:val="auto"/>
              </w:rPr>
            </w:pPr>
            <w:r>
              <w:rPr>
                <w:rFonts w:ascii="Arial" w:cs="Arial" w:eastAsia="Arial" w:hAnsi="Arial"/>
                <w:sz w:val="18"/>
                <w:szCs w:val="18"/>
                <w:b w:val="1"/>
                <w:bCs w:val="1"/>
                <w:color w:val="auto"/>
              </w:rPr>
              <w:t>$ 359</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396"/>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1,599</w:t>
            </w:r>
          </w:p>
        </w:tc>
        <w:tc>
          <w:tcPr>
            <w:tcW w:w="122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$ 120</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500" w:type="dxa"/>
            <w:vAlign w:val="bottom"/>
          </w:tcPr>
          <w:p>
            <w:pPr>
              <w:spacing w:after="0"/>
              <w:rPr>
                <w:sz w:val="18"/>
                <w:szCs w:val="18"/>
                <w:color w:val="auto"/>
              </w:rPr>
            </w:pPr>
          </w:p>
        </w:tc>
        <w:tc>
          <w:tcPr>
            <w:tcW w:w="980" w:type="dxa"/>
            <w:vAlign w:val="bottom"/>
          </w:tcPr>
          <w:p>
            <w:pPr>
              <w:jc w:val="right"/>
              <w:ind w:right="396"/>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180</w:t>
            </w:r>
          </w:p>
        </w:tc>
        <w:tc>
          <w:tcPr>
            <w:tcW w:w="1220" w:type="dxa"/>
            <w:vAlign w:val="bottom"/>
          </w:tcPr>
          <w:p>
            <w:pPr>
              <w:jc w:val="right"/>
              <w:ind w:right="436"/>
              <w:spacing w:after="0"/>
              <w:rPr>
                <w:sz w:val="20"/>
                <w:szCs w:val="20"/>
                <w:color w:val="auto"/>
              </w:rPr>
            </w:pPr>
            <w:r>
              <w:rPr>
                <w:rFonts w:ascii="Arial" w:cs="Arial" w:eastAsia="Arial" w:hAnsi="Arial"/>
                <w:sz w:val="18"/>
                <w:szCs w:val="18"/>
                <w:color w:val="auto"/>
              </w:rPr>
              <w:t>(9)</w:t>
            </w:r>
          </w:p>
        </w:tc>
        <w:tc>
          <w:tcPr>
            <w:tcW w:w="62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5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6"/>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(77)</w:t>
            </w:r>
          </w:p>
        </w:tc>
        <w:tc>
          <w:tcPr>
            <w:tcW w:w="122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179</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4"/>
              </w:rPr>
              <w:t>233.5</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500" w:type="dxa"/>
            <w:vAlign w:val="bottom"/>
          </w:tcPr>
          <w:p>
            <w:pPr>
              <w:spacing w:after="0"/>
              <w:rPr>
                <w:sz w:val="18"/>
                <w:szCs w:val="18"/>
                <w:color w:val="auto"/>
              </w:rPr>
            </w:pPr>
          </w:p>
        </w:tc>
        <w:tc>
          <w:tcPr>
            <w:tcW w:w="980" w:type="dxa"/>
            <w:vAlign w:val="bottom"/>
          </w:tcPr>
          <w:p>
            <w:pPr>
              <w:jc w:val="right"/>
              <w:ind w:right="396"/>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392</w:t>
            </w:r>
          </w:p>
        </w:tc>
        <w:tc>
          <w:tcPr>
            <w:tcW w:w="1220" w:type="dxa"/>
            <w:vAlign w:val="bottom"/>
          </w:tcPr>
          <w:p>
            <w:pPr>
              <w:jc w:val="right"/>
              <w:ind w:right="496"/>
              <w:spacing w:after="0"/>
              <w:rPr>
                <w:sz w:val="20"/>
                <w:szCs w:val="20"/>
                <w:color w:val="auto"/>
              </w:rPr>
            </w:pPr>
            <w:r>
              <w:rPr>
                <w:rFonts w:ascii="Arial" w:cs="Arial" w:eastAsia="Arial" w:hAnsi="Arial"/>
                <w:sz w:val="18"/>
                <w:szCs w:val="18"/>
                <w:color w:val="auto"/>
              </w:rPr>
              <w:t>12</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5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(299)</w:t>
            </w:r>
          </w:p>
        </w:tc>
        <w:tc>
          <w:tcPr>
            <w:tcW w:w="1220" w:type="dxa"/>
            <w:vAlign w:val="bottom"/>
            <w:tcBorders>
              <w:bottom w:val="single" w:sz="8" w:color="auto"/>
            </w:tcBorders>
            <w:shd w:val="clear" w:color="auto" w:fill="E5E5E5"/>
          </w:tcPr>
          <w:p>
            <w:pPr>
              <w:jc w:val="right"/>
              <w:ind w:right="496"/>
              <w:spacing w:after="0"/>
              <w:rPr>
                <w:sz w:val="20"/>
                <w:szCs w:val="20"/>
                <w:color w:val="auto"/>
              </w:rPr>
            </w:pPr>
            <w:r>
              <w:rPr>
                <w:rFonts w:ascii="Arial" w:cs="Arial" w:eastAsia="Arial" w:hAnsi="Arial"/>
                <w:sz w:val="18"/>
                <w:szCs w:val="18"/>
                <w:color w:val="auto"/>
              </w:rPr>
              <w:t>47</w:t>
            </w: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7"/>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(loss) before depreciation and amortization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b w:val="1"/>
                <w:bCs w:val="1"/>
                <w:color w:val="auto"/>
              </w:rPr>
              <w:t>2,144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1,795</w:t>
            </w: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b w:val="1"/>
                <w:bCs w:val="1"/>
                <w:color w:val="auto"/>
              </w:rPr>
              <w:t>$ 349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40" w:type="dxa"/>
            <w:vAlign w:val="bottom"/>
            <w:gridSpan w:val="3"/>
          </w:tcPr>
          <w:p>
            <w:pPr>
              <w:jc w:val="center"/>
              <w:ind w:left="72"/>
              <w:spacing w:after="0"/>
              <w:rPr>
                <w:sz w:val="20"/>
                <w:szCs w:val="20"/>
                <w:color w:val="auto"/>
              </w:rPr>
            </w:pPr>
            <w:r>
              <w:rPr>
                <w:rFonts w:ascii="Arial" w:cs="Arial" w:eastAsia="Arial" w:hAnsi="Arial"/>
                <w:sz w:val="14"/>
                <w:szCs w:val="14"/>
                <w:color w:val="auto"/>
                <w:w w:val="87"/>
              </w:rPr>
              <w:t>Three Months Ended</w:t>
            </w:r>
          </w:p>
        </w:tc>
        <w:tc>
          <w:tcPr>
            <w:tcW w:w="340" w:type="dxa"/>
            <w:vAlign w:val="bottom"/>
          </w:tcPr>
          <w:p>
            <w:pPr>
              <w:spacing w:after="0"/>
              <w:rPr>
                <w:sz w:val="14"/>
                <w:szCs w:val="14"/>
                <w:color w:val="auto"/>
              </w:rPr>
            </w:pPr>
          </w:p>
        </w:tc>
        <w:tc>
          <w:tcPr>
            <w:tcW w:w="840" w:type="dxa"/>
            <w:vAlign w:val="bottom"/>
          </w:tcPr>
          <w:p>
            <w:pPr>
              <w:jc w:val="center"/>
              <w:ind w:left="158"/>
              <w:spacing w:after="0"/>
              <w:rPr>
                <w:sz w:val="20"/>
                <w:szCs w:val="20"/>
                <w:color w:val="auto"/>
              </w:rPr>
            </w:pPr>
            <w:r>
              <w:rPr>
                <w:rFonts w:ascii="Arial" w:cs="Arial" w:eastAsia="Arial" w:hAnsi="Arial"/>
                <w:sz w:val="14"/>
                <w:szCs w:val="14"/>
                <w:color w:val="auto"/>
                <w:w w:val="83"/>
              </w:rPr>
              <w:t>Increase/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5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left="138"/>
              <w:spacing w:after="0" w:line="159" w:lineRule="exact"/>
              <w:rPr>
                <w:sz w:val="20"/>
                <w:szCs w:val="20"/>
                <w:color w:val="auto"/>
              </w:rPr>
            </w:pPr>
            <w:r>
              <w:rPr>
                <w:rFonts w:ascii="Arial" w:cs="Arial" w:eastAsia="Arial" w:hAnsi="Arial"/>
                <w:sz w:val="14"/>
                <w:szCs w:val="14"/>
                <w:color w:val="auto"/>
                <w:w w:val="83"/>
              </w:rPr>
              <w:t>(Decrease)</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2013</w:t>
            </w:r>
          </w:p>
        </w:tc>
        <w:tc>
          <w:tcPr>
            <w:tcW w:w="600" w:type="dxa"/>
            <w:vAlign w:val="bottom"/>
          </w:tcPr>
          <w:p>
            <w:pPr>
              <w:spacing w:after="0"/>
              <w:rPr>
                <w:sz w:val="12"/>
                <w:szCs w:val="12"/>
                <w:color w:val="auto"/>
              </w:rPr>
            </w:pPr>
          </w:p>
        </w:tc>
        <w:tc>
          <w:tcPr>
            <w:tcW w:w="680" w:type="dxa"/>
            <w:vAlign w:val="bottom"/>
          </w:tcPr>
          <w:p>
            <w:pPr>
              <w:jc w:val="right"/>
              <w:ind w:right="314"/>
              <w:spacing w:after="0" w:line="142" w:lineRule="exact"/>
              <w:rPr>
                <w:sz w:val="20"/>
                <w:szCs w:val="20"/>
                <w:color w:val="auto"/>
              </w:rPr>
            </w:pPr>
            <w:r>
              <w:rPr>
                <w:rFonts w:ascii="Arial" w:cs="Arial" w:eastAsia="Arial" w:hAnsi="Arial"/>
                <w:sz w:val="14"/>
                <w:szCs w:val="14"/>
                <w:color w:val="auto"/>
                <w:w w:val="83"/>
              </w:rPr>
              <w:t>2012</w:t>
            </w:r>
          </w:p>
        </w:tc>
        <w:tc>
          <w:tcPr>
            <w:tcW w:w="340" w:type="dxa"/>
            <w:vAlign w:val="bottom"/>
          </w:tcPr>
          <w:p>
            <w:pPr>
              <w:spacing w:after="0"/>
              <w:rPr>
                <w:sz w:val="12"/>
                <w:szCs w:val="12"/>
                <w:color w:val="auto"/>
              </w:rPr>
            </w:pPr>
          </w:p>
        </w:tc>
        <w:tc>
          <w:tcPr>
            <w:tcW w:w="840" w:type="dxa"/>
            <w:vAlign w:val="bottom"/>
          </w:tcPr>
          <w:p>
            <w:pPr>
              <w:jc w:val="right"/>
              <w:ind w:right="638"/>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4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$ 1,219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w w:val="88"/>
              </w:rPr>
              <w:t>1,167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98"/>
              <w:spacing w:after="0"/>
              <w:rPr>
                <w:sz w:val="20"/>
                <w:szCs w:val="20"/>
                <w:color w:val="auto"/>
              </w:rPr>
            </w:pPr>
            <w:r>
              <w:rPr>
                <w:rFonts w:ascii="Arial" w:cs="Arial" w:eastAsia="Arial" w:hAnsi="Arial"/>
                <w:sz w:val="18"/>
                <w:szCs w:val="18"/>
                <w:color w:val="auto"/>
              </w:rPr>
              <w:t>52</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35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966</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915</w:t>
            </w:r>
          </w:p>
        </w:tc>
        <w:tc>
          <w:tcPr>
            <w:tcW w:w="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98"/>
              <w:spacing w:after="0"/>
              <w:rPr>
                <w:sz w:val="20"/>
                <w:szCs w:val="20"/>
                <w:color w:val="auto"/>
              </w:rPr>
            </w:pPr>
            <w:r>
              <w:rPr>
                <w:rFonts w:ascii="Arial" w:cs="Arial" w:eastAsia="Arial" w:hAnsi="Arial"/>
                <w:sz w:val="18"/>
                <w:szCs w:val="18"/>
                <w:color w:val="auto"/>
              </w:rPr>
              <w:t>51</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3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228</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158</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color w:val="auto"/>
              </w:rPr>
              <w:t>70</w:t>
            </w: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1"/>
              </w:rPr>
              <w:t>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50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2,413</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2,240</w:t>
            </w:r>
          </w:p>
        </w:tc>
        <w:tc>
          <w:tcPr>
            <w:tcW w:w="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98"/>
              <w:spacing w:after="0"/>
              <w:rPr>
                <w:sz w:val="20"/>
                <w:szCs w:val="20"/>
                <w:color w:val="auto"/>
              </w:rPr>
            </w:pPr>
            <w:r>
              <w:rPr>
                <w:rFonts w:ascii="Arial" w:cs="Arial" w:eastAsia="Arial" w:hAnsi="Arial"/>
                <w:sz w:val="18"/>
                <w:szCs w:val="18"/>
                <w:b w:val="1"/>
                <w:bCs w:val="1"/>
                <w:color w:val="auto"/>
                <w:w w:val="79"/>
              </w:rPr>
              <w:t>173</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35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1,084</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992</w:t>
            </w:r>
          </w:p>
        </w:tc>
        <w:tc>
          <w:tcPr>
            <w:tcW w:w="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98"/>
              <w:spacing w:after="0"/>
              <w:rPr>
                <w:sz w:val="20"/>
                <w:szCs w:val="20"/>
                <w:color w:val="auto"/>
              </w:rPr>
            </w:pPr>
            <w:r>
              <w:rPr>
                <w:rFonts w:ascii="Arial" w:cs="Arial" w:eastAsia="Arial" w:hAnsi="Arial"/>
                <w:sz w:val="18"/>
                <w:szCs w:val="18"/>
                <w:color w:val="auto"/>
              </w:rPr>
              <w:t>92</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600" w:type="dxa"/>
            <w:vAlign w:val="bottom"/>
          </w:tcPr>
          <w:p>
            <w:pPr>
              <w:spacing w:after="0"/>
              <w:rPr>
                <w:sz w:val="18"/>
                <w:szCs w:val="18"/>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320</w:t>
            </w:r>
          </w:p>
        </w:tc>
        <w:tc>
          <w:tcPr>
            <w:tcW w:w="340" w:type="dxa"/>
            <w:vAlign w:val="bottom"/>
          </w:tcPr>
          <w:p>
            <w:pPr>
              <w:spacing w:after="0"/>
              <w:rPr>
                <w:sz w:val="18"/>
                <w:szCs w:val="18"/>
                <w:color w:val="auto"/>
              </w:rPr>
            </w:pPr>
          </w:p>
        </w:tc>
        <w:tc>
          <w:tcPr>
            <w:tcW w:w="840" w:type="dxa"/>
            <w:vAlign w:val="bottom"/>
          </w:tcPr>
          <w:p>
            <w:pPr>
              <w:jc w:val="right"/>
              <w:ind w:right="498"/>
              <w:spacing w:after="0"/>
              <w:rPr>
                <w:sz w:val="20"/>
                <w:szCs w:val="20"/>
                <w:color w:val="auto"/>
              </w:rPr>
            </w:pPr>
            <w:r>
              <w:rPr>
                <w:rFonts w:ascii="Arial" w:cs="Arial" w:eastAsia="Arial" w:hAnsi="Arial"/>
                <w:sz w:val="18"/>
                <w:szCs w:val="18"/>
                <w:color w:val="auto"/>
              </w:rPr>
              <w:t>14</w:t>
            </w:r>
          </w:p>
        </w:tc>
        <w:tc>
          <w:tcPr>
            <w:tcW w:w="560" w:type="dxa"/>
            <w:vAlign w:val="bottom"/>
          </w:tcPr>
          <w:p>
            <w:pPr>
              <w:jc w:val="right"/>
              <w:ind w:right="13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5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135</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438"/>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7"/>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3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1,553</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8"/>
              </w:rPr>
              <w:t>1,450</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color w:val="auto"/>
                <w:w w:val="79"/>
              </w:rPr>
              <w:t>103</w:t>
            </w: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5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  860</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790</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498"/>
              <w:spacing w:after="0"/>
              <w:rPr>
                <w:sz w:val="20"/>
                <w:szCs w:val="20"/>
                <w:color w:val="auto"/>
              </w:rPr>
            </w:pPr>
            <w:r>
              <w:rPr>
                <w:rFonts w:ascii="Arial" w:cs="Arial" w:eastAsia="Arial" w:hAnsi="Arial"/>
                <w:sz w:val="18"/>
                <w:szCs w:val="18"/>
                <w:b w:val="1"/>
                <w:bCs w:val="1"/>
                <w:color w:val="auto"/>
              </w:rPr>
              <w:t>70</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240" w:type="dxa"/>
            <w:vAlign w:val="bottom"/>
            <w:gridSpan w:val="3"/>
          </w:tcPr>
          <w:p>
            <w:pPr>
              <w:jc w:val="center"/>
              <w:ind w:left="72"/>
              <w:spacing w:after="0"/>
              <w:rPr>
                <w:sz w:val="20"/>
                <w:szCs w:val="20"/>
                <w:color w:val="auto"/>
              </w:rPr>
            </w:pPr>
            <w:r>
              <w:rPr>
                <w:rFonts w:ascii="Arial" w:cs="Arial" w:eastAsia="Arial" w:hAnsi="Arial"/>
                <w:sz w:val="14"/>
                <w:szCs w:val="14"/>
                <w:color w:val="auto"/>
                <w:w w:val="89"/>
              </w:rPr>
              <w:t>Six Months Ended</w:t>
            </w:r>
          </w:p>
        </w:tc>
        <w:tc>
          <w:tcPr>
            <w:tcW w:w="340" w:type="dxa"/>
            <w:vAlign w:val="bottom"/>
          </w:tcPr>
          <w:p>
            <w:pPr>
              <w:spacing w:after="0"/>
              <w:rPr>
                <w:sz w:val="23"/>
                <w:szCs w:val="23"/>
                <w:color w:val="auto"/>
              </w:rPr>
            </w:pPr>
          </w:p>
        </w:tc>
        <w:tc>
          <w:tcPr>
            <w:tcW w:w="840" w:type="dxa"/>
            <w:vAlign w:val="bottom"/>
          </w:tcPr>
          <w:p>
            <w:pPr>
              <w:jc w:val="center"/>
              <w:ind w:left="158"/>
              <w:spacing w:after="0"/>
              <w:rPr>
                <w:sz w:val="20"/>
                <w:szCs w:val="20"/>
                <w:color w:val="auto"/>
              </w:rPr>
            </w:pPr>
            <w:r>
              <w:rPr>
                <w:rFonts w:ascii="Arial" w:cs="Arial" w:eastAsia="Arial" w:hAnsi="Arial"/>
                <w:sz w:val="14"/>
                <w:szCs w:val="14"/>
                <w:color w:val="auto"/>
                <w:w w:val="83"/>
              </w:rPr>
              <w:t>Increase/</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5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left="138"/>
              <w:spacing w:after="0" w:line="159" w:lineRule="exact"/>
              <w:rPr>
                <w:sz w:val="20"/>
                <w:szCs w:val="20"/>
                <w:color w:val="auto"/>
              </w:rPr>
            </w:pPr>
            <w:r>
              <w:rPr>
                <w:rFonts w:ascii="Arial" w:cs="Arial" w:eastAsia="Arial" w:hAnsi="Arial"/>
                <w:sz w:val="14"/>
                <w:szCs w:val="14"/>
                <w:color w:val="auto"/>
                <w:w w:val="83"/>
              </w:rPr>
              <w:t>(Decrease)</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2013</w:t>
            </w:r>
          </w:p>
        </w:tc>
        <w:tc>
          <w:tcPr>
            <w:tcW w:w="600" w:type="dxa"/>
            <w:vAlign w:val="bottom"/>
          </w:tcPr>
          <w:p>
            <w:pPr>
              <w:spacing w:after="0"/>
              <w:rPr>
                <w:sz w:val="12"/>
                <w:szCs w:val="12"/>
                <w:color w:val="auto"/>
              </w:rPr>
            </w:pPr>
          </w:p>
        </w:tc>
        <w:tc>
          <w:tcPr>
            <w:tcW w:w="680" w:type="dxa"/>
            <w:vAlign w:val="bottom"/>
          </w:tcPr>
          <w:p>
            <w:pPr>
              <w:jc w:val="right"/>
              <w:ind w:right="314"/>
              <w:spacing w:after="0" w:line="142" w:lineRule="exact"/>
              <w:rPr>
                <w:sz w:val="20"/>
                <w:szCs w:val="20"/>
                <w:color w:val="auto"/>
              </w:rPr>
            </w:pPr>
            <w:r>
              <w:rPr>
                <w:rFonts w:ascii="Arial" w:cs="Arial" w:eastAsia="Arial" w:hAnsi="Arial"/>
                <w:sz w:val="14"/>
                <w:szCs w:val="14"/>
                <w:color w:val="auto"/>
                <w:w w:val="83"/>
              </w:rPr>
              <w:t>2012</w:t>
            </w:r>
          </w:p>
        </w:tc>
        <w:tc>
          <w:tcPr>
            <w:tcW w:w="340" w:type="dxa"/>
            <w:vAlign w:val="bottom"/>
          </w:tcPr>
          <w:p>
            <w:pPr>
              <w:spacing w:after="0"/>
              <w:rPr>
                <w:sz w:val="12"/>
                <w:szCs w:val="12"/>
                <w:color w:val="auto"/>
              </w:rPr>
            </w:pPr>
          </w:p>
        </w:tc>
        <w:tc>
          <w:tcPr>
            <w:tcW w:w="840" w:type="dxa"/>
            <w:vAlign w:val="bottom"/>
          </w:tcPr>
          <w:p>
            <w:pPr>
              <w:jc w:val="right"/>
              <w:ind w:right="638"/>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4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$ 2,460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w w:val="88"/>
              </w:rPr>
              <w:t>2,310</w:t>
            </w:r>
          </w:p>
        </w:tc>
        <w:tc>
          <w:tcPr>
            <w:tcW w:w="1180" w:type="dxa"/>
            <w:vAlign w:val="bottom"/>
            <w:gridSpan w:val="2"/>
          </w:tcPr>
          <w:p>
            <w:pPr>
              <w:jc w:val="right"/>
              <w:ind w:right="498"/>
              <w:spacing w:after="0"/>
              <w:rPr>
                <w:sz w:val="20"/>
                <w:szCs w:val="20"/>
                <w:color w:val="auto"/>
              </w:rPr>
            </w:pPr>
            <w:r>
              <w:rPr>
                <w:rFonts w:ascii="Arial" w:cs="Arial" w:eastAsia="Arial" w:hAnsi="Arial"/>
                <w:sz w:val="18"/>
                <w:szCs w:val="18"/>
                <w:color w:val="auto"/>
              </w:rPr>
              <w:t>$150</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35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1,794</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8"/>
              </w:rPr>
              <w:t>1,722</w:t>
            </w:r>
          </w:p>
        </w:tc>
        <w:tc>
          <w:tcPr>
            <w:tcW w:w="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98"/>
              <w:spacing w:after="0"/>
              <w:rPr>
                <w:sz w:val="20"/>
                <w:szCs w:val="20"/>
                <w:color w:val="auto"/>
              </w:rPr>
            </w:pPr>
            <w:r>
              <w:rPr>
                <w:rFonts w:ascii="Arial" w:cs="Arial" w:eastAsia="Arial" w:hAnsi="Arial"/>
                <w:sz w:val="18"/>
                <w:szCs w:val="18"/>
                <w:color w:val="auto"/>
              </w:rPr>
              <w:t>72</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3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384</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336</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color w:val="auto"/>
              </w:rPr>
              <w:t>48</w:t>
            </w: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1"/>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50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4,638</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4,368</w:t>
            </w:r>
          </w:p>
        </w:tc>
        <w:tc>
          <w:tcPr>
            <w:tcW w:w="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98"/>
              <w:spacing w:after="0"/>
              <w:rPr>
                <w:sz w:val="20"/>
                <w:szCs w:val="20"/>
                <w:color w:val="auto"/>
              </w:rPr>
            </w:pPr>
            <w:r>
              <w:rPr>
                <w:rFonts w:ascii="Arial" w:cs="Arial" w:eastAsia="Arial" w:hAnsi="Arial"/>
                <w:sz w:val="18"/>
                <w:szCs w:val="18"/>
                <w:b w:val="1"/>
                <w:bCs w:val="1"/>
                <w:color w:val="auto"/>
                <w:w w:val="79"/>
              </w:rPr>
              <w:t>270</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35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1,992</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8"/>
              </w:rPr>
              <w:t>1,879</w:t>
            </w:r>
          </w:p>
        </w:tc>
        <w:tc>
          <w:tcPr>
            <w:tcW w:w="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98"/>
              <w:spacing w:after="0"/>
              <w:rPr>
                <w:sz w:val="20"/>
                <w:szCs w:val="20"/>
                <w:color w:val="auto"/>
              </w:rPr>
            </w:pPr>
            <w:r>
              <w:rPr>
                <w:rFonts w:ascii="Arial" w:cs="Arial" w:eastAsia="Arial" w:hAnsi="Arial"/>
                <w:sz w:val="18"/>
                <w:szCs w:val="18"/>
                <w:color w:val="auto"/>
                <w:w w:val="79"/>
              </w:rPr>
              <w:t>113</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600" w:type="dxa"/>
            <w:vAlign w:val="bottom"/>
          </w:tcPr>
          <w:p>
            <w:pPr>
              <w:spacing w:after="0"/>
              <w:rPr>
                <w:sz w:val="18"/>
                <w:szCs w:val="18"/>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631</w:t>
            </w:r>
          </w:p>
        </w:tc>
        <w:tc>
          <w:tcPr>
            <w:tcW w:w="340" w:type="dxa"/>
            <w:vAlign w:val="bottom"/>
          </w:tcPr>
          <w:p>
            <w:pPr>
              <w:spacing w:after="0"/>
              <w:rPr>
                <w:sz w:val="18"/>
                <w:szCs w:val="18"/>
                <w:color w:val="auto"/>
              </w:rPr>
            </w:pPr>
          </w:p>
        </w:tc>
        <w:tc>
          <w:tcPr>
            <w:tcW w:w="840" w:type="dxa"/>
            <w:vAlign w:val="bottom"/>
          </w:tcPr>
          <w:p>
            <w:pPr>
              <w:jc w:val="right"/>
              <w:ind w:right="498"/>
              <w:spacing w:after="0"/>
              <w:rPr>
                <w:sz w:val="20"/>
                <w:szCs w:val="20"/>
                <w:color w:val="auto"/>
              </w:rPr>
            </w:pPr>
            <w:r>
              <w:rPr>
                <w:rFonts w:ascii="Arial" w:cs="Arial" w:eastAsia="Arial" w:hAnsi="Arial"/>
                <w:sz w:val="18"/>
                <w:szCs w:val="18"/>
                <w:color w:val="auto"/>
              </w:rPr>
              <w:t>41</w:t>
            </w:r>
          </w:p>
        </w:tc>
        <w:tc>
          <w:tcPr>
            <w:tcW w:w="560" w:type="dxa"/>
            <w:vAlign w:val="bottom"/>
          </w:tcPr>
          <w:p>
            <w:pPr>
              <w:jc w:val="right"/>
              <w:ind w:right="13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5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255</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259</w:t>
            </w:r>
          </w:p>
        </w:tc>
        <w:tc>
          <w:tcPr>
            <w:tcW w:w="3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438"/>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7"/>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3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2,919</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8"/>
              </w:rPr>
              <w:t>2,769</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color w:val="auto"/>
                <w:w w:val="79"/>
              </w:rPr>
              <w:t>150</w:t>
            </w: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5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$ 1,719</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1,599</w:t>
            </w:r>
          </w:p>
        </w:tc>
        <w:tc>
          <w:tcPr>
            <w:tcW w:w="1180" w:type="dxa"/>
            <w:vAlign w:val="bottom"/>
            <w:tcBorders>
              <w:bottom w:val="single" w:sz="8" w:color="auto"/>
            </w:tcBorders>
            <w:gridSpan w:val="2"/>
            <w:shd w:val="clear" w:color="auto" w:fill="E5E5E5"/>
          </w:tcPr>
          <w:p>
            <w:pPr>
              <w:jc w:val="right"/>
              <w:ind w:right="498"/>
              <w:spacing w:after="0"/>
              <w:rPr>
                <w:sz w:val="20"/>
                <w:szCs w:val="20"/>
                <w:color w:val="auto"/>
              </w:rPr>
            </w:pPr>
            <w:r>
              <w:rPr>
                <w:rFonts w:ascii="Arial" w:cs="Arial" w:eastAsia="Arial" w:hAnsi="Arial"/>
                <w:sz w:val="18"/>
                <w:szCs w:val="18"/>
                <w:b w:val="1"/>
                <w:bCs w:val="1"/>
                <w:color w:val="auto"/>
              </w:rPr>
              <w:t>$120</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540" w:type="dxa"/>
            <w:vAlign w:val="bottom"/>
          </w:tcPr>
          <w:p>
            <w:pPr>
              <w:jc w:val="right"/>
              <w:ind w:right="1532"/>
              <w:spacing w:after="0"/>
              <w:rPr>
                <w:sz w:val="20"/>
                <w:szCs w:val="20"/>
                <w:color w:val="auto"/>
              </w:rPr>
            </w:pPr>
            <w:r>
              <w:rPr>
                <w:rFonts w:ascii="Arial" w:cs="Arial" w:eastAsia="Arial" w:hAnsi="Arial"/>
                <w:sz w:val="18"/>
                <w:szCs w:val="18"/>
                <w:color w:val="auto"/>
              </w:rPr>
              <w:t>36</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Networks revenue increased for the three and six months ended June 30, 2013 compared to the same periods in 2012 due to increases in each of our three revenue categories. The increases in distribution revenue for both periods were primarily due to increases in the contractual rates charged under distribution agreements. Advertising revenue increased 5.7% and 4.2% for the three and six months ended June 30, 2013, respectively, due to increases in both periods of 12% and 11%, respectively, from higher prices and volume of advertising units sold, partially offset by declines in audience ratings. The increases in content licensing and other revenue were primarily due to a new licensing agreement that was entered into during the second quarter of 2013.</w:t>
      </w:r>
    </w:p>
    <w:p>
      <w:pPr>
        <w:spacing w:after="0" w:line="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the three and six months ended June 30, 2013, 12% and 13%, respectively, of our Cable Networks segment revenue was generated from our Cable Communications segment. For both the three and six months ended June 30, 2012, 13% of our Cable Networks segment revenue was generated from our Cable Communications segment. These amounts are eliminated in our consolidated financial statements but are included in the amounts presented above.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three months ended June 30, 2013 compared to the same period in 2012 primarily due to an increase in programming and production costs associated with higher sports programming rights costs, as well as our continued investment in original programming at certain of our cable networks.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costs and expenses increased for the six months ended June 30, 2013 compared to the same period in 2012 primarily due to increases in programming and production costs and other operating and administrative expenses. The increase in programming and production costs was primarily due to our continued investment in original programming at certain of our cable networks. The increase in other operating and administrative costs was primarily due to higher employee benefit and other administrative costs.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3"/>
          </w:tcPr>
          <w:p>
            <w:pPr>
              <w:jc w:val="right"/>
              <w:ind w:right="294"/>
              <w:spacing w:after="0"/>
              <w:rPr>
                <w:sz w:val="20"/>
                <w:szCs w:val="20"/>
                <w:color w:val="auto"/>
              </w:rPr>
            </w:pPr>
            <w:r>
              <w:rPr>
                <w:rFonts w:ascii="Arial" w:cs="Arial" w:eastAsia="Arial" w:hAnsi="Arial"/>
                <w:sz w:val="14"/>
                <w:szCs w:val="14"/>
                <w:color w:val="auto"/>
                <w:w w:val="90"/>
              </w:rPr>
              <w:t>Three Months Ended</w:t>
            </w:r>
          </w:p>
        </w:tc>
        <w:tc>
          <w:tcPr>
            <w:tcW w:w="1040" w:type="dxa"/>
            <w:vAlign w:val="bottom"/>
          </w:tcPr>
          <w:p>
            <w:pPr>
              <w:jc w:val="right"/>
              <w:spacing w:after="0"/>
              <w:rPr>
                <w:sz w:val="20"/>
                <w:szCs w:val="20"/>
                <w:color w:val="auto"/>
              </w:rPr>
            </w:pPr>
            <w:r>
              <w:rPr>
                <w:rFonts w:ascii="Arial" w:cs="Arial" w:eastAsia="Arial" w:hAnsi="Arial"/>
                <w:sz w:val="14"/>
                <w:szCs w:val="14"/>
                <w:color w:val="auto"/>
              </w:rPr>
              <w:t>Increase/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8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right"/>
              <w:ind w:right="257"/>
              <w:spacing w:after="0" w:line="142" w:lineRule="exact"/>
              <w:rPr>
                <w:sz w:val="20"/>
                <w:szCs w:val="20"/>
                <w:color w:val="auto"/>
              </w:rPr>
            </w:pPr>
            <w:r>
              <w:rPr>
                <w:rFonts w:ascii="Arial" w:cs="Arial" w:eastAsia="Arial" w:hAnsi="Arial"/>
                <w:sz w:val="14"/>
                <w:szCs w:val="14"/>
                <w:color w:val="auto"/>
                <w:w w:val="83"/>
              </w:rPr>
              <w:t>2013</w:t>
            </w:r>
          </w:p>
        </w:tc>
        <w:tc>
          <w:tcPr>
            <w:tcW w:w="32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Arial" w:cs="Arial" w:eastAsia="Arial" w:hAnsi="Arial"/>
                <w:sz w:val="14"/>
                <w:szCs w:val="14"/>
                <w:color w:val="auto"/>
                <w:w w:val="89"/>
              </w:rPr>
              <w:t>2012</w:t>
            </w:r>
          </w:p>
        </w:tc>
        <w:tc>
          <w:tcPr>
            <w:tcW w:w="1040" w:type="dxa"/>
            <w:vAlign w:val="bottom"/>
          </w:tcPr>
          <w:p>
            <w:pPr>
              <w:jc w:val="right"/>
              <w:ind w:right="537"/>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88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10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3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7"/>
              <w:spacing w:after="0"/>
              <w:rPr>
                <w:sz w:val="20"/>
                <w:szCs w:val="20"/>
                <w:color w:val="auto"/>
              </w:rPr>
            </w:pPr>
            <w:r>
              <w:rPr>
                <w:rFonts w:ascii="Arial" w:cs="Arial" w:eastAsia="Arial" w:hAnsi="Arial"/>
                <w:sz w:val="18"/>
                <w:szCs w:val="18"/>
                <w:color w:val="auto"/>
                <w:w w:val="88"/>
              </w:rPr>
              <w:t>1,267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w w:val="88"/>
              </w:rPr>
              <w:t>1,122</w:t>
            </w:r>
          </w:p>
        </w:tc>
        <w:tc>
          <w:tcPr>
            <w:tcW w:w="1040" w:type="dxa"/>
            <w:vAlign w:val="bottom"/>
          </w:tcPr>
          <w:p>
            <w:pPr>
              <w:jc w:val="right"/>
              <w:ind w:right="397"/>
              <w:spacing w:after="0"/>
              <w:rPr>
                <w:sz w:val="20"/>
                <w:szCs w:val="20"/>
                <w:color w:val="auto"/>
              </w:rPr>
            </w:pPr>
            <w:r>
              <w:rPr>
                <w:rFonts w:ascii="Arial" w:cs="Arial" w:eastAsia="Arial" w:hAnsi="Arial"/>
                <w:sz w:val="18"/>
                <w:szCs w:val="18"/>
                <w:color w:val="auto"/>
              </w:rPr>
              <w:t>$145</w:t>
            </w:r>
          </w:p>
        </w:tc>
        <w:tc>
          <w:tcPr>
            <w:tcW w:w="600" w:type="dxa"/>
            <w:vAlign w:val="bottom"/>
          </w:tcPr>
          <w:p>
            <w:pPr>
              <w:jc w:val="right"/>
              <w:spacing w:after="0"/>
              <w:rPr>
                <w:sz w:val="20"/>
                <w:szCs w:val="20"/>
                <w:color w:val="auto"/>
              </w:rPr>
            </w:pPr>
            <w:r>
              <w:rPr>
                <w:rFonts w:ascii="Arial" w:cs="Arial" w:eastAsia="Arial" w:hAnsi="Arial"/>
                <w:sz w:val="18"/>
                <w:szCs w:val="18"/>
                <w:color w:val="auto"/>
                <w:w w:val="97"/>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28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296</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331</w:t>
            </w:r>
          </w:p>
        </w:tc>
        <w:tc>
          <w:tcPr>
            <w:tcW w:w="10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(35)</w:t>
            </w:r>
          </w:p>
        </w:tc>
        <w:tc>
          <w:tcPr>
            <w:tcW w:w="6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84"/>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2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99</w:t>
            </w: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70</w:t>
            </w: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8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7"/>
              <w:spacing w:after="0"/>
              <w:rPr>
                <w:sz w:val="20"/>
                <w:szCs w:val="20"/>
                <w:color w:val="auto"/>
              </w:rPr>
            </w:pPr>
            <w:r>
              <w:rPr>
                <w:rFonts w:ascii="Arial" w:cs="Arial" w:eastAsia="Arial" w:hAnsi="Arial"/>
                <w:sz w:val="18"/>
                <w:szCs w:val="18"/>
                <w:b w:val="1"/>
                <w:bCs w:val="1"/>
                <w:color w:val="auto"/>
                <w:w w:val="88"/>
              </w:rPr>
              <w:t>1,732</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w w:val="88"/>
              </w:rPr>
              <w:t>1,552</w:t>
            </w:r>
          </w:p>
        </w:tc>
        <w:tc>
          <w:tcPr>
            <w:tcW w:w="1040" w:type="dxa"/>
            <w:vAlign w:val="bottom"/>
            <w:shd w:val="clear" w:color="auto" w:fill="E5E5E5"/>
          </w:tcPr>
          <w:p>
            <w:pPr>
              <w:jc w:val="right"/>
              <w:ind w:right="397"/>
              <w:spacing w:after="0"/>
              <w:rPr>
                <w:sz w:val="20"/>
                <w:szCs w:val="20"/>
                <w:color w:val="auto"/>
              </w:rPr>
            </w:pPr>
            <w:r>
              <w:rPr>
                <w:rFonts w:ascii="Arial" w:cs="Arial" w:eastAsia="Arial" w:hAnsi="Arial"/>
                <w:sz w:val="18"/>
                <w:szCs w:val="18"/>
                <w:b w:val="1"/>
                <w:bCs w:val="1"/>
                <w:color w:val="auto"/>
              </w:rPr>
              <w:t>180</w:t>
            </w:r>
          </w:p>
        </w:tc>
        <w:tc>
          <w:tcPr>
            <w:tcW w:w="60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8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88"/>
              </w:rPr>
              <w:t>1,154</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8"/>
              </w:rPr>
              <w:t>1,018</w:t>
            </w:r>
          </w:p>
        </w:tc>
        <w:tc>
          <w:tcPr>
            <w:tcW w:w="104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136</w:t>
            </w:r>
          </w:p>
        </w:tc>
        <w:tc>
          <w:tcPr>
            <w:tcW w:w="6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ind w:right="117"/>
              <w:spacing w:after="0"/>
              <w:rPr>
                <w:sz w:val="20"/>
                <w:szCs w:val="20"/>
                <w:color w:val="auto"/>
              </w:rPr>
            </w:pPr>
            <w:r>
              <w:rPr>
                <w:rFonts w:ascii="Arial" w:cs="Arial" w:eastAsia="Arial" w:hAnsi="Arial"/>
                <w:sz w:val="18"/>
                <w:szCs w:val="18"/>
                <w:color w:val="auto"/>
              </w:rPr>
              <w:t>292</w:t>
            </w:r>
          </w:p>
        </w:tc>
        <w:tc>
          <w:tcPr>
            <w:tcW w:w="32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278</w:t>
            </w:r>
          </w:p>
        </w:tc>
        <w:tc>
          <w:tcPr>
            <w:tcW w:w="1040" w:type="dxa"/>
            <w:vAlign w:val="bottom"/>
          </w:tcPr>
          <w:p>
            <w:pPr>
              <w:jc w:val="right"/>
              <w:ind w:right="397"/>
              <w:spacing w:after="0"/>
              <w:rPr>
                <w:sz w:val="20"/>
                <w:szCs w:val="20"/>
                <w:color w:val="auto"/>
              </w:rPr>
            </w:pPr>
            <w:r>
              <w:rPr>
                <w:rFonts w:ascii="Arial" w:cs="Arial" w:eastAsia="Arial" w:hAnsi="Arial"/>
                <w:sz w:val="18"/>
                <w:szCs w:val="18"/>
                <w:color w:val="auto"/>
              </w:rPr>
              <w:t>14</w:t>
            </w: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8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62</w:t>
            </w:r>
          </w:p>
        </w:tc>
        <w:tc>
          <w:tcPr>
            <w:tcW w:w="1040" w:type="dxa"/>
            <w:vAlign w:val="bottom"/>
            <w:tcBorders>
              <w:bottom w:val="single" w:sz="8" w:color="auto"/>
            </w:tcBorders>
            <w:shd w:val="clear" w:color="auto" w:fill="E5E5E5"/>
          </w:tcPr>
          <w:p>
            <w:pPr>
              <w:jc w:val="right"/>
              <w:ind w:right="397"/>
              <w:spacing w:after="0"/>
              <w:rPr>
                <w:sz w:val="20"/>
                <w:szCs w:val="20"/>
                <w:color w:val="auto"/>
              </w:rPr>
            </w:pPr>
            <w:r>
              <w:rPr>
                <w:rFonts w:ascii="Arial" w:cs="Arial" w:eastAsia="Arial" w:hAnsi="Arial"/>
                <w:sz w:val="18"/>
                <w:szCs w:val="18"/>
                <w:color w:val="auto"/>
              </w:rPr>
              <w:t>18</w:t>
            </w:r>
          </w:p>
        </w:tc>
        <w:tc>
          <w:tcPr>
            <w:tcW w:w="6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2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w w:val="88"/>
              </w:rPr>
              <w:t>1,526</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8"/>
              </w:rPr>
              <w:t>1,358</w:t>
            </w: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168</w:t>
            </w: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30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206</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194</w:t>
            </w:r>
          </w:p>
        </w:tc>
        <w:tc>
          <w:tcPr>
            <w:tcW w:w="1040" w:type="dxa"/>
            <w:vAlign w:val="bottom"/>
            <w:tcBorders>
              <w:bottom w:val="single" w:sz="8" w:color="auto"/>
            </w:tcBorders>
            <w:shd w:val="clear" w:color="auto" w:fill="E5E5E5"/>
          </w:tcPr>
          <w:p>
            <w:pPr>
              <w:jc w:val="right"/>
              <w:ind w:right="397"/>
              <w:spacing w:after="0"/>
              <w:rPr>
                <w:sz w:val="20"/>
                <w:szCs w:val="20"/>
                <w:color w:val="auto"/>
              </w:rPr>
            </w:pPr>
            <w:r>
              <w:rPr>
                <w:rFonts w:ascii="Arial" w:cs="Arial" w:eastAsia="Arial" w:hAnsi="Arial"/>
                <w:sz w:val="18"/>
                <w:szCs w:val="18"/>
                <w:b w:val="1"/>
                <w:bCs w:val="1"/>
                <w:color w:val="auto"/>
              </w:rPr>
              <w:t>$ 12</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80" w:type="dxa"/>
            <w:vAlign w:val="bottom"/>
          </w:tcPr>
          <w:p>
            <w:pPr>
              <w:jc w:val="right"/>
              <w:ind w:right="1872"/>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right"/>
              <w:ind w:right="454"/>
              <w:spacing w:after="0"/>
              <w:rPr>
                <w:sz w:val="20"/>
                <w:szCs w:val="20"/>
                <w:color w:val="auto"/>
              </w:rPr>
            </w:pPr>
            <w:r>
              <w:rPr>
                <w:rFonts w:ascii="Arial" w:cs="Arial" w:eastAsia="Arial" w:hAnsi="Arial"/>
                <w:sz w:val="14"/>
                <w:szCs w:val="14"/>
                <w:color w:val="auto"/>
              </w:rPr>
              <w:t>Six Months Ended</w:t>
            </w:r>
          </w:p>
        </w:tc>
        <w:tc>
          <w:tcPr>
            <w:tcW w:w="1240" w:type="dxa"/>
            <w:vAlign w:val="bottom"/>
          </w:tcPr>
          <w:p>
            <w:pPr>
              <w:jc w:val="right"/>
              <w:spacing w:after="0"/>
              <w:rPr>
                <w:sz w:val="20"/>
                <w:szCs w:val="20"/>
                <w:color w:val="auto"/>
              </w:rPr>
            </w:pPr>
            <w:r>
              <w:rPr>
                <w:rFonts w:ascii="Arial" w:cs="Arial" w:eastAsia="Arial" w:hAnsi="Arial"/>
                <w:sz w:val="14"/>
                <w:szCs w:val="14"/>
                <w:color w:val="auto"/>
              </w:rPr>
              <w:t>Increase/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2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(Decrease)</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jc w:val="right"/>
              <w:ind w:right="76"/>
              <w:spacing w:after="0" w:line="142" w:lineRule="exact"/>
              <w:rPr>
                <w:sz w:val="20"/>
                <w:szCs w:val="20"/>
                <w:color w:val="auto"/>
              </w:rPr>
            </w:pPr>
            <w:r>
              <w:rPr>
                <w:rFonts w:ascii="Arial" w:cs="Arial" w:eastAsia="Arial" w:hAnsi="Arial"/>
                <w:sz w:val="14"/>
                <w:szCs w:val="14"/>
                <w:color w:val="auto"/>
                <w:w w:val="89"/>
              </w:rPr>
              <w:t>2013</w:t>
            </w:r>
          </w:p>
        </w:tc>
        <w:tc>
          <w:tcPr>
            <w:tcW w:w="580" w:type="dxa"/>
            <w:vAlign w:val="bottom"/>
          </w:tcPr>
          <w:p>
            <w:pPr>
              <w:spacing w:after="0"/>
              <w:rPr>
                <w:sz w:val="12"/>
                <w:szCs w:val="12"/>
                <w:color w:val="auto"/>
              </w:rPr>
            </w:pPr>
          </w:p>
        </w:tc>
        <w:tc>
          <w:tcPr>
            <w:tcW w:w="68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9"/>
              </w:rPr>
              <w:t>2012</w:t>
            </w:r>
          </w:p>
        </w:tc>
        <w:tc>
          <w:tcPr>
            <w:tcW w:w="1240" w:type="dxa"/>
            <w:vAlign w:val="bottom"/>
          </w:tcPr>
          <w:p>
            <w:pPr>
              <w:jc w:val="right"/>
              <w:ind w:right="657"/>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12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2,219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2,395</w:t>
            </w:r>
          </w:p>
        </w:tc>
        <w:tc>
          <w:tcPr>
            <w:tcW w:w="1240" w:type="dxa"/>
            <w:vAlign w:val="bottom"/>
          </w:tcPr>
          <w:p>
            <w:pPr>
              <w:jc w:val="right"/>
              <w:ind w:right="437"/>
              <w:spacing w:after="0"/>
              <w:rPr>
                <w:sz w:val="20"/>
                <w:szCs w:val="20"/>
                <w:color w:val="auto"/>
              </w:rPr>
            </w:pPr>
            <w:r>
              <w:rPr>
                <w:rFonts w:ascii="Arial" w:cs="Arial" w:eastAsia="Arial" w:hAnsi="Arial"/>
                <w:sz w:val="18"/>
                <w:szCs w:val="18"/>
                <w:color w:val="auto"/>
              </w:rPr>
              <w:t>$(176)</w:t>
            </w: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693</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788</w:t>
            </w:r>
          </w:p>
        </w:tc>
        <w:tc>
          <w:tcPr>
            <w:tcW w:w="124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(95)</w:t>
            </w:r>
          </w:p>
        </w:tc>
        <w:tc>
          <w:tcPr>
            <w:tcW w:w="6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9"/>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230</w:t>
            </w: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color w:val="auto"/>
              </w:rPr>
              <w:t>107</w:t>
            </w: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3,249</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93"/>
              </w:rPr>
              <w:t>3,413</w:t>
            </w:r>
          </w:p>
        </w:tc>
        <w:tc>
          <w:tcPr>
            <w:tcW w:w="1240" w:type="dxa"/>
            <w:vAlign w:val="bottom"/>
            <w:shd w:val="clear" w:color="auto" w:fill="E5E5E5"/>
          </w:tcPr>
          <w:p>
            <w:pPr>
              <w:jc w:val="right"/>
              <w:ind w:right="437"/>
              <w:spacing w:after="0"/>
              <w:rPr>
                <w:sz w:val="20"/>
                <w:szCs w:val="20"/>
                <w:color w:val="auto"/>
              </w:rPr>
            </w:pPr>
            <w:r>
              <w:rPr>
                <w:rFonts w:ascii="Arial" w:cs="Arial" w:eastAsia="Arial" w:hAnsi="Arial"/>
                <w:sz w:val="18"/>
                <w:szCs w:val="18"/>
                <w:b w:val="1"/>
                <w:bCs w:val="1"/>
                <w:color w:val="auto"/>
              </w:rPr>
              <w:t>(164)</w:t>
            </w:r>
          </w:p>
        </w:tc>
        <w:tc>
          <w:tcPr>
            <w:tcW w:w="66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2,314</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3"/>
              </w:rPr>
              <w:t>2,513</w:t>
            </w:r>
          </w:p>
        </w:tc>
        <w:tc>
          <w:tcPr>
            <w:tcW w:w="124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(199)</w:t>
            </w:r>
          </w:p>
        </w:tc>
        <w:tc>
          <w:tcPr>
            <w:tcW w:w="6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584</w:t>
            </w:r>
          </w:p>
        </w:tc>
        <w:tc>
          <w:tcPr>
            <w:tcW w:w="58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561</w:t>
            </w:r>
          </w:p>
        </w:tc>
        <w:tc>
          <w:tcPr>
            <w:tcW w:w="1240" w:type="dxa"/>
            <w:vAlign w:val="bottom"/>
          </w:tcPr>
          <w:p>
            <w:pPr>
              <w:jc w:val="right"/>
              <w:ind w:right="477"/>
              <w:spacing w:after="0"/>
              <w:rPr>
                <w:sz w:val="20"/>
                <w:szCs w:val="20"/>
                <w:color w:val="auto"/>
              </w:rPr>
            </w:pPr>
            <w:r>
              <w:rPr>
                <w:rFonts w:ascii="Arial" w:cs="Arial" w:eastAsia="Arial" w:hAnsi="Arial"/>
                <w:sz w:val="18"/>
                <w:szCs w:val="18"/>
                <w:color w:val="auto"/>
              </w:rPr>
              <w:t>23</w:t>
            </w:r>
          </w:p>
        </w:tc>
        <w:tc>
          <w:tcPr>
            <w:tcW w:w="660" w:type="dxa"/>
            <w:vAlign w:val="bottom"/>
          </w:tcPr>
          <w:p>
            <w:pPr>
              <w:jc w:val="right"/>
              <w:ind w:right="19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180</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159</w:t>
            </w:r>
          </w:p>
        </w:tc>
        <w:tc>
          <w:tcPr>
            <w:tcW w:w="1240" w:type="dxa"/>
            <w:vAlign w:val="bottom"/>
            <w:tcBorders>
              <w:bottom w:val="single" w:sz="8" w:color="auto"/>
            </w:tcBorders>
            <w:shd w:val="clear" w:color="auto" w:fill="E5E5E5"/>
          </w:tcPr>
          <w:p>
            <w:pPr>
              <w:jc w:val="right"/>
              <w:ind w:right="477"/>
              <w:spacing w:after="0"/>
              <w:rPr>
                <w:sz w:val="20"/>
                <w:szCs w:val="20"/>
                <w:color w:val="auto"/>
              </w:rPr>
            </w:pPr>
            <w:r>
              <w:rPr>
                <w:rFonts w:ascii="Arial" w:cs="Arial" w:eastAsia="Arial" w:hAnsi="Arial"/>
                <w:sz w:val="18"/>
                <w:szCs w:val="18"/>
                <w:color w:val="auto"/>
              </w:rPr>
              <w:t>21</w:t>
            </w:r>
          </w:p>
        </w:tc>
        <w:tc>
          <w:tcPr>
            <w:tcW w:w="6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3,078</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3"/>
              </w:rPr>
              <w:t>3,233</w:t>
            </w:r>
          </w:p>
        </w:tc>
        <w:tc>
          <w:tcPr>
            <w:tcW w:w="124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(155)</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171</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180</w:t>
            </w:r>
          </w:p>
        </w:tc>
        <w:tc>
          <w:tcPr>
            <w:tcW w:w="124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b w:val="1"/>
                <w:bCs w:val="1"/>
                <w:color w:val="auto"/>
              </w:rPr>
              <w:t>$  (9)</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Broadcast Television revenue increased for the three months ended June 30, 2013 compared to the same period in 2012 primarily due to increases in advertising revenue and in other revenue from fees recognized under our retransmission consent agreements, partially offset by lower content licensing revenue associated with the timing of when our content was made available to licensees. Advertising revenue increased 13.0% for the three months ended June 30, 2013 primarily due to an increase of 7% from higher prices and volume of advertising units sold, as well as an increase in audience ratings in our primetime schedule, primarily from </w:t>
      </w:r>
      <w:r>
        <w:rPr>
          <w:rFonts w:ascii="Arial" w:cs="Arial" w:eastAsia="Arial" w:hAnsi="Arial"/>
          <w:sz w:val="18"/>
          <w:szCs w:val="18"/>
          <w:i w:val="1"/>
          <w:iCs w:val="1"/>
          <w:color w:val="auto"/>
        </w:rPr>
        <w:t>The Voice</w:t>
      </w:r>
      <w:r>
        <w:rPr>
          <w:rFonts w:ascii="Arial" w:cs="Arial" w:eastAsia="Arial" w:hAnsi="Arial"/>
          <w:sz w:val="18"/>
          <w:szCs w:val="18"/>
          <w:color w:val="auto"/>
        </w:rPr>
        <w:t>.</w:t>
      </w:r>
    </w:p>
    <w:p>
      <w:pPr>
        <w:spacing w:after="0" w:line="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Broadcast Television revenue decreased for the six months ended June 30, 2013 compared to the same period in 2012 primarily due to the broadcast of the 2012 Super Bowl in the prior year period. Excluding $259 million of revenue associated with the broadcast of the Super Bowl in the prior year period, Broadcast Television revenue increased 3% primarily due to fees recognized under our retransmission consent agreements and higher advertising revenue, partially offset by lower content licensing revenue associated with the timing of licensing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three months ended June 30, 2013 compared to the same period in 2012 primarily due to an increase in programming and production costs associated with the timing of when certain shows in our primetime schedule were aired, as well as our continued investment in original programming.</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six months ended June 30, 2013 compared to the same period in 2012 primarily due to the broadcast of the 2012 Super Bowl in the prior year period. Excluding the impact of the Super Bowl broadcast in the prior year period, operating costs and expenses increased primarily due to higher programming and production costs associated with our primetime schedule.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60" w:type="dxa"/>
            <w:vAlign w:val="bottom"/>
            <w:gridSpan w:val="3"/>
          </w:tcPr>
          <w:p>
            <w:pPr>
              <w:jc w:val="center"/>
              <w:ind w:right="354"/>
              <w:spacing w:after="0"/>
              <w:rPr>
                <w:sz w:val="20"/>
                <w:szCs w:val="20"/>
                <w:color w:val="auto"/>
              </w:rPr>
            </w:pPr>
            <w:r>
              <w:rPr>
                <w:rFonts w:ascii="Arial" w:cs="Arial" w:eastAsia="Arial" w:hAnsi="Arial"/>
                <w:sz w:val="14"/>
                <w:szCs w:val="14"/>
                <w:color w:val="auto"/>
                <w:w w:val="87"/>
              </w:rPr>
              <w:t>Three Months Ended</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9"/>
              <w:spacing w:after="0" w:line="159" w:lineRule="exact"/>
              <w:rPr>
                <w:sz w:val="20"/>
                <w:szCs w:val="20"/>
                <w:color w:val="auto"/>
              </w:rPr>
            </w:pPr>
            <w:r>
              <w:rPr>
                <w:rFonts w:ascii="Arial" w:cs="Arial" w:eastAsia="Arial" w:hAnsi="Arial"/>
                <w:sz w:val="14"/>
                <w:szCs w:val="14"/>
                <w:color w:val="auto"/>
                <w:w w:val="84"/>
              </w:rPr>
              <w:t>June 30</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394"/>
              <w:spacing w:after="0" w:line="159" w:lineRule="exact"/>
              <w:rPr>
                <w:sz w:val="20"/>
                <w:szCs w:val="20"/>
                <w:color w:val="auto"/>
              </w:rPr>
            </w:pPr>
            <w:r>
              <w:rPr>
                <w:rFonts w:ascii="Arial" w:cs="Arial" w:eastAsia="Arial" w:hAnsi="Arial"/>
                <w:sz w:val="14"/>
                <w:szCs w:val="14"/>
                <w:color w:val="auto"/>
                <w:w w:val="91"/>
              </w:rPr>
              <w:t>Increase/ (Decrease)</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83"/>
              </w:rPr>
              <w:t>2013</w:t>
            </w:r>
          </w:p>
        </w:tc>
        <w:tc>
          <w:tcPr>
            <w:tcW w:w="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color w:val="auto"/>
                <w:w w:val="83"/>
              </w:rPr>
              <w:t>2012</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6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553</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465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6"/>
              <w:spacing w:after="0"/>
              <w:rPr>
                <w:sz w:val="20"/>
                <w:szCs w:val="20"/>
                <w:color w:val="auto"/>
              </w:rPr>
            </w:pPr>
            <w:r>
              <w:rPr>
                <w:rFonts w:ascii="Arial" w:cs="Arial" w:eastAsia="Arial" w:hAnsi="Arial"/>
                <w:sz w:val="18"/>
                <w:szCs w:val="18"/>
                <w:color w:val="auto"/>
              </w:rPr>
              <w:t>88</w:t>
            </w: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68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406</w:t>
            </w:r>
          </w:p>
        </w:tc>
        <w:tc>
          <w:tcPr>
            <w:tcW w:w="6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358</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48</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339</w:t>
            </w:r>
          </w:p>
        </w:tc>
        <w:tc>
          <w:tcPr>
            <w:tcW w:w="66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317</w:t>
            </w:r>
          </w:p>
        </w:tc>
        <w:tc>
          <w:tcPr>
            <w:tcW w:w="400" w:type="dxa"/>
            <w:vAlign w:val="bottom"/>
          </w:tcPr>
          <w:p>
            <w:pPr>
              <w:spacing w:after="0"/>
              <w:rPr>
                <w:sz w:val="18"/>
                <w:szCs w:val="18"/>
                <w:color w:val="auto"/>
              </w:rPr>
            </w:pPr>
          </w:p>
        </w:tc>
        <w:tc>
          <w:tcPr>
            <w:tcW w:w="740" w:type="dxa"/>
            <w:vAlign w:val="bottom"/>
          </w:tcPr>
          <w:p>
            <w:pPr>
              <w:jc w:val="right"/>
              <w:ind w:right="316"/>
              <w:spacing w:after="0"/>
              <w:rPr>
                <w:sz w:val="20"/>
                <w:szCs w:val="20"/>
                <w:color w:val="auto"/>
              </w:rPr>
            </w:pPr>
            <w:r>
              <w:rPr>
                <w:rFonts w:ascii="Arial" w:cs="Arial" w:eastAsia="Arial" w:hAnsi="Arial"/>
                <w:sz w:val="18"/>
                <w:szCs w:val="18"/>
                <w:color w:val="auto"/>
              </w:rPr>
              <w:t>22</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6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91</w:t>
            </w: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8"/>
              </w:rPr>
              <w:t>1,388</w:t>
            </w:r>
          </w:p>
        </w:tc>
        <w:tc>
          <w:tcPr>
            <w:tcW w:w="66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b w:val="1"/>
                <w:bCs w:val="1"/>
                <w:color w:val="auto"/>
                <w:w w:val="88"/>
              </w:rPr>
              <w:t>1,231</w:t>
            </w:r>
          </w:p>
        </w:tc>
        <w:tc>
          <w:tcPr>
            <w:tcW w:w="400" w:type="dxa"/>
            <w:vAlign w:val="bottom"/>
          </w:tcPr>
          <w:p>
            <w:pPr>
              <w:spacing w:after="0"/>
              <w:rPr>
                <w:sz w:val="18"/>
                <w:szCs w:val="18"/>
                <w:color w:val="auto"/>
              </w:rPr>
            </w:pPr>
          </w:p>
        </w:tc>
        <w:tc>
          <w:tcPr>
            <w:tcW w:w="740" w:type="dxa"/>
            <w:vAlign w:val="bottom"/>
          </w:tcPr>
          <w:p>
            <w:pPr>
              <w:jc w:val="right"/>
              <w:ind w:right="316"/>
              <w:spacing w:after="0"/>
              <w:rPr>
                <w:sz w:val="20"/>
                <w:szCs w:val="20"/>
                <w:color w:val="auto"/>
              </w:rPr>
            </w:pPr>
            <w:r>
              <w:rPr>
                <w:rFonts w:ascii="Arial" w:cs="Arial" w:eastAsia="Arial" w:hAnsi="Arial"/>
                <w:sz w:val="18"/>
                <w:szCs w:val="18"/>
                <w:b w:val="1"/>
                <w:bCs w:val="1"/>
                <w:color w:val="auto"/>
              </w:rPr>
              <w:t>157</w:t>
            </w:r>
          </w:p>
        </w:tc>
        <w:tc>
          <w:tcPr>
            <w:tcW w:w="960" w:type="dxa"/>
            <w:vAlign w:val="bottom"/>
          </w:tcPr>
          <w:p>
            <w:pPr>
              <w:jc w:val="right"/>
              <w:ind w:right="134"/>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16"/>
        </w:trPr>
        <w:tc>
          <w:tcPr>
            <w:tcW w:w="6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817</w:t>
            </w:r>
          </w:p>
        </w:tc>
        <w:tc>
          <w:tcPr>
            <w:tcW w:w="66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741</w:t>
            </w:r>
          </w:p>
        </w:tc>
        <w:tc>
          <w:tcPr>
            <w:tcW w:w="400" w:type="dxa"/>
            <w:vAlign w:val="bottom"/>
          </w:tcPr>
          <w:p>
            <w:pPr>
              <w:spacing w:after="0"/>
              <w:rPr>
                <w:sz w:val="18"/>
                <w:szCs w:val="18"/>
                <w:color w:val="auto"/>
              </w:rPr>
            </w:pPr>
          </w:p>
        </w:tc>
        <w:tc>
          <w:tcPr>
            <w:tcW w:w="740" w:type="dxa"/>
            <w:vAlign w:val="bottom"/>
          </w:tcPr>
          <w:p>
            <w:pPr>
              <w:jc w:val="right"/>
              <w:ind w:right="316"/>
              <w:spacing w:after="0"/>
              <w:rPr>
                <w:sz w:val="20"/>
                <w:szCs w:val="20"/>
                <w:color w:val="auto"/>
              </w:rPr>
            </w:pPr>
            <w:r>
              <w:rPr>
                <w:rFonts w:ascii="Arial" w:cs="Arial" w:eastAsia="Arial" w:hAnsi="Arial"/>
                <w:sz w:val="18"/>
                <w:szCs w:val="18"/>
                <w:color w:val="auto"/>
              </w:rPr>
              <w:t>76</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8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163</w:t>
            </w:r>
          </w:p>
        </w:tc>
        <w:tc>
          <w:tcPr>
            <w:tcW w:w="6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138</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25</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435</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(60)</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1,355</w:t>
            </w:r>
          </w:p>
        </w:tc>
        <w:tc>
          <w:tcPr>
            <w:tcW w:w="6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w w:val="88"/>
              </w:rPr>
              <w:t>1,314</w:t>
            </w: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16"/>
              <w:spacing w:after="0"/>
              <w:rPr>
                <w:sz w:val="20"/>
                <w:szCs w:val="20"/>
                <w:color w:val="auto"/>
              </w:rPr>
            </w:pPr>
            <w:r>
              <w:rPr>
                <w:rFonts w:ascii="Arial" w:cs="Arial" w:eastAsia="Arial" w:hAnsi="Arial"/>
                <w:sz w:val="18"/>
                <w:szCs w:val="18"/>
                <w:color w:val="auto"/>
              </w:rPr>
              <w:t>41</w:t>
            </w:r>
          </w:p>
        </w:tc>
        <w:tc>
          <w:tcPr>
            <w:tcW w:w="9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(83)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b w:val="1"/>
                <w:bCs w:val="1"/>
                <w:color w:val="auto"/>
              </w:rPr>
              <w:t>116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140.4%</w:t>
            </w:r>
          </w:p>
        </w:tc>
        <w:tc>
          <w:tcPr>
            <w:tcW w:w="0" w:type="dxa"/>
            <w:vAlign w:val="bottom"/>
          </w:tcPr>
          <w:p>
            <w:pPr>
              <w:spacing w:after="0"/>
              <w:rPr>
                <w:sz w:val="1"/>
                <w:szCs w:val="1"/>
                <w:color w:val="auto"/>
              </w:rPr>
            </w:pPr>
          </w:p>
        </w:tc>
      </w:tr>
      <w:tr>
        <w:trPr>
          <w:trHeight w:val="340"/>
        </w:trPr>
        <w:tc>
          <w:tcPr>
            <w:tcW w:w="6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gridSpan w:val="3"/>
          </w:tcPr>
          <w:p>
            <w:pPr>
              <w:jc w:val="center"/>
              <w:ind w:right="354"/>
              <w:spacing w:after="0"/>
              <w:rPr>
                <w:sz w:val="20"/>
                <w:szCs w:val="20"/>
                <w:color w:val="auto"/>
              </w:rPr>
            </w:pPr>
            <w:r>
              <w:rPr>
                <w:rFonts w:ascii="Arial" w:cs="Arial" w:eastAsia="Arial" w:hAnsi="Arial"/>
                <w:sz w:val="14"/>
                <w:szCs w:val="14"/>
                <w:color w:val="auto"/>
                <w:w w:val="89"/>
              </w:rPr>
              <w:t>Six Months Ended</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9"/>
              <w:spacing w:after="0" w:line="159" w:lineRule="exact"/>
              <w:rPr>
                <w:sz w:val="20"/>
                <w:szCs w:val="20"/>
                <w:color w:val="auto"/>
              </w:rPr>
            </w:pPr>
            <w:r>
              <w:rPr>
                <w:rFonts w:ascii="Arial" w:cs="Arial" w:eastAsia="Arial" w:hAnsi="Arial"/>
                <w:sz w:val="14"/>
                <w:szCs w:val="14"/>
                <w:color w:val="auto"/>
                <w:w w:val="84"/>
              </w:rPr>
              <w:t>June 30</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394"/>
              <w:spacing w:after="0" w:line="159" w:lineRule="exact"/>
              <w:rPr>
                <w:sz w:val="20"/>
                <w:szCs w:val="20"/>
                <w:color w:val="auto"/>
              </w:rPr>
            </w:pPr>
            <w:r>
              <w:rPr>
                <w:rFonts w:ascii="Arial" w:cs="Arial" w:eastAsia="Arial" w:hAnsi="Arial"/>
                <w:sz w:val="14"/>
                <w:szCs w:val="14"/>
                <w:color w:val="auto"/>
                <w:w w:val="91"/>
              </w:rPr>
              <w:t>Increase/ (Decrease)</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83"/>
              </w:rPr>
              <w:t>2013</w:t>
            </w:r>
          </w:p>
        </w:tc>
        <w:tc>
          <w:tcPr>
            <w:tcW w:w="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color w:val="auto"/>
                <w:w w:val="83"/>
              </w:rPr>
              <w:t>2012</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6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866</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766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6"/>
              <w:spacing w:after="0"/>
              <w:rPr>
                <w:sz w:val="20"/>
                <w:szCs w:val="20"/>
                <w:color w:val="auto"/>
              </w:rPr>
            </w:pPr>
            <w:r>
              <w:rPr>
                <w:rFonts w:ascii="Arial" w:cs="Arial" w:eastAsia="Arial" w:hAnsi="Arial"/>
                <w:sz w:val="18"/>
                <w:szCs w:val="18"/>
                <w:color w:val="auto"/>
              </w:rPr>
              <w:t>100</w:t>
            </w: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8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844</w:t>
            </w:r>
          </w:p>
        </w:tc>
        <w:tc>
          <w:tcPr>
            <w:tcW w:w="6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759</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85</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710</w:t>
            </w:r>
          </w:p>
        </w:tc>
        <w:tc>
          <w:tcPr>
            <w:tcW w:w="66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697</w:t>
            </w:r>
          </w:p>
        </w:tc>
        <w:tc>
          <w:tcPr>
            <w:tcW w:w="400" w:type="dxa"/>
            <w:vAlign w:val="bottom"/>
          </w:tcPr>
          <w:p>
            <w:pPr>
              <w:spacing w:after="0"/>
              <w:rPr>
                <w:sz w:val="18"/>
                <w:szCs w:val="18"/>
                <w:color w:val="auto"/>
              </w:rPr>
            </w:pPr>
          </w:p>
        </w:tc>
        <w:tc>
          <w:tcPr>
            <w:tcW w:w="740" w:type="dxa"/>
            <w:vAlign w:val="bottom"/>
          </w:tcPr>
          <w:p>
            <w:pPr>
              <w:jc w:val="right"/>
              <w:ind w:right="316"/>
              <w:spacing w:after="0"/>
              <w:rPr>
                <w:sz w:val="20"/>
                <w:szCs w:val="20"/>
                <w:color w:val="auto"/>
              </w:rPr>
            </w:pPr>
            <w:r>
              <w:rPr>
                <w:rFonts w:ascii="Arial" w:cs="Arial" w:eastAsia="Arial" w:hAnsi="Arial"/>
                <w:sz w:val="18"/>
                <w:szCs w:val="18"/>
                <w:color w:val="auto"/>
              </w:rPr>
              <w:t>13</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184</w:t>
            </w:r>
          </w:p>
        </w:tc>
        <w:tc>
          <w:tcPr>
            <w:tcW w:w="6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201</w:t>
            </w: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(17)</w:t>
            </w:r>
          </w:p>
        </w:tc>
        <w:tc>
          <w:tcPr>
            <w:tcW w:w="9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8"/>
              </w:rPr>
              <w:t>2,604</w:t>
            </w:r>
          </w:p>
        </w:tc>
        <w:tc>
          <w:tcPr>
            <w:tcW w:w="66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b w:val="1"/>
                <w:bCs w:val="1"/>
                <w:color w:val="auto"/>
                <w:w w:val="88"/>
              </w:rPr>
              <w:t>2,423</w:t>
            </w:r>
          </w:p>
        </w:tc>
        <w:tc>
          <w:tcPr>
            <w:tcW w:w="400" w:type="dxa"/>
            <w:vAlign w:val="bottom"/>
          </w:tcPr>
          <w:p>
            <w:pPr>
              <w:spacing w:after="0"/>
              <w:rPr>
                <w:sz w:val="18"/>
                <w:szCs w:val="18"/>
                <w:color w:val="auto"/>
              </w:rPr>
            </w:pPr>
          </w:p>
        </w:tc>
        <w:tc>
          <w:tcPr>
            <w:tcW w:w="740" w:type="dxa"/>
            <w:vAlign w:val="bottom"/>
          </w:tcPr>
          <w:p>
            <w:pPr>
              <w:jc w:val="right"/>
              <w:ind w:right="316"/>
              <w:spacing w:after="0"/>
              <w:rPr>
                <w:sz w:val="20"/>
                <w:szCs w:val="20"/>
                <w:color w:val="auto"/>
              </w:rPr>
            </w:pPr>
            <w:r>
              <w:rPr>
                <w:rFonts w:ascii="Arial" w:cs="Arial" w:eastAsia="Arial" w:hAnsi="Arial"/>
                <w:sz w:val="18"/>
                <w:szCs w:val="18"/>
                <w:b w:val="1"/>
                <w:bCs w:val="1"/>
                <w:color w:val="auto"/>
              </w:rPr>
              <w:t>181</w:t>
            </w:r>
          </w:p>
        </w:tc>
        <w:tc>
          <w:tcPr>
            <w:tcW w:w="960" w:type="dxa"/>
            <w:vAlign w:val="bottom"/>
          </w:tcPr>
          <w:p>
            <w:pPr>
              <w:jc w:val="right"/>
              <w:ind w:right="134"/>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6"/>
        </w:trPr>
        <w:tc>
          <w:tcPr>
            <w:tcW w:w="6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1,515</w:t>
            </w:r>
          </w:p>
        </w:tc>
        <w:tc>
          <w:tcPr>
            <w:tcW w:w="66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w w:val="88"/>
              </w:rPr>
              <w:t>1,383</w:t>
            </w:r>
          </w:p>
        </w:tc>
        <w:tc>
          <w:tcPr>
            <w:tcW w:w="400" w:type="dxa"/>
            <w:vAlign w:val="bottom"/>
          </w:tcPr>
          <w:p>
            <w:pPr>
              <w:spacing w:after="0"/>
              <w:rPr>
                <w:sz w:val="18"/>
                <w:szCs w:val="18"/>
                <w:color w:val="auto"/>
              </w:rPr>
            </w:pPr>
          </w:p>
        </w:tc>
        <w:tc>
          <w:tcPr>
            <w:tcW w:w="740" w:type="dxa"/>
            <w:vAlign w:val="bottom"/>
          </w:tcPr>
          <w:p>
            <w:pPr>
              <w:jc w:val="right"/>
              <w:ind w:right="316"/>
              <w:spacing w:after="0"/>
              <w:rPr>
                <w:sz w:val="20"/>
                <w:szCs w:val="20"/>
                <w:color w:val="auto"/>
              </w:rPr>
            </w:pPr>
            <w:r>
              <w:rPr>
                <w:rFonts w:ascii="Arial" w:cs="Arial" w:eastAsia="Arial" w:hAnsi="Arial"/>
                <w:sz w:val="18"/>
                <w:szCs w:val="18"/>
                <w:color w:val="auto"/>
              </w:rPr>
              <w:t>132</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68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331</w:t>
            </w:r>
          </w:p>
        </w:tc>
        <w:tc>
          <w:tcPr>
            <w:tcW w:w="6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299</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32</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818</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0"/>
              </w:rPr>
              <w:t>(162)</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2,502</w:t>
            </w:r>
          </w:p>
        </w:tc>
        <w:tc>
          <w:tcPr>
            <w:tcW w:w="6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w w:val="88"/>
              </w:rPr>
              <w:t>2,500</w:t>
            </w: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16"/>
              <w:spacing w:after="0"/>
              <w:rPr>
                <w:sz w:val="20"/>
                <w:szCs w:val="20"/>
                <w:color w:val="auto"/>
              </w:rPr>
            </w:pPr>
            <w:r>
              <w:rPr>
                <w:rFonts w:ascii="Arial" w:cs="Arial" w:eastAsia="Arial" w:hAnsi="Arial"/>
                <w:sz w:val="18"/>
                <w:szCs w:val="18"/>
                <w:color w:val="auto"/>
              </w:rPr>
              <w:t>2</w:t>
            </w:r>
          </w:p>
        </w:tc>
        <w:tc>
          <w:tcPr>
            <w:tcW w:w="9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(77)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b w:val="1"/>
                <w:bCs w:val="1"/>
                <w:color w:val="auto"/>
              </w:rPr>
              <w:t>179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Our Filmed Entertainment revenue increased for the three months ended June 30, 2013 compared to the same period in 2012 primarily due to increases in theatrical, content licensing and home entertainment revenue. The increase in theatrical revenue was primarily due to the strong performance of our current period release of </w:t>
      </w:r>
      <w:r>
        <w:rPr>
          <w:rFonts w:ascii="Arial" w:cs="Arial" w:eastAsia="Arial" w:hAnsi="Arial"/>
          <w:sz w:val="16"/>
          <w:szCs w:val="16"/>
          <w:i w:val="1"/>
          <w:iCs w:val="1"/>
          <w:color w:val="auto"/>
        </w:rPr>
        <w:t>Fast and Furious 6</w:t>
      </w:r>
      <w:r>
        <w:rPr>
          <w:rFonts w:ascii="Arial" w:cs="Arial" w:eastAsia="Arial" w:hAnsi="Arial"/>
          <w:sz w:val="16"/>
          <w:szCs w:val="16"/>
          <w:color w:val="auto"/>
        </w:rPr>
        <w:t xml:space="preserve">. The increase in content licensing revenue was primarily due to the international licensing of our 2012 theatrical releases. The increase in home entertainment revenue was primarily due to the continued strong performance of </w:t>
      </w:r>
      <w:r>
        <w:rPr>
          <w:rFonts w:ascii="Arial" w:cs="Arial" w:eastAsia="Arial" w:hAnsi="Arial"/>
          <w:sz w:val="16"/>
          <w:szCs w:val="16"/>
          <w:i w:val="1"/>
          <w:iCs w:val="1"/>
          <w:color w:val="auto"/>
        </w:rPr>
        <w:t>Les Miserables</w:t>
      </w:r>
      <w:r>
        <w:rPr>
          <w:rFonts w:ascii="Arial" w:cs="Arial" w:eastAsia="Arial" w:hAnsi="Arial"/>
          <w:sz w:val="16"/>
          <w:szCs w:val="16"/>
          <w:color w:val="auto"/>
        </w:rPr>
        <w:t xml:space="preserve"> and </w:t>
      </w:r>
      <w:r>
        <w:rPr>
          <w:rFonts w:ascii="Arial" w:cs="Arial" w:eastAsia="Arial" w:hAnsi="Arial"/>
          <w:sz w:val="16"/>
          <w:szCs w:val="16"/>
          <w:i w:val="1"/>
          <w:iCs w:val="1"/>
          <w:color w:val="auto"/>
        </w:rPr>
        <w:t>Identity Thief</w:t>
      </w:r>
      <w:r>
        <w:rPr>
          <w:rFonts w:ascii="Arial" w:cs="Arial" w:eastAsia="Arial" w:hAnsi="Arial"/>
          <w:sz w:val="16"/>
          <w:szCs w:val="16"/>
          <w:color w:val="auto"/>
        </w:rPr>
        <w:t>.</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Filmed Entertainment revenue increased for the six months ended June 30, 2013 compared to the same period in 2012 primarily due to increases in theatrical and content licensing revenue. The increase in theatrical revenue was due to the strong performance in the current year of </w:t>
      </w:r>
      <w:r>
        <w:rPr>
          <w:rFonts w:ascii="Arial" w:cs="Arial" w:eastAsia="Arial" w:hAnsi="Arial"/>
          <w:sz w:val="18"/>
          <w:szCs w:val="18"/>
          <w:i w:val="1"/>
          <w:iCs w:val="1"/>
          <w:color w:val="auto"/>
        </w:rPr>
        <w:t>Fast and Furious 6</w:t>
      </w:r>
      <w:r>
        <w:rPr>
          <w:rFonts w:ascii="Arial" w:cs="Arial" w:eastAsia="Arial" w:hAnsi="Arial"/>
          <w:sz w:val="18"/>
          <w:szCs w:val="18"/>
          <w:color w:val="auto"/>
        </w:rPr>
        <w:t xml:space="preserve">, </w:t>
      </w:r>
      <w:r>
        <w:rPr>
          <w:rFonts w:ascii="Arial" w:cs="Arial" w:eastAsia="Arial" w:hAnsi="Arial"/>
          <w:sz w:val="18"/>
          <w:szCs w:val="18"/>
          <w:i w:val="1"/>
          <w:iCs w:val="1"/>
          <w:color w:val="auto"/>
        </w:rPr>
        <w:t>Les Miserables,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Identity Thief </w:t>
      </w:r>
      <w:r>
        <w:rPr>
          <w:rFonts w:ascii="Arial" w:cs="Arial" w:eastAsia="Arial" w:hAnsi="Arial"/>
          <w:sz w:val="18"/>
          <w:szCs w:val="18"/>
          <w:color w:val="auto"/>
        </w:rPr>
        <w:t>and</w:t>
      </w:r>
      <w:r>
        <w:rPr>
          <w:rFonts w:ascii="Arial" w:cs="Arial" w:eastAsia="Arial" w:hAnsi="Arial"/>
          <w:sz w:val="18"/>
          <w:szCs w:val="18"/>
          <w:i w:val="1"/>
          <w:iCs w:val="1"/>
          <w:color w:val="auto"/>
        </w:rPr>
        <w:t xml:space="preserve"> Mama</w:t>
      </w:r>
      <w:r>
        <w:rPr>
          <w:rFonts w:ascii="Arial" w:cs="Arial" w:eastAsia="Arial" w:hAnsi="Arial"/>
          <w:sz w:val="18"/>
          <w:szCs w:val="18"/>
          <w:color w:val="auto"/>
        </w:rPr>
        <w:t>. The increase in content licensing revenue was primarily due to our successful 2012 theatrical releases that were made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licensees in the current period.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costs and expenses increased for the three months ended June 30, 2013 compared to the same period in 2012 primarily due to higher programming and production costs and other operating and administrative expenses, partially offset by lower advertising, marketing and promotion expenses. The increase in programming and production costs was primarily due to higher amortization of film costs, including films in production.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47" w:lineRule="auto"/>
        <w:rPr>
          <w:sz w:val="20"/>
          <w:szCs w:val="20"/>
          <w:color w:val="auto"/>
        </w:rPr>
      </w:pPr>
      <w:r>
        <w:rPr>
          <w:rFonts w:ascii="Arial" w:cs="Arial" w:eastAsia="Arial" w:hAnsi="Arial"/>
          <w:sz w:val="15"/>
          <w:szCs w:val="15"/>
          <w:color w:val="auto"/>
        </w:rPr>
        <w:t>increase in other operating and administrative expenses was primarily due to the realization of a receivable in the prior year period that was previously reserved for as uncollectible. The decrease in advertising, marketing and promotion expenses was primarily due to lower costs associated with our 2013 theatrical releases.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remained relatively flat for the six months ended June 30, 2013 compared to the same period in 2012 primarily due to higher amortization of film costs, including films in production, offset by lower advertising, marketing and promotion expenses associated with our 2013 theatrical releases.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3"/>
          </w:tcPr>
          <w:p>
            <w:pPr>
              <w:jc w:val="center"/>
              <w:ind w:right="337"/>
              <w:spacing w:after="0"/>
              <w:rPr>
                <w:sz w:val="20"/>
                <w:szCs w:val="20"/>
                <w:color w:val="auto"/>
              </w:rPr>
            </w:pPr>
            <w:r>
              <w:rPr>
                <w:rFonts w:ascii="Arial" w:cs="Arial" w:eastAsia="Arial" w:hAnsi="Arial"/>
                <w:sz w:val="14"/>
                <w:szCs w:val="14"/>
                <w:color w:val="auto"/>
                <w:w w:val="87"/>
              </w:rPr>
              <w:t>Three Months Ended</w:t>
            </w:r>
          </w:p>
        </w:tc>
        <w:tc>
          <w:tcPr>
            <w:tcW w:w="420" w:type="dxa"/>
            <w:vAlign w:val="bottom"/>
          </w:tcPr>
          <w:p>
            <w:pPr>
              <w:spacing w:after="0"/>
              <w:rPr>
                <w:sz w:val="14"/>
                <w:szCs w:val="14"/>
                <w:color w:val="auto"/>
              </w:rPr>
            </w:pPr>
          </w:p>
        </w:tc>
        <w:tc>
          <w:tcPr>
            <w:tcW w:w="760" w:type="dxa"/>
            <w:vAlign w:val="bottom"/>
          </w:tcPr>
          <w:p>
            <w:pPr>
              <w:jc w:val="center"/>
              <w:ind w:left="84"/>
              <w:spacing w:after="0"/>
              <w:rPr>
                <w:sz w:val="20"/>
                <w:szCs w:val="20"/>
                <w:color w:val="auto"/>
              </w:rPr>
            </w:pPr>
            <w:r>
              <w:rPr>
                <w:rFonts w:ascii="Arial" w:cs="Arial" w:eastAsia="Arial" w:hAnsi="Arial"/>
                <w:sz w:val="14"/>
                <w:szCs w:val="14"/>
                <w:color w:val="auto"/>
                <w:w w:val="83"/>
              </w:rPr>
              <w:t>Increase/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1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9"/>
              <w:spacing w:after="0" w:line="159" w:lineRule="exact"/>
              <w:rPr>
                <w:sz w:val="20"/>
                <w:szCs w:val="20"/>
                <w:color w:val="auto"/>
              </w:rPr>
            </w:pPr>
            <w:r>
              <w:rPr>
                <w:rFonts w:ascii="Arial" w:cs="Arial" w:eastAsia="Arial" w:hAnsi="Arial"/>
                <w:sz w:val="14"/>
                <w:szCs w:val="14"/>
                <w:color w:val="auto"/>
                <w:w w:val="84"/>
              </w:rPr>
              <w:t>June 30</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left="104"/>
              <w:spacing w:after="0" w:line="159" w:lineRule="exact"/>
              <w:rPr>
                <w:sz w:val="20"/>
                <w:szCs w:val="20"/>
                <w:color w:val="auto"/>
              </w:rPr>
            </w:pPr>
            <w:r>
              <w:rPr>
                <w:rFonts w:ascii="Arial" w:cs="Arial" w:eastAsia="Arial" w:hAnsi="Arial"/>
                <w:sz w:val="14"/>
                <w:szCs w:val="14"/>
                <w:color w:val="auto"/>
                <w:w w:val="83"/>
              </w:rPr>
              <w:t>(Decrease)</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color w:val="auto"/>
                <w:w w:val="89"/>
              </w:rPr>
              <w:t>2013</w:t>
            </w: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w w:val="83"/>
              </w:rPr>
              <w:t>2012</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84"/>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0"/>
        </w:trPr>
        <w:tc>
          <w:tcPr>
            <w:tcW w:w="71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546</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539</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464"/>
              <w:spacing w:after="0"/>
              <w:rPr>
                <w:sz w:val="20"/>
                <w:szCs w:val="20"/>
                <w:color w:val="auto"/>
              </w:rPr>
            </w:pPr>
            <w:r>
              <w:rPr>
                <w:rFonts w:ascii="Arial" w:cs="Arial" w:eastAsia="Arial" w:hAnsi="Arial"/>
                <w:sz w:val="18"/>
                <w:szCs w:val="18"/>
                <w:color w:val="auto"/>
              </w:rPr>
              <w:t>7</w:t>
            </w:r>
          </w:p>
        </w:tc>
        <w:tc>
          <w:tcPr>
            <w:tcW w:w="5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304</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64"/>
              <w:spacing w:after="0"/>
              <w:rPr>
                <w:sz w:val="20"/>
                <w:szCs w:val="20"/>
                <w:color w:val="auto"/>
              </w:rPr>
            </w:pPr>
            <w:r>
              <w:rPr>
                <w:rFonts w:ascii="Arial" w:cs="Arial" w:eastAsia="Arial" w:hAnsi="Arial"/>
                <w:sz w:val="18"/>
                <w:szCs w:val="18"/>
                <w:color w:val="auto"/>
                <w:w w:val="99"/>
              </w:rPr>
              <w:t>11</w:t>
            </w: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7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231</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rPr>
              <w:t>235</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404"/>
              <w:spacing w:after="0"/>
              <w:rPr>
                <w:sz w:val="20"/>
                <w:szCs w:val="20"/>
                <w:color w:val="auto"/>
              </w:rPr>
            </w:pPr>
            <w:r>
              <w:rPr>
                <w:rFonts w:ascii="Arial" w:cs="Arial" w:eastAsia="Arial" w:hAnsi="Arial"/>
                <w:sz w:val="18"/>
                <w:szCs w:val="18"/>
                <w:b w:val="1"/>
                <w:bCs w:val="1"/>
                <w:color w:val="auto"/>
              </w:rPr>
              <w:t>(4)</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4"/>
              </w:rPr>
              <w:t>(1.6)%</w:t>
            </w:r>
          </w:p>
        </w:tc>
        <w:tc>
          <w:tcPr>
            <w:tcW w:w="0" w:type="dxa"/>
            <w:vAlign w:val="bottom"/>
          </w:tcPr>
          <w:p>
            <w:pPr>
              <w:spacing w:after="0"/>
              <w:rPr>
                <w:sz w:val="1"/>
                <w:szCs w:val="1"/>
                <w:color w:val="auto"/>
              </w:rPr>
            </w:pPr>
          </w:p>
        </w:tc>
      </w:tr>
      <w:tr>
        <w:trPr>
          <w:trHeight w:val="340"/>
        </w:trPr>
        <w:tc>
          <w:tcPr>
            <w:tcW w:w="7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gridSpan w:val="3"/>
          </w:tcPr>
          <w:p>
            <w:pPr>
              <w:jc w:val="center"/>
              <w:ind w:right="317"/>
              <w:spacing w:after="0"/>
              <w:rPr>
                <w:sz w:val="20"/>
                <w:szCs w:val="20"/>
                <w:color w:val="auto"/>
              </w:rPr>
            </w:pPr>
            <w:r>
              <w:rPr>
                <w:rFonts w:ascii="Arial" w:cs="Arial" w:eastAsia="Arial" w:hAnsi="Arial"/>
                <w:sz w:val="14"/>
                <w:szCs w:val="14"/>
                <w:color w:val="auto"/>
                <w:w w:val="87"/>
              </w:rPr>
              <w:t>Six Months Ended</w:t>
            </w:r>
          </w:p>
        </w:tc>
        <w:tc>
          <w:tcPr>
            <w:tcW w:w="420" w:type="dxa"/>
            <w:vAlign w:val="bottom"/>
          </w:tcPr>
          <w:p>
            <w:pPr>
              <w:spacing w:after="0"/>
              <w:rPr>
                <w:sz w:val="24"/>
                <w:szCs w:val="24"/>
                <w:color w:val="auto"/>
              </w:rPr>
            </w:pPr>
          </w:p>
        </w:tc>
        <w:tc>
          <w:tcPr>
            <w:tcW w:w="760" w:type="dxa"/>
            <w:vAlign w:val="bottom"/>
          </w:tcPr>
          <w:p>
            <w:pPr>
              <w:jc w:val="center"/>
              <w:ind w:left="84"/>
              <w:spacing w:after="0"/>
              <w:rPr>
                <w:sz w:val="20"/>
                <w:szCs w:val="20"/>
                <w:color w:val="auto"/>
              </w:rPr>
            </w:pPr>
            <w:r>
              <w:rPr>
                <w:rFonts w:ascii="Arial" w:cs="Arial" w:eastAsia="Arial" w:hAnsi="Arial"/>
                <w:sz w:val="14"/>
                <w:szCs w:val="14"/>
                <w:color w:val="auto"/>
                <w:w w:val="83"/>
              </w:rPr>
              <w:t>Increase/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1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9"/>
              <w:spacing w:after="0" w:line="159" w:lineRule="exact"/>
              <w:rPr>
                <w:sz w:val="20"/>
                <w:szCs w:val="20"/>
                <w:color w:val="auto"/>
              </w:rPr>
            </w:pPr>
            <w:r>
              <w:rPr>
                <w:rFonts w:ascii="Arial" w:cs="Arial" w:eastAsia="Arial" w:hAnsi="Arial"/>
                <w:sz w:val="14"/>
                <w:szCs w:val="14"/>
                <w:color w:val="auto"/>
                <w:w w:val="84"/>
              </w:rPr>
              <w:t>June 30</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left="104"/>
              <w:spacing w:after="0" w:line="159" w:lineRule="exact"/>
              <w:rPr>
                <w:sz w:val="20"/>
                <w:szCs w:val="20"/>
                <w:color w:val="auto"/>
              </w:rPr>
            </w:pPr>
            <w:r>
              <w:rPr>
                <w:rFonts w:ascii="Arial" w:cs="Arial" w:eastAsia="Arial" w:hAnsi="Arial"/>
                <w:sz w:val="14"/>
                <w:szCs w:val="14"/>
                <w:color w:val="auto"/>
                <w:w w:val="83"/>
              </w:rPr>
              <w:t>(Decrease)</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color w:val="auto"/>
                <w:w w:val="89"/>
              </w:rPr>
              <w:t>2013</w:t>
            </w: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w w:val="83"/>
              </w:rPr>
              <w:t>2012</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84"/>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0"/>
        </w:trPr>
        <w:tc>
          <w:tcPr>
            <w:tcW w:w="71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1,008</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951</w:t>
            </w:r>
          </w:p>
        </w:tc>
        <w:tc>
          <w:tcPr>
            <w:tcW w:w="1180" w:type="dxa"/>
            <w:vAlign w:val="bottom"/>
            <w:gridSpan w:val="2"/>
            <w:shd w:val="clear" w:color="auto" w:fill="E5E5E5"/>
          </w:tcPr>
          <w:p>
            <w:pPr>
              <w:jc w:val="right"/>
              <w:ind w:right="464"/>
              <w:spacing w:after="0"/>
              <w:rPr>
                <w:sz w:val="20"/>
                <w:szCs w:val="20"/>
                <w:color w:val="auto"/>
              </w:rPr>
            </w:pPr>
            <w:r>
              <w:rPr>
                <w:rFonts w:ascii="Arial" w:cs="Arial" w:eastAsia="Arial" w:hAnsi="Arial"/>
                <w:sz w:val="18"/>
                <w:szCs w:val="18"/>
                <w:color w:val="auto"/>
              </w:rPr>
              <w:t>$ 57</w:t>
            </w:r>
          </w:p>
        </w:tc>
        <w:tc>
          <w:tcPr>
            <w:tcW w:w="5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w w:val="97"/>
              </w:rPr>
              <w:t>5.9%</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559</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64"/>
              <w:spacing w:after="0"/>
              <w:rPr>
                <w:sz w:val="20"/>
                <w:szCs w:val="20"/>
                <w:color w:val="auto"/>
              </w:rPr>
            </w:pPr>
            <w:r>
              <w:rPr>
                <w:rFonts w:ascii="Arial" w:cs="Arial" w:eastAsia="Arial" w:hAnsi="Arial"/>
                <w:sz w:val="18"/>
                <w:szCs w:val="18"/>
                <w:color w:val="auto"/>
                <w:w w:val="99"/>
              </w:rPr>
              <w:t>45</w:t>
            </w: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7"/>
        </w:trPr>
        <w:tc>
          <w:tcPr>
            <w:tcW w:w="7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404</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rPr>
              <w:t>392</w:t>
            </w:r>
          </w:p>
        </w:tc>
        <w:tc>
          <w:tcPr>
            <w:tcW w:w="1180" w:type="dxa"/>
            <w:vAlign w:val="bottom"/>
            <w:tcBorders>
              <w:bottom w:val="single" w:sz="8" w:color="auto"/>
            </w:tcBorders>
            <w:gridSpan w:val="2"/>
            <w:shd w:val="clear" w:color="auto" w:fill="E5E5E5"/>
          </w:tcPr>
          <w:p>
            <w:pPr>
              <w:jc w:val="right"/>
              <w:ind w:right="464"/>
              <w:spacing w:after="0"/>
              <w:rPr>
                <w:sz w:val="20"/>
                <w:szCs w:val="20"/>
                <w:color w:val="auto"/>
              </w:rPr>
            </w:pPr>
            <w:r>
              <w:rPr>
                <w:rFonts w:ascii="Arial" w:cs="Arial" w:eastAsia="Arial" w:hAnsi="Arial"/>
                <w:sz w:val="18"/>
                <w:szCs w:val="18"/>
                <w:b w:val="1"/>
                <w:bCs w:val="1"/>
                <w:color w:val="auto"/>
              </w:rPr>
              <w:t>$ 12</w:t>
            </w:r>
          </w:p>
        </w:tc>
        <w:tc>
          <w:tcPr>
            <w:tcW w:w="5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revenue increased slightly for the three months ended June 30, 2013 compared to the same period in 2012 primarily due to an increase in per capita spending partially offset by the timing of holidays.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Theme Parks revenue increased for the six months ended June 30, 2013 compared to the same period in 2012 primarily due to higher guest attendance at our Hollywood and Orlando theme parks, as well as an increase in per capita spending.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Parks segment operating costs and expenses increased for the three and six months ended June 30, 2013 compared to the same periods in 2012 primarily due to additional costs at our Orlando and Hollywood theme parks associated with the corresponding increases in per capita spending and attendance, as well as an increase in costs to support new attractions.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Headquarters, Other and Eliminations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changes in operating income (loss) before depreciation and amortization for headquarters, other and eliminations for the three and six months ended June 30, 2013 compared to the same periods in 2012 were primarily due to lower facilities and other administrative expenses.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6"/>
              <w:spacing w:after="0"/>
              <w:rPr>
                <w:sz w:val="20"/>
                <w:szCs w:val="20"/>
                <w:color w:val="auto"/>
              </w:rPr>
            </w:pPr>
            <w:r>
              <w:rPr>
                <w:rFonts w:ascii="Arial" w:cs="Arial" w:eastAsia="Arial" w:hAnsi="Arial"/>
                <w:sz w:val="14"/>
                <w:szCs w:val="14"/>
                <w:color w:val="auto"/>
                <w:w w:val="94"/>
              </w:rPr>
              <w:t>Three Months Ended</w:t>
            </w:r>
          </w:p>
        </w:tc>
        <w:tc>
          <w:tcPr>
            <w:tcW w:w="1980" w:type="dxa"/>
            <w:vAlign w:val="bottom"/>
            <w:gridSpan w:val="2"/>
          </w:tcPr>
          <w:p>
            <w:pPr>
              <w:jc w:val="right"/>
              <w:ind w:right="33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44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7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auto"/>
            </w:tcBorders>
            <w:vMerge w:val="continue"/>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line="142" w:lineRule="exact"/>
              <w:rPr>
                <w:sz w:val="20"/>
                <w:szCs w:val="20"/>
                <w:color w:val="auto"/>
              </w:rPr>
            </w:pPr>
            <w:r>
              <w:rPr>
                <w:rFonts w:ascii="Arial" w:cs="Arial" w:eastAsia="Arial" w:hAnsi="Arial"/>
                <w:sz w:val="14"/>
                <w:szCs w:val="14"/>
                <w:color w:val="auto"/>
                <w:w w:val="83"/>
              </w:rPr>
              <w:t>2013</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w w:val="89"/>
              </w:rPr>
              <w:t>2012</w:t>
            </w:r>
          </w:p>
        </w:tc>
        <w:tc>
          <w:tcPr>
            <w:tcW w:w="1300" w:type="dxa"/>
            <w:vAlign w:val="bottom"/>
            <w:tcBorders>
              <w:bottom w:val="single" w:sz="8" w:color="auto"/>
            </w:tcBorders>
          </w:tcPr>
          <w:p>
            <w:pPr>
              <w:jc w:val="right"/>
              <w:ind w:right="580"/>
              <w:spacing w:after="0" w:line="142" w:lineRule="exact"/>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32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60"/>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(625)</w:t>
            </w:r>
          </w:p>
        </w:tc>
        <w:tc>
          <w:tcPr>
            <w:tcW w:w="1300" w:type="dxa"/>
            <w:vAlign w:val="bottom"/>
            <w:shd w:val="clear" w:color="auto" w:fill="E5E5E5"/>
          </w:tcPr>
          <w:p>
            <w:pPr>
              <w:jc w:val="right"/>
              <w:ind w:right="360"/>
              <w:spacing w:after="0"/>
              <w:rPr>
                <w:sz w:val="20"/>
                <w:szCs w:val="20"/>
                <w:color w:val="auto"/>
              </w:rPr>
            </w:pPr>
            <w:r>
              <w:rPr>
                <w:rFonts w:ascii="Arial" w:cs="Arial" w:eastAsia="Arial" w:hAnsi="Arial"/>
                <w:sz w:val="18"/>
                <w:szCs w:val="18"/>
                <w:color w:val="auto"/>
              </w:rPr>
              <w:t>$(1,289)</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2"/>
              </w:rPr>
              <w:t>$(1,265)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2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4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8</w:t>
            </w:r>
          </w:p>
        </w:tc>
        <w:tc>
          <w:tcPr>
            <w:tcW w:w="1300" w:type="dxa"/>
            <w:vAlign w:val="bottom"/>
          </w:tcPr>
          <w:p>
            <w:pPr>
              <w:jc w:val="right"/>
              <w:ind w:right="420"/>
              <w:spacing w:after="0"/>
              <w:rPr>
                <w:sz w:val="20"/>
                <w:szCs w:val="20"/>
                <w:color w:val="auto"/>
              </w:rPr>
            </w:pPr>
            <w:r>
              <w:rPr>
                <w:rFonts w:ascii="Arial" w:cs="Arial" w:eastAsia="Arial" w:hAnsi="Arial"/>
                <w:sz w:val="18"/>
                <w:szCs w:val="18"/>
                <w:color w:val="auto"/>
              </w:rPr>
              <w:t>85</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27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4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29</w:t>
            </w:r>
          </w:p>
        </w:tc>
        <w:tc>
          <w:tcPr>
            <w:tcW w:w="1300" w:type="dxa"/>
            <w:vAlign w:val="bottom"/>
            <w:shd w:val="clear" w:color="auto" w:fill="E5E5E5"/>
          </w:tcPr>
          <w:p>
            <w:pPr>
              <w:jc w:val="right"/>
              <w:ind w:right="420"/>
              <w:spacing w:after="0"/>
              <w:rPr>
                <w:sz w:val="20"/>
                <w:szCs w:val="20"/>
                <w:color w:val="auto"/>
              </w:rPr>
            </w:pPr>
            <w:r>
              <w:rPr>
                <w:rFonts w:ascii="Arial" w:cs="Arial" w:eastAsia="Arial" w:hAnsi="Arial"/>
                <w:sz w:val="18"/>
                <w:szCs w:val="18"/>
                <w:color w:val="auto"/>
              </w:rPr>
              <w:t>34</w:t>
            </w:r>
          </w:p>
        </w:tc>
        <w:tc>
          <w:tcPr>
            <w:tcW w:w="6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2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(47)</w:t>
            </w:r>
          </w:p>
        </w:tc>
        <w:tc>
          <w:tcPr>
            <w:tcW w:w="1300" w:type="dxa"/>
            <w:vAlign w:val="bottom"/>
            <w:tcBorders>
              <w:bottom w:val="single" w:sz="8" w:color="auto"/>
            </w:tcBorders>
          </w:tcPr>
          <w:p>
            <w:pPr>
              <w:jc w:val="right"/>
              <w:ind w:right="420"/>
              <w:spacing w:after="0"/>
              <w:rPr>
                <w:sz w:val="20"/>
                <w:szCs w:val="20"/>
                <w:color w:val="auto"/>
              </w:rPr>
            </w:pPr>
            <w:r>
              <w:rPr>
                <w:rFonts w:ascii="Arial" w:cs="Arial" w:eastAsia="Arial" w:hAnsi="Arial"/>
                <w:sz w:val="18"/>
                <w:szCs w:val="18"/>
                <w:color w:val="auto"/>
              </w:rPr>
              <w:t>30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324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(643)</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(635)</w:t>
            </w:r>
          </w:p>
        </w:tc>
        <w:tc>
          <w:tcPr>
            <w:tcW w:w="1300" w:type="dxa"/>
            <w:vAlign w:val="bottom"/>
            <w:tcBorders>
              <w:bottom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$(1,140)</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2"/>
              </w:rPr>
              <w:t>$(1,196)</w:t>
            </w:r>
          </w:p>
        </w:tc>
        <w:tc>
          <w:tcPr>
            <w:tcW w:w="0" w:type="dxa"/>
            <w:vAlign w:val="bottom"/>
          </w:tcPr>
          <w:p>
            <w:pPr>
              <w:spacing w:after="0"/>
              <w:rPr>
                <w:sz w:val="1"/>
                <w:szCs w:val="1"/>
                <w:color w:val="auto"/>
              </w:rPr>
            </w:pPr>
          </w:p>
        </w:tc>
      </w:tr>
      <w:tr>
        <w:trPr>
          <w:trHeight w:val="363"/>
        </w:trPr>
        <w:tc>
          <w:tcPr>
            <w:tcW w:w="4420" w:type="dxa"/>
            <w:vAlign w:val="bottom"/>
          </w:tcPr>
          <w:p>
            <w:pPr>
              <w:spacing w:after="0"/>
              <w:rPr>
                <w:sz w:val="24"/>
                <w:szCs w:val="24"/>
                <w:color w:val="auto"/>
              </w:rPr>
            </w:pPr>
          </w:p>
        </w:tc>
        <w:tc>
          <w:tcPr>
            <w:tcW w:w="2700" w:type="dxa"/>
            <w:vAlign w:val="bottom"/>
          </w:tcPr>
          <w:p>
            <w:pPr>
              <w:jc w:val="right"/>
              <w:ind w:right="1212"/>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increased slightly for the three and six months ended June 30, 2013 compared to the same periods in 2012 primarily due to an increase in our debt outstanding, partially offset by a reduction in our average cost of debt.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six months ended June 30, 2013 and 2012 are presented in a table in Note 5 to our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remained relatively flat for the three months ended June 30, 2013 compared to the same period in 2012. The change in other income (expense), net for the six months ended June 30, 2013 compared to the same period in 2012 was primarily due to the $108 million gain recognized on our sale of wireless communications spectrum licenses in January 2013.</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for the three and six months ended June 30, 2013 and 2012 reflects an effective income tax rate that differs from the federal statutory rate primarily due to state income taxes, uncertain tax positions and, until the close of the Redemption Transaction in March 2013, foreign income taxes and the partnership structure of NBCUniversal Holdings. We expect our 2013 annual effective tax rate to be in the range of 35% to 40%, absent changes in tax laws or significant changes in uncertain tax positions.</w:t>
      </w:r>
    </w:p>
    <w:p>
      <w:pPr>
        <w:spacing w:after="0" w:line="146"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b w:val="1"/>
          <w:bCs w:val="1"/>
          <w:color w:val="auto"/>
        </w:rPr>
        <w:t>Consolidated Net (Income) Loss Attributable to Noncontrolling Interests and Redeemable Subsidiary Preferred Stock</w:t>
      </w:r>
    </w:p>
    <w:p>
      <w:pPr>
        <w:spacing w:after="0" w:line="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decreases in net (income) loss attributable to noncontrolling interests and redeemable subsidiary preferred stock for the three and six months ended June 30, 2013 were primarily due to our acquisition of GE’s 49% common equity interest in NBCUniversal Holdings in March 2013.</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March 27, 2013, we, four of our wholly owned cable holding company subsidiaries (the “cable guarantors”) and NBCUniversal entered into a series of agreements and supplemental indentures to include NBCUniversal as part of our existing cross-guarantee structure. As members of the cross-guarantee structure, we and the cable guarantors fully and unconditionally guarantee NBCUniversal’s public debt securities, and NBCUniversal fully and unconditionally guarantees all of our and the cable guarantors’ public debt securities, as well as our revolving credit facility.</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and the cable guarantors also fully and unconditionally guarantee NBCUniversal Enterprise’s $4 billion of senior notes and its $1.35 billion credit facility due March 2018. NBCUniversal does not guarantee the NBCUniversal Enterprise senior notes or credit facility.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See Note 15 to our condensed consolidated financial statements for additional information on our subsidiary cross-guarantee structure.</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anticipate that we will continue to use a substantial portion of our cash flows to meet our debt repayment obligations, to fund our capital expenditures, to invest in business opportunities and to return capital to shareholders.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2"/>
          </w:tcPr>
          <w:p>
            <w:pPr>
              <w:jc w:val="right"/>
              <w:ind w:right="35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2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7"/>
              <w:spacing w:after="0" w:line="142" w:lineRule="exact"/>
              <w:rPr>
                <w:sz w:val="20"/>
                <w:szCs w:val="20"/>
                <w:color w:val="auto"/>
              </w:rPr>
            </w:pPr>
            <w:r>
              <w:rPr>
                <w:rFonts w:ascii="Arial" w:cs="Arial" w:eastAsia="Arial" w:hAnsi="Arial"/>
                <w:sz w:val="14"/>
                <w:szCs w:val="14"/>
                <w:color w:val="auto"/>
                <w:w w:val="96"/>
              </w:rPr>
              <w:t>2013</w:t>
            </w:r>
          </w:p>
        </w:tc>
        <w:tc>
          <w:tcPr>
            <w:tcW w:w="7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92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6,502</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6"/>
              </w:rPr>
              <w:t>$ 5,837</w:t>
            </w:r>
          </w:p>
        </w:tc>
        <w:tc>
          <w:tcPr>
            <w:tcW w:w="0" w:type="dxa"/>
            <w:vAlign w:val="bottom"/>
          </w:tcPr>
          <w:p>
            <w:pPr>
              <w:spacing w:after="0"/>
              <w:rPr>
                <w:sz w:val="1"/>
                <w:szCs w:val="1"/>
                <w:color w:val="auto"/>
              </w:rPr>
            </w:pPr>
          </w:p>
        </w:tc>
      </w:tr>
      <w:tr>
        <w:trPr>
          <w:trHeight w:val="216"/>
        </w:trPr>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3,957</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10"/>
        </w:trPr>
        <w:tc>
          <w:tcPr>
            <w:tcW w:w="9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w w:val="83"/>
              </w:rPr>
              <w:t>10,459</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9,692</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540" w:type="dxa"/>
            <w:vAlign w:val="bottom"/>
          </w:tcPr>
          <w:p>
            <w:pPr>
              <w:spacing w:after="0"/>
              <w:rPr>
                <w:sz w:val="18"/>
                <w:szCs w:val="18"/>
                <w:color w:val="auto"/>
              </w:rPr>
            </w:pPr>
          </w:p>
        </w:tc>
        <w:tc>
          <w:tcPr>
            <w:tcW w:w="980" w:type="dxa"/>
            <w:vAlign w:val="bottom"/>
          </w:tcPr>
          <w:p>
            <w:pPr>
              <w:jc w:val="right"/>
              <w:ind w:right="417"/>
              <w:spacing w:after="0"/>
              <w:rPr>
                <w:sz w:val="20"/>
                <w:szCs w:val="20"/>
                <w:color w:val="auto"/>
              </w:rPr>
            </w:pPr>
            <w:r>
              <w:rPr>
                <w:rFonts w:ascii="Arial" w:cs="Arial" w:eastAsia="Arial" w:hAnsi="Arial"/>
                <w:sz w:val="18"/>
                <w:szCs w:val="18"/>
                <w:color w:val="auto"/>
              </w:rPr>
              <w:t>213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9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418</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920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540" w:type="dxa"/>
            <w:vAlign w:val="bottom"/>
          </w:tcPr>
          <w:p>
            <w:pPr>
              <w:spacing w:after="0"/>
              <w:rPr>
                <w:sz w:val="18"/>
                <w:szCs w:val="18"/>
                <w:color w:val="auto"/>
              </w:rPr>
            </w:pPr>
          </w:p>
        </w:tc>
        <w:tc>
          <w:tcPr>
            <w:tcW w:w="980" w:type="dxa"/>
            <w:vAlign w:val="bottom"/>
          </w:tcPr>
          <w:p>
            <w:pPr>
              <w:jc w:val="right"/>
              <w:ind w:right="417"/>
              <w:spacing w:after="0"/>
              <w:rPr>
                <w:sz w:val="20"/>
                <w:szCs w:val="20"/>
                <w:color w:val="auto"/>
              </w:rPr>
            </w:pPr>
            <w:r>
              <w:rPr>
                <w:rFonts w:ascii="Arial" w:cs="Arial" w:eastAsia="Arial" w:hAnsi="Arial"/>
                <w:sz w:val="18"/>
                <w:szCs w:val="18"/>
                <w:color w:val="auto"/>
                <w:w w:val="83"/>
              </w:rPr>
              <w:t>11,090</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9,922</w:t>
            </w:r>
          </w:p>
        </w:tc>
        <w:tc>
          <w:tcPr>
            <w:tcW w:w="0" w:type="dxa"/>
            <w:vAlign w:val="bottom"/>
          </w:tcPr>
          <w:p>
            <w:pPr>
              <w:spacing w:after="0"/>
              <w:rPr>
                <w:sz w:val="1"/>
                <w:szCs w:val="1"/>
                <w:color w:val="auto"/>
              </w:rPr>
            </w:pPr>
          </w:p>
        </w:tc>
      </w:tr>
      <w:tr>
        <w:trPr>
          <w:trHeight w:val="216"/>
        </w:trPr>
        <w:tc>
          <w:tcPr>
            <w:tcW w:w="920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w w:val="91"/>
              </w:rPr>
              <w:t>(1,132)</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54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8"/>
                <w:szCs w:val="18"/>
                <w:color w:val="auto"/>
                <w:w w:val="91"/>
              </w:rPr>
              <w:t>(2,222)</w:t>
            </w:r>
          </w:p>
        </w:tc>
        <w:tc>
          <w:tcPr>
            <w:tcW w:w="70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920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investments and other</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96</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benefits under share-based compensation</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color w:val="auto"/>
              </w:rPr>
              <w:t>(147)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7"/>
        </w:trPr>
        <w:tc>
          <w:tcPr>
            <w:tcW w:w="9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b w:val="1"/>
                <w:bCs w:val="1"/>
                <w:color w:val="auto"/>
              </w:rPr>
              <w:t>7,685</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96"/>
              </w:rPr>
              <w:t>$ 7,815</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changes in operating assets and liabilities for the six months ended June 30, 2013 compared to the same period in 2012 were primarily related to a decrease in film and television costs, partially offset by the timing of other operating items.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income tax payments for the six months ended June 30, 2013 compared to the same period in 2012 was primarily due to tax payments made in 2013 that related to 2012, the net impact of the economic stimulus legislation, taxes associated with our investment gains and repatriation of foreign earnings in the first half of 2013, and the settlement of a tax dispute.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for the six months ended June 30, 2013 consisted primarily of cash paid for capital expenditures, NBCUniversal’s acquisition of the 30 Rockefeller Plaza properties, the purchase of investments and cash paid for intangible assets.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cash used in financing activities for the six months ended June 30, 2013 consisted primarily of our acquisition of GE’s 49% common equity interest in NBCUniversal Holdings, repayments of debt, repurchases of our common stock, dividend payments and the effective settlement of our Station Venture liability, primarily offset by proceeds from long-term borrowings and proceeds from short-term borrowings, net of repayments.</w:t>
      </w:r>
    </w:p>
    <w:p>
      <w:pPr>
        <w:spacing w:after="0" w:line="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See Note 7 to our condensed consolidated financial statements for additional information on the long-term debt incurred in connection with the Redemption Transaction, including the debt issued by NBCUniversal Enterprise, which we now consolidate.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maintain significant availability under our lines of credit and our commercial paper program to meet our short-term liquidity requirements. On March 19, 2013, NBCUniversal Enterprise amended and restated the existing credit agreement of NBCUniversal to, among other things, substitute NBCUniversal Enterprise for NBCUniversal as the sole borrower, reduce the borrowing capacity of the facility from $1.5 billion to $1.35 billion, extend the term of the facility to March 2018 and revise the interest rate on borrowings. The interest rate on the credit facility consists of a base rate plus a borrowing margin that is determined based on our credit rating. As of June 30, 2013, the interest rate was 1.273%. Following the amendments to this credit agreement, NBCUniversal’s commercial paper program was terminated.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June 30, 2013, amounts available under our consolidated revolving credit facilities, net of amounts outstanding under our commercial paper program and undrawn letters of credit, totaled $5.7 billion, which included $100 million available under NBCUniversal Enterprise’s credit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2012, our Board of Directors approved a $6.5 billion share repurchase authorization, which does not have an expiration date. Under this authorization, we may repurchase shares in the open market or in private transactions. During the six months ended June 30, 2013, we repurchased 26 million shares of our Class A Special common stock for $ 1 billion.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2013, our Board of Directors approved a 20% increase in our dividend to $0.78 per share on an annualized basis. In February and May 2013, our Board of Directors approved our first and second quarter dividends of $0.195 per share as part of our planned annual dividend. We expect to continue to pay quarterly dividends, although each dividend is subject to approval by our Board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center"/>
              <w:ind w:left="202"/>
              <w:spacing w:after="0"/>
              <w:rPr>
                <w:sz w:val="20"/>
                <w:szCs w:val="20"/>
                <w:color w:val="auto"/>
              </w:rPr>
            </w:pPr>
            <w:r>
              <w:rPr>
                <w:rFonts w:ascii="Arial" w:cs="Arial" w:eastAsia="Arial" w:hAnsi="Arial"/>
                <w:sz w:val="14"/>
                <w:szCs w:val="14"/>
                <w:color w:val="auto"/>
                <w:w w:val="91"/>
              </w:rPr>
              <w:t>Month of</w:t>
            </w:r>
          </w:p>
        </w:tc>
      </w:tr>
      <w:tr>
        <w:trPr>
          <w:trHeight w:val="159"/>
        </w:trPr>
        <w:tc>
          <w:tcPr>
            <w:tcW w:w="62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380" w:type="dxa"/>
            <w:vAlign w:val="bottom"/>
            <w:tcBorders>
              <w:bottom w:val="single" w:sz="8" w:color="auto"/>
            </w:tcBorders>
            <w:gridSpan w:val="2"/>
          </w:tcPr>
          <w:p>
            <w:pPr>
              <w:ind w:left="3660"/>
              <w:spacing w:after="0" w:line="159" w:lineRule="exact"/>
              <w:rPr>
                <w:sz w:val="20"/>
                <w:szCs w:val="20"/>
                <w:color w:val="auto"/>
              </w:rPr>
            </w:pPr>
            <w:r>
              <w:rPr>
                <w:rFonts w:ascii="Arial" w:cs="Arial" w:eastAsia="Arial" w:hAnsi="Arial"/>
                <w:sz w:val="14"/>
                <w:szCs w:val="14"/>
                <w:color w:val="auto"/>
              </w:rPr>
              <w:t>Amount</w:t>
            </w:r>
          </w:p>
        </w:tc>
        <w:tc>
          <w:tcPr>
            <w:tcW w:w="780" w:type="dxa"/>
            <w:vAlign w:val="bottom"/>
            <w:tcBorders>
              <w:bottom w:val="single" w:sz="8" w:color="auto"/>
            </w:tcBorders>
          </w:tcPr>
          <w:p>
            <w:pPr>
              <w:jc w:val="center"/>
              <w:ind w:left="182"/>
              <w:spacing w:after="0" w:line="159" w:lineRule="exact"/>
              <w:rPr>
                <w:sz w:val="20"/>
                <w:szCs w:val="20"/>
                <w:color w:val="auto"/>
              </w:rPr>
            </w:pPr>
            <w:r>
              <w:rPr>
                <w:rFonts w:ascii="Arial" w:cs="Arial" w:eastAsia="Arial" w:hAnsi="Arial"/>
                <w:sz w:val="14"/>
                <w:szCs w:val="14"/>
                <w:color w:val="auto"/>
                <w:w w:val="86"/>
              </w:rPr>
              <w:t>Payment</w:t>
            </w:r>
          </w:p>
        </w:tc>
      </w:tr>
      <w:tr>
        <w:trPr>
          <w:trHeight w:val="210"/>
        </w:trPr>
        <w:tc>
          <w:tcPr>
            <w:tcW w:w="626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2013</w:t>
            </w:r>
          </w:p>
        </w:tc>
        <w:tc>
          <w:tcPr>
            <w:tcW w:w="3800" w:type="dxa"/>
            <w:vAlign w:val="bottom"/>
            <w:shd w:val="clear" w:color="auto" w:fill="E5E5E5"/>
          </w:tcPr>
          <w:p>
            <w:pPr>
              <w:ind w:left="36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w w:val="93"/>
              </w:rPr>
              <w:t>514</w:t>
            </w:r>
          </w:p>
        </w:tc>
        <w:tc>
          <w:tcPr>
            <w:tcW w:w="780" w:type="dxa"/>
            <w:vAlign w:val="bottom"/>
            <w:shd w:val="clear" w:color="auto" w:fill="E5E5E5"/>
          </w:tcPr>
          <w:p>
            <w:pPr>
              <w:jc w:val="center"/>
              <w:ind w:left="182"/>
              <w:spacing w:after="0"/>
              <w:rPr>
                <w:sz w:val="20"/>
                <w:szCs w:val="20"/>
                <w:color w:val="auto"/>
              </w:rPr>
            </w:pPr>
            <w:r>
              <w:rPr>
                <w:rFonts w:ascii="Arial" w:cs="Arial" w:eastAsia="Arial" w:hAnsi="Arial"/>
                <w:sz w:val="18"/>
                <w:szCs w:val="18"/>
                <w:color w:val="auto"/>
                <w:w w:val="99"/>
              </w:rPr>
              <w:t>April</w:t>
            </w:r>
          </w:p>
        </w:tc>
      </w:tr>
      <w:tr>
        <w:trPr>
          <w:trHeight w:val="216"/>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June 30, 2013</w:t>
            </w:r>
          </w:p>
        </w:tc>
        <w:tc>
          <w:tcPr>
            <w:tcW w:w="3800" w:type="dxa"/>
            <w:vAlign w:val="bottom"/>
            <w:tcBorders>
              <w:bottom w:val="single" w:sz="8" w:color="auto"/>
            </w:tcBorders>
          </w:tcPr>
          <w:p>
            <w:pPr>
              <w:ind w:left="36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3"/>
              </w:rPr>
              <w:t>512</w:t>
            </w:r>
          </w:p>
        </w:tc>
        <w:tc>
          <w:tcPr>
            <w:tcW w:w="780" w:type="dxa"/>
            <w:vAlign w:val="bottom"/>
            <w:tcBorders>
              <w:bottom w:val="single" w:sz="8" w:color="auto"/>
            </w:tcBorders>
          </w:tcPr>
          <w:p>
            <w:pPr>
              <w:jc w:val="center"/>
              <w:ind w:left="182"/>
              <w:spacing w:after="0"/>
              <w:rPr>
                <w:sz w:val="20"/>
                <w:szCs w:val="20"/>
                <w:color w:val="auto"/>
              </w:rPr>
            </w:pPr>
            <w:r>
              <w:rPr>
                <w:rFonts w:ascii="Arial" w:cs="Arial" w:eastAsia="Arial" w:hAnsi="Arial"/>
                <w:sz w:val="18"/>
                <w:szCs w:val="18"/>
                <w:color w:val="auto"/>
                <w:w w:val="87"/>
              </w:rPr>
              <w:t>July</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3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2012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2012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Rules 13a-15(e) and 15d-15(e) of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 to Note 13 to our condensed consolidated financial statements included in this Quarterly Report on Form 10-Q for a discussion of recent developments related to our legal proceedings. There have been no material developments in the matter reported in our Form 10-Q for the Quarter Ended March 31, 2013 regarding the California Attorney General and the Alameda County, California District Attorney’s investigation of certain of our waste disposal policies, procedures and practices.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2012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our Class A Special common stock repurchases under our Board-authorized share repurchase program during the three months ended June 30, 2013.</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4"/>
                <w:szCs w:val="14"/>
                <w:color w:val="auto"/>
              </w:rPr>
            </w:pPr>
          </w:p>
        </w:tc>
        <w:tc>
          <w:tcPr>
            <w:tcW w:w="1160" w:type="dxa"/>
            <w:vAlign w:val="bottom"/>
          </w:tcPr>
          <w:p>
            <w:pPr>
              <w:jc w:val="center"/>
              <w:ind w:right="263"/>
              <w:spacing w:after="0"/>
              <w:rPr>
                <w:sz w:val="20"/>
                <w:szCs w:val="20"/>
                <w:color w:val="auto"/>
              </w:rPr>
            </w:pPr>
            <w:r>
              <w:rPr>
                <w:rFonts w:ascii="Arial" w:cs="Arial" w:eastAsia="Arial" w:hAnsi="Arial"/>
                <w:sz w:val="14"/>
                <w:szCs w:val="14"/>
                <w:color w:val="auto"/>
                <w:w w:val="92"/>
              </w:rPr>
              <w:t>Total Dollar</w:t>
            </w:r>
          </w:p>
        </w:tc>
        <w:tc>
          <w:tcPr>
            <w:tcW w:w="1500" w:type="dxa"/>
            <w:vAlign w:val="bottom"/>
          </w:tcPr>
          <w:p>
            <w:pPr>
              <w:jc w:val="center"/>
              <w:ind w:left="84"/>
              <w:spacing w:after="0"/>
              <w:rPr>
                <w:sz w:val="20"/>
                <w:szCs w:val="20"/>
                <w:color w:val="auto"/>
              </w:rPr>
            </w:pPr>
            <w:r>
              <w:rPr>
                <w:rFonts w:ascii="Arial" w:cs="Arial" w:eastAsia="Arial" w:hAnsi="Arial"/>
                <w:sz w:val="14"/>
                <w:szCs w:val="14"/>
                <w:color w:val="auto"/>
                <w:w w:val="92"/>
              </w:rPr>
              <w:t>Maximum Dollar</w:t>
            </w:r>
          </w:p>
        </w:tc>
      </w:tr>
      <w:tr>
        <w:trPr>
          <w:trHeight w:val="149"/>
        </w:trPr>
        <w:tc>
          <w:tcPr>
            <w:tcW w:w="2900" w:type="dxa"/>
            <w:vAlign w:val="bottom"/>
          </w:tcPr>
          <w:p>
            <w:pPr>
              <w:spacing w:after="0"/>
              <w:rPr>
                <w:sz w:val="12"/>
                <w:szCs w:val="12"/>
                <w:color w:val="auto"/>
              </w:rPr>
            </w:pPr>
          </w:p>
        </w:tc>
        <w:tc>
          <w:tcPr>
            <w:tcW w:w="2780" w:type="dxa"/>
            <w:vAlign w:val="bottom"/>
          </w:tcPr>
          <w:p>
            <w:pPr>
              <w:jc w:val="center"/>
              <w:ind w:left="1302"/>
              <w:spacing w:after="0" w:line="149" w:lineRule="exact"/>
              <w:rPr>
                <w:sz w:val="20"/>
                <w:szCs w:val="20"/>
                <w:color w:val="auto"/>
              </w:rPr>
            </w:pPr>
            <w:r>
              <w:rPr>
                <w:rFonts w:ascii="Arial" w:cs="Arial" w:eastAsia="Arial" w:hAnsi="Arial"/>
                <w:sz w:val="14"/>
                <w:szCs w:val="14"/>
                <w:color w:val="auto"/>
                <w:w w:val="89"/>
              </w:rPr>
              <w:t>Total</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3"/>
              </w:rPr>
              <w:t>Shares Purchased</w:t>
            </w:r>
          </w:p>
        </w:tc>
        <w:tc>
          <w:tcPr>
            <w:tcW w:w="360" w:type="dxa"/>
            <w:vAlign w:val="bottom"/>
          </w:tcPr>
          <w:p>
            <w:pPr>
              <w:spacing w:after="0"/>
              <w:rPr>
                <w:sz w:val="12"/>
                <w:szCs w:val="12"/>
                <w:color w:val="auto"/>
              </w:rPr>
            </w:pPr>
          </w:p>
        </w:tc>
        <w:tc>
          <w:tcPr>
            <w:tcW w:w="1160" w:type="dxa"/>
            <w:vAlign w:val="bottom"/>
          </w:tcPr>
          <w:p>
            <w:pPr>
              <w:jc w:val="center"/>
              <w:ind w:right="283"/>
              <w:spacing w:after="0" w:line="149" w:lineRule="exact"/>
              <w:rPr>
                <w:sz w:val="20"/>
                <w:szCs w:val="20"/>
                <w:color w:val="auto"/>
              </w:rPr>
            </w:pPr>
            <w:r>
              <w:rPr>
                <w:rFonts w:ascii="Arial" w:cs="Arial" w:eastAsia="Arial" w:hAnsi="Arial"/>
                <w:sz w:val="14"/>
                <w:szCs w:val="14"/>
                <w:color w:val="auto"/>
                <w:w w:val="91"/>
              </w:rPr>
              <w:t>Amount</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2900" w:type="dxa"/>
            <w:vAlign w:val="bottom"/>
          </w:tcPr>
          <w:p>
            <w:pPr>
              <w:spacing w:after="0"/>
              <w:rPr>
                <w:sz w:val="12"/>
                <w:szCs w:val="12"/>
                <w:color w:val="auto"/>
              </w:rPr>
            </w:pPr>
          </w:p>
        </w:tc>
        <w:tc>
          <w:tcPr>
            <w:tcW w:w="2780" w:type="dxa"/>
            <w:vAlign w:val="bottom"/>
          </w:tcPr>
          <w:p>
            <w:pPr>
              <w:jc w:val="center"/>
              <w:ind w:left="1322"/>
              <w:spacing w:after="0" w:line="149" w:lineRule="exact"/>
              <w:rPr>
                <w:sz w:val="20"/>
                <w:szCs w:val="20"/>
                <w:color w:val="auto"/>
              </w:rPr>
            </w:pPr>
            <w:r>
              <w:rPr>
                <w:rFonts w:ascii="Arial" w:cs="Arial" w:eastAsia="Arial" w:hAnsi="Arial"/>
                <w:sz w:val="14"/>
                <w:szCs w:val="14"/>
                <w:color w:val="auto"/>
                <w:w w:val="88"/>
              </w:rPr>
              <w:t>Number of</w:t>
            </w:r>
          </w:p>
        </w:tc>
        <w:tc>
          <w:tcPr>
            <w:tcW w:w="360" w:type="dxa"/>
            <w:vAlign w:val="bottom"/>
          </w:tcPr>
          <w:p>
            <w:pPr>
              <w:spacing w:after="0"/>
              <w:rPr>
                <w:sz w:val="12"/>
                <w:szCs w:val="12"/>
                <w:color w:val="auto"/>
              </w:rPr>
            </w:pPr>
          </w:p>
        </w:tc>
        <w:tc>
          <w:tcPr>
            <w:tcW w:w="720" w:type="dxa"/>
            <w:vAlign w:val="bottom"/>
          </w:tcPr>
          <w:p>
            <w:pPr>
              <w:jc w:val="center"/>
              <w:ind w:right="321"/>
              <w:spacing w:after="0" w:line="149" w:lineRule="exact"/>
              <w:rPr>
                <w:sz w:val="20"/>
                <w:szCs w:val="20"/>
                <w:color w:val="auto"/>
              </w:rPr>
            </w:pPr>
            <w:r>
              <w:rPr>
                <w:rFonts w:ascii="Arial" w:cs="Arial" w:eastAsia="Arial" w:hAnsi="Arial"/>
                <w:sz w:val="14"/>
                <w:szCs w:val="14"/>
                <w:color w:val="auto"/>
                <w:w w:val="87"/>
              </w:rPr>
              <w:t>Price</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9"/>
              </w:rPr>
              <w:t>as Part of Publicly</w:t>
            </w:r>
          </w:p>
        </w:tc>
        <w:tc>
          <w:tcPr>
            <w:tcW w:w="360" w:type="dxa"/>
            <w:vAlign w:val="bottom"/>
          </w:tcPr>
          <w:p>
            <w:pPr>
              <w:spacing w:after="0"/>
              <w:rPr>
                <w:sz w:val="12"/>
                <w:szCs w:val="12"/>
                <w:color w:val="auto"/>
              </w:rPr>
            </w:pPr>
          </w:p>
        </w:tc>
        <w:tc>
          <w:tcPr>
            <w:tcW w:w="1160" w:type="dxa"/>
            <w:vAlign w:val="bottom"/>
          </w:tcPr>
          <w:p>
            <w:pPr>
              <w:jc w:val="center"/>
              <w:ind w:right="283"/>
              <w:spacing w:after="0" w:line="149" w:lineRule="exact"/>
              <w:rPr>
                <w:sz w:val="20"/>
                <w:szCs w:val="20"/>
                <w:color w:val="auto"/>
              </w:rPr>
            </w:pPr>
            <w:r>
              <w:rPr>
                <w:rFonts w:ascii="Arial" w:cs="Arial" w:eastAsia="Arial" w:hAnsi="Arial"/>
                <w:sz w:val="14"/>
                <w:szCs w:val="14"/>
                <w:color w:val="auto"/>
                <w:w w:val="83"/>
              </w:rPr>
              <w:t>Purchased</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8"/>
              </w:rPr>
              <w:t>May Yet Be</w:t>
            </w:r>
          </w:p>
        </w:tc>
      </w:tr>
      <w:tr>
        <w:trPr>
          <w:trHeight w:val="132"/>
        </w:trPr>
        <w:tc>
          <w:tcPr>
            <w:tcW w:w="2900" w:type="dxa"/>
            <w:vAlign w:val="bottom"/>
          </w:tcPr>
          <w:p>
            <w:pPr>
              <w:spacing w:after="0"/>
              <w:rPr>
                <w:sz w:val="11"/>
                <w:szCs w:val="11"/>
                <w:color w:val="auto"/>
              </w:rPr>
            </w:pPr>
          </w:p>
        </w:tc>
        <w:tc>
          <w:tcPr>
            <w:tcW w:w="2780" w:type="dxa"/>
            <w:vAlign w:val="bottom"/>
          </w:tcPr>
          <w:p>
            <w:pPr>
              <w:jc w:val="center"/>
              <w:ind w:left="1302"/>
              <w:spacing w:after="0" w:line="133" w:lineRule="exact"/>
              <w:rPr>
                <w:sz w:val="20"/>
                <w:szCs w:val="20"/>
                <w:color w:val="auto"/>
              </w:rPr>
            </w:pPr>
            <w:r>
              <w:rPr>
                <w:rFonts w:ascii="Arial" w:cs="Arial" w:eastAsia="Arial" w:hAnsi="Arial"/>
                <w:sz w:val="14"/>
                <w:szCs w:val="14"/>
                <w:color w:val="auto"/>
                <w:w w:val="81"/>
              </w:rPr>
              <w:t>Shares</w:t>
            </w:r>
          </w:p>
        </w:tc>
        <w:tc>
          <w:tcPr>
            <w:tcW w:w="360" w:type="dxa"/>
            <w:vAlign w:val="bottom"/>
          </w:tcPr>
          <w:p>
            <w:pPr>
              <w:spacing w:after="0"/>
              <w:rPr>
                <w:sz w:val="11"/>
                <w:szCs w:val="11"/>
                <w:color w:val="auto"/>
              </w:rPr>
            </w:pPr>
          </w:p>
        </w:tc>
        <w:tc>
          <w:tcPr>
            <w:tcW w:w="720" w:type="dxa"/>
            <w:vAlign w:val="bottom"/>
          </w:tcPr>
          <w:p>
            <w:pPr>
              <w:jc w:val="center"/>
              <w:ind w:right="301"/>
              <w:spacing w:after="0" w:line="133" w:lineRule="exact"/>
              <w:rPr>
                <w:sz w:val="20"/>
                <w:szCs w:val="20"/>
                <w:color w:val="auto"/>
              </w:rPr>
            </w:pPr>
            <w:r>
              <w:rPr>
                <w:rFonts w:ascii="Arial" w:cs="Arial" w:eastAsia="Arial" w:hAnsi="Arial"/>
                <w:sz w:val="14"/>
                <w:szCs w:val="14"/>
                <w:color w:val="auto"/>
                <w:w w:val="82"/>
              </w:rPr>
              <w:t>Per</w:t>
            </w:r>
          </w:p>
        </w:tc>
        <w:tc>
          <w:tcPr>
            <w:tcW w:w="1640" w:type="dxa"/>
            <w:vAlign w:val="bottom"/>
          </w:tcPr>
          <w:p>
            <w:pPr>
              <w:jc w:val="center"/>
              <w:spacing w:after="0" w:line="133" w:lineRule="exact"/>
              <w:rPr>
                <w:sz w:val="20"/>
                <w:szCs w:val="20"/>
                <w:color w:val="auto"/>
              </w:rPr>
            </w:pPr>
            <w:r>
              <w:rPr>
                <w:rFonts w:ascii="Arial" w:cs="Arial" w:eastAsia="Arial" w:hAnsi="Arial"/>
                <w:sz w:val="14"/>
                <w:szCs w:val="14"/>
                <w:color w:val="auto"/>
                <w:w w:val="87"/>
              </w:rPr>
              <w:t>Announced</w:t>
            </w:r>
          </w:p>
        </w:tc>
        <w:tc>
          <w:tcPr>
            <w:tcW w:w="360" w:type="dxa"/>
            <w:vAlign w:val="bottom"/>
          </w:tcPr>
          <w:p>
            <w:pPr>
              <w:spacing w:after="0"/>
              <w:rPr>
                <w:sz w:val="11"/>
                <w:szCs w:val="11"/>
                <w:color w:val="auto"/>
              </w:rPr>
            </w:pPr>
          </w:p>
        </w:tc>
        <w:tc>
          <w:tcPr>
            <w:tcW w:w="1160" w:type="dxa"/>
            <w:vAlign w:val="bottom"/>
          </w:tcPr>
          <w:p>
            <w:pPr>
              <w:jc w:val="center"/>
              <w:ind w:right="263"/>
              <w:spacing w:after="0" w:line="133" w:lineRule="exact"/>
              <w:rPr>
                <w:sz w:val="20"/>
                <w:szCs w:val="20"/>
                <w:color w:val="auto"/>
              </w:rPr>
            </w:pPr>
            <w:r>
              <w:rPr>
                <w:rFonts w:ascii="Arial" w:cs="Arial" w:eastAsia="Arial" w:hAnsi="Arial"/>
                <w:sz w:val="14"/>
                <w:szCs w:val="14"/>
                <w:color w:val="auto"/>
                <w:w w:val="87"/>
              </w:rPr>
              <w:t>Under the</w:t>
            </w:r>
          </w:p>
        </w:tc>
        <w:tc>
          <w:tcPr>
            <w:tcW w:w="1500" w:type="dxa"/>
            <w:vAlign w:val="bottom"/>
          </w:tcPr>
          <w:p>
            <w:pPr>
              <w:jc w:val="center"/>
              <w:ind w:left="104"/>
              <w:spacing w:after="0" w:line="133" w:lineRule="exact"/>
              <w:rPr>
                <w:sz w:val="20"/>
                <w:szCs w:val="20"/>
                <w:color w:val="auto"/>
              </w:rPr>
            </w:pPr>
            <w:r>
              <w:rPr>
                <w:rFonts w:ascii="Arial" w:cs="Arial" w:eastAsia="Arial" w:hAnsi="Arial"/>
                <w:sz w:val="14"/>
                <w:szCs w:val="14"/>
                <w:color w:val="auto"/>
                <w:w w:val="84"/>
              </w:rPr>
              <w:t>Purchased Under the</w:t>
            </w:r>
          </w:p>
        </w:tc>
      </w:tr>
      <w:tr>
        <w:trPr>
          <w:trHeight w:val="176"/>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780" w:type="dxa"/>
            <w:vAlign w:val="bottom"/>
            <w:tcBorders>
              <w:bottom w:val="single" w:sz="8" w:color="auto"/>
            </w:tcBorders>
          </w:tcPr>
          <w:p>
            <w:pPr>
              <w:jc w:val="center"/>
              <w:ind w:left="1302"/>
              <w:spacing w:after="0"/>
              <w:rPr>
                <w:sz w:val="20"/>
                <w:szCs w:val="20"/>
                <w:color w:val="auto"/>
              </w:rPr>
            </w:pPr>
            <w:r>
              <w:rPr>
                <w:rFonts w:ascii="Arial" w:cs="Arial" w:eastAsia="Arial" w:hAnsi="Arial"/>
                <w:sz w:val="14"/>
                <w:szCs w:val="14"/>
                <w:color w:val="auto"/>
                <w:w w:val="83"/>
              </w:rPr>
              <w:t>Purchased</w:t>
            </w: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21"/>
              <w:spacing w:after="0"/>
              <w:rPr>
                <w:sz w:val="20"/>
                <w:szCs w:val="20"/>
                <w:color w:val="auto"/>
              </w:rPr>
            </w:pPr>
            <w:r>
              <w:rPr>
                <w:rFonts w:ascii="Arial" w:cs="Arial" w:eastAsia="Arial" w:hAnsi="Arial"/>
                <w:sz w:val="14"/>
                <w:szCs w:val="14"/>
                <w:color w:val="auto"/>
                <w:w w:val="85"/>
              </w:rPr>
              <w:t>Share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Authorization</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color w:val="auto"/>
                <w:w w:val="92"/>
              </w:rPr>
              <w:t>Authorization</w:t>
            </w:r>
          </w:p>
        </w:tc>
        <w:tc>
          <w:tcPr>
            <w:tcW w:w="1500" w:type="dxa"/>
            <w:vAlign w:val="bottom"/>
            <w:tcBorders>
              <w:bottom w:val="single" w:sz="8" w:color="auto"/>
            </w:tcBorders>
          </w:tcPr>
          <w:p>
            <w:pPr>
              <w:jc w:val="center"/>
              <w:ind w:left="104"/>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2900" w:type="dxa"/>
            <w:vAlign w:val="bottom"/>
            <w:shd w:val="clear" w:color="auto" w:fill="E5E5E5"/>
          </w:tcPr>
          <w:p>
            <w:pPr>
              <w:spacing w:after="0"/>
              <w:rPr>
                <w:sz w:val="20"/>
                <w:szCs w:val="20"/>
                <w:color w:val="auto"/>
              </w:rPr>
            </w:pPr>
            <w:r>
              <w:rPr>
                <w:rFonts w:ascii="Arial" w:cs="Arial" w:eastAsia="Arial" w:hAnsi="Arial"/>
                <w:sz w:val="18"/>
                <w:szCs w:val="18"/>
                <w:color w:val="auto"/>
              </w:rPr>
              <w:t>April 1-30, 2013</w:t>
            </w:r>
          </w:p>
        </w:tc>
        <w:tc>
          <w:tcPr>
            <w:tcW w:w="2780" w:type="dxa"/>
            <w:vAlign w:val="bottom"/>
            <w:shd w:val="clear" w:color="auto" w:fill="E5E5E5"/>
          </w:tcPr>
          <w:p>
            <w:pPr>
              <w:jc w:val="right"/>
              <w:ind w:right="18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1"/>
              <w:spacing w:after="0"/>
              <w:rPr>
                <w:sz w:val="20"/>
                <w:szCs w:val="20"/>
                <w:color w:val="auto"/>
              </w:rPr>
            </w:pPr>
            <w:r>
              <w:rPr>
                <w:rFonts w:ascii="Arial" w:cs="Arial" w:eastAsia="Arial" w:hAnsi="Arial"/>
                <w:sz w:val="18"/>
                <w:szCs w:val="18"/>
                <w:color w:val="auto"/>
              </w:rPr>
              <w:t>—</w:t>
            </w:r>
          </w:p>
        </w:tc>
        <w:tc>
          <w:tcPr>
            <w:tcW w:w="1640" w:type="dxa"/>
            <w:vAlign w:val="bottom"/>
            <w:shd w:val="clear" w:color="auto" w:fill="E5E5E5"/>
          </w:tcPr>
          <w:p>
            <w:pPr>
              <w:jc w:val="right"/>
              <w:ind w:right="18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83"/>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E5E5"/>
          </w:tcPr>
          <w:p>
            <w:pPr>
              <w:jc w:val="center"/>
              <w:ind w:left="104"/>
              <w:spacing w:after="0"/>
              <w:rPr>
                <w:sz w:val="20"/>
                <w:szCs w:val="20"/>
                <w:color w:val="auto"/>
              </w:rPr>
            </w:pPr>
            <w:r>
              <w:rPr>
                <w:rFonts w:ascii="Arial" w:cs="Arial" w:eastAsia="Arial" w:hAnsi="Arial"/>
                <w:sz w:val="18"/>
                <w:szCs w:val="18"/>
                <w:color w:val="auto"/>
                <w:w w:val="86"/>
              </w:rPr>
              <w:t>$ 3,000,000,000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May 1-31, 2013</w:t>
            </w:r>
          </w:p>
        </w:tc>
        <w:tc>
          <w:tcPr>
            <w:tcW w:w="2780" w:type="dxa"/>
            <w:vAlign w:val="bottom"/>
          </w:tcPr>
          <w:p>
            <w:pPr>
              <w:jc w:val="right"/>
              <w:ind w:right="182"/>
              <w:spacing w:after="0"/>
              <w:rPr>
                <w:sz w:val="20"/>
                <w:szCs w:val="20"/>
                <w:color w:val="auto"/>
              </w:rPr>
            </w:pPr>
            <w:r>
              <w:rPr>
                <w:rFonts w:ascii="Arial" w:cs="Arial" w:eastAsia="Arial" w:hAnsi="Arial"/>
                <w:sz w:val="18"/>
                <w:szCs w:val="18"/>
                <w:color w:val="auto"/>
              </w:rPr>
              <w:t>6,333,074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21"/>
              <w:spacing w:after="0"/>
              <w:rPr>
                <w:sz w:val="20"/>
                <w:szCs w:val="20"/>
                <w:color w:val="auto"/>
              </w:rPr>
            </w:pPr>
            <w:r>
              <w:rPr>
                <w:rFonts w:ascii="Arial" w:cs="Arial" w:eastAsia="Arial" w:hAnsi="Arial"/>
                <w:sz w:val="18"/>
                <w:szCs w:val="18"/>
                <w:color w:val="auto"/>
                <w:w w:val="88"/>
              </w:rPr>
              <w:t>39.48</w:t>
            </w:r>
          </w:p>
        </w:tc>
        <w:tc>
          <w:tcPr>
            <w:tcW w:w="1640" w:type="dxa"/>
            <w:vAlign w:val="bottom"/>
          </w:tcPr>
          <w:p>
            <w:pPr>
              <w:jc w:val="right"/>
              <w:ind w:right="183"/>
              <w:spacing w:after="0"/>
              <w:rPr>
                <w:sz w:val="20"/>
                <w:szCs w:val="20"/>
                <w:color w:val="auto"/>
              </w:rPr>
            </w:pPr>
            <w:r>
              <w:rPr>
                <w:rFonts w:ascii="Arial" w:cs="Arial" w:eastAsia="Arial" w:hAnsi="Arial"/>
                <w:sz w:val="18"/>
                <w:szCs w:val="18"/>
                <w:color w:val="auto"/>
              </w:rPr>
              <w:t>6,333,074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83"/>
              <w:spacing w:after="0"/>
              <w:rPr>
                <w:sz w:val="20"/>
                <w:szCs w:val="20"/>
                <w:color w:val="auto"/>
              </w:rPr>
            </w:pPr>
            <w:r>
              <w:rPr>
                <w:rFonts w:ascii="Arial" w:cs="Arial" w:eastAsia="Arial" w:hAnsi="Arial"/>
                <w:sz w:val="18"/>
                <w:szCs w:val="18"/>
                <w:color w:val="auto"/>
                <w:w w:val="87"/>
              </w:rPr>
              <w:t>250,000,000</w:t>
            </w:r>
          </w:p>
        </w:tc>
        <w:tc>
          <w:tcPr>
            <w:tcW w:w="1500" w:type="dxa"/>
            <w:vAlign w:val="bottom"/>
          </w:tcPr>
          <w:p>
            <w:pPr>
              <w:jc w:val="center"/>
              <w:ind w:left="104"/>
              <w:spacing w:after="0"/>
              <w:rPr>
                <w:sz w:val="20"/>
                <w:szCs w:val="20"/>
                <w:color w:val="auto"/>
              </w:rPr>
            </w:pPr>
            <w:r>
              <w:rPr>
                <w:rFonts w:ascii="Arial" w:cs="Arial" w:eastAsia="Arial" w:hAnsi="Arial"/>
                <w:sz w:val="18"/>
                <w:szCs w:val="18"/>
                <w:color w:val="auto"/>
                <w:w w:val="86"/>
              </w:rPr>
              <w:t>$ 2,750,000,000</w:t>
            </w:r>
          </w:p>
        </w:tc>
      </w:tr>
      <w:tr>
        <w:trPr>
          <w:trHeight w:val="216"/>
        </w:trPr>
        <w:tc>
          <w:tcPr>
            <w:tcW w:w="2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June 1-30, 2013</w:t>
            </w:r>
          </w:p>
        </w:tc>
        <w:tc>
          <w:tcPr>
            <w:tcW w:w="2780" w:type="dxa"/>
            <w:vAlign w:val="bottom"/>
            <w:tcBorders>
              <w:bottom w:val="single" w:sz="8" w:color="auto"/>
            </w:tcBorders>
            <w:shd w:val="clear" w:color="auto" w:fill="E5E5E5"/>
          </w:tcPr>
          <w:p>
            <w:pPr>
              <w:jc w:val="right"/>
              <w:ind w:right="182"/>
              <w:spacing w:after="0"/>
              <w:rPr>
                <w:sz w:val="20"/>
                <w:szCs w:val="20"/>
                <w:color w:val="auto"/>
              </w:rPr>
            </w:pPr>
            <w:r>
              <w:rPr>
                <w:rFonts w:ascii="Arial" w:cs="Arial" w:eastAsia="Arial" w:hAnsi="Arial"/>
                <w:sz w:val="18"/>
                <w:szCs w:val="18"/>
                <w:color w:val="auto"/>
              </w:rPr>
              <w:t>6,289,385</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color w:val="auto"/>
                <w:w w:val="88"/>
              </w:rPr>
              <w:t>39.75</w:t>
            </w:r>
          </w:p>
        </w:tc>
        <w:tc>
          <w:tcPr>
            <w:tcW w:w="1640" w:type="dxa"/>
            <w:vAlign w:val="bottom"/>
            <w:tcBorders>
              <w:bottom w:val="single" w:sz="8" w:color="auto"/>
            </w:tcBorders>
            <w:shd w:val="clear" w:color="auto" w:fill="E5E5E5"/>
          </w:tcPr>
          <w:p>
            <w:pPr>
              <w:jc w:val="right"/>
              <w:ind w:right="183"/>
              <w:spacing w:after="0"/>
              <w:rPr>
                <w:sz w:val="20"/>
                <w:szCs w:val="20"/>
                <w:color w:val="auto"/>
              </w:rPr>
            </w:pPr>
            <w:r>
              <w:rPr>
                <w:rFonts w:ascii="Arial" w:cs="Arial" w:eastAsia="Arial" w:hAnsi="Arial"/>
                <w:sz w:val="18"/>
                <w:szCs w:val="18"/>
                <w:color w:val="auto"/>
              </w:rPr>
              <w:t>6,289,385</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E5E5"/>
          </w:tcPr>
          <w:p>
            <w:pPr>
              <w:jc w:val="right"/>
              <w:ind w:right="183"/>
              <w:spacing w:after="0"/>
              <w:rPr>
                <w:sz w:val="20"/>
                <w:szCs w:val="20"/>
                <w:color w:val="auto"/>
              </w:rPr>
            </w:pPr>
            <w:r>
              <w:rPr>
                <w:rFonts w:ascii="Arial" w:cs="Arial" w:eastAsia="Arial" w:hAnsi="Arial"/>
                <w:sz w:val="18"/>
                <w:szCs w:val="18"/>
                <w:color w:val="auto"/>
                <w:w w:val="87"/>
              </w:rPr>
              <w:t>250,000,000</w:t>
            </w:r>
          </w:p>
        </w:tc>
        <w:tc>
          <w:tcPr>
            <w:tcW w:w="1500" w:type="dxa"/>
            <w:vAlign w:val="bottom"/>
            <w:tcBorders>
              <w:bottom w:val="single" w:sz="8" w:color="auto"/>
            </w:tcBorders>
            <w:shd w:val="clear" w:color="auto" w:fill="E5E5E5"/>
          </w:tcPr>
          <w:p>
            <w:pPr>
              <w:jc w:val="center"/>
              <w:ind w:left="104"/>
              <w:spacing w:after="0"/>
              <w:rPr>
                <w:sz w:val="20"/>
                <w:szCs w:val="20"/>
                <w:color w:val="auto"/>
              </w:rPr>
            </w:pPr>
            <w:r>
              <w:rPr>
                <w:rFonts w:ascii="Arial" w:cs="Arial" w:eastAsia="Arial" w:hAnsi="Arial"/>
                <w:sz w:val="18"/>
                <w:szCs w:val="18"/>
                <w:color w:val="auto"/>
                <w:w w:val="86"/>
              </w:rPr>
              <w:t>$ 2,500,000,000</w:t>
            </w:r>
          </w:p>
        </w:tc>
      </w:tr>
      <w:tr>
        <w:trPr>
          <w:trHeight w:val="217"/>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78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b w:val="1"/>
                <w:bCs w:val="1"/>
                <w:color w:val="auto"/>
              </w:rPr>
              <w:t>12,622,459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w w:val="88"/>
              </w:rPr>
              <w:t>39.61</w:t>
            </w:r>
          </w:p>
        </w:tc>
        <w:tc>
          <w:tcPr>
            <w:tcW w:w="164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rPr>
              <w:t>12,622,459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w w:val="87"/>
              </w:rPr>
              <w:t>500,000,000</w:t>
            </w:r>
          </w:p>
        </w:tc>
        <w:tc>
          <w:tcPr>
            <w:tcW w:w="1500" w:type="dxa"/>
            <w:vAlign w:val="bottom"/>
            <w:tcBorders>
              <w:bottom w:val="single" w:sz="8" w:color="auto"/>
            </w:tcBorders>
          </w:tcPr>
          <w:p>
            <w:pPr>
              <w:jc w:val="center"/>
              <w:ind w:left="104"/>
              <w:spacing w:after="0"/>
              <w:rPr>
                <w:sz w:val="20"/>
                <w:szCs w:val="20"/>
                <w:color w:val="auto"/>
              </w:rPr>
            </w:pPr>
            <w:r>
              <w:rPr>
                <w:rFonts w:ascii="Arial" w:cs="Arial" w:eastAsia="Arial" w:hAnsi="Arial"/>
                <w:sz w:val="18"/>
                <w:szCs w:val="18"/>
                <w:b w:val="1"/>
                <w:bCs w:val="1"/>
                <w:color w:val="auto"/>
                <w:w w:val="86"/>
              </w:rPr>
              <w:t>$ 2,500,000,000</w:t>
            </w:r>
          </w:p>
        </w:tc>
      </w:tr>
    </w:tbl>
    <w:p>
      <w:pPr>
        <w:spacing w:after="0" w:line="57" w:lineRule="exact"/>
        <w:rPr>
          <w:sz w:val="20"/>
          <w:szCs w:val="20"/>
          <w:color w:val="auto"/>
        </w:rPr>
      </w:pPr>
    </w:p>
    <w:p>
      <w:pPr>
        <w:jc w:val="both"/>
        <w:ind w:left="340" w:hanging="332"/>
        <w:spacing w:after="0" w:line="23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February 2012, our Board of Directors approved a $6.5 billion share repurchase authorization, which does not have an expiration date. Under this authorization, we may repurchase shares in the open market or in private transactions. During the six months ended June 30, 2013, we repurchased $1 billion of shares and expect to repurchase an additional $1 billion during the remainder of 2013, subject to market conditions.</w:t>
      </w:r>
    </w:p>
    <w:p>
      <w:pPr>
        <w:spacing w:after="0" w:line="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June 30, 2013 does not include any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20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Comcast Corporation 2002 Non-Employee Director Compensation Plan, as amended and restated effective May 14, 2013.</w:t>
      </w:r>
    </w:p>
    <w:p>
      <w:pPr>
        <w:spacing w:after="0" w:line="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Comcast Corporation 2005 Deferred Compensation Plan, as amended and restated effective May 14, 2013.</w:t>
      </w:r>
    </w:p>
    <w:p>
      <w:pPr>
        <w:spacing w:after="0" w:line="9" w:lineRule="exact"/>
        <w:rPr>
          <w:sz w:val="20"/>
          <w:szCs w:val="20"/>
          <w:color w:val="auto"/>
        </w:rPr>
      </w:pPr>
    </w:p>
    <w:p>
      <w:pPr>
        <w:ind w:left="820" w:hanging="72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9" w:lineRule="exact"/>
        <w:rPr>
          <w:rFonts w:ascii="Arial" w:cs="Arial" w:eastAsia="Arial" w:hAnsi="Arial"/>
          <w:sz w:val="18"/>
          <w:szCs w:val="18"/>
          <w:color w:val="auto"/>
        </w:rPr>
      </w:pPr>
    </w:p>
    <w:p>
      <w:pPr>
        <w:ind w:left="820" w:hanging="72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and six months ended June 30, 2013, filed with the Securities and Exchange Commission on July 31, 2013,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w:t>
      </w:r>
      <w:r>
        <w:rPr>
          <w:rFonts w:ascii="Arial" w:cs="Arial" w:eastAsia="Arial" w:hAnsi="Arial"/>
          <w:sz w:val="12"/>
          <w:szCs w:val="12"/>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Controller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31, 2013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NON-EMPLOYEE DIRECTOR COMPENSATION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May 14, 2013)</w:t>
      </w:r>
    </w:p>
    <w:p>
      <w:pPr>
        <w:spacing w:after="0" w:line="20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COMCAST CORPORATION, a Pennsylvania corporation, hereby amends and restates the Comcast Corporation 2002 Non-Employee Director Compensation Plan</w:t>
      </w:r>
      <w:r>
        <w:rPr>
          <w:rFonts w:ascii="Arial" w:cs="Arial" w:eastAsia="Arial" w:hAnsi="Arial"/>
          <w:sz w:val="18"/>
          <w:szCs w:val="18"/>
          <w:b w:val="1"/>
          <w:bCs w:val="1"/>
          <w:color w:val="auto"/>
        </w:rPr>
        <w:t>,</w:t>
      </w:r>
      <w:r>
        <w:rPr>
          <w:rFonts w:ascii="Arial" w:cs="Arial" w:eastAsia="Arial" w:hAnsi="Arial"/>
          <w:sz w:val="18"/>
          <w:szCs w:val="18"/>
          <w:color w:val="auto"/>
        </w:rPr>
        <w:t xml:space="preserve"> effective May 14, 2013, except as otherwise specifically provided herein. The purpose of the Plan is to provide Non-Employee Directors of COMCAST CORPORATION (the “Company”) with compensation for services to the Company.</w:t>
      </w:r>
    </w:p>
    <w:p>
      <w:pPr>
        <w:spacing w:after="0" w:line="25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right="300" w:firstLine="921"/>
        <w:spacing w:after="0" w:line="268" w:lineRule="auto"/>
        <w:tabs>
          <w:tab w:leader="none" w:pos="11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Retainer</w:t>
      </w:r>
      <w:r>
        <w:rPr>
          <w:rFonts w:ascii="Arial" w:cs="Arial" w:eastAsia="Arial" w:hAnsi="Arial"/>
          <w:sz w:val="18"/>
          <w:szCs w:val="18"/>
          <w:color w:val="auto"/>
        </w:rPr>
        <w:t>” means the amount payable for service as a Non-Employee Director for a calendar year, as a member of the Board, and as a member of one or more Committees as determined under Paragraph 3(a) of the Plan.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Meeting</w:t>
      </w:r>
      <w:r>
        <w:rPr>
          <w:rFonts w:ascii="Arial" w:cs="Arial" w:eastAsia="Arial" w:hAnsi="Arial"/>
          <w:sz w:val="18"/>
          <w:szCs w:val="18"/>
          <w:color w:val="auto"/>
        </w:rPr>
        <w:t>” means a meeting of the Board, whether in person or by telephone.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duly-constituted committee of the Board.</w:t>
      </w:r>
    </w:p>
    <w:p>
      <w:pPr>
        <w:spacing w:after="0" w:line="171" w:lineRule="exact"/>
        <w:rPr>
          <w:rFonts w:ascii="Arial" w:cs="Arial" w:eastAsia="Arial" w:hAnsi="Arial"/>
          <w:sz w:val="18"/>
          <w:szCs w:val="18"/>
          <w:color w:val="auto"/>
        </w:rPr>
      </w:pPr>
    </w:p>
    <w:p>
      <w:pPr>
        <w:ind w:firstLine="921"/>
        <w:spacing w:after="0" w:line="268" w:lineRule="auto"/>
        <w:tabs>
          <w:tab w:leader="none" w:pos="11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 Meeting</w:t>
      </w:r>
      <w:r>
        <w:rPr>
          <w:rFonts w:ascii="Arial" w:cs="Arial" w:eastAsia="Arial" w:hAnsi="Arial"/>
          <w:sz w:val="18"/>
          <w:szCs w:val="18"/>
          <w:color w:val="auto"/>
        </w:rPr>
        <w:t>” means a meeting of a Committee, whether in person or by telephone, other than a meeting of a Committee that is convened and held during a Board Meeting.</w:t>
      </w:r>
    </w:p>
    <w:p>
      <w:pPr>
        <w:spacing w:after="0" w:line="131" w:lineRule="exact"/>
        <w:rPr>
          <w:rFonts w:ascii="Arial" w:cs="Arial" w:eastAsia="Arial" w:hAnsi="Arial"/>
          <w:sz w:val="18"/>
          <w:szCs w:val="18"/>
          <w:color w:val="auto"/>
        </w:rPr>
      </w:pPr>
    </w:p>
    <w:p>
      <w:pPr>
        <w:ind w:right="60" w:firstLine="921"/>
        <w:spacing w:after="0" w:line="268" w:lineRule="auto"/>
        <w:tabs>
          <w:tab w:leader="none" w:pos="11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jc w:val="both"/>
        <w:ind w:right="80" w:firstLine="921"/>
        <w:spacing w:after="0" w:line="370" w:lineRule="auto"/>
        <w:tabs>
          <w:tab w:leader="none" w:pos="1162" w:val="left"/>
        </w:tabs>
        <w:numPr>
          <w:ilvl w:val="1"/>
          <w:numId w:val="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Deferred Compensation Plan</w:t>
      </w:r>
      <w:r>
        <w:rPr>
          <w:rFonts w:ascii="Arial" w:cs="Arial" w:eastAsia="Arial" w:hAnsi="Arial"/>
          <w:sz w:val="15"/>
          <w:szCs w:val="15"/>
          <w:color w:val="auto"/>
        </w:rPr>
        <w:t>” means the Comcast Corporation 2005 Deferred Compensation Plan, as amended from time to time, or such other more recently-adopted plan pursuant to which a Non-Employee Director may elect to defer the receipt of compensation for service as a Non-Employee Director.</w:t>
      </w:r>
    </w:p>
    <w:p>
      <w:pPr>
        <w:spacing w:after="0" w:line="62" w:lineRule="exact"/>
        <w:rPr>
          <w:rFonts w:ascii="Arial" w:cs="Arial" w:eastAsia="Arial" w:hAnsi="Arial"/>
          <w:sz w:val="15"/>
          <w:szCs w:val="15"/>
          <w:color w:val="auto"/>
        </w:rPr>
      </w:pPr>
    </w:p>
    <w:p>
      <w:pPr>
        <w:ind w:left="1160" w:hanging="239"/>
        <w:spacing w:after="0"/>
        <w:tabs>
          <w:tab w:leader="none" w:pos="11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 Emeritus</w:t>
      </w:r>
      <w:r>
        <w:rPr>
          <w:rFonts w:ascii="Arial" w:cs="Arial" w:eastAsia="Arial" w:hAnsi="Arial"/>
          <w:sz w:val="16"/>
          <w:szCs w:val="16"/>
          <w:color w:val="auto"/>
        </w:rPr>
        <w:t>” means an individual designated by the Board, in its sole discretion, as Director Emeritus, pursuant to the Board’s Director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Emeritus Policy.</w:t>
      </w:r>
    </w:p>
    <w:p>
      <w:pPr>
        <w:spacing w:after="0" w:line="164" w:lineRule="exact"/>
        <w:rPr>
          <w:rFonts w:ascii="Arial" w:cs="Arial" w:eastAsia="Arial" w:hAnsi="Arial"/>
          <w:sz w:val="16"/>
          <w:szCs w:val="16"/>
          <w:color w:val="auto"/>
        </w:rPr>
      </w:pPr>
    </w:p>
    <w:p>
      <w:pPr>
        <w:ind w:left="1140" w:hanging="219"/>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ectPr>
          <w:pgSz w:w="11900" w:h="16838" w:orient="portrait"/>
          <w:cols w:equalWidth="0" w:num="1">
            <w:col w:w="11420"/>
          </w:cols>
          <w:pgMar w:left="240" w:top="125" w:right="239" w:bottom="1440" w:gutter="0" w:footer="0" w:header="0"/>
        </w:sectPr>
      </w:pPr>
    </w:p>
    <w:bookmarkStart w:id="49" w:name="page50"/>
    <w:bookmarkEnd w:id="49"/>
    <w:p>
      <w:pPr>
        <w:ind w:left="-60" w:right="320" w:firstLine="1492"/>
        <w:spacing w:after="0" w:line="332" w:lineRule="auto"/>
        <w:tabs>
          <w:tab w:leader="none" w:pos="1633" w:val="left"/>
        </w:tabs>
        <w:numPr>
          <w:ilvl w:val="2"/>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85" w:lineRule="exact"/>
        <w:rPr>
          <w:rFonts w:ascii="Arial" w:cs="Arial" w:eastAsia="Arial" w:hAnsi="Arial"/>
          <w:sz w:val="16"/>
          <w:szCs w:val="16"/>
          <w:color w:val="auto"/>
        </w:rPr>
      </w:pPr>
    </w:p>
    <w:p>
      <w:pPr>
        <w:ind w:left="-60" w:firstLine="1492"/>
        <w:spacing w:after="0" w:line="370" w:lineRule="auto"/>
        <w:tabs>
          <w:tab w:leader="none" w:pos="1682" w:val="left"/>
        </w:tabs>
        <w:numPr>
          <w:ilvl w:val="2"/>
          <w:numId w:val="14"/>
        </w:numPr>
        <w:rPr>
          <w:rFonts w:ascii="Arial" w:cs="Arial" w:eastAsia="Arial" w:hAnsi="Arial"/>
          <w:sz w:val="15"/>
          <w:szCs w:val="15"/>
          <w:color w:val="auto"/>
        </w:rPr>
      </w:pPr>
      <w:r>
        <w:rPr>
          <w:rFonts w:ascii="Arial" w:cs="Arial" w:eastAsia="Arial" w:hAnsi="Arial"/>
          <w:sz w:val="15"/>
          <w:szCs w:val="15"/>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62" w:lineRule="exact"/>
        <w:rPr>
          <w:rFonts w:ascii="Arial" w:cs="Arial" w:eastAsia="Arial" w:hAnsi="Arial"/>
          <w:sz w:val="15"/>
          <w:szCs w:val="15"/>
          <w:color w:val="auto"/>
        </w:rPr>
      </w:pPr>
    </w:p>
    <w:p>
      <w:pPr>
        <w:ind w:left="1740" w:hanging="308"/>
        <w:spacing w:after="0"/>
        <w:tabs>
          <w:tab w:leader="none" w:pos="1740" w:val="left"/>
        </w:tabs>
        <w:numPr>
          <w:ilvl w:val="2"/>
          <w:numId w:val="14"/>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94" w:lineRule="exact"/>
        <w:rPr>
          <w:rFonts w:ascii="Arial" w:cs="Arial" w:eastAsia="Arial" w:hAnsi="Arial"/>
          <w:sz w:val="16"/>
          <w:szCs w:val="16"/>
          <w:color w:val="auto"/>
        </w:rPr>
      </w:pPr>
    </w:p>
    <w:p>
      <w:pPr>
        <w:ind w:left="-60" w:right="560" w:firstLine="921"/>
        <w:spacing w:after="0" w:line="268" w:lineRule="auto"/>
        <w:tabs>
          <w:tab w:leader="none" w:pos="10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left="1100" w:hanging="239"/>
        <w:spacing w:after="0"/>
        <w:tabs>
          <w:tab w:leader="none" w:pos="11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2002 Non-Employee Director Compensation Plan, as set forth herein, and as amended from time to time.</w:t>
      </w:r>
    </w:p>
    <w:p>
      <w:pPr>
        <w:spacing w:after="0" w:line="205" w:lineRule="exact"/>
        <w:rPr>
          <w:rFonts w:ascii="Arial" w:cs="Arial" w:eastAsia="Arial" w:hAnsi="Arial"/>
          <w:sz w:val="15"/>
          <w:szCs w:val="15"/>
          <w:color w:val="auto"/>
        </w:rPr>
      </w:pPr>
    </w:p>
    <w:p>
      <w:pPr>
        <w:ind w:left="1080" w:hanging="219"/>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rFonts w:ascii="Arial" w:cs="Arial" w:eastAsia="Arial" w:hAnsi="Arial"/>
          <w:sz w:val="18"/>
          <w:szCs w:val="18"/>
          <w:color w:val="auto"/>
        </w:rPr>
      </w:pPr>
    </w:p>
    <w:p>
      <w:pPr>
        <w:ind w:left="-60" w:right="120" w:firstLine="921"/>
        <w:spacing w:after="0" w:line="268" w:lineRule="auto"/>
        <w:tabs>
          <w:tab w:leader="none" w:pos="115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Plan</w:t>
      </w:r>
      <w:r>
        <w:rPr>
          <w:rFonts w:ascii="Arial" w:cs="Arial" w:eastAsia="Arial" w:hAnsi="Arial"/>
          <w:sz w:val="18"/>
          <w:szCs w:val="18"/>
          <w:color w:val="auto"/>
        </w:rPr>
        <w:t>” means the Comcast Corporation 2002 Restricted Stock Plan (or such other more recently-adopted generally applicable plan pursuant to which the Company grants restricted stock or restricted stock units).</w:t>
      </w:r>
    </w:p>
    <w:p>
      <w:pPr>
        <w:spacing w:after="0" w:line="131" w:lineRule="exact"/>
        <w:rPr>
          <w:rFonts w:ascii="Arial" w:cs="Arial" w:eastAsia="Arial" w:hAnsi="Arial"/>
          <w:sz w:val="18"/>
          <w:szCs w:val="18"/>
          <w:color w:val="auto"/>
        </w:rPr>
      </w:pPr>
    </w:p>
    <w:p>
      <w:pPr>
        <w:ind w:left="1100" w:hanging="239"/>
        <w:spacing w:after="0"/>
        <w:tabs>
          <w:tab w:leader="none" w:pos="11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Restricted Stock Unit granted under the Restricted Stock Plan.</w:t>
      </w:r>
    </w:p>
    <w:p>
      <w:pPr>
        <w:spacing w:after="0" w:line="171" w:lineRule="exact"/>
        <w:rPr>
          <w:rFonts w:ascii="Arial" w:cs="Arial" w:eastAsia="Arial" w:hAnsi="Arial"/>
          <w:sz w:val="18"/>
          <w:szCs w:val="18"/>
          <w:color w:val="auto"/>
        </w:rPr>
      </w:pPr>
    </w:p>
    <w:p>
      <w:pPr>
        <w:ind w:left="1100" w:hanging="239"/>
        <w:spacing w:after="0"/>
        <w:tabs>
          <w:tab w:leader="none" w:pos="11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Comcast Corporation Class A Common Stock, par value $0.01.</w:t>
      </w:r>
    </w:p>
    <w:p>
      <w:pPr>
        <w:spacing w:after="0" w:line="286" w:lineRule="exact"/>
        <w:rPr>
          <w:rFonts w:ascii="Arial" w:cs="Arial" w:eastAsia="Arial" w:hAnsi="Arial"/>
          <w:sz w:val="18"/>
          <w:szCs w:val="18"/>
          <w:color w:val="auto"/>
        </w:rPr>
      </w:pPr>
    </w:p>
    <w:p>
      <w:pPr>
        <w:ind w:left="840" w:hanging="446"/>
        <w:spacing w:after="0"/>
        <w:tabs>
          <w:tab w:leader="none" w:pos="8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DIRECTOR COMPENSATION</w:t>
      </w:r>
    </w:p>
    <w:p>
      <w:pPr>
        <w:spacing w:after="0" w:line="96" w:lineRule="exact"/>
        <w:rPr>
          <w:rFonts w:ascii="Arial" w:cs="Arial" w:eastAsia="Arial" w:hAnsi="Arial"/>
          <w:sz w:val="18"/>
          <w:szCs w:val="18"/>
          <w:b w:val="1"/>
          <w:bCs w:val="1"/>
          <w:color w:val="auto"/>
        </w:rPr>
      </w:pPr>
    </w:p>
    <w:p>
      <w:pPr>
        <w:ind w:left="-60" w:right="120" w:firstLine="921"/>
        <w:spacing w:after="0" w:line="306" w:lineRule="auto"/>
        <w:tabs>
          <w:tab w:leader="none" w:pos="1092"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Non-Employee Director Compensation Package</w:t>
      </w:r>
      <w:r>
        <w:rPr>
          <w:rFonts w:ascii="Arial" w:cs="Arial" w:eastAsia="Arial" w:hAnsi="Arial"/>
          <w:sz w:val="16"/>
          <w:szCs w:val="16"/>
          <w:color w:val="auto"/>
        </w:rPr>
        <w:t>. For the period extending from May 14, 2013 through June 30, 2013, Non-Employee Directors shall be entitled to payments, grants and awards determined based on the Plan as in effect immediately before the amendment and restatement of the Plan, effective May 14, 2013. Effective July 1, 2013, Non-Employee Directors shall be entitled to payments, grants and awards determined as follows:</w:t>
      </w:r>
    </w:p>
    <w:p>
      <w:pPr>
        <w:spacing w:after="0" w:line="106" w:lineRule="exact"/>
        <w:rPr>
          <w:rFonts w:ascii="Arial" w:cs="Arial" w:eastAsia="Arial" w:hAnsi="Arial"/>
          <w:sz w:val="16"/>
          <w:szCs w:val="16"/>
          <w:color w:val="auto"/>
        </w:rPr>
      </w:pPr>
    </w:p>
    <w:p>
      <w:pPr>
        <w:ind w:left="1640" w:hanging="208"/>
        <w:spacing w:after="0"/>
        <w:tabs>
          <w:tab w:leader="none" w:pos="1640"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Annual Retainer</w:t>
      </w:r>
      <w:r>
        <w:rPr>
          <w:rFonts w:ascii="Arial" w:cs="Arial" w:eastAsia="Arial" w:hAnsi="Arial"/>
          <w:sz w:val="18"/>
          <w:szCs w:val="18"/>
          <w:color w:val="auto"/>
        </w:rPr>
        <w:t>. The Annual Retainer for service to the Company as a Non-Employee Director shall be $100,000.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80" w:right="299" w:bottom="1440" w:gutter="0" w:footer="0" w:header="0"/>
        </w:sectPr>
      </w:pPr>
    </w:p>
    <w:bookmarkStart w:id="50" w:name="page51"/>
    <w:bookmarkEnd w:id="50"/>
    <w:p>
      <w:pPr>
        <w:ind w:right="100" w:firstLine="1492"/>
        <w:spacing w:after="0" w:line="259" w:lineRule="auto"/>
        <w:tabs>
          <w:tab w:leader="none" w:pos="174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Meeting Fee; Other Assignments</w:t>
      </w:r>
      <w:r>
        <w:rPr>
          <w:rFonts w:ascii="Arial" w:cs="Arial" w:eastAsia="Arial" w:hAnsi="Arial"/>
          <w:sz w:val="18"/>
          <w:szCs w:val="18"/>
          <w:color w:val="auto"/>
        </w:rPr>
        <w:t>. No fee shall be payable for attendance in person or via telephone at a Board Meeting. A fee of $2,500 shall be paid when a member of the Board attends a meeting (other than a Board meeting) or conducts business on behalf of the Company in his or her capacity as a Director.</w:t>
      </w:r>
    </w:p>
    <w:p>
      <w:pPr>
        <w:spacing w:after="0" w:line="140" w:lineRule="exact"/>
        <w:rPr>
          <w:rFonts w:ascii="Arial" w:cs="Arial" w:eastAsia="Arial" w:hAnsi="Arial"/>
          <w:sz w:val="18"/>
          <w:szCs w:val="18"/>
          <w:color w:val="auto"/>
        </w:rPr>
      </w:pPr>
    </w:p>
    <w:p>
      <w:pPr>
        <w:ind w:left="1800" w:hanging="308"/>
        <w:spacing w:after="0"/>
        <w:tabs>
          <w:tab w:leader="none" w:pos="18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Annual Retainer: Chair – Audit Committee</w:t>
      </w:r>
      <w:r>
        <w:rPr>
          <w:rFonts w:ascii="Arial" w:cs="Arial" w:eastAsia="Arial" w:hAnsi="Arial"/>
          <w:sz w:val="16"/>
          <w:szCs w:val="16"/>
          <w:color w:val="auto"/>
        </w:rPr>
        <w:t>. The Annual Retainer for service as Chair of the Audit Committee shall be $35,000</w:t>
      </w:r>
    </w:p>
    <w:p>
      <w:pPr>
        <w:spacing w:after="0" w:line="194" w:lineRule="exact"/>
        <w:rPr>
          <w:rFonts w:ascii="Arial" w:cs="Arial" w:eastAsia="Arial" w:hAnsi="Arial"/>
          <w:sz w:val="16"/>
          <w:szCs w:val="16"/>
          <w:color w:val="auto"/>
        </w:rPr>
      </w:pPr>
    </w:p>
    <w:p>
      <w:pPr>
        <w:ind w:left="1780" w:hanging="288"/>
        <w:spacing w:after="0"/>
        <w:tabs>
          <w:tab w:leader="none" w:pos="178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Annual Retainer: Member – Audit Committee</w:t>
      </w:r>
      <w:r>
        <w:rPr>
          <w:rFonts w:ascii="Arial" w:cs="Arial" w:eastAsia="Arial" w:hAnsi="Arial"/>
          <w:sz w:val="16"/>
          <w:szCs w:val="16"/>
          <w:color w:val="auto"/>
        </w:rPr>
        <w:t>. The Annual Retainer for service as a member of the Audit Committee shall be $10,000.</w:t>
      </w:r>
    </w:p>
    <w:p>
      <w:pPr>
        <w:spacing w:after="0" w:line="194" w:lineRule="exact"/>
        <w:rPr>
          <w:rFonts w:ascii="Arial" w:cs="Arial" w:eastAsia="Arial" w:hAnsi="Arial"/>
          <w:sz w:val="16"/>
          <w:szCs w:val="16"/>
          <w:color w:val="auto"/>
        </w:rPr>
      </w:pPr>
    </w:p>
    <w:p>
      <w:pPr>
        <w:ind w:left="1740" w:hanging="248"/>
        <w:spacing w:after="0"/>
        <w:tabs>
          <w:tab w:leader="none" w:pos="17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Annual Retainer: Chair – Compensation Committee</w:t>
      </w:r>
      <w:r>
        <w:rPr>
          <w:rFonts w:ascii="Arial" w:cs="Arial" w:eastAsia="Arial" w:hAnsi="Arial"/>
          <w:sz w:val="16"/>
          <w:szCs w:val="16"/>
          <w:color w:val="auto"/>
        </w:rPr>
        <w:t>. The Annual Retainer for service as Chair of the Compensation Committee shall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$35,000.</w:t>
      </w:r>
    </w:p>
    <w:p>
      <w:pPr>
        <w:spacing w:after="0" w:line="164" w:lineRule="exact"/>
        <w:rPr>
          <w:rFonts w:ascii="Arial" w:cs="Arial" w:eastAsia="Arial" w:hAnsi="Arial"/>
          <w:sz w:val="16"/>
          <w:szCs w:val="16"/>
          <w:color w:val="auto"/>
        </w:rPr>
      </w:pPr>
    </w:p>
    <w:p>
      <w:pPr>
        <w:ind w:left="1780" w:hanging="288"/>
        <w:spacing w:after="0"/>
        <w:tabs>
          <w:tab w:leader="none" w:pos="178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Annual Retainer: Member – Compensation Committee</w:t>
      </w:r>
      <w:r>
        <w:rPr>
          <w:rFonts w:ascii="Arial" w:cs="Arial" w:eastAsia="Arial" w:hAnsi="Arial"/>
          <w:sz w:val="16"/>
          <w:szCs w:val="16"/>
          <w:color w:val="auto"/>
        </w:rPr>
        <w:t>. The Annual Retainer for service as a member of the Compensation Committee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$10,000.</w:t>
      </w:r>
    </w:p>
    <w:p>
      <w:pPr>
        <w:spacing w:after="0" w:line="164" w:lineRule="exact"/>
        <w:rPr>
          <w:rFonts w:ascii="Arial" w:cs="Arial" w:eastAsia="Arial" w:hAnsi="Arial"/>
          <w:sz w:val="16"/>
          <w:szCs w:val="16"/>
          <w:color w:val="auto"/>
        </w:rPr>
      </w:pPr>
    </w:p>
    <w:p>
      <w:pPr>
        <w:ind w:right="740" w:firstLine="1492"/>
        <w:spacing w:after="0" w:line="268" w:lineRule="auto"/>
        <w:tabs>
          <w:tab w:leader="none" w:pos="183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Annual Retainer: Chair – Governance and Directors Nominating Committee</w:t>
      </w:r>
      <w:r>
        <w:rPr>
          <w:rFonts w:ascii="Arial" w:cs="Arial" w:eastAsia="Arial" w:hAnsi="Arial"/>
          <w:sz w:val="18"/>
          <w:szCs w:val="18"/>
          <w:color w:val="auto"/>
        </w:rPr>
        <w:t>. The Annual Retainer for service as Chair of the Governance and Directors Nominating Committee shall be $15,000.</w:t>
      </w:r>
    </w:p>
    <w:p>
      <w:pPr>
        <w:spacing w:after="0" w:line="131" w:lineRule="exact"/>
        <w:rPr>
          <w:rFonts w:ascii="Arial" w:cs="Arial" w:eastAsia="Arial" w:hAnsi="Arial"/>
          <w:sz w:val="18"/>
          <w:szCs w:val="18"/>
          <w:color w:val="auto"/>
        </w:rPr>
      </w:pPr>
    </w:p>
    <w:p>
      <w:pPr>
        <w:ind w:right="180" w:firstLine="1492"/>
        <w:spacing w:after="0" w:line="268" w:lineRule="auto"/>
        <w:tabs>
          <w:tab w:leader="none" w:pos="187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Annual Retainer: Member – Governance and Directors Nominating Committee</w:t>
      </w:r>
      <w:r>
        <w:rPr>
          <w:rFonts w:ascii="Arial" w:cs="Arial" w:eastAsia="Arial" w:hAnsi="Arial"/>
          <w:sz w:val="18"/>
          <w:szCs w:val="18"/>
          <w:color w:val="auto"/>
        </w:rPr>
        <w:t>. The Annual Retainer for service as a member of the Governance and Directors Nominating Committee shall be $7,500.</w:t>
      </w:r>
    </w:p>
    <w:p>
      <w:pPr>
        <w:spacing w:after="0" w:line="131" w:lineRule="exact"/>
        <w:rPr>
          <w:rFonts w:ascii="Arial" w:cs="Arial" w:eastAsia="Arial" w:hAnsi="Arial"/>
          <w:sz w:val="18"/>
          <w:szCs w:val="18"/>
          <w:color w:val="auto"/>
        </w:rPr>
      </w:pPr>
    </w:p>
    <w:p>
      <w:pPr>
        <w:ind w:right="60" w:firstLine="1492"/>
        <w:spacing w:after="0" w:line="259" w:lineRule="auto"/>
        <w:tabs>
          <w:tab w:leader="none" w:pos="178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Annual Retainer: Chair – Any Committee of the Board other than the Audit Committee, the Compensation Committee or the Governance and Directors Nominating Committee</w:t>
      </w:r>
      <w:r>
        <w:rPr>
          <w:rFonts w:ascii="Arial" w:cs="Arial" w:eastAsia="Arial" w:hAnsi="Arial"/>
          <w:sz w:val="18"/>
          <w:szCs w:val="18"/>
          <w:color w:val="auto"/>
        </w:rPr>
        <w:t>. The Annual Retainer for service as the Chair of any committee of the Board other than the Audit Committee, the Compensation Committee or the Governance and Directors Nominating Committee shall be $5,000.</w:t>
      </w:r>
    </w:p>
    <w:p>
      <w:pPr>
        <w:spacing w:after="0" w:line="140" w:lineRule="exact"/>
        <w:rPr>
          <w:rFonts w:ascii="Arial" w:cs="Arial" w:eastAsia="Arial" w:hAnsi="Arial"/>
          <w:sz w:val="18"/>
          <w:szCs w:val="18"/>
          <w:color w:val="auto"/>
        </w:rPr>
      </w:pPr>
    </w:p>
    <w:p>
      <w:pPr>
        <w:ind w:firstLine="1492"/>
        <w:spacing w:after="0" w:line="259" w:lineRule="auto"/>
        <w:tabs>
          <w:tab w:leader="none" w:pos="173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Annual Retainer: Member – Any Committee of the Board other than the Audit Committee, the Compensation Committee or the Governance and Directors Nominating Committee</w:t>
      </w:r>
      <w:r>
        <w:rPr>
          <w:rFonts w:ascii="Arial" w:cs="Arial" w:eastAsia="Arial" w:hAnsi="Arial"/>
          <w:sz w:val="18"/>
          <w:szCs w:val="18"/>
          <w:color w:val="auto"/>
        </w:rPr>
        <w:t>. The Annual Retainer for service as a member of any committee of the Board other than the Audit Committee, the Compensation Committee or the Governance and Directors Nominating Committee shall be $2,500.</w:t>
      </w:r>
    </w:p>
    <w:p>
      <w:pPr>
        <w:spacing w:after="0" w:line="140" w:lineRule="exact"/>
        <w:rPr>
          <w:rFonts w:ascii="Arial" w:cs="Arial" w:eastAsia="Arial" w:hAnsi="Arial"/>
          <w:sz w:val="18"/>
          <w:szCs w:val="18"/>
          <w:color w:val="auto"/>
        </w:rPr>
      </w:pPr>
    </w:p>
    <w:p>
      <w:pPr>
        <w:ind w:right="20" w:firstLine="1492"/>
        <w:spacing w:after="0" w:line="259" w:lineRule="auto"/>
        <w:tabs>
          <w:tab w:leader="none" w:pos="178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Committee Meeting Fee – Audit Committee, Compensation Committee and Governance and Directors Nominating Committee</w:t>
      </w:r>
      <w:r>
        <w:rPr>
          <w:rFonts w:ascii="Arial" w:cs="Arial" w:eastAsia="Arial" w:hAnsi="Arial"/>
          <w:sz w:val="18"/>
          <w:szCs w:val="18"/>
          <w:color w:val="auto"/>
        </w:rPr>
        <w:t>. The fee payable for attendance in person or via telephone at a Committee Meeting of the Audit Committee, the Compensation Committee or the Governance and Directors Nominating Committee shall be $2,500.</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51" w:name="page52"/>
    <w:bookmarkEnd w:id="51"/>
    <w:p>
      <w:pPr>
        <w:ind w:right="220" w:firstLine="1492"/>
        <w:spacing w:after="0" w:line="306" w:lineRule="auto"/>
        <w:tabs>
          <w:tab w:leader="none" w:pos="183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Meeting Fee – Any Committee of the Board other than the Audit Committee, the Compensation Committee or the Governance and Directors Nominating Committee</w:t>
      </w:r>
      <w:r>
        <w:rPr>
          <w:rFonts w:ascii="Arial" w:cs="Arial" w:eastAsia="Arial" w:hAnsi="Arial"/>
          <w:sz w:val="16"/>
          <w:szCs w:val="16"/>
          <w:color w:val="auto"/>
        </w:rPr>
        <w:t>. The fee payable for attendance in person or via telephone at a Committee Meeting of any Committee other than the Audit Committee, the Compensation Committee or the Governance and Directors Nominating Committee shall be $1,000.</w:t>
      </w:r>
    </w:p>
    <w:p>
      <w:pPr>
        <w:spacing w:after="0" w:line="106" w:lineRule="exact"/>
        <w:rPr>
          <w:rFonts w:ascii="Arial" w:cs="Arial" w:eastAsia="Arial" w:hAnsi="Arial"/>
          <w:sz w:val="16"/>
          <w:szCs w:val="16"/>
          <w:color w:val="auto"/>
        </w:rPr>
      </w:pPr>
    </w:p>
    <w:p>
      <w:pPr>
        <w:ind w:firstLine="1492"/>
        <w:spacing w:after="0" w:line="268" w:lineRule="auto"/>
        <w:tabs>
          <w:tab w:leader="none" w:pos="187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Stock Grants</w:t>
      </w:r>
      <w:r>
        <w:rPr>
          <w:rFonts w:ascii="Arial" w:cs="Arial" w:eastAsia="Arial" w:hAnsi="Arial"/>
          <w:sz w:val="18"/>
          <w:szCs w:val="18"/>
          <w:color w:val="auto"/>
        </w:rPr>
        <w:t>. Except as otherwise specifically provided below, this Paragraph 3(a)(xiii) shall apply as of November 20, 2013 and as of November 20 of each Plan Year beginning after 2013.</w:t>
      </w:r>
    </w:p>
    <w:p>
      <w:pPr>
        <w:spacing w:after="0" w:line="131" w:lineRule="exact"/>
        <w:rPr>
          <w:rFonts w:ascii="Arial" w:cs="Arial" w:eastAsia="Arial" w:hAnsi="Arial"/>
          <w:sz w:val="18"/>
          <w:szCs w:val="18"/>
          <w:color w:val="auto"/>
        </w:rPr>
      </w:pPr>
    </w:p>
    <w:p>
      <w:pPr>
        <w:jc w:val="both"/>
        <w:ind w:right="40" w:firstLine="1948"/>
        <w:spacing w:after="0" w:line="259" w:lineRule="auto"/>
        <w:tabs>
          <w:tab w:leader="none" w:pos="22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Board shall grant Restricted Stock Units for Shares having a Fair Market Value on the date of grant of $170,000, rounded, if necessary, to the next higher whole Share, provided that with respect to each individual who first becomes a Non-Employee Director on or after July 1, 2013, the Board shall grant Restricted Stock Units for Shares determined as follows:</w:t>
      </w:r>
    </w:p>
    <w:p>
      <w:pPr>
        <w:sectPr>
          <w:pgSz w:w="11900" w:h="16838" w:orient="portrait"/>
          <w:cols w:equalWidth="0" w:num="1">
            <w:col w:w="11360"/>
          </w:cols>
          <w:pgMar w:left="240" w:top="280" w:right="29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of Commencement of Service as a Non-Employee Director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After November 20 of a Plan Year and before the next following February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or after February 20 of a Plan Year and before the next following May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or after May 20 of a Plan Year and before the next following August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or after August 20 of a Plan Year and before the next following November 20</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560"/>
        <w:spacing w:after="0" w:line="318" w:lineRule="auto"/>
        <w:rPr>
          <w:sz w:val="20"/>
          <w:szCs w:val="20"/>
          <w:color w:val="auto"/>
        </w:rPr>
      </w:pPr>
      <w:r>
        <w:rPr>
          <w:rFonts w:ascii="Arial" w:cs="Arial" w:eastAsia="Arial" w:hAnsi="Arial"/>
          <w:sz w:val="15"/>
          <w:szCs w:val="15"/>
          <w:color w:val="auto"/>
        </w:rPr>
        <w:t>Number of Shares Subject to Grant of Restricted Stock Units Shares having a Fair Market Value on the date of grant of $170,000 Shares having a Fair Market Value on the date of grant of $127,500 Shares having a Fair Market Value on the date of grant of $85,000 Shares having a Fair Market Value on the date of grant of $42,500</w:t>
      </w:r>
    </w:p>
    <w:p>
      <w:pPr>
        <w:spacing w:after="0" w:line="100" w:lineRule="exact"/>
        <w:rPr>
          <w:sz w:val="20"/>
          <w:szCs w:val="20"/>
          <w:color w:val="auto"/>
        </w:rPr>
      </w:pPr>
    </w:p>
    <w:p>
      <w:pPr>
        <w:sectPr>
          <w:pgSz w:w="11900" w:h="16838" w:orient="portrait"/>
          <w:cols w:equalWidth="0" w:num="2">
            <w:col w:w="5700" w:space="360"/>
            <w:col w:w="5300"/>
          </w:cols>
          <w:pgMar w:left="240" w:top="280" w:right="299" w:bottom="1440" w:gutter="0" w:footer="0" w:header="0"/>
          <w:type w:val="continuous"/>
        </w:sectPr>
      </w:pPr>
    </w:p>
    <w:p>
      <w:pPr>
        <w:ind w:right="80"/>
        <w:spacing w:after="0" w:line="268" w:lineRule="auto"/>
        <w:rPr>
          <w:sz w:val="20"/>
          <w:szCs w:val="20"/>
          <w:color w:val="auto"/>
        </w:rPr>
      </w:pPr>
      <w:r>
        <w:rPr>
          <w:rFonts w:ascii="Arial" w:cs="Arial" w:eastAsia="Arial" w:hAnsi="Arial"/>
          <w:sz w:val="18"/>
          <w:szCs w:val="18"/>
          <w:color w:val="auto"/>
        </w:rPr>
        <w:t>Each Restricted Stock Unit shall (1) be fully and immediately vested on the date of grant, and (2) bear such other terms and conditions as shall be determined by the Board in its discretion.</w:t>
      </w:r>
    </w:p>
    <w:p>
      <w:pPr>
        <w:spacing w:after="0" w:line="132" w:lineRule="exact"/>
        <w:rPr>
          <w:sz w:val="20"/>
          <w:szCs w:val="20"/>
          <w:color w:val="auto"/>
        </w:rPr>
      </w:pPr>
    </w:p>
    <w:p>
      <w:pPr>
        <w:ind w:right="120" w:firstLine="1948"/>
        <w:spacing w:after="0" w:line="298" w:lineRule="auto"/>
        <w:tabs>
          <w:tab w:leader="none" w:pos="2218" w:val="left"/>
        </w:tabs>
        <w:numPr>
          <w:ilvl w:val="2"/>
          <w:numId w:val="19"/>
        </w:numPr>
        <w:rPr>
          <w:rFonts w:ascii="Arial" w:cs="Arial" w:eastAsia="Arial" w:hAnsi="Arial"/>
          <w:sz w:val="16"/>
          <w:szCs w:val="16"/>
          <w:color w:val="auto"/>
        </w:rPr>
      </w:pPr>
      <w:r>
        <w:rPr>
          <w:rFonts w:ascii="Arial" w:cs="Arial" w:eastAsia="Arial" w:hAnsi="Arial"/>
          <w:sz w:val="16"/>
          <w:szCs w:val="16"/>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Restricted Stock Units under the Plan shall be adjusted consistent with the adjustment made pursuant to the Restricted Stock Plan, and such adjustment shall be effective and binding for all purposes of this Plan.</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Payment Practices</w:t>
      </w:r>
      <w:r>
        <w:rPr>
          <w:rFonts w:ascii="Arial" w:cs="Arial" w:eastAsia="Arial" w:hAnsi="Arial"/>
          <w:sz w:val="16"/>
          <w:szCs w:val="16"/>
          <w:color w:val="auto"/>
        </w:rPr>
        <w:t>. Payments, grants and awards described in Paragraph 3(a) of the Plan shall be subject to the following payment practices:</w:t>
      </w:r>
    </w:p>
    <w:p>
      <w:pPr>
        <w:spacing w:after="0" w:line="194" w:lineRule="exact"/>
        <w:rPr>
          <w:rFonts w:ascii="Arial" w:cs="Arial" w:eastAsia="Arial" w:hAnsi="Arial"/>
          <w:sz w:val="16"/>
          <w:szCs w:val="16"/>
          <w:color w:val="auto"/>
        </w:rPr>
      </w:pPr>
    </w:p>
    <w:p>
      <w:pPr>
        <w:ind w:firstLine="1492"/>
        <w:spacing w:after="0" w:line="259" w:lineRule="auto"/>
        <w:tabs>
          <w:tab w:leader="none" w:pos="16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Except to the extent deferred under the Deferred Compensation Plan, Annual Retainer payments described in Paragraphs 3(a)(i), 3(a)(iii), 3(a)(iv), 3(a)(v), 3(a)(vi), 3(a)(vii), 3(a)(viii), 3(a)(ix) and 3(a)(x) are payable as soon as reasonably practicable following the close of each calendar quarter, in arrears. Payments shall be pro-rated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type w:val="continuous"/>
        </w:sectPr>
      </w:pPr>
    </w:p>
    <w:bookmarkStart w:id="52" w:name="page53"/>
    <w:bookmarkEnd w:id="5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or as a member of a Committee of the Board, as applicable.</w:t>
      </w:r>
    </w:p>
    <w:p>
      <w:pPr>
        <w:spacing w:after="0" w:line="140" w:lineRule="exact"/>
        <w:rPr>
          <w:sz w:val="20"/>
          <w:szCs w:val="20"/>
          <w:color w:val="auto"/>
        </w:rPr>
      </w:pPr>
    </w:p>
    <w:p>
      <w:pPr>
        <w:ind w:left="1760" w:hanging="268"/>
        <w:spacing w:after="0"/>
        <w:tabs>
          <w:tab w:leader="none" w:pos="17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Except to the extent deferred under the Deferred Compensation Plan, Meeting Fee payments described in Paragraphs 3(a)(xi) and 3(a)</w:t>
      </w:r>
    </w:p>
    <w:p>
      <w:pPr>
        <w:spacing w:after="0" w:line="38" w:lineRule="exact"/>
        <w:rPr>
          <w:rFonts w:ascii="Arial" w:cs="Arial" w:eastAsia="Arial" w:hAnsi="Arial"/>
          <w:sz w:val="16"/>
          <w:szCs w:val="16"/>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payable as soon as reasonably practicable following the close of each calendar quarter, in arrears.</w:t>
      </w:r>
    </w:p>
    <w:p>
      <w:pPr>
        <w:spacing w:after="0" w:line="164" w:lineRule="exact"/>
        <w:rPr>
          <w:rFonts w:ascii="Arial" w:cs="Arial" w:eastAsia="Arial" w:hAnsi="Arial"/>
          <w:sz w:val="18"/>
          <w:szCs w:val="18"/>
          <w:color w:val="auto"/>
        </w:rPr>
      </w:pPr>
    </w:p>
    <w:p>
      <w:pPr>
        <w:ind w:right="140" w:firstLine="1492"/>
        <w:spacing w:after="0" w:line="256" w:lineRule="auto"/>
        <w:tabs>
          <w:tab w:leader="none" w:pos="1791" w:val="left"/>
        </w:tabs>
        <w:numPr>
          <w:ilvl w:val="2"/>
          <w:numId w:val="22"/>
        </w:numPr>
        <w:rPr>
          <w:rFonts w:ascii="Arial" w:cs="Arial" w:eastAsia="Arial" w:hAnsi="Arial"/>
          <w:sz w:val="18"/>
          <w:szCs w:val="18"/>
          <w:color w:val="auto"/>
        </w:rPr>
      </w:pPr>
      <w:r>
        <w:rPr>
          <w:rFonts w:ascii="Arial" w:cs="Arial" w:eastAsia="Arial" w:hAnsi="Arial"/>
          <w:sz w:val="18"/>
          <w:szCs w:val="18"/>
          <w:color w:val="auto"/>
        </w:rPr>
        <w:t>A Non-Employee Director may elect to receive up to 50% of the Annual Retainer amount described in Paragraph 3(a)(i) in the form of Shares issuable pursuant to a grant of fully-vested Restricted Stock Units under the Restricted Stock Plan. The number of Shares payable to a Non-Employee Director shall be determined based on the closing price of Shares on the last business day of each calendar quarter and rounded, if necessary, to the next higher whole Share.</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Special Rules and Payment Practices for Director Emeritus Compensation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492"/>
        <w:spacing w:after="0" w:line="306" w:lineRule="auto"/>
        <w:tabs>
          <w:tab w:leader="none" w:pos="1693" w:val="left"/>
        </w:tabs>
        <w:numPr>
          <w:ilvl w:val="2"/>
          <w:numId w:val="23"/>
        </w:numPr>
        <w:rPr>
          <w:rFonts w:ascii="Arial" w:cs="Arial" w:eastAsia="Arial" w:hAnsi="Arial"/>
          <w:sz w:val="16"/>
          <w:szCs w:val="16"/>
          <w:color w:val="auto"/>
        </w:rPr>
      </w:pPr>
      <w:r>
        <w:rPr>
          <w:rFonts w:ascii="Arial" w:cs="Arial" w:eastAsia="Arial" w:hAnsi="Arial"/>
          <w:sz w:val="16"/>
          <w:szCs w:val="16"/>
          <w:color w:val="auto"/>
        </w:rPr>
        <w:t>Except as otherwise provided in Paragraph 3(c)(ii) and Paragraph 3(c)(iii), for the duration of an individual’s service to the Company as a Director Emeritus, the Director Emeritus such shall be entitled to compensation on the same basis as a Non-Employee Director as described in Paragraph 3(a) and subject to the same payment practices as apply to a Non-Employee Director as described in Paragraph 3(b).</w:t>
      </w:r>
    </w:p>
    <w:p>
      <w:pPr>
        <w:spacing w:after="0" w:line="106" w:lineRule="exact"/>
        <w:rPr>
          <w:rFonts w:ascii="Arial" w:cs="Arial" w:eastAsia="Arial" w:hAnsi="Arial"/>
          <w:sz w:val="16"/>
          <w:szCs w:val="16"/>
          <w:color w:val="auto"/>
        </w:rPr>
      </w:pPr>
    </w:p>
    <w:p>
      <w:pPr>
        <w:ind w:right="100" w:firstLine="1492"/>
        <w:spacing w:after="0" w:line="332" w:lineRule="auto"/>
        <w:tabs>
          <w:tab w:leader="none" w:pos="1742" w:val="left"/>
        </w:tabs>
        <w:numPr>
          <w:ilvl w:val="2"/>
          <w:numId w:val="23"/>
        </w:numPr>
        <w:rPr>
          <w:rFonts w:ascii="Arial" w:cs="Arial" w:eastAsia="Arial" w:hAnsi="Arial"/>
          <w:sz w:val="16"/>
          <w:szCs w:val="16"/>
          <w:color w:val="auto"/>
        </w:rPr>
      </w:pPr>
      <w:r>
        <w:rPr>
          <w:rFonts w:ascii="Arial" w:cs="Arial" w:eastAsia="Arial" w:hAnsi="Arial"/>
          <w:sz w:val="16"/>
          <w:szCs w:val="16"/>
          <w:color w:val="auto"/>
        </w:rPr>
        <w:t>Paragraph 3(b)(iii), relating to a Non-Employee Director’s elect to receive up to 50% of the Annual Retainer amount described in Paragraph 3(a)(i) in the form of Shares, shall not apply to a Director Emeritus. All Annual Retainer payments to a Director Emeritus shall be in the form of cash.</w:t>
      </w:r>
    </w:p>
    <w:p>
      <w:pPr>
        <w:spacing w:after="0" w:line="85" w:lineRule="exact"/>
        <w:rPr>
          <w:rFonts w:ascii="Arial" w:cs="Arial" w:eastAsia="Arial" w:hAnsi="Arial"/>
          <w:sz w:val="16"/>
          <w:szCs w:val="16"/>
          <w:color w:val="auto"/>
        </w:rPr>
      </w:pPr>
    </w:p>
    <w:p>
      <w:pPr>
        <w:ind w:left="1800" w:hanging="308"/>
        <w:spacing w:after="0"/>
        <w:tabs>
          <w:tab w:leader="none" w:pos="18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This Paragraph 3(c)(iii) shall apply to a Director Emeritus in lieu of the Stock Grant provisions of Paragraph 3(a)(xiii). On</w:t>
      </w:r>
    </w:p>
    <w:p>
      <w:pPr>
        <w:spacing w:after="0" w:line="1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November 20, 2013 and each anniversary thereof (or the next following business day if November 20</w:t>
      </w:r>
      <w:r>
        <w:rPr>
          <w:rFonts w:ascii="Arial" w:cs="Arial" w:eastAsia="Arial" w:hAnsi="Arial"/>
          <w:sz w:val="11"/>
          <w:szCs w:val="11"/>
          <w:color w:val="auto"/>
        </w:rPr>
        <w:t>th</w:t>
      </w:r>
      <w:r>
        <w:rPr>
          <w:rFonts w:ascii="Arial" w:cs="Arial" w:eastAsia="Arial" w:hAnsi="Arial"/>
          <w:sz w:val="18"/>
          <w:szCs w:val="18"/>
          <w:color w:val="auto"/>
        </w:rPr>
        <w:t xml:space="preserve"> is not a business day), the Company shall pay each Director Emeritus a single cash lump sum of $170,000.</w:t>
      </w:r>
    </w:p>
    <w:p>
      <w:pPr>
        <w:spacing w:after="0" w:line="253"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3" w:name="page54"/>
    <w:bookmarkEnd w:id="53"/>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248"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248"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date of this amendment and restatement of the Plan is May 14, 2013. The original effective date of the Plan is November 18, 2002.</w:t>
      </w:r>
    </w:p>
    <w:p>
      <w:pPr>
        <w:spacing w:after="0" w:line="31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 law.</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7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24" w:lineRule="exact"/>
        <w:rPr>
          <w:sz w:val="20"/>
          <w:szCs w:val="20"/>
          <w:color w:val="auto"/>
        </w:rPr>
      </w:pPr>
    </w:p>
    <w:p>
      <w:pPr>
        <w:ind w:left="6860"/>
        <w:spacing w:after="0"/>
        <w:tabs>
          <w:tab w:leader="none" w:pos="776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74" w:right="4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1120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99"/>
              </w:rPr>
              <w:t>SCHEDULE I</w:t>
            </w:r>
          </w:p>
        </w:tc>
      </w:tr>
      <w:tr>
        <w:trPr>
          <w:trHeight w:val="216"/>
        </w:trPr>
        <w:tc>
          <w:tcPr>
            <w:tcW w:w="1120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7"/>
              </w:rPr>
              <w:t>COMCAST CORPORATION</w:t>
            </w:r>
          </w:p>
        </w:tc>
      </w:tr>
      <w:tr>
        <w:trPr>
          <w:trHeight w:val="216"/>
        </w:trPr>
        <w:tc>
          <w:tcPr>
            <w:tcW w:w="1120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98"/>
              </w:rPr>
              <w:t>NON-EMPLOYEE DIRECTOR COMPENSATION</w:t>
            </w:r>
          </w:p>
        </w:tc>
      </w:tr>
      <w:tr>
        <w:trPr>
          <w:trHeight w:val="228"/>
        </w:trPr>
        <w:tc>
          <w:tcPr>
            <w:tcW w:w="1120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5"/>
              </w:rPr>
              <w:t>EFFECTIVE AS OF JULY 1, 2013</w:t>
            </w:r>
          </w:p>
        </w:tc>
      </w:tr>
      <w:tr>
        <w:trPr>
          <w:trHeight w:val="412"/>
        </w:trPr>
        <w:tc>
          <w:tcPr>
            <w:tcW w:w="5800" w:type="dxa"/>
            <w:vAlign w:val="bottom"/>
          </w:tcPr>
          <w:p>
            <w:pPr>
              <w:spacing w:after="0"/>
              <w:rPr>
                <w:sz w:val="20"/>
                <w:szCs w:val="20"/>
                <w:color w:val="auto"/>
              </w:rPr>
            </w:pPr>
            <w:r>
              <w:rPr>
                <w:rFonts w:ascii="Arial" w:cs="Arial" w:eastAsia="Arial" w:hAnsi="Arial"/>
                <w:sz w:val="18"/>
                <w:szCs w:val="18"/>
                <w:color w:val="auto"/>
              </w:rPr>
              <w:t>Director Annual Retainer</w:t>
            </w:r>
          </w:p>
        </w:tc>
        <w:tc>
          <w:tcPr>
            <w:tcW w:w="5400" w:type="dxa"/>
            <w:vAlign w:val="bottom"/>
          </w:tcPr>
          <w:p>
            <w:pPr>
              <w:ind w:left="260"/>
              <w:spacing w:after="0"/>
              <w:rPr>
                <w:sz w:val="20"/>
                <w:szCs w:val="20"/>
                <w:color w:val="auto"/>
              </w:rPr>
            </w:pPr>
            <w:r>
              <w:rPr>
                <w:rFonts w:ascii="Arial" w:cs="Arial" w:eastAsia="Arial" w:hAnsi="Arial"/>
                <w:sz w:val="18"/>
                <w:szCs w:val="18"/>
                <w:color w:val="auto"/>
                <w:w w:val="88"/>
              </w:rPr>
              <w:t>$100,000, subject to election to receive up to half in the form of Comcast</w:t>
            </w:r>
          </w:p>
        </w:tc>
      </w:tr>
      <w:tr>
        <w:trPr>
          <w:trHeight w:val="216"/>
        </w:trPr>
        <w:tc>
          <w:tcPr>
            <w:tcW w:w="5800" w:type="dxa"/>
            <w:vAlign w:val="bottom"/>
          </w:tcPr>
          <w:p>
            <w:pPr>
              <w:spacing w:after="0"/>
              <w:rPr>
                <w:sz w:val="18"/>
                <w:szCs w:val="18"/>
                <w:color w:val="auto"/>
              </w:rPr>
            </w:pPr>
          </w:p>
        </w:tc>
        <w:tc>
          <w:tcPr>
            <w:tcW w:w="5400" w:type="dxa"/>
            <w:vAlign w:val="bottom"/>
          </w:tcPr>
          <w:p>
            <w:pPr>
              <w:ind w:left="260"/>
              <w:spacing w:after="0"/>
              <w:rPr>
                <w:sz w:val="20"/>
                <w:szCs w:val="20"/>
                <w:color w:val="auto"/>
              </w:rPr>
            </w:pPr>
            <w:r>
              <w:rPr>
                <w:rFonts w:ascii="Arial" w:cs="Arial" w:eastAsia="Arial" w:hAnsi="Arial"/>
                <w:sz w:val="18"/>
                <w:szCs w:val="18"/>
                <w:color w:val="auto"/>
              </w:rPr>
              <w:t>Corporation Class A Common Stock</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Board Meeting Fee</w:t>
            </w:r>
          </w:p>
        </w:tc>
        <w:tc>
          <w:tcPr>
            <w:tcW w:w="5400" w:type="dxa"/>
            <w:vAlign w:val="bottom"/>
          </w:tcPr>
          <w:p>
            <w:pPr>
              <w:ind w:left="260"/>
              <w:spacing w:after="0"/>
              <w:rPr>
                <w:sz w:val="20"/>
                <w:szCs w:val="20"/>
                <w:color w:val="auto"/>
              </w:rPr>
            </w:pPr>
            <w:r>
              <w:rPr>
                <w:rFonts w:ascii="Arial" w:cs="Arial" w:eastAsia="Arial" w:hAnsi="Arial"/>
                <w:sz w:val="18"/>
                <w:szCs w:val="18"/>
                <w:color w:val="auto"/>
              </w:rPr>
              <w:t>None</w:t>
            </w:r>
            <w:r>
              <w:rPr>
                <w:rFonts w:ascii="Arial" w:cs="Arial" w:eastAsia="Arial" w:hAnsi="Arial"/>
                <w:sz w:val="11"/>
                <w:szCs w:val="11"/>
                <w:color w:val="auto"/>
              </w:rPr>
              <w:t>1</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Audit Committee Annual Retainer – Chair</w:t>
            </w:r>
          </w:p>
        </w:tc>
        <w:tc>
          <w:tcPr>
            <w:tcW w:w="5400" w:type="dxa"/>
            <w:vAlign w:val="bottom"/>
          </w:tcPr>
          <w:p>
            <w:pPr>
              <w:ind w:left="260"/>
              <w:spacing w:after="0"/>
              <w:rPr>
                <w:sz w:val="20"/>
                <w:szCs w:val="20"/>
                <w:color w:val="auto"/>
              </w:rPr>
            </w:pPr>
            <w:r>
              <w:rPr>
                <w:rFonts w:ascii="Arial" w:cs="Arial" w:eastAsia="Arial" w:hAnsi="Arial"/>
                <w:sz w:val="18"/>
                <w:szCs w:val="18"/>
                <w:color w:val="auto"/>
              </w:rPr>
              <w:t>$35,000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Compensation Committee Annual Retainer – Chair</w:t>
            </w:r>
          </w:p>
        </w:tc>
        <w:tc>
          <w:tcPr>
            <w:tcW w:w="5400" w:type="dxa"/>
            <w:vAlign w:val="bottom"/>
          </w:tcPr>
          <w:p>
            <w:pPr>
              <w:ind w:left="260"/>
              <w:spacing w:after="0"/>
              <w:rPr>
                <w:sz w:val="20"/>
                <w:szCs w:val="20"/>
                <w:color w:val="auto"/>
              </w:rPr>
            </w:pPr>
            <w:r>
              <w:rPr>
                <w:rFonts w:ascii="Arial" w:cs="Arial" w:eastAsia="Arial" w:hAnsi="Arial"/>
                <w:sz w:val="18"/>
                <w:szCs w:val="18"/>
                <w:color w:val="auto"/>
              </w:rPr>
              <w:t>$35,000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7"/>
              </w:rPr>
              <w:t>Governance and Directors Nominating Committee Annual Retainer – Chair</w:t>
            </w:r>
          </w:p>
        </w:tc>
        <w:tc>
          <w:tcPr>
            <w:tcW w:w="5400" w:type="dxa"/>
            <w:vAlign w:val="bottom"/>
          </w:tcPr>
          <w:p>
            <w:pPr>
              <w:ind w:left="260"/>
              <w:spacing w:after="0"/>
              <w:rPr>
                <w:sz w:val="20"/>
                <w:szCs w:val="20"/>
                <w:color w:val="auto"/>
              </w:rPr>
            </w:pPr>
            <w:r>
              <w:rPr>
                <w:rFonts w:ascii="Arial" w:cs="Arial" w:eastAsia="Arial" w:hAnsi="Arial"/>
                <w:sz w:val="18"/>
                <w:szCs w:val="18"/>
                <w:color w:val="auto"/>
              </w:rPr>
              <w:t>$15,000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Committee Annual Retainer – Chair</w:t>
            </w:r>
          </w:p>
        </w:tc>
        <w:tc>
          <w:tcPr>
            <w:tcW w:w="5400" w:type="dxa"/>
            <w:vAlign w:val="bottom"/>
          </w:tcPr>
          <w:p>
            <w:pPr>
              <w:ind w:left="260"/>
              <w:spacing w:after="0"/>
              <w:rPr>
                <w:sz w:val="20"/>
                <w:szCs w:val="20"/>
                <w:color w:val="auto"/>
              </w:rPr>
            </w:pPr>
            <w:r>
              <w:rPr>
                <w:rFonts w:ascii="Arial" w:cs="Arial" w:eastAsia="Arial" w:hAnsi="Arial"/>
                <w:sz w:val="18"/>
                <w:szCs w:val="18"/>
                <w:color w:val="auto"/>
              </w:rPr>
              <w:t>$5,000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Audit Committee Annual Retainer – Member</w:t>
            </w:r>
          </w:p>
        </w:tc>
        <w:tc>
          <w:tcPr>
            <w:tcW w:w="5400" w:type="dxa"/>
            <w:vAlign w:val="bottom"/>
          </w:tcPr>
          <w:p>
            <w:pPr>
              <w:ind w:left="260"/>
              <w:spacing w:after="0"/>
              <w:rPr>
                <w:sz w:val="20"/>
                <w:szCs w:val="20"/>
                <w:color w:val="auto"/>
              </w:rPr>
            </w:pPr>
            <w:r>
              <w:rPr>
                <w:rFonts w:ascii="Arial" w:cs="Arial" w:eastAsia="Arial" w:hAnsi="Arial"/>
                <w:sz w:val="18"/>
                <w:szCs w:val="18"/>
                <w:color w:val="auto"/>
              </w:rPr>
              <w:t>$10,000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Compensation Committee Annual Retainer – Member</w:t>
            </w:r>
          </w:p>
        </w:tc>
        <w:tc>
          <w:tcPr>
            <w:tcW w:w="5400" w:type="dxa"/>
            <w:vAlign w:val="bottom"/>
          </w:tcPr>
          <w:p>
            <w:pPr>
              <w:ind w:left="260"/>
              <w:spacing w:after="0"/>
              <w:rPr>
                <w:sz w:val="20"/>
                <w:szCs w:val="20"/>
                <w:color w:val="auto"/>
              </w:rPr>
            </w:pPr>
            <w:r>
              <w:rPr>
                <w:rFonts w:ascii="Arial" w:cs="Arial" w:eastAsia="Arial" w:hAnsi="Arial"/>
                <w:sz w:val="18"/>
                <w:szCs w:val="18"/>
                <w:color w:val="auto"/>
              </w:rPr>
              <w:t>$10,000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3"/>
              </w:rPr>
              <w:t>Governance and Directors Nominating Committee Annual Retainer – Member</w:t>
            </w:r>
          </w:p>
        </w:tc>
        <w:tc>
          <w:tcPr>
            <w:tcW w:w="5400" w:type="dxa"/>
            <w:vAlign w:val="bottom"/>
          </w:tcPr>
          <w:p>
            <w:pPr>
              <w:ind w:left="260"/>
              <w:spacing w:after="0"/>
              <w:rPr>
                <w:sz w:val="20"/>
                <w:szCs w:val="20"/>
                <w:color w:val="auto"/>
              </w:rPr>
            </w:pPr>
            <w:r>
              <w:rPr>
                <w:rFonts w:ascii="Arial" w:cs="Arial" w:eastAsia="Arial" w:hAnsi="Arial"/>
                <w:sz w:val="18"/>
                <w:szCs w:val="18"/>
                <w:color w:val="auto"/>
              </w:rPr>
              <w:t>$7,500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Committee Annual Retainer – Member</w:t>
            </w:r>
          </w:p>
        </w:tc>
        <w:tc>
          <w:tcPr>
            <w:tcW w:w="540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Committee Meeting Fee – Audit Committee</w:t>
            </w:r>
          </w:p>
        </w:tc>
        <w:tc>
          <w:tcPr>
            <w:tcW w:w="540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Committee Meeting Fee – Compensation Committee</w:t>
            </w:r>
          </w:p>
        </w:tc>
        <w:tc>
          <w:tcPr>
            <w:tcW w:w="540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4"/>
              </w:rPr>
              <w:t>Committee Meeting Fee – Governance and Directors Nominating Committee</w:t>
            </w:r>
          </w:p>
        </w:tc>
        <w:tc>
          <w:tcPr>
            <w:tcW w:w="540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Committee Meeting Fee – Other Committee</w:t>
            </w:r>
          </w:p>
        </w:tc>
        <w:tc>
          <w:tcPr>
            <w:tcW w:w="5400" w:type="dxa"/>
            <w:vAlign w:val="bottom"/>
          </w:tcPr>
          <w:p>
            <w:pPr>
              <w:ind w:left="260"/>
              <w:spacing w:after="0"/>
              <w:rPr>
                <w:sz w:val="20"/>
                <w:szCs w:val="20"/>
                <w:color w:val="auto"/>
              </w:rPr>
            </w:pPr>
            <w:r>
              <w:rPr>
                <w:rFonts w:ascii="Arial" w:cs="Arial" w:eastAsia="Arial" w:hAnsi="Arial"/>
                <w:sz w:val="18"/>
                <w:szCs w:val="18"/>
                <w:color w:val="auto"/>
              </w:rPr>
              <w:t>$1,000</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Annual Restricted Stock Unit Grant</w:t>
            </w:r>
          </w:p>
        </w:tc>
        <w:tc>
          <w:tcPr>
            <w:tcW w:w="5400" w:type="dxa"/>
            <w:vAlign w:val="bottom"/>
          </w:tcPr>
          <w:p>
            <w:pPr>
              <w:ind w:left="260"/>
              <w:spacing w:after="0"/>
              <w:rPr>
                <w:sz w:val="20"/>
                <w:szCs w:val="20"/>
                <w:color w:val="auto"/>
              </w:rPr>
            </w:pPr>
            <w:r>
              <w:rPr>
                <w:rFonts w:ascii="Arial" w:cs="Arial" w:eastAsia="Arial" w:hAnsi="Arial"/>
                <w:sz w:val="18"/>
                <w:szCs w:val="18"/>
                <w:color w:val="auto"/>
                <w:w w:val="95"/>
              </w:rPr>
              <w:t>Shares having a Fair Market Value on the date of grant of $170,000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28" w:lineRule="auto"/>
        <w:tabs>
          <w:tab w:leader="none" w:pos="22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A fee of $2,500 shall be paid when a member of the Board attends a meeting (other than a Board meeting) or conducts business on behalf of the Company in his or her capacity as a Director.</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4" w:right="4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171" w:lineRule="exact"/>
        <w:rPr>
          <w:sz w:val="20"/>
          <w:szCs w:val="20"/>
          <w:color w:val="auto"/>
        </w:rPr>
      </w:pPr>
    </w:p>
    <w:p>
      <w:pPr>
        <w:ind w:right="260"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Amendment and Restatement of the Plan</w:t>
      </w:r>
      <w:r>
        <w:rPr>
          <w:rFonts w:ascii="Arial" w:cs="Arial" w:eastAsia="Arial" w:hAnsi="Arial"/>
          <w:sz w:val="16"/>
          <w:szCs w:val="16"/>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2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Unfunded and Limited to Outside Directors, Directors Emeriti and Select Group of Management or Highly Compensated Employees</w:t>
      </w:r>
      <w:r>
        <w:rPr>
          <w:rFonts w:ascii="Arial" w:cs="Arial" w:eastAsia="Arial" w:hAnsi="Arial"/>
          <w:sz w:val="18"/>
          <w:szCs w:val="18"/>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Administrator.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w:t>
      </w:r>
    </w:p>
    <w:p>
      <w:pPr>
        <w:sectPr>
          <w:pgSz w:w="11900" w:h="16838" w:orient="portrait"/>
          <w:cols w:equalWidth="0" w:num="1">
            <w:col w:w="11420"/>
          </w:cols>
          <w:pgMar w:left="240" w:top="125"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deferred and earnings allocated under the Plan shall be credited, and from which all amounts distributed pursuant to the Plan shall be debited.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or a Director Emeritus; and</w:t>
      </w:r>
    </w:p>
    <w:p>
      <w:pPr>
        <w:spacing w:after="0" w:line="171" w:lineRule="exact"/>
        <w:rPr>
          <w:rFonts w:ascii="Arial" w:cs="Arial" w:eastAsia="Arial" w:hAnsi="Arial"/>
          <w:sz w:val="18"/>
          <w:szCs w:val="18"/>
          <w:color w:val="auto"/>
        </w:rPr>
      </w:pPr>
    </w:p>
    <w:p>
      <w:pPr>
        <w:ind w:left="460" w:right="3420" w:firstLine="461"/>
        <w:spacing w:after="0" w:line="438" w:lineRule="auto"/>
        <w:tabs>
          <w:tab w:leader="none" w:pos="11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 or its delegate.</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 (as defined in Section 3.1(a)(ii)).</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Active Participants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60" w:firstLine="1492"/>
        <w:spacing w:after="0" w:line="259" w:lineRule="auto"/>
        <w:tabs>
          <w:tab w:leader="none" w:pos="1693"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Protected Account Balances</w:t>
      </w:r>
      <w:r>
        <w:rPr>
          <w:rFonts w:ascii="Arial" w:cs="Arial" w:eastAsia="Arial" w:hAnsi="Arial"/>
          <w:sz w:val="18"/>
          <w:szCs w:val="18"/>
          <w:color w:val="auto"/>
        </w:rPr>
        <w:t>. Except as otherwise provided in Sections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40" w:lineRule="exact"/>
        <w:rPr>
          <w:rFonts w:ascii="Arial" w:cs="Arial" w:eastAsia="Arial" w:hAnsi="Arial"/>
          <w:sz w:val="18"/>
          <w:szCs w:val="18"/>
          <w:color w:val="auto"/>
        </w:rPr>
      </w:pPr>
    </w:p>
    <w:p>
      <w:pPr>
        <w:ind w:right="300" w:firstLine="1492"/>
        <w:spacing w:after="0" w:line="268" w:lineRule="auto"/>
        <w:tabs>
          <w:tab w:leader="none" w:pos="1742"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Contributions Credited on and after January 1, 2014 (on and after January 1, 2013 for Eligible NBCUniversal Employees)</w:t>
      </w:r>
      <w:r>
        <w:rPr>
          <w:rFonts w:ascii="Arial" w:cs="Arial" w:eastAsia="Arial" w:hAnsi="Arial"/>
          <w:sz w:val="18"/>
          <w:szCs w:val="18"/>
          <w:color w:val="auto"/>
        </w:rPr>
        <w:t>. Except as otherwise provided in Sections 2.6(b):</w:t>
      </w:r>
    </w:p>
    <w:p>
      <w:pPr>
        <w:spacing w:after="0" w:line="131" w:lineRule="exact"/>
        <w:rPr>
          <w:rFonts w:ascii="Arial" w:cs="Arial" w:eastAsia="Arial" w:hAnsi="Arial"/>
          <w:sz w:val="18"/>
          <w:szCs w:val="18"/>
          <w:color w:val="auto"/>
        </w:rPr>
      </w:pPr>
    </w:p>
    <w:p>
      <w:pPr>
        <w:ind w:firstLine="1948"/>
        <w:spacing w:after="0" w:line="255" w:lineRule="auto"/>
        <w:tabs>
          <w:tab w:leader="none" w:pos="2228" w:val="left"/>
        </w:tabs>
        <w:numPr>
          <w:ilvl w:val="2"/>
          <w:numId w:val="31"/>
        </w:numPr>
        <w:rPr>
          <w:rFonts w:ascii="Arial" w:cs="Arial" w:eastAsia="Arial" w:hAnsi="Arial"/>
          <w:sz w:val="18"/>
          <w:szCs w:val="18"/>
          <w:color w:val="auto"/>
        </w:rPr>
      </w:pPr>
      <w:r>
        <w:rPr>
          <w:rFonts w:ascii="Arial" w:cs="Arial" w:eastAsia="Arial" w:hAnsi="Arial"/>
          <w:sz w:val="18"/>
          <w:szCs w:val="18"/>
          <w:color w:val="auto"/>
        </w:rPr>
        <w:t>For amounts (other than Protected Account Balances) credited to Accounts of Eligible Comcast Employees, Outside Directors and Directors Emeriti with respect to Compensation earned on and after January 1, 2014 or pursuant to Section 3.8, and for amounts credited pursuant to Subsequent Elections filed on and after January 1, 2014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7" w:name="page58"/>
    <w:bookmarkEnd w:id="57"/>
    <w:p>
      <w:pPr>
        <w:ind w:right="100" w:firstLine="1948"/>
        <w:spacing w:after="0" w:line="298" w:lineRule="auto"/>
        <w:tabs>
          <w:tab w:leader="none" w:pos="2218"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amounts credited to Accounts of Eligible NBCUniversal Employees on and after January 1, 2013 and for amounts credited pursuant to Subsequent Elections filed after December 31, 2012 that are attributable to amounts credited to Accounts pursuant to Initial Elections filed with respect to Compensation earned after December 31, 2012, the term “Applicable Interest Rate,” means the interest rate that, when compounded daily pursuant to rules established by the Administrator from time to time, is mathematically equivalent to 9% (0.09) per annum, compounded annually.</w:t>
      </w:r>
    </w:p>
    <w:p>
      <w:pPr>
        <w:spacing w:after="0" w:line="112" w:lineRule="exact"/>
        <w:rPr>
          <w:rFonts w:ascii="Arial" w:cs="Arial" w:eastAsia="Arial" w:hAnsi="Arial"/>
          <w:sz w:val="16"/>
          <w:szCs w:val="16"/>
          <w:color w:val="auto"/>
        </w:rPr>
      </w:pPr>
    </w:p>
    <w:p>
      <w:pPr>
        <w:ind w:right="60" w:firstLine="921"/>
        <w:spacing w:after="0" w:line="255" w:lineRule="auto"/>
        <w:tabs>
          <w:tab w:leader="none" w:pos="11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or Directors Emeriti made pursuant to Section 3.1(a), Comcast Corporation Class A Common Stock, par value $0.01, including a fractional share, and such other securities issued by Comcast Corporation as may be subject to adjustment in the event that shares of either class of Company Stock are changed into,</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58" w:name="page59"/>
    <w:bookmarkEnd w:id="58"/>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 provided that dividends and other distributions paid with respect to Company Stock after December 31, 2007 shall be deemed to be reinvested in additional hypothetical shares of Company Stock as of the payment date for such dividends and other distributions, based on the Fair Market Value of Company Stock as of such payment date, and provided further that dividends and other distributions paid with respect to Company Stock after May 30, 2012 shall be credited to the Income Fund.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171" w:lineRule="exact"/>
        <w:rPr>
          <w:sz w:val="20"/>
          <w:szCs w:val="20"/>
          <w:color w:val="auto"/>
        </w:rPr>
      </w:pPr>
    </w:p>
    <w:p>
      <w:pPr>
        <w:ind w:right="540" w:firstLine="921"/>
        <w:spacing w:after="0" w:line="306" w:lineRule="auto"/>
        <w:tabs>
          <w:tab w:leader="none" w:pos="1152" w:val="left"/>
        </w:tabs>
        <w:numPr>
          <w:ilvl w:val="1"/>
          <w:numId w:val="34"/>
        </w:numPr>
        <w:rPr>
          <w:rFonts w:ascii="Arial" w:cs="Arial" w:eastAsia="Arial" w:hAnsi="Arial"/>
          <w:sz w:val="16"/>
          <w:szCs w:val="16"/>
          <w:color w:val="auto"/>
        </w:rPr>
      </w:pPr>
      <w:r>
        <w:rPr>
          <w:rFonts w:ascii="Arial" w:cs="Arial" w:eastAsia="Arial" w:hAnsi="Arial"/>
          <w:sz w:val="16"/>
          <w:szCs w:val="16"/>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In the case of an Eligible Employee, the total cash remuneration for services payable by a Participating Company, excluding (i) Severance Pay,</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sales commissions or other similar payments or awards, including payments earned under any sales incentive arrangement for employees of NBCUniversal,</w:t>
      </w:r>
    </w:p>
    <w:p>
      <w:pPr>
        <w:spacing w:after="0" w:line="32" w:lineRule="exact"/>
        <w:rPr>
          <w:rFonts w:ascii="Arial" w:cs="Arial" w:eastAsia="Arial" w:hAnsi="Arial"/>
          <w:sz w:val="16"/>
          <w:szCs w:val="16"/>
          <w:color w:val="auto"/>
        </w:rPr>
      </w:pPr>
    </w:p>
    <w:p>
      <w:pPr>
        <w:ind w:right="160" w:firstLine="8"/>
        <w:spacing w:after="0" w:line="261" w:lineRule="auto"/>
        <w:tabs>
          <w:tab w:leader="none" w:pos="3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bonuses earned under any program designated by the Company’s Programming Division as a “long-term incentive plan” and (iv) bonuses earned under any long-term incentive plan for employees of NBCUniversal.</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Contribution Limit</w:t>
      </w:r>
      <w:r>
        <w:rPr>
          <w:rFonts w:ascii="Arial" w:cs="Arial" w:eastAsia="Arial" w:hAnsi="Arial"/>
          <w:sz w:val="18"/>
          <w:szCs w:val="18"/>
          <w:color w:val="auto"/>
        </w:rPr>
        <w:t>” means the product of (a) seven (7) times (b) Total Compensation.</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9" w:name="page60"/>
    <w:bookmarkEnd w:id="59"/>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2.18.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or Director Emeritus, a Participant whose service as an Outside Director or Director Emeritus, is terminated by death.</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71" w:lineRule="exact"/>
        <w:rPr>
          <w:sz w:val="20"/>
          <w:szCs w:val="20"/>
          <w:color w:val="auto"/>
        </w:rPr>
      </w:pPr>
    </w:p>
    <w:p>
      <w:pPr>
        <w:ind w:right="240" w:firstLine="921"/>
        <w:spacing w:after="0" w:line="332" w:lineRule="auto"/>
        <w:tabs>
          <w:tab w:leader="none" w:pos="11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85" w:lineRule="exact"/>
        <w:rPr>
          <w:rFonts w:ascii="Arial" w:cs="Arial" w:eastAsia="Arial" w:hAnsi="Arial"/>
          <w:sz w:val="16"/>
          <w:szCs w:val="16"/>
          <w:color w:val="auto"/>
        </w:rPr>
      </w:pPr>
    </w:p>
    <w:p>
      <w:pPr>
        <w:ind w:firstLine="921"/>
        <w:spacing w:after="0" w:line="259"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171" w:lineRule="exact"/>
        <w:rPr>
          <w:sz w:val="20"/>
          <w:szCs w:val="20"/>
          <w:color w:val="auto"/>
        </w:rPr>
      </w:pPr>
    </w:p>
    <w:p>
      <w:pPr>
        <w:ind w:right="20" w:firstLine="921"/>
        <w:spacing w:after="0" w:line="268"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2.22(a) acting on behalf of such individual.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means any judgment, decree or order (including approval of a property settlement agreement) which:</w:t>
      </w:r>
    </w:p>
    <w:p>
      <w:pPr>
        <w:spacing w:after="0" w:line="171" w:lineRule="exact"/>
        <w:rPr>
          <w:sz w:val="20"/>
          <w:szCs w:val="20"/>
          <w:color w:val="auto"/>
        </w:rPr>
      </w:pPr>
    </w:p>
    <w:p>
      <w:pPr>
        <w:ind w:left="1160" w:hanging="239"/>
        <w:spacing w:after="0"/>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Relates to the provision of child support, alimony payments or marital property rights to a spouse or former spouse of a Participant; and</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made pursuant to a State domestic relations law (including a community property law).</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Eligible Comcast Employee</w:t>
      </w:r>
      <w:r>
        <w:rPr>
          <w:rFonts w:ascii="Arial" w:cs="Arial" w:eastAsia="Arial" w:hAnsi="Arial"/>
          <w:sz w:val="18"/>
          <w:szCs w:val="18"/>
          <w:color w:val="auto"/>
        </w:rPr>
        <w:t>” means an employee of the Company or NBCUniversal described in Section 2.24(a) through 2.24(e) below, provided that except as otherwise designated by the Administrator, in the case of an employee of the Company, such individual’s Compensation is administered under the Company’s common payroll system, and in</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80"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case of an employee of NBCUniversal, such individual’s Compensation is administered under NBCUniversal’s common payroll system:</w:t>
      </w:r>
    </w:p>
    <w:p>
      <w:pPr>
        <w:spacing w:after="0" w:line="171" w:lineRule="exact"/>
        <w:rPr>
          <w:sz w:val="20"/>
          <w:szCs w:val="20"/>
          <w:color w:val="auto"/>
        </w:rPr>
      </w:pPr>
    </w:p>
    <w:p>
      <w:pPr>
        <w:ind w:right="360" w:firstLine="921"/>
        <w:spacing w:after="0" w:line="268" w:lineRule="auto"/>
        <w:tabs>
          <w:tab w:leader="none" w:pos="11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the 2012 Plan Year, each employee of a Participating Company who was an Eligible Employee under the rules of the Plan as in effect on December 31, 2011, including employees who are Comcast-legacy employees of NBCUniversal.</w:t>
      </w:r>
    </w:p>
    <w:p>
      <w:pPr>
        <w:spacing w:after="0" w:line="131" w:lineRule="exact"/>
        <w:rPr>
          <w:rFonts w:ascii="Arial" w:cs="Arial" w:eastAsia="Arial" w:hAnsi="Arial"/>
          <w:sz w:val="18"/>
          <w:szCs w:val="18"/>
          <w:color w:val="auto"/>
        </w:rPr>
      </w:pPr>
    </w:p>
    <w:p>
      <w:pPr>
        <w:ind w:right="440" w:firstLine="921"/>
        <w:spacing w:after="0" w:line="259" w:lineRule="auto"/>
        <w:tabs>
          <w:tab w:leader="none" w:pos="1162"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the 2013 Plan Year, (i) each employee of a Participating Company other than NBCUniversal and (ii) each employee of NBCUniversal described in Section 2.24(a), provided that in each case, such employee has an Annual Rate of Pay of $200,000 or more as of both (iii) the date on which an Initial Election is filed with the Administrator for the 2013 Plan Year and (iv) January 1, 2013.</w:t>
      </w:r>
    </w:p>
    <w:p>
      <w:pPr>
        <w:spacing w:after="0" w:line="140" w:lineRule="exact"/>
        <w:rPr>
          <w:rFonts w:ascii="Arial" w:cs="Arial" w:eastAsia="Arial" w:hAnsi="Arial"/>
          <w:sz w:val="18"/>
          <w:szCs w:val="18"/>
          <w:color w:val="auto"/>
        </w:rPr>
      </w:pPr>
    </w:p>
    <w:p>
      <w:pPr>
        <w:ind w:right="240" w:firstLine="921"/>
        <w:spacing w:after="0" w:line="305" w:lineRule="auto"/>
        <w:tabs>
          <w:tab w:leader="none" w:pos="1152" w:val="left"/>
        </w:tabs>
        <w:numPr>
          <w:ilvl w:val="1"/>
          <w:numId w:val="39"/>
        </w:numPr>
        <w:rPr>
          <w:rFonts w:ascii="Arial" w:cs="Arial" w:eastAsia="Arial" w:hAnsi="Arial"/>
          <w:sz w:val="15"/>
          <w:szCs w:val="15"/>
          <w:color w:val="auto"/>
        </w:rPr>
      </w:pPr>
      <w:r>
        <w:rPr>
          <w:rFonts w:ascii="Arial" w:cs="Arial" w:eastAsia="Arial" w:hAnsi="Arial"/>
          <w:sz w:val="15"/>
          <w:szCs w:val="15"/>
          <w:color w:val="auto"/>
        </w:rPr>
        <w:t>For Plan Years beginning on and after January 1, 2014, (i) each employee of a Participating Company other than NBCUniversal and (ii) each employee of NBCUniversal described in Section 2.24(a), provided that in each case, such employee has an Annual Rate of Pay of $250,000 or more as of both</w:t>
      </w: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on which an Initial Election is filed with the Administrator and (iv) the first day of the calendar year in which such Initial Election is filed.</w:t>
      </w:r>
    </w:p>
    <w:p>
      <w:pPr>
        <w:spacing w:after="0" w:line="187" w:lineRule="exact"/>
        <w:rPr>
          <w:rFonts w:ascii="Arial" w:cs="Arial" w:eastAsia="Arial" w:hAnsi="Arial"/>
          <w:sz w:val="16"/>
          <w:szCs w:val="16"/>
          <w:color w:val="auto"/>
        </w:rPr>
      </w:pPr>
    </w:p>
    <w:p>
      <w:pPr>
        <w:ind w:left="1160" w:hanging="239"/>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Grandfathered Employee who is an employee of a Participating Company other than NBCUniversal.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New Key Employee who is an employee of a Participating Company other than NBCUniversal.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Eligible Comcast Employee;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Eligible NBCU Employee;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Administrator, in its discretion, as an Eligible Employee.</w:t>
      </w:r>
    </w:p>
    <w:p>
      <w:pPr>
        <w:spacing w:after="0" w:line="19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Eligible NBCU Employee</w:t>
      </w:r>
      <w:r>
        <w:rPr>
          <w:rFonts w:ascii="Arial" w:cs="Arial" w:eastAsia="Arial" w:hAnsi="Arial"/>
          <w:sz w:val="16"/>
          <w:szCs w:val="16"/>
          <w:color w:val="auto"/>
        </w:rPr>
        <w:t>” means an employee of NBCUniversal described in Section 2.26(a) through 2.26(e) below, provided that , in each case, except as otherwise designated by the Administrator, such individual’s Compensation is administered under NBCUniversal’s common payroll system.</w:t>
      </w:r>
    </w:p>
    <w:p>
      <w:pPr>
        <w:spacing w:after="0" w:line="85" w:lineRule="exact"/>
        <w:rPr>
          <w:sz w:val="20"/>
          <w:szCs w:val="20"/>
          <w:color w:val="auto"/>
        </w:rPr>
      </w:pPr>
    </w:p>
    <w:p>
      <w:pPr>
        <w:ind w:firstLine="921"/>
        <w:spacing w:after="0" w:line="268" w:lineRule="auto"/>
        <w:tabs>
          <w:tab w:leader="none" w:pos="11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employee of NBCUniversal who has been designated as a member of NBCUniversal’s Operating Committee by the Chief Executive Officer of NBCUniversal and approved by the Administrator, other than an employee who is described in Section 2.24.</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employee of NBCUniversal, other than an employee who is described in Section 2.24, who, for the 2013 Plan Year: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1" w:name="page62"/>
    <w:bookmarkEnd w:id="61"/>
    <w:p>
      <w:pPr>
        <w:ind w:left="1700" w:hanging="208"/>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not a member of NBCUniversal’s Operating Committee;</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Transferred employment directly from the Company to NBCUniversal in 2011 or 2012;</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Was an Eligible Employee under the rules of the Plan as in effect immediately before transferring employment from the Company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NBCUniversal;</w:t>
      </w:r>
    </w:p>
    <w:p>
      <w:pPr>
        <w:spacing w:after="0" w:line="165" w:lineRule="exact"/>
        <w:rPr>
          <w:sz w:val="20"/>
          <w:szCs w:val="20"/>
          <w:color w:val="auto"/>
        </w:rPr>
      </w:pPr>
    </w:p>
    <w:p>
      <w:pPr>
        <w:ind w:right="560" w:firstLine="1492"/>
        <w:spacing w:after="0" w:line="268" w:lineRule="auto"/>
        <w:tabs>
          <w:tab w:leader="none" w:pos="17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Elected to waive the opportunity to continue to be an Eligible Employee following the transfer of employment directly from the Company to NBCUniversal;</w:t>
      </w:r>
    </w:p>
    <w:p>
      <w:pPr>
        <w:spacing w:after="0" w:line="131" w:lineRule="exact"/>
        <w:rPr>
          <w:rFonts w:ascii="Arial" w:cs="Arial" w:eastAsia="Arial" w:hAnsi="Arial"/>
          <w:sz w:val="18"/>
          <w:szCs w:val="18"/>
          <w:color w:val="auto"/>
        </w:rPr>
      </w:pPr>
    </w:p>
    <w:p>
      <w:pPr>
        <w:ind w:right="140" w:firstLine="1492"/>
        <w:spacing w:after="0" w:line="268" w:lineRule="auto"/>
        <w:tabs>
          <w:tab w:leader="none" w:pos="1732" w:val="left"/>
        </w:tabs>
        <w:numPr>
          <w:ilvl w:val="1"/>
          <w:numId w:val="44"/>
        </w:numPr>
        <w:rPr>
          <w:rFonts w:ascii="Arial" w:cs="Arial" w:eastAsia="Arial" w:hAnsi="Arial"/>
          <w:sz w:val="18"/>
          <w:szCs w:val="18"/>
          <w:color w:val="auto"/>
        </w:rPr>
      </w:pPr>
      <w:r>
        <w:rPr>
          <w:rFonts w:ascii="Arial" w:cs="Arial" w:eastAsia="Arial" w:hAnsi="Arial"/>
          <w:sz w:val="18"/>
          <w:szCs w:val="18"/>
          <w:color w:val="auto"/>
        </w:rPr>
        <w:t>Has an Annual Rate of Pay of $200,000 or more as of both (iii) the date on which an Initial Election is filed with the Administrator for the 2013 Plan Year and (iv) January 1, 2013; and</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Files an Initial Election with the Administrator for the 2013 Plan Year.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employee of NBCUniversal, other than an employee who is described in Section 2.24, who, for the 2013 Plan Year:</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not a member of NBCUniversal’s Operating Committee;</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Has been a participant in the NBCUniversal Supplementary Pension Plan for the period extending from January 29, 2011 through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December 31, 2012;</w:t>
      </w:r>
    </w:p>
    <w:p>
      <w:pPr>
        <w:spacing w:after="0" w:line="164" w:lineRule="exact"/>
        <w:rPr>
          <w:rFonts w:ascii="Arial" w:cs="Arial" w:eastAsia="Arial" w:hAnsi="Arial"/>
          <w:sz w:val="16"/>
          <w:szCs w:val="16"/>
          <w:color w:val="auto"/>
        </w:rPr>
      </w:pPr>
    </w:p>
    <w:p>
      <w:pPr>
        <w:ind w:right="100" w:firstLine="1492"/>
        <w:spacing w:after="0" w:line="268" w:lineRule="auto"/>
        <w:tabs>
          <w:tab w:leader="none" w:pos="1791" w:val="left"/>
        </w:tabs>
        <w:numPr>
          <w:ilvl w:val="1"/>
          <w:numId w:val="45"/>
        </w:numPr>
        <w:rPr>
          <w:rFonts w:ascii="Arial" w:cs="Arial" w:eastAsia="Arial" w:hAnsi="Arial"/>
          <w:sz w:val="18"/>
          <w:szCs w:val="18"/>
          <w:color w:val="auto"/>
        </w:rPr>
      </w:pPr>
      <w:r>
        <w:rPr>
          <w:rFonts w:ascii="Arial" w:cs="Arial" w:eastAsia="Arial" w:hAnsi="Arial"/>
          <w:sz w:val="18"/>
          <w:szCs w:val="18"/>
          <w:color w:val="auto"/>
        </w:rPr>
        <w:t>Has an Annual Rate of Pay is $200,000 or more as of both (iii) the date on which an Initial Election is filed with the Administrator for the 2013 Plan Year and (iv) January 1, 2013; and</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Files an Initial Election with the Administrator for the 2013 Plan Year.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Grandfathered Employee who is an employee of NBCUniversal.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New Key Employee who is an employee of NBCUniversal,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332"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62" w:name="page63"/>
    <w:bookmarkEnd w:id="62"/>
    <w:p>
      <w:pPr>
        <w:ind w:right="40" w:firstLine="921"/>
        <w:spacing w:after="0" w:line="259" w:lineRule="auto"/>
        <w:tabs>
          <w:tab w:leader="none" w:pos="1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171" w:lineRule="exact"/>
        <w:rPr>
          <w:rFonts w:ascii="Arial" w:cs="Arial" w:eastAsia="Arial" w:hAnsi="Arial"/>
          <w:sz w:val="18"/>
          <w:szCs w:val="18"/>
          <w:color w:val="auto"/>
        </w:rPr>
      </w:pPr>
    </w:p>
    <w:p>
      <w:pPr>
        <w:ind w:right="280" w:firstLine="1492"/>
        <w:spacing w:after="0" w:line="268" w:lineRule="auto"/>
        <w:tabs>
          <w:tab w:leader="none" w:pos="1693" w:val="left"/>
        </w:tabs>
        <w:numPr>
          <w:ilvl w:val="2"/>
          <w:numId w:val="48"/>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as of December 31, 1989, was eligible to participate in the Prior Plan and who has been in continuous service to the Company or an Affiliate since December 31, 1989.</w:t>
      </w:r>
    </w:p>
    <w:p>
      <w:pPr>
        <w:spacing w:after="0" w:line="131" w:lineRule="exact"/>
        <w:rPr>
          <w:rFonts w:ascii="Arial" w:cs="Arial" w:eastAsia="Arial" w:hAnsi="Arial"/>
          <w:sz w:val="18"/>
          <w:szCs w:val="18"/>
          <w:color w:val="auto"/>
        </w:rPr>
      </w:pPr>
    </w:p>
    <w:p>
      <w:pPr>
        <w:ind w:firstLine="1492"/>
        <w:spacing w:after="0" w:line="305" w:lineRule="auto"/>
        <w:tabs>
          <w:tab w:leader="none" w:pos="1742" w:val="left"/>
        </w:tabs>
        <w:numPr>
          <w:ilvl w:val="2"/>
          <w:numId w:val="48"/>
        </w:numPr>
        <w:rPr>
          <w:rFonts w:ascii="Arial" w:cs="Arial" w:eastAsia="Arial" w:hAnsi="Arial"/>
          <w:sz w:val="15"/>
          <w:szCs w:val="15"/>
          <w:color w:val="auto"/>
        </w:rPr>
      </w:pPr>
      <w:r>
        <w:rPr>
          <w:rFonts w:ascii="Arial" w:cs="Arial" w:eastAsia="Arial" w:hAnsi="Arial"/>
          <w:sz w:val="15"/>
          <w:szCs w:val="15"/>
          <w:color w:val="auto"/>
        </w:rPr>
        <w:t>Each employee of a Participating Company other than NBCUniversal who was, at any time before January 1, 1995, eligible to participate in the Prior Plan and whose Annual Rate of Pay was $90,000 or more as of both (A) the date on which an Initial Election is filed with the Administrator and</w:t>
      </w: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first day of each calendar year beginning after December 31, 1994.</w:t>
      </w:r>
    </w:p>
    <w:p>
      <w:pPr>
        <w:spacing w:after="0" w:line="164" w:lineRule="exact"/>
        <w:rPr>
          <w:rFonts w:ascii="Arial" w:cs="Arial" w:eastAsia="Arial" w:hAnsi="Arial"/>
          <w:sz w:val="18"/>
          <w:szCs w:val="18"/>
          <w:color w:val="auto"/>
        </w:rPr>
      </w:pPr>
    </w:p>
    <w:p>
      <w:pPr>
        <w:ind w:right="220" w:firstLine="1492"/>
        <w:spacing w:after="0" w:line="306" w:lineRule="auto"/>
        <w:tabs>
          <w:tab w:leader="none" w:pos="1791" w:val="left"/>
        </w:tabs>
        <w:numPr>
          <w:ilvl w:val="2"/>
          <w:numId w:val="49"/>
        </w:numPr>
        <w:rPr>
          <w:rFonts w:ascii="Arial" w:cs="Arial" w:eastAsia="Arial" w:hAnsi="Arial"/>
          <w:sz w:val="16"/>
          <w:szCs w:val="16"/>
          <w:color w:val="auto"/>
        </w:rPr>
      </w:pPr>
      <w:r>
        <w:rPr>
          <w:rFonts w:ascii="Arial" w:cs="Arial" w:eastAsia="Arial" w:hAnsi="Arial"/>
          <w:sz w:val="16"/>
          <w:szCs w:val="16"/>
          <w:color w:val="auto"/>
        </w:rPr>
        <w:t>Each employee of a Participating Company other than NBCUniversal who was an employee of an entity that was a Participating Company in the Prior Plan as of June 30, 2002 and who had an Annual Rate of Pay of $125,000 as of each of (i) June 30, 2002; (ii) the date on which an Initial Election was filed with the Administrator and (iii) the first day of each calendar year beginning after December 31, 2002.</w:t>
      </w:r>
    </w:p>
    <w:p>
      <w:pPr>
        <w:spacing w:after="0" w:line="106" w:lineRule="exact"/>
        <w:rPr>
          <w:rFonts w:ascii="Arial" w:cs="Arial" w:eastAsia="Arial" w:hAnsi="Arial"/>
          <w:sz w:val="16"/>
          <w:szCs w:val="16"/>
          <w:color w:val="auto"/>
        </w:rPr>
      </w:pPr>
    </w:p>
    <w:p>
      <w:pPr>
        <w:ind w:firstLine="1492"/>
        <w:spacing w:after="0" w:line="256" w:lineRule="auto"/>
        <w:tabs>
          <w:tab w:leader="none" w:pos="1781" w:val="left"/>
        </w:tabs>
        <w:numPr>
          <w:ilvl w:val="2"/>
          <w:numId w:val="49"/>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Effective after December 31, 2013:</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2"/>
          <w:numId w:val="50"/>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is described in Section 2.28(a)(i)-(iv).</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50"/>
        </w:numPr>
        <w:rPr>
          <w:rFonts w:ascii="Arial" w:cs="Arial" w:eastAsia="Arial" w:hAnsi="Arial"/>
          <w:sz w:val="16"/>
          <w:szCs w:val="16"/>
          <w:color w:val="auto"/>
        </w:rPr>
      </w:pPr>
      <w:r>
        <w:rPr>
          <w:rFonts w:ascii="Arial" w:cs="Arial" w:eastAsia="Arial" w:hAnsi="Arial"/>
          <w:sz w:val="16"/>
          <w:szCs w:val="16"/>
          <w:color w:val="auto"/>
        </w:rPr>
        <w:t>Each employee of a Participating Company other than NBCUniversal who is a Participant and who has an Annual Rate of Pay of</w:t>
      </w:r>
    </w:p>
    <w:p>
      <w:pPr>
        <w:spacing w:after="0" w:line="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$200,000 or more as of each of (A) December 31, 2013; (B) the date on which an Initial Election is filed with the Administrator and (C) the first day of each calendar year beginning after December 31, 2013.</w:t>
      </w:r>
    </w:p>
    <w:p>
      <w:pPr>
        <w:spacing w:after="0" w:line="13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(iii) Each employee of NBCUniversal described in Section 2.26(b) or 2.26(c) who is a Participant and who has an Annual Rate of Pay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$200,000 or more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63" w:name="page64"/>
    <w:bookmarkEnd w:id="63"/>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each of (A) December 31, 2013; (B) the date on which an Initial Election is filed with the Administrator and (C) the first day of each calendar year beginning after December 31, 2013.</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2.29. “</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Participant constitute an unforeseeable emergency and thus a Hardship within the meaning of this Section 2.29.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Section 2.29 for all Participants in similar circumstances.</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or Director Emeritus and is not actively employed by a Participating Company.</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9" w:lineRule="auto"/>
        <w:tabs>
          <w:tab w:leader="none" w:pos="11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Outside Directors and Directors Emeriti</w:t>
      </w:r>
      <w:r>
        <w:rPr>
          <w:rFonts w:ascii="Arial" w:cs="Arial" w:eastAsia="Arial" w:hAnsi="Arial"/>
          <w:sz w:val="18"/>
          <w:szCs w:val="18"/>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140" w:lineRule="exact"/>
        <w:rPr>
          <w:rFonts w:ascii="Arial" w:cs="Arial" w:eastAsia="Arial" w:hAnsi="Arial"/>
          <w:sz w:val="18"/>
          <w:szCs w:val="18"/>
          <w:color w:val="auto"/>
        </w:rPr>
      </w:pPr>
    </w:p>
    <w:p>
      <w:pPr>
        <w:ind w:firstLine="1492"/>
        <w:spacing w:after="0" w:line="268" w:lineRule="auto"/>
        <w:tabs>
          <w:tab w:leader="none" w:pos="1693" w:val="left"/>
        </w:tabs>
        <w:numPr>
          <w:ilvl w:val="1"/>
          <w:numId w:val="51"/>
        </w:numPr>
        <w:rPr>
          <w:rFonts w:ascii="Arial" w:cs="Arial" w:eastAsia="Arial" w:hAnsi="Arial"/>
          <w:sz w:val="18"/>
          <w:szCs w:val="18"/>
          <w:color w:val="auto"/>
        </w:rPr>
      </w:pPr>
      <w:r>
        <w:rPr>
          <w:rFonts w:ascii="Arial" w:cs="Arial" w:eastAsia="Arial" w:hAnsi="Arial"/>
          <w:sz w:val="18"/>
          <w:szCs w:val="18"/>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rFonts w:ascii="Arial" w:cs="Arial" w:eastAsia="Arial" w:hAnsi="Arial"/>
          <w:sz w:val="18"/>
          <w:szCs w:val="18"/>
          <w:color w:val="auto"/>
        </w:rPr>
      </w:pPr>
    </w:p>
    <w:p>
      <w:pPr>
        <w:ind w:right="100" w:firstLine="921"/>
        <w:spacing w:after="0" w:line="259" w:lineRule="auto"/>
        <w:tabs>
          <w:tab w:leader="none" w:pos="116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2013 Plan Year For Eligible Comcast Employees</w:t>
      </w:r>
      <w:r>
        <w:rPr>
          <w:rFonts w:ascii="Arial" w:cs="Arial" w:eastAsia="Arial" w:hAnsi="Arial"/>
          <w:sz w:val="18"/>
          <w:szCs w:val="18"/>
          <w:color w:val="auto"/>
        </w:rPr>
        <w:t>. With respect to Eligible Comcast Employees for Compensation earned in the 2013 Plan Year, the term “Initial Election means one or more written elections provided by the Administrator and filed with the Administrator in accordance with Article 3 pursuant to which an Eligible Comcast Employee may:</w:t>
      </w:r>
    </w:p>
    <w:p>
      <w:pPr>
        <w:spacing w:after="0" w:line="140" w:lineRule="exact"/>
        <w:rPr>
          <w:rFonts w:ascii="Arial" w:cs="Arial" w:eastAsia="Arial" w:hAnsi="Arial"/>
          <w:sz w:val="18"/>
          <w:szCs w:val="18"/>
          <w:color w:val="auto"/>
        </w:rPr>
      </w:pPr>
    </w:p>
    <w:p>
      <w:pPr>
        <w:ind w:right="20" w:firstLine="1492"/>
        <w:spacing w:after="0" w:line="306" w:lineRule="auto"/>
        <w:tabs>
          <w:tab w:leader="none" w:pos="1693" w:val="left"/>
        </w:tabs>
        <w:numPr>
          <w:ilvl w:val="1"/>
          <w:numId w:val="51"/>
        </w:numPr>
        <w:rPr>
          <w:rFonts w:ascii="Arial" w:cs="Arial" w:eastAsia="Arial" w:hAnsi="Arial"/>
          <w:sz w:val="16"/>
          <w:szCs w:val="16"/>
          <w:color w:val="auto"/>
        </w:rPr>
      </w:pPr>
      <w:r>
        <w:rPr>
          <w:rFonts w:ascii="Arial" w:cs="Arial" w:eastAsia="Arial" w:hAnsi="Arial"/>
          <w:sz w:val="16"/>
          <w:szCs w:val="16"/>
          <w:color w:val="auto"/>
        </w:rPr>
        <w:t>Elect to defer any portion of the Compensation payable for the performance of services as an Eligible Employee following the time that such election is filed, provided that 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64" w:name="page65"/>
    <w:bookmarkEnd w:id="64"/>
    <w:p>
      <w:pPr>
        <w:ind w:left="1760" w:hanging="268"/>
        <w:spacing w:after="0"/>
        <w:tabs>
          <w:tab w:leader="none" w:pos="176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 the time of payment of the amount of deferred Compensation to which the Initial Election relates.</w:t>
      </w:r>
    </w:p>
    <w:p>
      <w:pPr>
        <w:spacing w:after="0" w:line="171" w:lineRule="exact"/>
        <w:rPr>
          <w:rFonts w:ascii="Arial" w:cs="Arial" w:eastAsia="Arial" w:hAnsi="Arial"/>
          <w:sz w:val="18"/>
          <w:szCs w:val="18"/>
          <w:color w:val="auto"/>
        </w:rPr>
      </w:pPr>
    </w:p>
    <w:p>
      <w:pPr>
        <w:jc w:val="both"/>
        <w:ind w:right="80" w:firstLine="921"/>
        <w:spacing w:after="0" w:line="256" w:lineRule="auto"/>
        <w:tabs>
          <w:tab w:leader="none" w:pos="115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2013 Plan Year For Eligible NBCU Employees, and Plan Years Beginning After December 31, 2013</w:t>
      </w:r>
      <w:r>
        <w:rPr>
          <w:rFonts w:ascii="Arial" w:cs="Arial" w:eastAsia="Arial" w:hAnsi="Arial"/>
          <w:sz w:val="18"/>
          <w:szCs w:val="18"/>
          <w:color w:val="auto"/>
        </w:rPr>
        <w:t>. With respect to Eligible NBCU employees for Compensation earned after December 31, 2012 and with respect to Eligible Comcast Employees for Compensation earned after December 31, 2013, the term “Initial Election” means one or more written elections provided by the Administrator and filed with the Administrator in accordance with Article 3 pursuant to which an Eligible Employee may:</w:t>
      </w:r>
    </w:p>
    <w:p>
      <w:pPr>
        <w:spacing w:after="0" w:line="143" w:lineRule="exact"/>
        <w:rPr>
          <w:rFonts w:ascii="Arial" w:cs="Arial" w:eastAsia="Arial" w:hAnsi="Arial"/>
          <w:sz w:val="18"/>
          <w:szCs w:val="18"/>
          <w:color w:val="auto"/>
        </w:rPr>
      </w:pPr>
    </w:p>
    <w:p>
      <w:pPr>
        <w:ind w:right="360" w:firstLine="1492"/>
        <w:spacing w:after="0" w:line="268" w:lineRule="auto"/>
        <w:tabs>
          <w:tab w:leader="none" w:pos="1693"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Subject to the limitations described in Section 2.32(c)(iii), elect to defer Compensation payable for the performance of services as an Eligible Employee following the time that such election is filed; and</w:t>
      </w:r>
    </w:p>
    <w:p>
      <w:pPr>
        <w:spacing w:after="0" w:line="132" w:lineRule="exact"/>
        <w:rPr>
          <w:sz w:val="20"/>
          <w:szCs w:val="20"/>
          <w:color w:val="auto"/>
        </w:rPr>
      </w:pPr>
    </w:p>
    <w:p>
      <w:pPr>
        <w:ind w:left="1760" w:hanging="268"/>
        <w:spacing w:after="0"/>
        <w:tabs>
          <w:tab w:leader="none" w:pos="1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rFonts w:ascii="Arial" w:cs="Arial" w:eastAsia="Arial" w:hAnsi="Arial"/>
          <w:sz w:val="18"/>
          <w:szCs w:val="18"/>
          <w:color w:val="auto"/>
        </w:rPr>
      </w:pPr>
    </w:p>
    <w:p>
      <w:pPr>
        <w:ind w:right="60" w:firstLine="1492"/>
        <w:spacing w:after="0" w:line="332" w:lineRule="auto"/>
        <w:tabs>
          <w:tab w:leader="none" w:pos="1791" w:val="left"/>
        </w:tabs>
        <w:numPr>
          <w:ilvl w:val="0"/>
          <w:numId w:val="54"/>
        </w:numPr>
        <w:rPr>
          <w:rFonts w:ascii="Arial" w:cs="Arial" w:eastAsia="Arial" w:hAnsi="Arial"/>
          <w:sz w:val="16"/>
          <w:szCs w:val="16"/>
          <w:color w:val="auto"/>
        </w:rPr>
      </w:pPr>
      <w:r>
        <w:rPr>
          <w:rFonts w:ascii="Arial" w:cs="Arial" w:eastAsia="Arial" w:hAnsi="Arial"/>
          <w:sz w:val="16"/>
          <w:szCs w:val="16"/>
          <w:color w:val="auto"/>
        </w:rPr>
        <w:t>Effective for Eligible NBCU Employees with respect to Compensation earned after December 31, 2012, and with respect to all Eligible Employees with respect to Compensation earned after December 31, 2013, the following rules shall apply to Initial Elections:</w:t>
      </w:r>
    </w:p>
    <w:p>
      <w:pPr>
        <w:spacing w:after="0" w:line="85" w:lineRule="exact"/>
        <w:rPr>
          <w:rFonts w:ascii="Arial" w:cs="Arial" w:eastAsia="Arial" w:hAnsi="Arial"/>
          <w:sz w:val="16"/>
          <w:szCs w:val="16"/>
          <w:color w:val="auto"/>
        </w:rPr>
      </w:pPr>
    </w:p>
    <w:p>
      <w:pPr>
        <w:ind w:right="60" w:firstLine="1948"/>
        <w:spacing w:after="0" w:line="256" w:lineRule="auto"/>
        <w:tabs>
          <w:tab w:leader="none" w:pos="22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Subject to the limits on deferrals of Compensation described in Section 2.32(iii)(B) and Section 2.32(iii)(C), (x) the maximum amount of base salary available for deferral shall be determined net of required withholdings and deductions as determined by the Administrator in its sole discretion, but shall in no event be less than 85% of the Participant’s base salary and (y) the maximum amount of a Signing Bonus available for deferral pursuant to an Initial Election shall not exceed 50%.</w:t>
      </w:r>
    </w:p>
    <w:p>
      <w:pPr>
        <w:spacing w:after="0" w:line="143" w:lineRule="exact"/>
        <w:rPr>
          <w:rFonts w:ascii="Arial" w:cs="Arial" w:eastAsia="Arial" w:hAnsi="Arial"/>
          <w:sz w:val="18"/>
          <w:szCs w:val="18"/>
          <w:color w:val="auto"/>
        </w:rPr>
      </w:pPr>
    </w:p>
    <w:p>
      <w:pPr>
        <w:ind w:left="2220" w:hanging="272"/>
        <w:spacing w:after="0"/>
        <w:tabs>
          <w:tab w:leader="none" w:pos="22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maximum amount subject to Initial Elections for any Plan Year shall not exceed 35% of Total Compensation.</w:t>
      </w:r>
    </w:p>
    <w:p>
      <w:pPr>
        <w:spacing w:after="0" w:line="171" w:lineRule="exact"/>
        <w:rPr>
          <w:rFonts w:ascii="Arial" w:cs="Arial" w:eastAsia="Arial" w:hAnsi="Arial"/>
          <w:sz w:val="18"/>
          <w:szCs w:val="18"/>
          <w:color w:val="auto"/>
        </w:rPr>
      </w:pPr>
    </w:p>
    <w:p>
      <w:pPr>
        <w:ind w:firstLine="1948"/>
        <w:spacing w:after="0" w:line="298" w:lineRule="auto"/>
        <w:tabs>
          <w:tab w:leader="none" w:pos="2218" w:val="left"/>
        </w:tabs>
        <w:numPr>
          <w:ilvl w:val="1"/>
          <w:numId w:val="54"/>
        </w:numPr>
        <w:rPr>
          <w:rFonts w:ascii="Arial" w:cs="Arial" w:eastAsia="Arial" w:hAnsi="Arial"/>
          <w:sz w:val="16"/>
          <w:szCs w:val="16"/>
          <w:color w:val="auto"/>
        </w:rPr>
      </w:pPr>
      <w:r>
        <w:rPr>
          <w:rFonts w:ascii="Arial" w:cs="Arial" w:eastAsia="Arial" w:hAnsi="Arial"/>
          <w:sz w:val="16"/>
          <w:szCs w:val="16"/>
          <w:color w:val="auto"/>
        </w:rPr>
        <w:t>No Initial Election with respect to Compensation expected to be earned in a Plan Year shall be effective if the sum of (x) the value of the Eligible Employee’s Account in the Plan, plus (y) the value of the Eligible Employee’s Account in the Prior Plan, plus (z) the value of the Eligible Employee’s Account in the Comcast Corporation 2002 Restricted Stock Plan (or any successor plan) to the extent such Account is credited to the “Income Fund” thereunder, exceeds the Contribution Limit with respect to such Plan Year, determined as of September 30</w:t>
      </w:r>
      <w:r>
        <w:rPr>
          <w:rFonts w:ascii="Arial" w:cs="Arial" w:eastAsia="Arial" w:hAnsi="Arial"/>
          <w:sz w:val="10"/>
          <w:szCs w:val="10"/>
          <w:color w:val="auto"/>
        </w:rPr>
        <w:t>th</w:t>
      </w:r>
      <w:r>
        <w:rPr>
          <w:rFonts w:ascii="Arial" w:cs="Arial" w:eastAsia="Arial" w:hAnsi="Arial"/>
          <w:sz w:val="16"/>
          <w:szCs w:val="16"/>
          <w:color w:val="auto"/>
        </w:rPr>
        <w:t xml:space="preserve"> immediately preceding such Plan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NBCUniversal</w:t>
      </w:r>
      <w:r>
        <w:rPr>
          <w:rFonts w:ascii="Arial" w:cs="Arial" w:eastAsia="Arial" w:hAnsi="Arial"/>
          <w:sz w:val="18"/>
          <w:szCs w:val="18"/>
          <w:color w:val="auto"/>
        </w:rPr>
        <w:t>” means NBCUniversal, LLC and its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Effective before January 1, 2014, and except as provided in Section 2.34(d), each employee of a Participating Company other than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NBCUniversal:</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65" w:name="page66"/>
    <w:bookmarkEnd w:id="65"/>
    <w:p>
      <w:pPr>
        <w:ind w:left="1700" w:hanging="208"/>
        <w:spacing w:after="0"/>
        <w:tabs>
          <w:tab w:leader="none" w:pos="1700" w:val="left"/>
        </w:tabs>
        <w:numPr>
          <w:ilvl w:val="1"/>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becomes an employee of a Participating Company and has an Annual Rate of Pay of $200,000 or more as of his employment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commencement date, or</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1"/>
          <w:numId w:val="56"/>
        </w:numPr>
        <w:rPr>
          <w:rFonts w:ascii="Arial" w:cs="Arial" w:eastAsia="Arial" w:hAnsi="Arial"/>
          <w:sz w:val="15"/>
          <w:szCs w:val="15"/>
          <w:color w:val="auto"/>
        </w:rPr>
      </w:pPr>
      <w:r>
        <w:rPr>
          <w:rFonts w:ascii="Arial" w:cs="Arial" w:eastAsia="Arial" w:hAnsi="Arial"/>
          <w:sz w:val="15"/>
          <w:szCs w:val="15"/>
          <w:color w:val="auto"/>
        </w:rPr>
        <w:t>who has an Annual Rate of Pay that is increased to $200,000 or more and who, immediately preceding such increase, was not an Eligible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Employee.</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Effective after December 31, 2013, and except as provided in Section 2.34(d), each employee of a Participating Company other than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NBCUniversal:</w:t>
      </w:r>
    </w:p>
    <w:p>
      <w:pPr>
        <w:spacing w:after="0" w:line="164" w:lineRule="exact"/>
        <w:rPr>
          <w:rFonts w:ascii="Arial" w:cs="Arial" w:eastAsia="Arial" w:hAnsi="Arial"/>
          <w:sz w:val="16"/>
          <w:szCs w:val="16"/>
          <w:color w:val="auto"/>
        </w:rPr>
      </w:pPr>
    </w:p>
    <w:p>
      <w:pPr>
        <w:ind w:left="1700" w:hanging="208"/>
        <w:spacing w:after="0"/>
        <w:tabs>
          <w:tab w:leader="none" w:pos="17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who becomes an employee of a Participating Company and has an Annual Rate of Pay of $250,000 or more as of his employment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commencement date, or</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1"/>
          <w:numId w:val="57"/>
        </w:numPr>
        <w:rPr>
          <w:rFonts w:ascii="Arial" w:cs="Arial" w:eastAsia="Arial" w:hAnsi="Arial"/>
          <w:sz w:val="15"/>
          <w:szCs w:val="15"/>
          <w:color w:val="auto"/>
        </w:rPr>
      </w:pPr>
      <w:r>
        <w:rPr>
          <w:rFonts w:ascii="Arial" w:cs="Arial" w:eastAsia="Arial" w:hAnsi="Arial"/>
          <w:sz w:val="15"/>
          <w:szCs w:val="15"/>
          <w:color w:val="auto"/>
        </w:rPr>
        <w:t>who has an Annual Rate of Pay that is increased to $250,000 or more and who, immediately preceding such increase, was not an Eligible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Employee.</w:t>
      </w:r>
    </w:p>
    <w:p>
      <w:pPr>
        <w:spacing w:after="0" w:line="164" w:lineRule="exact"/>
        <w:rPr>
          <w:rFonts w:ascii="Arial" w:cs="Arial" w:eastAsia="Arial" w:hAnsi="Arial"/>
          <w:sz w:val="15"/>
          <w:szCs w:val="15"/>
          <w:color w:val="auto"/>
        </w:rPr>
      </w:pPr>
    </w:p>
    <w:p>
      <w:pPr>
        <w:ind w:right="180" w:firstLine="921"/>
        <w:spacing w:after="0" w:line="268"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employee of NBCUniversal who first becomes a member of the NBCUniversal Operating Committee and approved by the Administrator during a Plan Year and who, immediately preceding the effective date of such membership, was not an Eligible Employee.</w:t>
      </w:r>
    </w:p>
    <w:p>
      <w:pPr>
        <w:spacing w:after="0" w:line="131"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Section 2.34(a), (b) or (c) to the contrary, no employee shall be treated as a New Key Employee with respect to any Plan Year under this Section 2.34 if:</w:t>
      </w:r>
    </w:p>
    <w:p>
      <w:pPr>
        <w:spacing w:after="0" w:line="131" w:lineRule="exact"/>
        <w:rPr>
          <w:rFonts w:ascii="Arial" w:cs="Arial" w:eastAsia="Arial" w:hAnsi="Arial"/>
          <w:sz w:val="18"/>
          <w:szCs w:val="18"/>
          <w:color w:val="auto"/>
        </w:rPr>
      </w:pPr>
    </w:p>
    <w:p>
      <w:pPr>
        <w:ind w:right="40" w:firstLine="1492"/>
        <w:spacing w:after="0" w:line="332" w:lineRule="auto"/>
        <w:tabs>
          <w:tab w:leader="none" w:pos="1693" w:val="left"/>
        </w:tabs>
        <w:numPr>
          <w:ilvl w:val="1"/>
          <w:numId w:val="57"/>
        </w:numPr>
        <w:rPr>
          <w:rFonts w:ascii="Arial" w:cs="Arial" w:eastAsia="Arial" w:hAnsi="Arial"/>
          <w:sz w:val="16"/>
          <w:szCs w:val="16"/>
          <w:color w:val="auto"/>
        </w:rPr>
      </w:pPr>
      <w:r>
        <w:rPr>
          <w:rFonts w:ascii="Arial" w:cs="Arial" w:eastAsia="Arial" w:hAnsi="Arial"/>
          <w:sz w:val="16"/>
          <w:szCs w:val="16"/>
          <w:color w:val="auto"/>
        </w:rPr>
        <w:t>Such employee was eligible to participate in another plan sponsored by the Company or an Affiliate of the Company which is considered to be of a similar type as defined in Treasury Regulation Section 1.409A -1(c)(2)(i)(A) or (B) with respect to such Plan Year; or</w:t>
      </w:r>
    </w:p>
    <w:p>
      <w:pPr>
        <w:spacing w:after="0" w:line="85" w:lineRule="exact"/>
        <w:rPr>
          <w:rFonts w:ascii="Arial" w:cs="Arial" w:eastAsia="Arial" w:hAnsi="Arial"/>
          <w:sz w:val="16"/>
          <w:szCs w:val="16"/>
          <w:color w:val="auto"/>
        </w:rPr>
      </w:pPr>
    </w:p>
    <w:p>
      <w:pPr>
        <w:jc w:val="both"/>
        <w:ind w:right="160" w:firstLine="1492"/>
        <w:spacing w:after="0" w:line="259" w:lineRule="auto"/>
        <w:tabs>
          <w:tab w:leader="none" w:pos="1742"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Such employee has been eligible to participate in the Plan or any other plan referenced in Section 2.34(d)(i) (other than with respect to the accrual of earnings) at any time during the 24-month period ending on the date such employee would, but for this Section 2.34(d), otherwise become a New Key Employee.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171" w:lineRule="exact"/>
        <w:rPr>
          <w:sz w:val="20"/>
          <w:szCs w:val="20"/>
          <w:color w:val="auto"/>
        </w:rPr>
      </w:pPr>
    </w:p>
    <w:p>
      <w:pPr>
        <w:ind w:right="540" w:firstLine="921"/>
        <w:spacing w:after="0" w:line="332" w:lineRule="auto"/>
        <w:tabs>
          <w:tab w:leader="none" w:pos="11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85"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 Participant who is an Outside Director or Director Emeritus immediately preceding his termination of service, the Participant’s normal retirement from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66" w:name="page67"/>
    <w:bookmarkEnd w:id="66"/>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2.37.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2.38. “</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the Company and each Affiliate of the Company designated by the Administrator in which the Company owns, directly or indirectly, 50 percent or more of the voting interests or value. Notwithstanding the foregoing, the Administrator may delegate its authority to designate an eligible Affiliate as a Participating Company under this Section 2.38 to an officer of the Company or committee of two or more officers of the Company.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2.40.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2005 Deferred Compensation Plan, as set forth herein, and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Protected Account Balance</w:t>
      </w:r>
      <w:r>
        <w:rPr>
          <w:rFonts w:ascii="Arial" w:cs="Arial" w:eastAsia="Arial" w:hAnsi="Arial"/>
          <w:sz w:val="18"/>
          <w:szCs w:val="18"/>
          <w:color w:val="auto"/>
        </w:rPr>
        <w:t>” means:</w:t>
      </w:r>
    </w:p>
    <w:p>
      <w:pPr>
        <w:spacing w:after="0" w:line="171" w:lineRule="exact"/>
        <w:rPr>
          <w:sz w:val="20"/>
          <w:szCs w:val="20"/>
          <w:color w:val="auto"/>
        </w:rPr>
      </w:pPr>
    </w:p>
    <w:p>
      <w:pPr>
        <w:ind w:right="220" w:firstLine="921"/>
        <w:spacing w:after="0" w:line="259"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credited to the Account of an Eligible Comcast Employee, Outside Director or Director Emeritus pursuant to Initial Elections and Subsequent Elections with respect to Compensation earned before January 1, 2014 or pursuant to Company Credits described in Section 3.8 that are credited before January 1, 2014, including interest credits attributable to such amount.</w:t>
      </w:r>
    </w:p>
    <w:p>
      <w:pPr>
        <w:spacing w:after="0" w:line="140" w:lineRule="exact"/>
        <w:rPr>
          <w:rFonts w:ascii="Arial" w:cs="Arial" w:eastAsia="Arial" w:hAnsi="Arial"/>
          <w:sz w:val="18"/>
          <w:szCs w:val="18"/>
          <w:color w:val="auto"/>
        </w:rPr>
      </w:pPr>
    </w:p>
    <w:p>
      <w:pPr>
        <w:ind w:right="160" w:firstLine="921"/>
        <w:spacing w:after="0" w:line="332" w:lineRule="auto"/>
        <w:tabs>
          <w:tab w:leader="none" w:pos="11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portion of an Eligible Comcast Employee’s Account attributable to Company Credits described in Section 3.8 that are made pursuant to an employment agreement entered into on or before December 31, 2013, including interest credits attributable to such amount.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67" w:name="page68"/>
    <w:bookmarkEnd w:id="67"/>
    <w:p>
      <w:pPr>
        <w:ind w:right="40" w:firstLine="921"/>
        <w:spacing w:after="0" w:line="294" w:lineRule="auto"/>
        <w:tabs>
          <w:tab w:leader="none" w:pos="1152"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credited pursuant to Initial Elections with respect to Compensation earned on and after January 1, 2014, if, as of the September 30th immediately preceding the Plan Year to which the Initial Election applies, the sum of (i) an Eligible Comcast Employee’s Account, plus (ii) such Eligible Comcast Employee’s Account in the Prior Plan, plus (iii) such Eligible Employee’s Account in the Comcast Corporation 2002 Restricted Stock Plan (or any successor plan) to the extent such Account is credited to the “Income Fund,” does not exceed the Participant’s highest total account balance as of the last day of any calendar quarter ending during the five-consecutive-year period ending December 31, 2013, including interest credits attributable to such amount.</w:t>
      </w:r>
    </w:p>
    <w:p>
      <w:pPr>
        <w:spacing w:after="0" w:line="115" w:lineRule="exact"/>
        <w:rPr>
          <w:rFonts w:ascii="Arial" w:cs="Arial" w:eastAsia="Arial" w:hAnsi="Arial"/>
          <w:sz w:val="16"/>
          <w:szCs w:val="16"/>
          <w:color w:val="auto"/>
        </w:rPr>
      </w:pPr>
    </w:p>
    <w:p>
      <w:pPr>
        <w:ind w:right="100" w:firstLine="921"/>
        <w:spacing w:after="0" w:line="268"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credited pursuant to Subsequent Elections filed after December 31, 2013 that are attributable to any portion of an Eligible Comcast Employee’s Account described in this Section 2.46.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Signing Bonus</w:t>
      </w:r>
      <w:r>
        <w:rPr>
          <w:rFonts w:ascii="Arial" w:cs="Arial" w:eastAsia="Arial" w:hAnsi="Arial"/>
          <w:sz w:val="18"/>
          <w:szCs w:val="18"/>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2.51.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Total Compensation</w:t>
      </w:r>
      <w:r>
        <w:rPr>
          <w:rFonts w:ascii="Arial" w:cs="Arial" w:eastAsia="Arial" w:hAnsi="Arial"/>
          <w:sz w:val="18"/>
          <w:szCs w:val="18"/>
          <w:color w:val="auto"/>
        </w:rPr>
        <w:t>” means, for any Plan Year, the sum of an Eligible Employee’s Annual Rate of Pay, plus Company Credits described in Section 3.8, plus any target bonus amount under an annual cash bonus award, plus the grant date value (for Eligible Comcast Employees) or the target value (for Eligible NBCU Employees) of any annual long-term incentive award granted in the immediately preceding Plan Year, all as determined by the Administrator in its sole discretion, as of the September 30th immediately preceding the Plan Year. For the purpose of determining Total Compensation under the Plan, the Administrator, in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68" w:name="page69"/>
    <w:bookmarkEnd w:id="68"/>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8" w:lineRule="auto"/>
        <w:tabs>
          <w:tab w:leader="none" w:pos="115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Subject to any applicable limitations or restrictions on Initial Elections, each Outside Director, Director Emeritus and Eligible Employee shall have the right to defer Compensation by filing an Initial Election with respect to Compensation that he would otherwise be entitled to receive for a calendar year at the time and in the manner described in this Article 3. The Compensation of such Outside Director, Director Emeritus or Eligible Employee for a calendar year shall be reduced in an amount equal to the portion of the Compensation deferred by such Outside Director, Director Emeritus or Eligible Employee for such calendar year pursuant to such Outside Director’s, Director Emeritus’s or Eligible Employee’s Initial Election. Such reduction shall be effected on a pro rata basis from each periodic installment payment of such Outside Director’s, Director Emeritus’s or Eligible Employee’s Compensation for the calendar year (in accordance with the general pay practices of the Participating Company), and credited, as a bookkeeping entry, to such Outside Director’s, Director Emeritus’s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19" w:lineRule="exact"/>
        <w:rPr>
          <w:rFonts w:ascii="Arial" w:cs="Arial" w:eastAsia="Arial" w:hAnsi="Arial"/>
          <w:sz w:val="16"/>
          <w:szCs w:val="16"/>
          <w:color w:val="auto"/>
        </w:rPr>
      </w:pPr>
    </w:p>
    <w:p>
      <w:pPr>
        <w:ind w:right="540" w:firstLine="921"/>
        <w:spacing w:after="0" w:line="259" w:lineRule="auto"/>
        <w:tabs>
          <w:tab w:leader="none" w:pos="116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171" w:lineRule="exact"/>
        <w:rPr>
          <w:sz w:val="20"/>
          <w:szCs w:val="20"/>
          <w:color w:val="auto"/>
        </w:rPr>
      </w:pPr>
    </w:p>
    <w:p>
      <w:pPr>
        <w:ind w:right="340" w:firstLine="921"/>
        <w:spacing w:after="0" w:line="268" w:lineRule="auto"/>
        <w:tabs>
          <w:tab w:leader="none" w:pos="115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New Key Employees</w:t>
      </w:r>
      <w:r>
        <w:rPr>
          <w:rFonts w:ascii="Arial" w:cs="Arial" w:eastAsia="Arial" w:hAnsi="Arial"/>
          <w:sz w:val="18"/>
          <w:szCs w:val="18"/>
          <w:color w:val="auto"/>
        </w:rPr>
        <w:t>. Notwithstanding Section 3.1 and Section 3.2, a New Key Employee may file an Initial Election to defer Compensation payable for services to be performed after the date of such Initial Election. An Initial Election must be filed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69" w:name="page70"/>
    <w:bookmarkEnd w:id="69"/>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Administrator within 30 days of the date such New Key Employee first becomes eligible to participate in the Plan. An Initial Election by such New Key Employee for succeeding calendar years may be made in accordance with Section 3.1 and Section 3.2.</w:t>
      </w:r>
    </w:p>
    <w:p>
      <w:pPr>
        <w:spacing w:after="0" w:line="132" w:lineRule="exact"/>
        <w:rPr>
          <w:sz w:val="20"/>
          <w:szCs w:val="20"/>
          <w:color w:val="auto"/>
        </w:rPr>
      </w:pPr>
    </w:p>
    <w:p>
      <w:pPr>
        <w:ind w:right="100" w:firstLine="921"/>
        <w:spacing w:after="0" w:line="291" w:lineRule="auto"/>
        <w:tabs>
          <w:tab w:leader="none" w:pos="116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56" w:lineRule="auto"/>
        <w:tabs>
          <w:tab w:leader="none" w:pos="115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Separate Initial Elections for Each Calendar Year</w:t>
      </w:r>
      <w:r>
        <w:rPr>
          <w:rFonts w:ascii="Arial" w:cs="Arial" w:eastAsia="Arial" w:hAnsi="Arial"/>
          <w:sz w:val="18"/>
          <w:szCs w:val="18"/>
          <w:color w:val="auto"/>
        </w:rPr>
        <w:t>. A separate Initial Election may be made for each calendar year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shall not affect such Outside Director’s or Eligible Employee’s right to make an Initial Election for any other calendar year.</w:t>
      </w:r>
    </w:p>
    <w:p>
      <w:pPr>
        <w:spacing w:after="0" w:line="143" w:lineRule="exact"/>
        <w:rPr>
          <w:rFonts w:ascii="Arial" w:cs="Arial" w:eastAsia="Arial" w:hAnsi="Arial"/>
          <w:sz w:val="18"/>
          <w:szCs w:val="18"/>
          <w:color w:val="auto"/>
        </w:rPr>
      </w:pPr>
    </w:p>
    <w:p>
      <w:pPr>
        <w:ind w:firstLine="921"/>
        <w:spacing w:after="0" w:line="291" w:lineRule="auto"/>
        <w:tabs>
          <w:tab w:leader="none" w:pos="1161"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Initial Election of Distribution Date</w:t>
      </w:r>
      <w:r>
        <w:rPr>
          <w:rFonts w:ascii="Arial" w:cs="Arial" w:eastAsia="Arial" w:hAnsi="Arial"/>
          <w:sz w:val="16"/>
          <w:szCs w:val="16"/>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date the compensation subject to the Initial Election would be paid but for the Initial Election. Further, each Outside Director, Director Emeritus or Eligible Employee may select with each Initial Election the manner of distribution in accordance with Article 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such Subsequent Election is made.</w:t>
      </w:r>
    </w:p>
    <w:p>
      <w:pPr>
        <w:spacing w:after="0" w:line="194" w:lineRule="exact"/>
        <w:rPr>
          <w:sz w:val="20"/>
          <w:szCs w:val="20"/>
          <w:color w:val="auto"/>
        </w:rPr>
      </w:pPr>
    </w:p>
    <w:p>
      <w:pPr>
        <w:ind w:right="260" w:firstLine="921"/>
        <w:spacing w:after="0" w:line="298" w:lineRule="auto"/>
        <w:tabs>
          <w:tab w:leader="none" w:pos="115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70" w:name="page71"/>
    <w:bookmarkEnd w:id="70"/>
    <w:p>
      <w:pPr>
        <w:ind w:left="-60" w:firstLine="921"/>
        <w:spacing w:after="0" w:line="255" w:lineRule="auto"/>
        <w:tabs>
          <w:tab w:leader="none" w:pos="110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142" w:lineRule="exact"/>
        <w:rPr>
          <w:rFonts w:ascii="Arial" w:cs="Arial" w:eastAsia="Arial" w:hAnsi="Arial"/>
          <w:sz w:val="18"/>
          <w:szCs w:val="18"/>
          <w:color w:val="auto"/>
        </w:rPr>
      </w:pPr>
    </w:p>
    <w:p>
      <w:pPr>
        <w:ind w:left="-60" w:right="20" w:firstLine="921"/>
        <w:spacing w:after="0" w:line="290" w:lineRule="auto"/>
        <w:tabs>
          <w:tab w:leader="none" w:pos="109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Surviving Spouses – Subsequent Election</w:t>
      </w:r>
      <w:r>
        <w:rPr>
          <w:rFonts w:ascii="Arial" w:cs="Arial" w:eastAsia="Arial" w:hAnsi="Arial"/>
          <w:sz w:val="16"/>
          <w:szCs w:val="16"/>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 with respect to all or any part of the Deceased Participant’s Account. Subsequent Elections pursuant to this Section 3.5(c) may specify different changes with respect to different parts of the Deceased Participant’s Account.</w:t>
      </w:r>
    </w:p>
    <w:p>
      <w:pPr>
        <w:spacing w:after="0" w:line="118" w:lineRule="exact"/>
        <w:rPr>
          <w:rFonts w:ascii="Arial" w:cs="Arial" w:eastAsia="Arial" w:hAnsi="Arial"/>
          <w:sz w:val="16"/>
          <w:szCs w:val="16"/>
          <w:color w:val="auto"/>
        </w:rPr>
      </w:pPr>
    </w:p>
    <w:p>
      <w:pPr>
        <w:ind w:left="-60" w:right="20" w:firstLine="921"/>
        <w:spacing w:after="0" w:line="291" w:lineRule="auto"/>
        <w:tabs>
          <w:tab w:leader="none" w:pos="1101"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Beneficiary of a Deceased Participant Other Than a Surviving Spouse – Subsequent Election</w:t>
      </w:r>
      <w:r>
        <w:rPr>
          <w:rFonts w:ascii="Arial" w:cs="Arial" w:eastAsia="Arial" w:hAnsi="Arial"/>
          <w:sz w:val="16"/>
          <w:szCs w:val="16"/>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 with respect to all or any part of the Deceased Participant’s Account. Subsequent Elections pursuant to this Section 3.5(d) may specify different changes with respect to different parts of the Deceased Participant’s Account.</w:t>
      </w:r>
    </w:p>
    <w:p>
      <w:pPr>
        <w:spacing w:after="0" w:line="120" w:lineRule="exact"/>
        <w:rPr>
          <w:rFonts w:ascii="Arial" w:cs="Arial" w:eastAsia="Arial" w:hAnsi="Arial"/>
          <w:sz w:val="16"/>
          <w:szCs w:val="16"/>
          <w:color w:val="auto"/>
        </w:rPr>
      </w:pPr>
    </w:p>
    <w:p>
      <w:pPr>
        <w:ind w:left="-60" w:right="40" w:firstLine="921"/>
        <w:spacing w:after="0" w:line="291" w:lineRule="auto"/>
        <w:tabs>
          <w:tab w:leader="none" w:pos="109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20" w:lineRule="exact"/>
        <w:rPr>
          <w:rFonts w:ascii="Arial" w:cs="Arial" w:eastAsia="Arial" w:hAnsi="Arial"/>
          <w:sz w:val="16"/>
          <w:szCs w:val="16"/>
          <w:color w:val="auto"/>
        </w:rPr>
      </w:pPr>
    </w:p>
    <w:p>
      <w:pPr>
        <w:ind w:left="-60" w:right="40" w:firstLine="921"/>
        <w:spacing w:after="0" w:line="268" w:lineRule="auto"/>
        <w:tabs>
          <w:tab w:leader="none" w:pos="107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Except as otherwise specifically provided by the Plan, no distribution of the amounts deferred by a Participant for any calendar year shall be made before the payment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300" w:top="280" w:right="27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designated by the Participant or Beneficiary on the most recently filed Initial Election or Subsequent Election with respect to each deferred amount.</w:t>
      </w:r>
    </w:p>
    <w:p>
      <w:pPr>
        <w:spacing w:after="0" w:line="19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171" w:lineRule="exact"/>
        <w:rPr>
          <w:sz w:val="20"/>
          <w:szCs w:val="20"/>
          <w:color w:val="auto"/>
        </w:rPr>
      </w:pPr>
    </w:p>
    <w:p>
      <w:pPr>
        <w:ind w:right="180" w:firstLine="921"/>
        <w:spacing w:after="0" w:line="298" w:lineRule="auto"/>
        <w:tabs>
          <w:tab w:leader="none" w:pos="11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112" w:lineRule="exact"/>
        <w:rPr>
          <w:rFonts w:ascii="Arial" w:cs="Arial" w:eastAsia="Arial" w:hAnsi="Arial"/>
          <w:sz w:val="16"/>
          <w:szCs w:val="16"/>
          <w:color w:val="auto"/>
        </w:rPr>
      </w:pPr>
    </w:p>
    <w:p>
      <w:pPr>
        <w:ind w:right="220" w:firstLine="921"/>
        <w:spacing w:after="0" w:line="268"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Section 409A:</w:t>
      </w:r>
    </w:p>
    <w:p>
      <w:pPr>
        <w:spacing w:after="0" w:line="131" w:lineRule="exact"/>
        <w:rPr>
          <w:rFonts w:ascii="Arial" w:cs="Arial" w:eastAsia="Arial" w:hAnsi="Arial"/>
          <w:sz w:val="18"/>
          <w:szCs w:val="18"/>
          <w:color w:val="auto"/>
        </w:rPr>
      </w:pPr>
    </w:p>
    <w:p>
      <w:pPr>
        <w:ind w:firstLine="1492"/>
        <w:spacing w:after="0" w:line="268" w:lineRule="auto"/>
        <w:tabs>
          <w:tab w:leader="none" w:pos="169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31" w:lineRule="exact"/>
        <w:rPr>
          <w:rFonts w:ascii="Arial" w:cs="Arial" w:eastAsia="Arial" w:hAnsi="Arial"/>
          <w:sz w:val="18"/>
          <w:szCs w:val="18"/>
          <w:color w:val="auto"/>
        </w:rPr>
      </w:pPr>
    </w:p>
    <w:p>
      <w:pPr>
        <w:ind w:right="120" w:firstLine="1492"/>
        <w:spacing w:after="0" w:line="268" w:lineRule="auto"/>
        <w:tabs>
          <w:tab w:leader="none" w:pos="174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31" w:lineRule="exact"/>
        <w:rPr>
          <w:rFonts w:ascii="Arial" w:cs="Arial" w:eastAsia="Arial" w:hAnsi="Arial"/>
          <w:sz w:val="18"/>
          <w:szCs w:val="18"/>
          <w:color w:val="auto"/>
        </w:rPr>
      </w:pPr>
    </w:p>
    <w:p>
      <w:pPr>
        <w:ind w:right="280" w:firstLine="1492"/>
        <w:spacing w:after="0" w:line="298" w:lineRule="auto"/>
        <w:tabs>
          <w:tab w:leader="none" w:pos="1791"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12" w:lineRule="exact"/>
        <w:rPr>
          <w:rFonts w:ascii="Arial" w:cs="Arial" w:eastAsia="Arial" w:hAnsi="Arial"/>
          <w:sz w:val="16"/>
          <w:szCs w:val="16"/>
          <w:color w:val="auto"/>
        </w:rPr>
      </w:pPr>
    </w:p>
    <w:p>
      <w:pPr>
        <w:ind w:right="140" w:firstLine="1492"/>
        <w:spacing w:after="0" w:line="306" w:lineRule="auto"/>
        <w:tabs>
          <w:tab w:leader="none" w:pos="1781"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72" w:name="page73"/>
    <w:bookmarkEnd w:id="72"/>
    <w:p>
      <w:pPr>
        <w:ind w:right="4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07" w:lineRule="exact"/>
        <w:rPr>
          <w:sz w:val="20"/>
          <w:szCs w:val="20"/>
          <w:color w:val="auto"/>
        </w:rPr>
      </w:pPr>
    </w:p>
    <w:p>
      <w:pPr>
        <w:ind w:firstLine="1492"/>
        <w:spacing w:after="0" w:line="332" w:lineRule="auto"/>
        <w:tabs>
          <w:tab w:leader="none" w:pos="1732"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85" w:lineRule="exact"/>
        <w:rPr>
          <w:rFonts w:ascii="Arial" w:cs="Arial" w:eastAsia="Arial" w:hAnsi="Arial"/>
          <w:sz w:val="16"/>
          <w:szCs w:val="16"/>
          <w:color w:val="auto"/>
        </w:rPr>
      </w:pPr>
    </w:p>
    <w:p>
      <w:pPr>
        <w:ind w:right="20" w:firstLine="1492"/>
        <w:spacing w:after="0" w:line="268" w:lineRule="auto"/>
        <w:tabs>
          <w:tab w:leader="none" w:pos="1781"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Company Credits</w:t>
      </w:r>
      <w:r>
        <w:rPr>
          <w:rFonts w:ascii="Arial" w:cs="Arial" w:eastAsia="Arial" w:hAnsi="Arial"/>
          <w:sz w:val="16"/>
          <w:szCs w:val="16"/>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Administrator, as a bookkeeping entry to such Eligible Employee’s Account in accordance with Section 5.1. From and after the date Company Credits are allocated as designated by the Administrator,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10"/>
          <w:szCs w:val="10"/>
          <w:color w:val="auto"/>
        </w:rPr>
        <w:t>nd</w:t>
      </w:r>
      <w:r>
        <w:rPr>
          <w:rFonts w:ascii="Arial" w:cs="Arial" w:eastAsia="Arial" w:hAnsi="Arial"/>
          <w:sz w:val="16"/>
          <w:szCs w:val="16"/>
          <w:color w:val="auto"/>
        </w:rPr>
        <w:t xml:space="preserve"> of the third calendar year beginning after the Plan Year with respect to which the Company Credits were authorized, unless the Participant timely designates another time and form of payment that is a permissible time and form of payment for amounts subject to an Initial Election under Section 3.4(b)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98" w:lineRule="auto"/>
        <w:tabs>
          <w:tab w:leader="none" w:pos="115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73" w:name="page74"/>
    <w:bookmarkEnd w:id="73"/>
    <w:p>
      <w:pPr>
        <w:ind w:right="60" w:firstLine="921"/>
        <w:spacing w:after="0" w:line="323" w:lineRule="auto"/>
        <w:tabs>
          <w:tab w:leader="none" w:pos="1161"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w:t>
      </w:r>
      <w:r>
        <w:rPr>
          <w:rFonts w:ascii="Arial" w:cs="Arial" w:eastAsia="Arial" w:hAnsi="Arial"/>
          <w:sz w:val="15"/>
          <w:szCs w:val="15"/>
          <w:color w:val="auto"/>
        </w:rPr>
        <w:t>. For purposes of the Plan, a transfer of an employee between two employers, each of which is a Company,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 having terminated employment until the Participant’s termination of service as a Director Emeritus.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 – MANNER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right="160" w:firstLine="8"/>
        <w:spacing w:after="0" w:line="261" w:lineRule="auto"/>
        <w:tabs>
          <w:tab w:leader="none" w:pos="2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To the extent permitted by Section 409A, notwithstanding any Initial Election, Subsequent Election or any other provision of the Plan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164" w:lineRule="exact"/>
        <w:rPr>
          <w:rFonts w:ascii="Arial" w:cs="Arial" w:eastAsia="Arial" w:hAnsi="Arial"/>
          <w:sz w:val="16"/>
          <w:szCs w:val="16"/>
          <w:color w:val="auto"/>
        </w:rPr>
      </w:pPr>
    </w:p>
    <w:p>
      <w:pPr>
        <w:ind w:right="80" w:firstLine="1492"/>
        <w:spacing w:after="0" w:line="259" w:lineRule="auto"/>
        <w:tabs>
          <w:tab w:leader="none" w:pos="1693" w:val="left"/>
        </w:tabs>
        <w:numPr>
          <w:ilvl w:val="2"/>
          <w:numId w:val="72"/>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72"/>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4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Determination of Account Balances for Purposes of Distribution</w:t>
      </w:r>
      <w:r>
        <w:rPr>
          <w:rFonts w:ascii="Arial" w:cs="Arial" w:eastAsia="Arial" w:hAnsi="Arial"/>
          <w:sz w:val="18"/>
          <w:szCs w:val="18"/>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74" w:name="page75"/>
    <w:bookmarkEnd w:id="74"/>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plan-to-plan transfers or to permit benefit elections as described in this Section 4.3 to an officer of the Company or committee of two or more officers of the Company.</w:t>
      </w:r>
    </w:p>
    <w:p>
      <w:pPr>
        <w:spacing w:after="0" w:line="132" w:lineRule="exact"/>
        <w:rPr>
          <w:sz w:val="20"/>
          <w:szCs w:val="20"/>
          <w:color w:val="auto"/>
        </w:rPr>
      </w:pPr>
    </w:p>
    <w:p>
      <w:pPr>
        <w:ind w:firstLine="921"/>
        <w:spacing w:after="0" w:line="255" w:lineRule="auto"/>
        <w:tabs>
          <w:tab w:leader="none" w:pos="11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42" w:lineRule="exact"/>
        <w:rPr>
          <w:rFonts w:ascii="Arial" w:cs="Arial" w:eastAsia="Arial" w:hAnsi="Arial"/>
          <w:sz w:val="18"/>
          <w:szCs w:val="18"/>
          <w:color w:val="auto"/>
        </w:rPr>
      </w:pPr>
    </w:p>
    <w:p>
      <w:pPr>
        <w:ind w:right="120" w:firstLine="921"/>
        <w:spacing w:after="0" w:line="294" w:lineRule="auto"/>
        <w:tabs>
          <w:tab w:leader="none" w:pos="116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 BOOK ACCOUNTS</w:t>
      </w:r>
    </w:p>
    <w:p>
      <w:pPr>
        <w:spacing w:after="0" w:line="1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Deferred Compensation Account</w:t>
      </w:r>
      <w:r>
        <w:rPr>
          <w:rFonts w:ascii="Arial" w:cs="Arial" w:eastAsia="Arial" w:hAnsi="Arial"/>
          <w:sz w:val="16"/>
          <w:szCs w:val="16"/>
          <w:color w:val="auto"/>
        </w:rPr>
        <w:t>. A Deferred Compensation Account shall be established for each Outside Director, Director Emeritus and Eligible Employee when 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171" w:lineRule="exact"/>
        <w:rPr>
          <w:sz w:val="20"/>
          <w:szCs w:val="20"/>
          <w:color w:val="auto"/>
        </w:rPr>
      </w:pPr>
    </w:p>
    <w:p>
      <w:pPr>
        <w:ind w:right="640" w:firstLine="921"/>
        <w:spacing w:after="0" w:line="268" w:lineRule="auto"/>
        <w:tabs>
          <w:tab w:leader="none" w:pos="115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131" w:lineRule="exact"/>
        <w:rPr>
          <w:rFonts w:ascii="Arial" w:cs="Arial" w:eastAsia="Arial" w:hAnsi="Arial"/>
          <w:sz w:val="18"/>
          <w:szCs w:val="18"/>
          <w:color w:val="auto"/>
        </w:rPr>
      </w:pPr>
    </w:p>
    <w:p>
      <w:pPr>
        <w:jc w:val="both"/>
        <w:ind w:right="40" w:firstLine="921"/>
        <w:spacing w:after="0" w:line="259" w:lineRule="auto"/>
        <w:tabs>
          <w:tab w:leader="none" w:pos="116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40" w:lineRule="exact"/>
        <w:rPr>
          <w:rFonts w:ascii="Arial" w:cs="Arial" w:eastAsia="Arial" w:hAnsi="Arial"/>
          <w:sz w:val="18"/>
          <w:szCs w:val="18"/>
          <w:color w:val="auto"/>
        </w:rPr>
      </w:pPr>
    </w:p>
    <w:p>
      <w:pPr>
        <w:ind w:right="220" w:firstLine="921"/>
        <w:spacing w:after="0" w:line="259" w:lineRule="auto"/>
        <w:tabs>
          <w:tab w:leader="none" w:pos="115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75" w:name="page76"/>
    <w:bookmarkEnd w:id="75"/>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credited to the Company Stock Fund with respect to Outside Directors’ Accounts shall be distributable in the form of Company Stock, rounded to the nearest whole share.</w:t>
      </w:r>
    </w:p>
    <w:p>
      <w:pPr>
        <w:spacing w:after="0" w:line="132" w:lineRule="exact"/>
        <w:rPr>
          <w:sz w:val="20"/>
          <w:szCs w:val="20"/>
          <w:color w:val="auto"/>
        </w:rPr>
      </w:pPr>
    </w:p>
    <w:p>
      <w:pPr>
        <w:ind w:firstLine="921"/>
        <w:spacing w:after="0" w:line="289" w:lineRule="auto"/>
        <w:tabs>
          <w:tab w:leader="none" w:pos="116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Non-Alienation</w:t>
      </w:r>
      <w:r>
        <w:rPr>
          <w:rFonts w:ascii="Arial" w:cs="Arial" w:eastAsia="Arial" w:hAnsi="Arial"/>
          <w:sz w:val="18"/>
          <w:szCs w:val="18"/>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Domestic Relations Orders</w:t>
      </w:r>
      <w:r>
        <w:rPr>
          <w:rFonts w:ascii="Arial" w:cs="Arial" w:eastAsia="Arial" w:hAnsi="Arial"/>
          <w:sz w:val="18"/>
          <w:szCs w:val="18"/>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soon as administratively practicable following the determination that the Domestic Relations Order meets the conditions for approval.</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Payee Designation</w:t>
      </w:r>
      <w:r>
        <w:rPr>
          <w:rFonts w:ascii="Arial" w:cs="Arial" w:eastAsia="Arial" w:hAnsi="Arial"/>
          <w:sz w:val="18"/>
          <w:szCs w:val="18"/>
          <w:color w:val="auto"/>
        </w:rPr>
        <w:t>.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 DEATH OF PARTICIPANT</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defer the time of payment pursuant to Section 3.5.</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Participant’s request, the Committee determines that the Participant has incurred a Hardship, the Board may, in its discretion, authorize the immediate distribution of all or any portion of the Participant’s Account.</w:t>
      </w:r>
    </w:p>
    <w:p>
      <w:pPr>
        <w:spacing w:after="0" w:line="8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132" w:lineRule="exact"/>
        <w:rPr>
          <w:sz w:val="20"/>
          <w:szCs w:val="20"/>
          <w:color w:val="auto"/>
        </w:rPr>
      </w:pPr>
    </w:p>
    <w:p>
      <w:pPr>
        <w:ind w:right="420" w:firstLine="921"/>
        <w:spacing w:after="0" w:line="268" w:lineRule="auto"/>
        <w:tabs>
          <w:tab w:leader="none" w:pos="11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77" w:name="page78"/>
    <w:bookmarkEnd w:id="77"/>
    <w:p>
      <w:pPr>
        <w:ind w:left="1160" w:hanging="239"/>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necessary to comply with laws relating to avoidance of conflicts of interest, as provided in Treasury Regulation section 1.409A-3(j)</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(4)(iii) (or any successor provision of law).</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194" w:lineRule="exact"/>
        <w:rPr>
          <w:rFonts w:ascii="Arial" w:cs="Arial" w:eastAsia="Arial" w:hAnsi="Arial"/>
          <w:sz w:val="16"/>
          <w:szCs w:val="16"/>
          <w:color w:val="auto"/>
        </w:rPr>
      </w:pPr>
    </w:p>
    <w:p>
      <w:pPr>
        <w:ind w:right="700" w:firstLine="921"/>
        <w:spacing w:after="0" w:line="268"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pay state, local or foreign taxes to the extent permitted by Treasury Regulation section 1.409A-3(j)(4)(xi) (or any successor provision of law).</w:t>
      </w:r>
    </w:p>
    <w:p>
      <w:pPr>
        <w:spacing w:after="0" w:line="194" w:lineRule="exact"/>
        <w:rPr>
          <w:rFonts w:ascii="Arial" w:cs="Arial" w:eastAsia="Arial" w:hAnsi="Arial"/>
          <w:sz w:val="16"/>
          <w:szCs w:val="16"/>
          <w:color w:val="auto"/>
        </w:rPr>
      </w:pPr>
    </w:p>
    <w:p>
      <w:pPr>
        <w:ind w:right="20" w:firstLine="921"/>
        <w:spacing w:after="0" w:line="259" w:lineRule="auto"/>
        <w:tabs>
          <w:tab w:leader="none" w:pos="11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connection with a bona fide dispute as to a Participant’s right to payment, to the extent permitted by Treasury Regulation section 1.409A-3(j)</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(4)(xiv) (or any successor provision of law).</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32" w:lineRule="exact"/>
        <w:rPr>
          <w:sz w:val="20"/>
          <w:szCs w:val="20"/>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78" w:name="page79"/>
    <w:bookmarkEnd w:id="7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 – WITHHOLDING OF TAXES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original effective date of the Plan is January 1, 2005.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80" w:name="page81"/>
    <w:bookmarkEnd w:id="8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COMCAST CORPORATION has caused this Plan to be executed by its officers thereunto duly authorized, and its corporate seal to be affixed hereto, on the 14th day of May, 2013.</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24"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280" w:right="49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77"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31, 2013</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1)"/>
      <w:numFmt w:val="lowerLetter"/>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1)"/>
      <w:numFmt w:val="lowerLetter"/>
      <w:start w:val="2"/>
    </w:lvl>
    <w:lvl w:ilvl="1">
      <w:lvlJc w:val="left"/>
      <w:lvlText w:val="•"/>
      <w:numFmt w:val="bullet"/>
      <w:start w:val="1"/>
    </w:lvl>
  </w:abstractNum>
  <w:abstractNum w:abstractNumId="8">
    <w:nsid w:val="57E4CCAF"/>
    <w:multiLevelType w:val="hybridMultilevel"/>
    <w:lvl w:ilvl="0">
      <w:lvlJc w:val="left"/>
      <w:lvlText w:val="(%1)"/>
      <w:numFmt w:val="lowerLetter"/>
      <w:start w:val="1"/>
    </w:lvl>
  </w:abstractNum>
  <w:abstractNum w:abstractNumId="9">
    <w:nsid w:val="7A6D8D3C"/>
    <w:multiLevelType w:val="hybridMultilevel"/>
    <w:lvl w:ilvl="0">
      <w:lvlJc w:val="left"/>
      <w:lvlText w:val="%1"/>
      <w:numFmt w:val="decimal"/>
      <w:start w:val="31"/>
    </w:lvl>
  </w:abstractNum>
  <w:abstractNum w:abstractNumId="10">
    <w:nsid w:val="4B588F54"/>
    <w:multiLevelType w:val="hybridMultilevel"/>
    <w:lvl w:ilvl="0">
      <w:lvlJc w:val="left"/>
      <w:lvlText w:val="*"/>
      <w:numFmt w:val="bullet"/>
      <w:start w:val="1"/>
    </w:lvl>
    <w:lvl w:ilvl="1">
      <w:lvlJc w:val="left"/>
      <w:lvlText w:val="%2"/>
      <w:numFmt w:val="decimal"/>
      <w:start w:val="10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2"/>
    </w:lvl>
    <w:lvl w:ilvl="1">
      <w:lvlJc w:val="left"/>
      <w:lvlText w:val="(%2)"/>
      <w:numFmt w:val="lowerLetter"/>
      <w:start w:val="1"/>
    </w:lvl>
  </w:abstractNum>
  <w:abstractNum w:abstractNumId="13">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
    <w:nsid w:val="7644A45C"/>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5">
    <w:nsid w:val="32FFF9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
    <w:nsid w:val="684A481A"/>
    <w:multiLevelType w:val="hybridMultilevel"/>
    <w:lvl w:ilvl="0">
      <w:lvlJc w:val="left"/>
      <w:lvlText w:val="(%1)"/>
      <w:numFmt w:val="lowerRoman"/>
      <w:start w:val="2"/>
    </w:lvl>
  </w:abstractNum>
  <w:abstractNum w:abstractNumId="17">
    <w:nsid w:val="579478FE"/>
    <w:multiLevelType w:val="hybridMultilevel"/>
    <w:lvl w:ilvl="0">
      <w:lvlJc w:val="left"/>
      <w:lvlText w:val="(%1)"/>
      <w:numFmt w:val="lowerRoman"/>
      <w:start w:val="12"/>
    </w:lvl>
    <w:lvl w:ilvl="1">
      <w:lvlJc w:val="left"/>
      <w:lvlText w:val="(%2)"/>
      <w:numFmt w:val="upperLetter"/>
      <w:start w:val="1"/>
    </w:lvl>
  </w:abstractNum>
  <w:abstractNum w:abstractNumId="18">
    <w:nsid w:val="749ABB4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9">
    <w:nsid w:val="3DC240FB"/>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0">
    <w:nsid w:val="1BA026F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1">
    <w:nsid w:val="79A1DEAA"/>
    <w:multiLevelType w:val="hybridMultilevel"/>
    <w:lvl w:ilvl="0">
      <w:lvlJc w:val="left"/>
      <w:lvlText w:val="(%1)"/>
      <w:numFmt w:val="lowerRoman"/>
      <w:start w:val="12"/>
    </w:lvl>
    <w:lvl w:ilvl="1">
      <w:lvlJc w:val="left"/>
      <w:lvlText w:val="(%2)"/>
      <w:numFmt w:val="lowerLetter"/>
      <w:start w:val="2"/>
    </w:lvl>
    <w:lvl w:ilvl="2">
      <w:lvlJc w:val="left"/>
      <w:lvlText w:val="(%3)"/>
      <w:numFmt w:val="lowerRoman"/>
      <w:start w:val="3"/>
    </w:lvl>
  </w:abstractNum>
  <w:abstractNum w:abstractNumId="22">
    <w:nsid w:val="75C6C33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3">
    <w:nsid w:val="12E685FB"/>
    <w:multiLevelType w:val="hybridMultilevel"/>
    <w:lvl w:ilvl="0">
      <w:lvlJc w:val="left"/>
      <w:lvlText w:val="%1."/>
      <w:numFmt w:val="decimal"/>
      <w:start w:val="4"/>
    </w:lvl>
  </w:abstractNum>
  <w:abstractNum w:abstractNumId="24">
    <w:nsid w:val="70C6A529"/>
    <w:multiLevelType w:val="hybridMultilevel"/>
    <w:lvl w:ilvl="0">
      <w:lvlJc w:val="left"/>
      <w:lvlText w:val="%1."/>
      <w:numFmt w:val="decimal"/>
      <w:start w:val="5"/>
    </w:lvl>
  </w:abstractNum>
  <w:abstractNum w:abstractNumId="25">
    <w:nsid w:val="520EEDD1"/>
    <w:multiLevelType w:val="hybridMultilevel"/>
    <w:lvl w:ilvl="0">
      <w:lvlJc w:val="left"/>
      <w:lvlText w:val="%1."/>
      <w:numFmt w:val="decimal"/>
      <w:start w:val="6"/>
    </w:lvl>
  </w:abstractNum>
  <w:abstractNum w:abstractNumId="26">
    <w:nsid w:val="374A3FE6"/>
    <w:multiLevelType w:val="hybridMultilevel"/>
    <w:lvl w:ilvl="0">
      <w:lvlJc w:val="left"/>
      <w:lvlText w:val="%1."/>
      <w:numFmt w:val="decimal"/>
      <w:start w:val="7"/>
    </w:lvl>
  </w:abstractNum>
  <w:abstractNum w:abstractNumId="27">
    <w:nsid w:val="4F4EF005"/>
    <w:multiLevelType w:val="hybridMultilevel"/>
    <w:lvl w:ilvl="0">
      <w:lvlJc w:val="left"/>
      <w:lvlText w:val="%1."/>
      <w:numFmt w:val="decimal"/>
      <w:start w:val="8"/>
    </w:lvl>
  </w:abstractNum>
  <w:abstractNum w:abstractNumId="28">
    <w:nsid w:val="23F9C13C"/>
    <w:multiLevelType w:val="hybridMultilevel"/>
    <w:lvl w:ilvl="0">
      <w:lvlJc w:val="left"/>
      <w:lvlText w:val="1"/>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
    <w:nsid w:val="39386575"/>
    <w:multiLevelType w:val="hybridMultilevel"/>
    <w:lvl w:ilvl="0">
      <w:lvlJc w:val="left"/>
      <w:lvlText w:val="%1"/>
      <w:numFmt w:val="lowerLetter"/>
      <w:start w:val="1"/>
    </w:lvl>
    <w:lvl w:ilvl="1">
      <w:lvlJc w:val="left"/>
      <w:lvlText w:val="(%2)"/>
      <w:numFmt w:val="upperLetter"/>
      <w:start w:val="2"/>
    </w:lvl>
  </w:abstractNum>
  <w:abstractNum w:abstractNumId="32">
    <w:nsid w:val="1CF10FD8"/>
    <w:multiLevelType w:val="hybridMultilevel"/>
    <w:lvl w:ilvl="0">
      <w:lvlJc w:val="left"/>
      <w:lvlText w:val="(%1)"/>
      <w:numFmt w:val="lowerLetter"/>
      <w:start w:val="2"/>
    </w:lvl>
    <w:lvl w:ilvl="1">
      <w:lvlJc w:val="left"/>
      <w:lvlText w:val="%2"/>
      <w:numFmt w:val="upperLetter"/>
      <w:start w:val="1"/>
    </w:lvl>
  </w:abstractNum>
  <w:abstractNum w:abstractNumId="33">
    <w:nsid w:val="180115BE"/>
    <w:multiLevelType w:val="hybridMultilevel"/>
    <w:lvl w:ilvl="0">
      <w:lvlJc w:val="left"/>
      <w:lvlText w:val="%1"/>
      <w:numFmt w:val="lowerRoman"/>
      <w:start w:val="1"/>
    </w:lvl>
    <w:lvl w:ilvl="1">
      <w:lvlJc w:val="left"/>
      <w:lvlText w:val="(%2)"/>
      <w:numFmt w:val="lowerLetter"/>
      <w:start w:val="1"/>
    </w:lvl>
  </w:abstractNum>
  <w:abstractNum w:abstractNumId="34">
    <w:nsid w:val="235BA861"/>
    <w:multiLevelType w:val="hybridMultilevel"/>
    <w:lvl w:ilvl="0">
      <w:lvlJc w:val="left"/>
      <w:lvlText w:val="(%1)"/>
      <w:numFmt w:val="lowerRoman"/>
      <w:start w:val="2"/>
    </w:lvl>
    <w:lvl w:ilvl="1">
      <w:lvlJc w:val="left"/>
      <w:lvlText w:val="%2"/>
      <w:numFmt w:val="lowerLetter"/>
      <w:start w:val="1"/>
    </w:lvl>
  </w:abstractNum>
  <w:abstractNum w:abstractNumId="35">
    <w:nsid w:val="47398C89"/>
    <w:multiLevelType w:val="hybridMultilevel"/>
    <w:lvl w:ilvl="0">
      <w:lvlJc w:val="left"/>
      <w:lvlText w:val="(%1)"/>
      <w:numFmt w:val="lowerLetter"/>
      <w:start w:val="1"/>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1)"/>
      <w:numFmt w:val="lowerLetter"/>
      <w:start w:val="1"/>
    </w:lvl>
  </w:abstractNum>
  <w:abstractNum w:abstractNumId="38">
    <w:nsid w:val="741226BB"/>
    <w:multiLevelType w:val="hybridMultilevel"/>
    <w:lvl w:ilvl="0">
      <w:lvlJc w:val="left"/>
      <w:lvlText w:val="%1"/>
      <w:numFmt w:val="lowerLetter"/>
      <w:start w:val="1"/>
    </w:lvl>
    <w:lvl w:ilvl="1">
      <w:lvlJc w:val="left"/>
      <w:lvlText w:val="(%2)"/>
      <w:numFmt w:val="lowerLetter"/>
      <w:start w:val="1"/>
    </w:lvl>
  </w:abstractNum>
  <w:abstractNum w:abstractNumId="39">
    <w:nsid w:val="D34B6A8"/>
    <w:multiLevelType w:val="hybridMultilevel"/>
    <w:lvl w:ilvl="0">
      <w:lvlJc w:val="left"/>
      <w:lvlText w:val="(%1)"/>
      <w:numFmt w:val="lowerLetter"/>
      <w:start w:val="61"/>
    </w:lvl>
    <w:lvl w:ilvl="1">
      <w:lvlJc w:val="left"/>
      <w:lvlText w:val="(%2)"/>
      <w:numFmt w:val="lowerLetter"/>
      <w:start w:val="4"/>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lowerRoman"/>
      <w:start w:val="1"/>
    </w:lvl>
  </w:abstractNum>
  <w:abstractNum w:abstractNumId="43">
    <w:nsid w:val="7E0C57B1"/>
    <w:multiLevelType w:val="hybridMultilevel"/>
    <w:lvl w:ilvl="0">
      <w:lvlJc w:val="left"/>
      <w:lvlText w:val="%1"/>
      <w:numFmt w:val="lowerLetter"/>
      <w:start w:val="1"/>
    </w:lvl>
    <w:lvl w:ilvl="1">
      <w:lvlJc w:val="left"/>
      <w:lvlText w:val="(%2)"/>
      <w:numFmt w:val="lowerRoman"/>
      <w:start w:val="4"/>
    </w:lvl>
  </w:abstractNum>
  <w:abstractNum w:abstractNumId="44">
    <w:nsid w:val="77AE35EB"/>
    <w:multiLevelType w:val="hybridMultilevel"/>
    <w:lvl w:ilvl="0">
      <w:lvlJc w:val="left"/>
      <w:lvlText w:val="(%1)"/>
      <w:numFmt w:val="lowerLetter"/>
      <w:start w:val="3"/>
    </w:lvl>
    <w:lvl w:ilvl="1">
      <w:lvlJc w:val="left"/>
      <w:lvlText w:val="(%2)"/>
      <w:numFmt w:val="lowerRoman"/>
      <w:start w:val="1"/>
    </w:lvl>
  </w:abstractNum>
  <w:abstractNum w:abstractNumId="45">
    <w:nsid w:val="579BE4F1"/>
    <w:multiLevelType w:val="hybridMultilevel"/>
    <w:lvl w:ilvl="0">
      <w:lvlJc w:val="left"/>
      <w:lvlText w:val="(%1)"/>
      <w:numFmt w:val="lowerLetter"/>
      <w:start w:val="1"/>
    </w:lvl>
  </w:abstractNum>
  <w:abstractNum w:abstractNumId="46">
    <w:nsid w:val="310C50B3"/>
    <w:multiLevelType w:val="hybridMultilevel"/>
    <w:lvl w:ilvl="0">
      <w:lvlJc w:val="left"/>
      <w:lvlText w:val="(%1)"/>
      <w:numFmt w:val="lowerLetter"/>
      <w:start w:val="2"/>
    </w:lvl>
  </w:abstractNum>
  <w:abstractNum w:abstractNumId="47">
    <w:nsid w:val="5FF87E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8">
    <w:nsid w:val="2F305DE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49">
    <w:nsid w:val="25A70BF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0">
    <w:nsid w:val="1DBABF00"/>
    <w:multiLevelType w:val="hybridMultilevel"/>
    <w:lvl w:ilvl="0">
      <w:lvlJc w:val="left"/>
      <w:lvlText w:val="(%1)"/>
      <w:numFmt w:val="lowerLetter"/>
      <w:start w:val="1"/>
    </w:lvl>
    <w:lvl w:ilvl="1">
      <w:lvlJc w:val="left"/>
      <w:lvlText w:val="(%2)"/>
      <w:numFmt w:val="lowerRoman"/>
      <w:start w:val="1"/>
    </w:lvl>
  </w:abstractNum>
  <w:abstractNum w:abstractNumId="51">
    <w:nsid w:val="4AD084E9"/>
    <w:multiLevelType w:val="hybridMultilevel"/>
    <w:lvl w:ilvl="0">
      <w:lvlJc w:val="left"/>
      <w:lvlText w:val="%1"/>
      <w:numFmt w:val="lowerLetter"/>
      <w:start w:val="1"/>
    </w:lvl>
    <w:lvl w:ilvl="1">
      <w:lvlJc w:val="left"/>
      <w:lvlText w:val="(%2)"/>
      <w:numFmt w:val="lowerLetter"/>
      <w:start w:val="35"/>
    </w:lvl>
  </w:abstractNum>
  <w:abstractNum w:abstractNumId="52">
    <w:nsid w:val="1F48EAA1"/>
    <w:multiLevelType w:val="hybridMultilevel"/>
    <w:lvl w:ilvl="0">
      <w:lvlJc w:val="left"/>
      <w:lvlText w:val="(%1)"/>
      <w:numFmt w:val="lowerLetter"/>
      <w:start w:val="3"/>
    </w:lvl>
    <w:lvl w:ilvl="1">
      <w:lvlJc w:val="left"/>
      <w:lvlText w:val="(%2)"/>
      <w:numFmt w:val="lowerLetter"/>
      <w:start w:val="9"/>
    </w:lvl>
  </w:abstractNum>
  <w:abstractNum w:abstractNumId="53">
    <w:nsid w:val="1381823A"/>
    <w:multiLevelType w:val="hybridMultilevel"/>
    <w:lvl w:ilvl="0">
      <w:lvlJc w:val="left"/>
      <w:lvlText w:val="(%1)"/>
      <w:numFmt w:val="lowerRoman"/>
      <w:start w:val="2"/>
    </w:lvl>
    <w:lvl w:ilvl="1">
      <w:lvlJc w:val="left"/>
      <w:lvlText w:val="(%2)"/>
      <w:numFmt w:val="upperLetter"/>
      <w:start w:val="1"/>
    </w:lvl>
  </w:abstractNum>
  <w:abstractNum w:abstractNumId="54">
    <w:nsid w:val="5DB70AE5"/>
    <w:multiLevelType w:val="hybridMultilevel"/>
    <w:lvl w:ilvl="0">
      <w:lvlJc w:val="left"/>
      <w:lvlText w:val="(%1)"/>
      <w:numFmt w:val="lowerLetter"/>
      <w:start w:val="1"/>
    </w:lvl>
  </w:abstractNum>
  <w:abstractNum w:abstractNumId="55">
    <w:nsid w:val="100F8FCA"/>
    <w:multiLevelType w:val="hybridMultilevel"/>
    <w:lvl w:ilvl="0">
      <w:lvlJc w:val="left"/>
      <w:lvlText w:val="%1"/>
      <w:numFmt w:val="lowerLetter"/>
      <w:start w:val="1"/>
    </w:lvl>
    <w:lvl w:ilvl="1">
      <w:lvlJc w:val="left"/>
      <w:lvlText w:val="(%2)"/>
      <w:numFmt w:val="lowerRoman"/>
      <w:start w:val="1"/>
    </w:lvl>
  </w:abstractNum>
  <w:abstractNum w:abstractNumId="56">
    <w:nsid w:val="6590700B"/>
    <w:multiLevelType w:val="hybridMultilevel"/>
    <w:lvl w:ilvl="0">
      <w:lvlJc w:val="left"/>
      <w:lvlText w:val="(%1)"/>
      <w:numFmt w:val="lowerLetter"/>
      <w:start w:val="2"/>
    </w:lvl>
    <w:lvl w:ilvl="1">
      <w:lvlJc w:val="left"/>
      <w:lvlText w:val="(%2)"/>
      <w:numFmt w:val="lowerRoman"/>
      <w:start w:val="1"/>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1)"/>
      <w:numFmt w:val="lowerLetter"/>
      <w:start w:val="3"/>
    </w:lvl>
  </w:abstractNum>
  <w:abstractNum w:abstractNumId="60">
    <w:nsid w:val="799D0247"/>
    <w:multiLevelType w:val="hybridMultilevel"/>
    <w:lvl w:ilvl="0">
      <w:lvlJc w:val="left"/>
      <w:lvlText w:val="(%1)"/>
      <w:numFmt w:val="lowerLetter"/>
      <w:start w:val="1"/>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Letter"/>
      <w:start w:val="2"/>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2"/>
    </w:lvl>
  </w:abstractNum>
  <w:abstractNum w:abstractNumId="66">
    <w:nsid w:val="5DC79EA8"/>
    <w:multiLevelType w:val="hybridMultilevel"/>
    <w:lvl w:ilvl="0">
      <w:lvlJc w:val="left"/>
      <w:lvlText w:val="(%1)"/>
      <w:numFmt w:val="lowerLetter"/>
      <w:start w:val="1"/>
    </w:lvl>
    <w:lvl w:ilvl="1">
      <w:lvlJc w:val="left"/>
      <w:lvlText w:val="(%2)"/>
      <w:numFmt w:val="lowerRoman"/>
      <w:start w:val="1"/>
    </w:lvl>
  </w:abstractNum>
  <w:abstractNum w:abstractNumId="67">
    <w:nsid w:val="540A471C"/>
    <w:multiLevelType w:val="hybridMultilevel"/>
    <w:lvl w:ilvl="0">
      <w:lvlJc w:val="left"/>
      <w:lvlText w:val="(%1)"/>
      <w:numFmt w:val="lowerRoman"/>
      <w:start w:val="5"/>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lowerLetter"/>
      <w:start w:val="2"/>
    </w:lvl>
  </w:abstractNum>
  <w:abstractNum w:abstractNumId="70">
    <w:nsid w:val="613EFDC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1">
    <w:nsid w:val="BF72B14"/>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1)"/>
      <w:numFmt w:val="lowerLetter"/>
      <w:start w:val="4"/>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lowerLetter"/>
      <w:start w:val="2"/>
    </w:lvl>
  </w:abstractNum>
  <w:abstractNum w:abstractNumId="77">
    <w:nsid w:val="3B0FD379"/>
    <w:multiLevelType w:val="hybridMultilevel"/>
    <w:lvl w:ilvl="0">
      <w:lvlJc w:val="left"/>
      <w:lvlText w:val="(%1)"/>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2019-12-07T04:09:19Z</dcterms:created>
  <dcterms:modified xsi:type="dcterms:W3CDTF">2019-12-07T04:09:19Z</dcterms:modified>
</cp:coreProperties>
</file>