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00" w:lineRule="exact"/>
        <w:rPr>
          <w:sz w:val="24"/>
          <w:szCs w:val="24"/>
          <w:color w:val="auto"/>
        </w:rPr>
      </w:pPr>
    </w:p>
    <w:p>
      <w:pPr>
        <w:spacing w:after="0" w:line="2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blog post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RESPONSE TO NETFLIX</w:t>
      </w:r>
    </w:p>
    <w:p>
      <w:pPr>
        <w:spacing w:after="0" w:line="18" w:lineRule="exact"/>
        <w:rPr>
          <w:sz w:val="24"/>
          <w:szCs w:val="24"/>
          <w:color w:val="auto"/>
        </w:rPr>
      </w:pPr>
    </w:p>
    <w:p>
      <w:pPr>
        <w:ind w:right="3880"/>
        <w:spacing w:after="0" w:line="246" w:lineRule="auto"/>
        <w:rPr>
          <w:sz w:val="20"/>
          <w:szCs w:val="20"/>
          <w:color w:val="auto"/>
        </w:rPr>
      </w:pPr>
      <w:r>
        <w:rPr>
          <w:rFonts w:ascii="Arial" w:cs="Arial" w:eastAsia="Arial" w:hAnsi="Arial"/>
          <w:sz w:val="18"/>
          <w:szCs w:val="18"/>
          <w:color w:val="auto"/>
        </w:rPr>
        <w:t>Jennifer Khoury, Senior Vice President, Corporate and Digital Communications in Public Policy 3/24/14</w:t>
      </w:r>
    </w:p>
    <w:p>
      <w:pPr>
        <w:spacing w:after="0" w:line="224" w:lineRule="exact"/>
        <w:rPr>
          <w:sz w:val="24"/>
          <w:szCs w:val="24"/>
          <w:color w:val="auto"/>
        </w:rPr>
      </w:pPr>
    </w:p>
    <w:p>
      <w:pPr>
        <w:jc w:val="both"/>
        <w:ind w:right="120"/>
        <w:spacing w:after="0" w:line="239" w:lineRule="auto"/>
        <w:rPr>
          <w:sz w:val="20"/>
          <w:szCs w:val="20"/>
          <w:color w:val="auto"/>
        </w:rPr>
      </w:pPr>
      <w:r>
        <w:rPr>
          <w:rFonts w:ascii="Arial" w:cs="Arial" w:eastAsia="Arial" w:hAnsi="Arial"/>
          <w:sz w:val="18"/>
          <w:szCs w:val="18"/>
          <w:color w:val="auto"/>
        </w:rPr>
        <w:t>Netflix’s argument is a House of Cards. But there is no need for us to engage in a point-counterpoint with Netflix to demonstrate the continued distortions and inaccuracies on which it relies. As we and other industry observers have already noted, Netflix’s decision to reroute its Internet traffic was all about improving Netflix’s business model. While it’s understandable for Netflix to try to make all Internet users pay for its costs of doing business (as opposed to just their customers), the company should at least be honest about its cost-shifting strategy.</w:t>
      </w:r>
    </w:p>
    <w:p>
      <w:pPr>
        <w:spacing w:after="0" w:line="229" w:lineRule="exact"/>
        <w:rPr>
          <w:sz w:val="24"/>
          <w:szCs w:val="24"/>
          <w:color w:val="auto"/>
        </w:rPr>
      </w:pPr>
    </w:p>
    <w:p>
      <w:pPr>
        <w:ind w:right="20"/>
        <w:spacing w:after="0" w:line="237" w:lineRule="auto"/>
        <w:rPr>
          <w:sz w:val="20"/>
          <w:szCs w:val="20"/>
          <w:color w:val="auto"/>
        </w:rPr>
      </w:pPr>
      <w:r>
        <w:rPr>
          <w:rFonts w:ascii="Arial" w:cs="Arial" w:eastAsia="Arial" w:hAnsi="Arial"/>
          <w:sz w:val="18"/>
          <w:szCs w:val="18"/>
          <w:color w:val="auto"/>
        </w:rPr>
        <w:t>Comcast has a multiplicity of other agreements just like the one Netflix approached us to negotiate, and so has every other Internet service provider for the last two decades. And those agreements have not harmed consumers or increased costs for content providers – if anything, they have decreased the costs those providers would have paid to others. As at least one independent commentator has pointed out, it was not Comcast that was creating viewability issues for Netflix customers, it was Netflix’s commercial transit decisions that created these issues. No ISP in the country has been a stronger supporter of the Open Internet than Comcast – and we remain committed both to providing our customers with a free and open Internet and to supporting appropriate FCC rules to ensure that consumers’ access to the Internet is protected in a legally enforceable way.</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4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504825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920"/>
        <w:spacing w:after="0" w:line="246" w:lineRule="auto"/>
        <w:rPr>
          <w:sz w:val="20"/>
          <w:szCs w:val="20"/>
          <w:color w:val="auto"/>
        </w:rPr>
      </w:pPr>
      <w:r>
        <w:rPr>
          <w:rFonts w:ascii="Arial" w:cs="Arial" w:eastAsia="Arial" w:hAnsi="Arial"/>
          <w:sz w:val="18"/>
          <w:szCs w:val="18"/>
          <w:color w:val="auto"/>
        </w:rPr>
        <w:t>of charge on Time Warner Cable’s website at http://ir.timewarnercable.com or by contacting Time Warner Cable’s Investor Relations Department at 877-446-3689.</w:t>
      </w:r>
    </w:p>
    <w:p>
      <w:pPr>
        <w:spacing w:after="0" w:line="2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511810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9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2019-12-16T11:27:24Z</dcterms:created>
  <dcterms:modified xsi:type="dcterms:W3CDTF">2019-12-16T11:27:24Z</dcterms:modified>
</cp:coreProperties>
</file>