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00"/>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FORM 10-Q</w:t>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191" w:lineRule="exact"/>
        <w:rPr>
          <w:sz w:val="24"/>
          <w:szCs w:val="24"/>
          <w:color w:val="auto"/>
        </w:rPr>
      </w:pPr>
    </w:p>
    <w:p>
      <w:pPr>
        <w:ind w:left="1160" w:right="3280" w:hanging="579"/>
        <w:spacing w:after="0" w:line="248" w:lineRule="auto"/>
        <w:tabs>
          <w:tab w:leader="none" w:pos="11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84"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6"/>
          <w:szCs w:val="16"/>
          <w:color w:val="auto"/>
        </w:rPr>
        <w:t>SEPTEMBER 30, 2003</w:t>
      </w:r>
    </w:p>
    <w:p>
      <w:pPr>
        <w:spacing w:after="0" w:line="5"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6"/>
          <w:szCs w:val="16"/>
          <w:color w:val="auto"/>
        </w:rPr>
        <w:t>OR</w:t>
      </w:r>
    </w:p>
    <w:p>
      <w:pPr>
        <w:spacing w:after="0" w:line="191" w:lineRule="exact"/>
        <w:rPr>
          <w:sz w:val="24"/>
          <w:szCs w:val="24"/>
          <w:color w:val="auto"/>
        </w:rPr>
      </w:pPr>
    </w:p>
    <w:p>
      <w:pPr>
        <w:ind w:left="1160" w:right="3280" w:hanging="579"/>
        <w:spacing w:after="0" w:line="246" w:lineRule="auto"/>
        <w:tabs>
          <w:tab w:leader="none" w:pos="77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w:t>
      </w:r>
    </w:p>
    <w:p>
      <w:pPr>
        <w:spacing w:after="0" w:line="1" w:lineRule="exact"/>
        <w:rPr>
          <w:rFonts w:ascii="Courier New" w:cs="Courier New" w:eastAsia="Courier New" w:hAnsi="Courier New"/>
          <w:sz w:val="16"/>
          <w:szCs w:val="16"/>
          <w:color w:val="auto"/>
        </w:rPr>
      </w:pPr>
    </w:p>
    <w:p>
      <w:pPr>
        <w:ind w:left="1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 to ________.</w:t>
      </w:r>
    </w:p>
    <w:p>
      <w:pPr>
        <w:spacing w:after="0" w:line="191"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6"/>
          <w:szCs w:val="16"/>
          <w:color w:val="auto"/>
        </w:rPr>
        <w:t>Commission File Number 001-15471</w:t>
      </w:r>
    </w:p>
    <w:p>
      <w:pPr>
        <w:spacing w:after="0" w:line="191"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6"/>
          <w:szCs w:val="16"/>
          <w:color w:val="auto"/>
        </w:rPr>
        <w:t>COMCAST HOLDINGS CORPORATION</w:t>
      </w:r>
    </w:p>
    <w:p>
      <w:pPr>
        <w:spacing w:after="0" w:line="5"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1" w:lineRule="exact"/>
        <w:rPr>
          <w:sz w:val="24"/>
          <w:szCs w:val="24"/>
          <w:color w:val="auto"/>
        </w:rPr>
      </w:pPr>
    </w:p>
    <w:tbl>
      <w:tblPr>
        <w:tblLayout w:type="fixed"/>
        <w:tblInd w:w="1540" w:type="dxa"/>
        <w:tblCellMar>
          <w:top w:w="0" w:type="dxa"/>
          <w:left w:w="0" w:type="dxa"/>
          <w:bottom w:w="0" w:type="dxa"/>
          <w:right w:w="0" w:type="dxa"/>
        </w:tblCellMar>
      </w:tblPr>
      <w:tr>
        <w:trPr>
          <w:trHeight w:val="183"/>
        </w:trPr>
        <w:tc>
          <w:tcPr>
            <w:tcW w:w="258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040"/>
          </w:cols>
          <w:pgMar w:left="240" w:top="241" w:right="619" w:bottom="0" w:gutter="0" w:footer="0" w:header="0"/>
        </w:sectPr>
      </w:pPr>
    </w:p>
    <w:p>
      <w:pPr>
        <w:spacing w:after="0" w:line="191" w:lineRule="exact"/>
        <w:rPr>
          <w:sz w:val="24"/>
          <w:szCs w:val="24"/>
          <w:color w:val="auto"/>
        </w:rPr>
      </w:pPr>
    </w:p>
    <w:p>
      <w:pPr>
        <w:ind w:left="880" w:right="540"/>
        <w:spacing w:after="0" w:line="248"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6" w:lineRule="exact"/>
        <w:rPr>
          <w:sz w:val="24"/>
          <w:szCs w:val="24"/>
          <w:color w:val="auto"/>
        </w:rPr>
      </w:pPr>
    </w:p>
    <w:p>
      <w:pPr>
        <w:sectPr>
          <w:pgSz w:w="11900" w:h="16838" w:orient="portrait"/>
          <w:cols w:equalWidth="0" w:num="2">
            <w:col w:w="4420" w:space="720"/>
            <w:col w:w="5900"/>
          </w:cols>
          <w:pgMar w:left="240" w:top="241" w:right="619" w:bottom="0" w:gutter="0" w:footer="0" w:header="0"/>
          <w:type w:val="continuous"/>
        </w:sectPr>
      </w:pPr>
    </w:p>
    <w:p>
      <w:pPr>
        <w:spacing w:after="0" w:line="171" w:lineRule="exact"/>
        <w:rPr>
          <w:sz w:val="24"/>
          <w:szCs w:val="24"/>
          <w:color w:val="auto"/>
        </w:rPr>
      </w:pPr>
    </w:p>
    <w:p>
      <w:pPr>
        <w:ind w:left="480"/>
        <w:spacing w:after="0"/>
        <w:tabs>
          <w:tab w:leader="none" w:pos="5700" w:val="left"/>
        </w:tabs>
        <w:rPr>
          <w:sz w:val="20"/>
          <w:szCs w:val="20"/>
          <w:color w:val="auto"/>
        </w:rPr>
      </w:pPr>
      <w:r>
        <w:rPr>
          <w:rFonts w:ascii="Courier New" w:cs="Courier New" w:eastAsia="Courier New" w:hAnsi="Courier New"/>
          <w:sz w:val="16"/>
          <w:szCs w:val="16"/>
          <w:color w:val="auto"/>
        </w:rPr>
        <w:t>1500 Market Street, Philadelphia, PA</w:t>
      </w:r>
      <w:r>
        <w:rPr>
          <w:sz w:val="20"/>
          <w:szCs w:val="20"/>
          <w:color w:val="auto"/>
        </w:rPr>
        <w:tab/>
      </w:r>
      <w:r>
        <w:rPr>
          <w:rFonts w:ascii="Courier New" w:cs="Courier New" w:eastAsia="Courier New" w:hAnsi="Courier New"/>
          <w:sz w:val="15"/>
          <w:szCs w:val="15"/>
          <w:color w:val="auto"/>
        </w:rPr>
        <w:t>19102-2148</w:t>
      </w:r>
    </w:p>
    <w:p>
      <w:pPr>
        <w:sectPr>
          <w:pgSz w:w="11900" w:h="16838" w:orient="portrait"/>
          <w:cols w:equalWidth="0" w:num="1">
            <w:col w:w="11040"/>
          </w:cols>
          <w:pgMar w:left="240" w:top="241" w:right="619" w:bottom="0"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68" w:lineRule="exact"/>
        <w:rPr>
          <w:sz w:val="24"/>
          <w:szCs w:val="24"/>
          <w:color w:val="auto"/>
        </w:rPr>
      </w:pPr>
    </w:p>
    <w:p>
      <w:pPr>
        <w:ind w:left="480"/>
        <w:spacing w:after="0"/>
        <w:tabs>
          <w:tab w:leader="none" w:pos="580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1040"/>
          </w:cols>
          <w:pgMar w:left="240" w:top="241" w:right="619" w:bottom="0" w:gutter="0" w:footer="0" w:header="0"/>
          <w:type w:val="continuous"/>
        </w:sectPr>
      </w:pP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(215) 665-1700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sectPr>
          <w:pgSz w:w="11900" w:h="16838" w:orient="portrait"/>
          <w:cols w:equalWidth="0" w:num="2">
            <w:col w:w="4940" w:space="200"/>
            <w:col w:w="5900"/>
          </w:cols>
          <w:pgMar w:left="240" w:top="241" w:right="619" w:bottom="0" w:gutter="0" w:footer="0" w:header="0"/>
          <w:type w:val="continuous"/>
        </w:sectPr>
      </w:pPr>
    </w:p>
    <w:p>
      <w:pPr>
        <w:jc w:val="both"/>
        <w:ind w:right="3280"/>
        <w:spacing w:after="0" w:line="24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1040"/>
          </w:cols>
          <w:pgMar w:left="240" w:top="241" w:right="619" w:bottom="0" w:gutter="0" w:footer="0" w:header="0"/>
          <w:type w:val="continuous"/>
        </w:sectPr>
      </w:pPr>
    </w:p>
    <w:p>
      <w:pPr>
        <w:spacing w:after="0" w:line="185" w:lineRule="exact"/>
        <w:rPr>
          <w:sz w:val="24"/>
          <w:szCs w:val="24"/>
          <w:color w:val="auto"/>
        </w:rPr>
      </w:pPr>
    </w:p>
    <w:p>
      <w:pPr>
        <w:ind w:left="174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5" w:lineRule="exact"/>
        <w:rPr>
          <w:sz w:val="24"/>
          <w:szCs w:val="24"/>
          <w:color w:val="auto"/>
        </w:rPr>
      </w:pPr>
    </w:p>
    <w:p>
      <w:pPr>
        <w:sectPr>
          <w:pgSz w:w="11900" w:h="16838" w:orient="portrait"/>
          <w:cols w:equalWidth="0" w:num="3">
            <w:col w:w="2040" w:space="180"/>
            <w:col w:w="2100" w:space="720"/>
            <w:col w:w="6000"/>
          </w:cols>
          <w:pgMar w:left="240" w:top="241" w:right="619" w:bottom="0" w:gutter="0" w:footer="0" w:header="0"/>
          <w:type w:val="continuous"/>
        </w:sect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sectPr>
          <w:pgSz w:w="11900" w:h="16838" w:orient="portrait"/>
          <w:cols w:equalWidth="0" w:num="2">
            <w:col w:w="4900" w:space="720"/>
            <w:col w:w="5420"/>
          </w:cols>
          <w:pgMar w:left="240" w:top="241" w:right="619" w:bottom="0" w:gutter="0" w:footer="0" w:header="0"/>
          <w:type w:val="continuous"/>
        </w:sectPr>
      </w:pPr>
    </w:p>
    <w:p>
      <w:pPr>
        <w:ind w:left="2620"/>
        <w:spacing w:after="0"/>
        <w:rPr>
          <w:sz w:val="20"/>
          <w:szCs w:val="20"/>
          <w:color w:val="auto"/>
        </w:rPr>
      </w:pPr>
      <w:r>
        <w:rPr>
          <w:rFonts w:ascii="Courier New" w:cs="Courier New" w:eastAsia="Courier New" w:hAnsi="Courier New"/>
          <w:sz w:val="16"/>
          <w:szCs w:val="16"/>
          <w:color w:val="auto"/>
        </w:rPr>
        <w:t>__________________________</w:t>
      </w:r>
    </w:p>
    <w:p>
      <w:pPr>
        <w:sectPr>
          <w:pgSz w:w="11900" w:h="16838" w:orient="portrait"/>
          <w:cols w:equalWidth="0" w:num="1">
            <w:col w:w="11040"/>
          </w:cols>
          <w:pgMar w:left="240" w:top="241" w:right="619" w:bottom="0" w:gutter="0" w:footer="0" w:header="0"/>
          <w:type w:val="continuous"/>
        </w:sectPr>
      </w:pPr>
    </w:p>
    <w:p>
      <w:pPr>
        <w:spacing w:after="0" w:line="191" w:lineRule="exact"/>
        <w:rPr>
          <w:sz w:val="24"/>
          <w:szCs w:val="24"/>
          <w:color w:val="auto"/>
        </w:rPr>
      </w:pPr>
    </w:p>
    <w:p>
      <w:pPr>
        <w:spacing w:after="0"/>
        <w:tabs>
          <w:tab w:leader="none" w:pos="940" w:val="left"/>
          <w:tab w:leader="none" w:pos="2400" w:val="left"/>
          <w:tab w:leader="none" w:pos="3280" w:val="left"/>
          <w:tab w:leader="none" w:pos="3760" w:val="left"/>
        </w:tabs>
        <w:rPr>
          <w:sz w:val="20"/>
          <w:szCs w:val="20"/>
          <w:color w:val="auto"/>
        </w:rPr>
      </w:pPr>
      <w:r>
        <w:rPr>
          <w:rFonts w:ascii="Courier New" w:cs="Courier New" w:eastAsia="Courier New" w:hAnsi="Courier New"/>
          <w:sz w:val="16"/>
          <w:szCs w:val="16"/>
          <w:color w:val="auto"/>
        </w:rPr>
        <w:t>Indicate</w:t>
        <w:tab/>
        <w:t>by check mark</w:t>
        <w:tab/>
        <w:t>whether</w:t>
        <w:tab/>
        <w:t>the</w:t>
        <w:tab/>
        <w:t>registrant</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is an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accelerated</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filer (as</w:t>
      </w:r>
    </w:p>
    <w:p>
      <w:pPr>
        <w:spacing w:after="0" w:line="5" w:lineRule="exact"/>
        <w:rPr>
          <w:sz w:val="24"/>
          <w:szCs w:val="24"/>
          <w:color w:val="auto"/>
        </w:rPr>
      </w:pPr>
    </w:p>
    <w:p>
      <w:pPr>
        <w:sectPr>
          <w:pgSz w:w="11900" w:h="16838" w:orient="portrait"/>
          <w:cols w:equalWidth="0" w:num="4">
            <w:col w:w="4740" w:space="200"/>
            <w:col w:w="480" w:space="200"/>
            <w:col w:w="1060" w:space="200"/>
            <w:col w:w="4160"/>
          </w:cols>
          <w:pgMar w:left="240" w:top="241" w:right="61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defined in Rule 12-b2 of the Exchange Act).</w:t>
      </w:r>
    </w:p>
    <w:p>
      <w:pPr>
        <w:sectPr>
          <w:pgSz w:w="11900" w:h="16838" w:orient="portrait"/>
          <w:cols w:equalWidth="0" w:num="1">
            <w:col w:w="11040"/>
          </w:cols>
          <w:pgMar w:left="240" w:top="241" w:right="619" w:bottom="0" w:gutter="0" w:footer="0" w:header="0"/>
          <w:type w:val="continuous"/>
        </w:sectPr>
      </w:pPr>
    </w:p>
    <w:p>
      <w:pPr>
        <w:spacing w:after="0" w:line="191" w:lineRule="exact"/>
        <w:rPr>
          <w:sz w:val="24"/>
          <w:szCs w:val="24"/>
          <w:color w:val="auto"/>
        </w:rPr>
      </w:pPr>
    </w:p>
    <w:p>
      <w:pPr>
        <w:ind w:left="174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5120"/>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ind w:right="51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sectPr>
          <w:pgSz w:w="11900" w:h="16838" w:orient="portrait"/>
          <w:cols w:equalWidth="0" w:num="4">
            <w:col w:w="2040" w:space="100"/>
            <w:col w:w="2180" w:space="720"/>
            <w:col w:w="200" w:space="380"/>
            <w:col w:w="5420"/>
          </w:cols>
          <w:pgMar w:left="240" w:top="241" w:right="619" w:bottom="0" w:gutter="0" w:footer="0" w:header="0"/>
          <w:type w:val="continuous"/>
        </w:sectPr>
      </w:pPr>
    </w:p>
    <w:p>
      <w:pPr>
        <w:jc w:val="both"/>
        <w:ind w:right="3280"/>
        <w:spacing w:after="0" w:line="246" w:lineRule="auto"/>
        <w:rPr>
          <w:sz w:val="20"/>
          <w:szCs w:val="20"/>
          <w:color w:val="auto"/>
        </w:rPr>
      </w:pPr>
      <w:r>
        <w:rPr>
          <w:rFonts w:ascii="Courier New" w:cs="Courier New" w:eastAsia="Courier New" w:hAnsi="Courier New"/>
          <w:sz w:val="16"/>
          <w:szCs w:val="16"/>
          <w:color w:val="auto"/>
        </w:rPr>
        <w:t>As of September 30, 2003, there were 21,591,115 shares of Class A Common Stock, 916,198,519 shares of Class A Special Common Stock and 9,444,375 shares of Class B Common Stock outstanding.</w:t>
      </w:r>
    </w:p>
    <w:p>
      <w:pPr>
        <w:spacing w:after="0" w:line="2"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__________________________</w:t>
      </w:r>
    </w:p>
    <w:p>
      <w:pPr>
        <w:spacing w:after="0" w:line="191" w:lineRule="exact"/>
        <w:rPr>
          <w:sz w:val="24"/>
          <w:szCs w:val="24"/>
          <w:color w:val="auto"/>
        </w:rPr>
      </w:pPr>
    </w:p>
    <w:p>
      <w:pPr>
        <w:jc w:val="both"/>
        <w:ind w:right="3280"/>
        <w:spacing w:after="0" w:line="247" w:lineRule="auto"/>
        <w:rPr>
          <w:sz w:val="20"/>
          <w:szCs w:val="20"/>
          <w:color w:val="auto"/>
        </w:rPr>
      </w:pPr>
      <w:r>
        <w:rPr>
          <w:rFonts w:ascii="Courier New" w:cs="Courier New" w:eastAsia="Courier New" w:hAnsi="Courier New"/>
          <w:sz w:val="16"/>
          <w:szCs w:val="16"/>
          <w:color w:val="auto"/>
        </w:rPr>
        <w:t>The Registrant meets the conditions set forth in General Instructions H(1)(a) and (b) of Form 10-Q and is therefore filing this Form with the reduced disclosure format.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174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5" w:lineRule="exact"/>
        <w:rPr>
          <w:sz w:val="24"/>
          <w:szCs w:val="24"/>
          <w:color w:val="auto"/>
        </w:rPr>
      </w:pPr>
    </w:p>
    <w:p>
      <w:pPr>
        <w:jc w:val="right"/>
        <w:spacing w:after="0"/>
        <w:rPr>
          <w:sz w:val="20"/>
          <w:szCs w:val="20"/>
          <w:color w:val="auto"/>
        </w:rPr>
      </w:pPr>
      <w:r>
        <w:rPr>
          <w:rFonts w:ascii="Courier New" w:cs="Courier New" w:eastAsia="Courier New" w:hAnsi="Courier New"/>
          <w:sz w:val="16"/>
          <w:szCs w:val="16"/>
          <w:color w:val="auto"/>
        </w:rPr>
        <w:t>Page Number</w:t>
      </w:r>
    </w:p>
    <w:p>
      <w:pPr>
        <w:spacing w:after="0" w:line="5" w:lineRule="exact"/>
        <w:rPr>
          <w:sz w:val="24"/>
          <w:szCs w:val="24"/>
          <w:color w:val="auto"/>
        </w:rPr>
      </w:pPr>
    </w:p>
    <w:p>
      <w:pPr>
        <w:ind w:left="99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1" w:lineRule="exact"/>
        <w:rPr>
          <w:sz w:val="24"/>
          <w:szCs w:val="24"/>
          <w:color w:val="auto"/>
        </w:rPr>
      </w:pPr>
    </w:p>
    <w:p>
      <w:pPr>
        <w:ind w:left="1060"/>
        <w:spacing w:after="0"/>
        <w:tabs>
          <w:tab w:leader="none" w:pos="21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91" w:lineRule="exact"/>
        <w:rPr>
          <w:sz w:val="24"/>
          <w:szCs w:val="24"/>
          <w:color w:val="auto"/>
        </w:rPr>
      </w:pPr>
    </w:p>
    <w:p>
      <w:pPr>
        <w:ind w:left="2140"/>
        <w:spacing w:after="0"/>
        <w:rPr>
          <w:sz w:val="20"/>
          <w:szCs w:val="20"/>
          <w:color w:val="auto"/>
        </w:rPr>
      </w:pPr>
      <w:r>
        <w:rPr>
          <w:rFonts w:ascii="Courier New" w:cs="Courier New" w:eastAsia="Courier New" w:hAnsi="Courier New"/>
          <w:sz w:val="16"/>
          <w:szCs w:val="16"/>
          <w:color w:val="auto"/>
        </w:rPr>
        <w:t>Condensed Consolidated Balance Sheet as of September 30, 2003</w:t>
      </w:r>
    </w:p>
    <w:p>
      <w:pPr>
        <w:spacing w:after="0" w:line="5" w:lineRule="exact"/>
        <w:rPr>
          <w:sz w:val="24"/>
          <w:szCs w:val="24"/>
          <w:color w:val="auto"/>
        </w:rPr>
      </w:pPr>
    </w:p>
    <w:p>
      <w:pPr>
        <w:ind w:left="2140"/>
        <w:spacing w:after="0"/>
        <w:tabs>
          <w:tab w:leader="dot" w:pos="10540" w:val="left"/>
        </w:tabs>
        <w:rPr>
          <w:sz w:val="20"/>
          <w:szCs w:val="20"/>
          <w:color w:val="auto"/>
        </w:rPr>
      </w:pPr>
      <w:r>
        <w:rPr>
          <w:rFonts w:ascii="Courier New" w:cs="Courier New" w:eastAsia="Courier New" w:hAnsi="Courier New"/>
          <w:sz w:val="16"/>
          <w:szCs w:val="16"/>
          <w:color w:val="auto"/>
        </w:rPr>
        <w:t>and December 31, 2002 (Unaudited)</w:t>
      </w:r>
      <w:r>
        <w:rPr>
          <w:sz w:val="20"/>
          <w:szCs w:val="20"/>
          <w:color w:val="auto"/>
        </w:rPr>
        <w:tab/>
      </w:r>
      <w:r>
        <w:rPr>
          <w:rFonts w:ascii="Courier New" w:cs="Courier New" w:eastAsia="Courier New" w:hAnsi="Courier New"/>
          <w:sz w:val="16"/>
          <w:szCs w:val="16"/>
          <w:color w:val="auto"/>
        </w:rPr>
        <w:t>2</w:t>
      </w:r>
    </w:p>
    <w:p>
      <w:pPr>
        <w:spacing w:after="0" w:line="5" w:lineRule="exact"/>
        <w:rPr>
          <w:sz w:val="24"/>
          <w:szCs w:val="24"/>
          <w:color w:val="auto"/>
        </w:rPr>
      </w:pPr>
    </w:p>
    <w:p>
      <w:pPr>
        <w:ind w:left="2140"/>
        <w:spacing w:after="0"/>
        <w:rPr>
          <w:sz w:val="20"/>
          <w:szCs w:val="20"/>
          <w:color w:val="auto"/>
        </w:rPr>
      </w:pPr>
      <w:r>
        <w:rPr>
          <w:rFonts w:ascii="Courier New" w:cs="Courier New" w:eastAsia="Courier New" w:hAnsi="Courier New"/>
          <w:sz w:val="16"/>
          <w:szCs w:val="16"/>
          <w:color w:val="auto"/>
        </w:rPr>
        <w:t>Condensed Consolidated Statement of Operations for the Three and Nine Months</w:t>
      </w:r>
    </w:p>
    <w:p>
      <w:pPr>
        <w:spacing w:after="0" w:line="5" w:lineRule="exact"/>
        <w:rPr>
          <w:sz w:val="24"/>
          <w:szCs w:val="24"/>
          <w:color w:val="auto"/>
        </w:rPr>
      </w:pPr>
    </w:p>
    <w:p>
      <w:pPr>
        <w:ind w:left="2140"/>
        <w:spacing w:after="0"/>
        <w:tabs>
          <w:tab w:leader="dot" w:pos="10540" w:val="left"/>
        </w:tabs>
        <w:rPr>
          <w:sz w:val="20"/>
          <w:szCs w:val="20"/>
          <w:color w:val="auto"/>
        </w:rPr>
      </w:pPr>
      <w:r>
        <w:rPr>
          <w:rFonts w:ascii="Courier New" w:cs="Courier New" w:eastAsia="Courier New" w:hAnsi="Courier New"/>
          <w:sz w:val="16"/>
          <w:szCs w:val="16"/>
          <w:color w:val="auto"/>
        </w:rPr>
        <w:t>Ended September 30, 2003 and 2002 (Unaudited)</w:t>
      </w:r>
      <w:r>
        <w:rPr>
          <w:sz w:val="20"/>
          <w:szCs w:val="20"/>
          <w:color w:val="auto"/>
        </w:rPr>
        <w:tab/>
      </w:r>
      <w:r>
        <w:rPr>
          <w:rFonts w:ascii="Courier New" w:cs="Courier New" w:eastAsia="Courier New" w:hAnsi="Courier New"/>
          <w:sz w:val="16"/>
          <w:szCs w:val="16"/>
          <w:color w:val="auto"/>
        </w:rPr>
        <w:t>3</w:t>
      </w:r>
    </w:p>
    <w:p>
      <w:pPr>
        <w:spacing w:after="0" w:line="5" w:lineRule="exact"/>
        <w:rPr>
          <w:sz w:val="24"/>
          <w:szCs w:val="24"/>
          <w:color w:val="auto"/>
        </w:rPr>
      </w:pPr>
    </w:p>
    <w:p>
      <w:pPr>
        <w:ind w:left="2140"/>
        <w:spacing w:after="0"/>
        <w:rPr>
          <w:sz w:val="20"/>
          <w:szCs w:val="20"/>
          <w:color w:val="auto"/>
        </w:rPr>
      </w:pPr>
      <w:r>
        <w:rPr>
          <w:rFonts w:ascii="Courier New" w:cs="Courier New" w:eastAsia="Courier New" w:hAnsi="Courier New"/>
          <w:sz w:val="16"/>
          <w:szCs w:val="16"/>
          <w:color w:val="auto"/>
        </w:rPr>
        <w:t>Condensed Consolidated Statement of Cash Flows for the Nine Months</w:t>
      </w:r>
    </w:p>
    <w:p>
      <w:pPr>
        <w:spacing w:after="0" w:line="5" w:lineRule="exact"/>
        <w:rPr>
          <w:sz w:val="24"/>
          <w:szCs w:val="24"/>
          <w:color w:val="auto"/>
        </w:rPr>
      </w:pPr>
    </w:p>
    <w:p>
      <w:pPr>
        <w:ind w:left="2140"/>
        <w:spacing w:after="0"/>
        <w:tabs>
          <w:tab w:leader="dot" w:pos="10540" w:val="left"/>
        </w:tabs>
        <w:rPr>
          <w:sz w:val="20"/>
          <w:szCs w:val="20"/>
          <w:color w:val="auto"/>
        </w:rPr>
      </w:pPr>
      <w:r>
        <w:rPr>
          <w:rFonts w:ascii="Courier New" w:cs="Courier New" w:eastAsia="Courier New" w:hAnsi="Courier New"/>
          <w:sz w:val="16"/>
          <w:szCs w:val="16"/>
          <w:color w:val="auto"/>
        </w:rPr>
        <w:t>Ended September 30, 2003 and 2002 (Unaudited)</w:t>
      </w:r>
      <w:r>
        <w:rPr>
          <w:sz w:val="20"/>
          <w:szCs w:val="20"/>
          <w:color w:val="auto"/>
        </w:rPr>
        <w:tab/>
      </w:r>
      <w:r>
        <w:rPr>
          <w:rFonts w:ascii="Courier New" w:cs="Courier New" w:eastAsia="Courier New" w:hAnsi="Courier New"/>
          <w:sz w:val="16"/>
          <w:szCs w:val="16"/>
          <w:color w:val="auto"/>
        </w:rPr>
        <w:t>4</w:t>
      </w:r>
    </w:p>
    <w:p>
      <w:pPr>
        <w:sectPr>
          <w:pgSz w:w="11900" w:h="16838" w:orient="portrait"/>
          <w:cols w:equalWidth="0" w:num="1">
            <w:col w:w="11040"/>
          </w:cols>
          <w:pgMar w:left="240" w:top="241" w:right="619" w:bottom="0" w:gutter="0" w:footer="0" w:header="0"/>
          <w:type w:val="continuous"/>
        </w:sectPr>
      </w:pPr>
    </w:p>
    <w:bookmarkStart w:id="1" w:name="page2"/>
    <w:bookmarkEnd w:id="1"/>
    <w:tbl>
      <w:tblPr>
        <w:tblLayout w:type="fixed"/>
        <w:tblInd w:w="1060" w:type="dxa"/>
        <w:tblCellMar>
          <w:top w:w="0" w:type="dxa"/>
          <w:left w:w="0" w:type="dxa"/>
          <w:bottom w:w="0" w:type="dxa"/>
          <w:right w:w="0" w:type="dxa"/>
        </w:tblCellMar>
      </w:tblP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0" w:type="dxa"/>
            <w:vAlign w:val="bottom"/>
          </w:tcPr>
          <w:p>
            <w:pPr>
              <w:ind w:left="200"/>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w w:val="99"/>
              </w:rPr>
              <w:t>.......................5</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c>
          <w:tcPr>
            <w:tcW w:w="6400" w:type="dxa"/>
            <w:vAlign w:val="bottom"/>
          </w:tcPr>
          <w:p>
            <w:pPr>
              <w:ind w:left="200"/>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2320" w:type="dxa"/>
            <w:vAlign w:val="bottom"/>
          </w:tcPr>
          <w:p>
            <w:pPr>
              <w:spacing w:after="0"/>
              <w:rPr>
                <w:sz w:val="16"/>
                <w:szCs w:val="16"/>
                <w:color w:val="auto"/>
              </w:rPr>
            </w:pPr>
          </w:p>
        </w:tc>
      </w:tr>
      <w:tr>
        <w:trPr>
          <w:trHeight w:val="186"/>
        </w:trPr>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0" w:type="dxa"/>
            <w:vAlign w:val="bottom"/>
          </w:tcPr>
          <w:p>
            <w:pPr>
              <w:ind w:left="200"/>
              <w:spacing w:after="0"/>
              <w:rPr>
                <w:sz w:val="20"/>
                <w:szCs w:val="20"/>
                <w:color w:val="auto"/>
              </w:rPr>
            </w:pPr>
            <w:r>
              <w:rPr>
                <w:rFonts w:ascii="Courier New" w:cs="Courier New" w:eastAsia="Courier New" w:hAnsi="Courier New"/>
                <w:sz w:val="16"/>
                <w:szCs w:val="16"/>
                <w:color w:val="auto"/>
                <w:w w:val="74"/>
              </w:rPr>
              <w:t>and Results of Operations.............................................................</w:t>
            </w: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6400" w:type="dxa"/>
            <w:vAlign w:val="bottom"/>
          </w:tcPr>
          <w:p>
            <w:pPr>
              <w:ind w:left="200"/>
              <w:spacing w:after="0"/>
              <w:rPr>
                <w:sz w:val="20"/>
                <w:szCs w:val="20"/>
                <w:color w:val="auto"/>
              </w:rPr>
            </w:pPr>
            <w:r>
              <w:rPr>
                <w:rFonts w:ascii="Courier New" w:cs="Courier New" w:eastAsia="Courier New" w:hAnsi="Courier New"/>
                <w:sz w:val="16"/>
                <w:szCs w:val="16"/>
                <w:color w:val="auto"/>
                <w:w w:val="74"/>
              </w:rPr>
              <w:t>Controls and Procedures...............................................................</w:t>
            </w: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bl>
    <w:p>
      <w:pPr>
        <w:spacing w:after="0" w:line="19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191" w:lineRule="exact"/>
        <w:rPr>
          <w:sz w:val="20"/>
          <w:szCs w:val="20"/>
          <w:color w:val="auto"/>
        </w:rPr>
      </w:pPr>
    </w:p>
    <w:tbl>
      <w:tblPr>
        <w:tblLayout w:type="fixed"/>
        <w:tblInd w:w="1060" w:type="dxa"/>
        <w:tblCellMar>
          <w:top w:w="0" w:type="dxa"/>
          <w:left w:w="0" w:type="dxa"/>
          <w:bottom w:w="0" w:type="dxa"/>
          <w:right w:w="0" w:type="dxa"/>
        </w:tblCellMar>
      </w:tblPr>
      <w:tr>
        <w:trPr>
          <w:trHeight w:val="183"/>
        </w:trPr>
        <w:tc>
          <w:tcPr>
            <w:tcW w:w="44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w:t>
            </w:r>
          </w:p>
        </w:tc>
        <w:tc>
          <w:tcPr>
            <w:tcW w:w="8420" w:type="dxa"/>
            <w:vAlign w:val="bottom"/>
          </w:tcPr>
          <w:p>
            <w:pPr>
              <w:jc w:val="right"/>
              <w:spacing w:after="0"/>
              <w:rPr>
                <w:sz w:val="20"/>
                <w:szCs w:val="20"/>
                <w:color w:val="auto"/>
              </w:rPr>
            </w:pPr>
            <w:r>
              <w:rPr>
                <w:rFonts w:ascii="Courier New" w:cs="Courier New" w:eastAsia="Courier New" w:hAnsi="Courier New"/>
                <w:sz w:val="16"/>
                <w:szCs w:val="16"/>
                <w:color w:val="auto"/>
              </w:rPr>
              <w:t>Legal Proceedings.....................................................................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24</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w:t>
            </w:r>
          </w:p>
        </w:tc>
        <w:tc>
          <w:tcPr>
            <w:tcW w:w="8420" w:type="dxa"/>
            <w:vAlign w:val="bottom"/>
          </w:tcPr>
          <w:p>
            <w:pPr>
              <w:jc w:val="right"/>
              <w:spacing w:after="0"/>
              <w:rPr>
                <w:sz w:val="20"/>
                <w:szCs w:val="20"/>
                <w:color w:val="auto"/>
              </w:rPr>
            </w:pPr>
            <w:r>
              <w:rPr>
                <w:rFonts w:ascii="Courier New" w:cs="Courier New" w:eastAsia="Courier New" w:hAnsi="Courier New"/>
                <w:sz w:val="16"/>
                <w:szCs w:val="16"/>
                <w:color w:val="auto"/>
              </w:rPr>
              <w:t>Exhibits and Reports on Form 8-K......................................................</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24</w:t>
            </w:r>
          </w:p>
        </w:tc>
      </w:tr>
      <w:tr>
        <w:trPr>
          <w:trHeight w:val="186"/>
        </w:trPr>
        <w:tc>
          <w:tcPr>
            <w:tcW w:w="980" w:type="dxa"/>
            <w:vAlign w:val="bottom"/>
            <w:gridSpan w:val="2"/>
          </w:tcPr>
          <w:p>
            <w:pPr>
              <w:spacing w:after="0"/>
              <w:rPr>
                <w:sz w:val="20"/>
                <w:szCs w:val="20"/>
                <w:color w:val="auto"/>
              </w:rPr>
            </w:pPr>
            <w:r>
              <w:rPr>
                <w:rFonts w:ascii="Courier New" w:cs="Courier New" w:eastAsia="Courier New" w:hAnsi="Courier New"/>
                <w:sz w:val="16"/>
                <w:szCs w:val="16"/>
                <w:color w:val="auto"/>
                <w:w w:val="99"/>
              </w:rPr>
              <w:t>SIGNATURES</w:t>
            </w:r>
          </w:p>
        </w:tc>
        <w:tc>
          <w:tcPr>
            <w:tcW w:w="8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186"/>
        </w:trPr>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20" w:type="dxa"/>
            <w:vAlign w:val="bottom"/>
          </w:tcPr>
          <w:p>
            <w:pPr>
              <w:jc w:val="right"/>
              <w:ind w:right="2919"/>
              <w:spacing w:after="0"/>
              <w:rPr>
                <w:sz w:val="20"/>
                <w:szCs w:val="20"/>
                <w:color w:val="auto"/>
              </w:rPr>
            </w:pPr>
            <w:r>
              <w:rPr>
                <w:rFonts w:ascii="Courier New" w:cs="Courier New" w:eastAsia="Courier New" w:hAnsi="Courier New"/>
                <w:sz w:val="16"/>
                <w:szCs w:val="16"/>
                <w:color w:val="auto"/>
              </w:rPr>
              <w:t>___________________________________</w:t>
            </w:r>
          </w:p>
        </w:tc>
        <w:tc>
          <w:tcPr>
            <w:tcW w:w="2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2900" w:firstLine="484"/>
        <w:spacing w:after="0" w:line="247" w:lineRule="auto"/>
        <w:rPr>
          <w:sz w:val="20"/>
          <w:szCs w:val="20"/>
          <w:color w:val="auto"/>
        </w:rPr>
      </w:pPr>
      <w:r>
        <w:rPr>
          <w:rFonts w:ascii="Courier New" w:cs="Courier New" w:eastAsia="Courier New" w:hAnsi="Courier New"/>
          <w:sz w:val="16"/>
          <w:szCs w:val="16"/>
          <w:color w:val="auto"/>
        </w:rPr>
        <w:t>This Quarterly Report on Form 10-Q is for the three and nine months ended September 30, 2003. This Quarterly Report modifies and supersedes documents filed prior to this Quarterly Report. Information that we file with the SEC in the future will automatically update and supersede information contained in this Quarterly Report. In this Quarterly Report, "Comcast Holdings," "we," "us," "our" and the "Company" refer to Comcast Holdings Corporation and its subsidiaries, and "Comcast" refers to Comcast Corporation.</w:t>
      </w:r>
    </w:p>
    <w:p>
      <w:pPr>
        <w:spacing w:after="0" w:line="185" w:lineRule="exact"/>
        <w:rPr>
          <w:sz w:val="20"/>
          <w:szCs w:val="20"/>
          <w:color w:val="auto"/>
        </w:rPr>
      </w:pPr>
    </w:p>
    <w:p>
      <w:pPr>
        <w:jc w:val="both"/>
        <w:ind w:right="2900" w:firstLine="484"/>
        <w:spacing w:after="0" w:line="246"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91" w:lineRule="exact"/>
        <w:rPr>
          <w:sz w:val="20"/>
          <w:szCs w:val="20"/>
          <w:color w:val="auto"/>
        </w:rPr>
      </w:pPr>
    </w:p>
    <w:p>
      <w:pPr>
        <w:jc w:val="both"/>
        <w:ind w:right="2900" w:firstLine="484"/>
        <w:spacing w:after="0" w:line="247" w:lineRule="auto"/>
        <w:rPr>
          <w:sz w:val="20"/>
          <w:szCs w:val="20"/>
          <w:color w:val="auto"/>
        </w:rPr>
      </w:pPr>
      <w:r>
        <w:rPr>
          <w:rFonts w:ascii="Courier New" w:cs="Courier New" w:eastAsia="Courier New" w:hAnsi="Courier New"/>
          <w:sz w:val="16"/>
          <w:szCs w:val="16"/>
          <w:color w:val="auto"/>
        </w:rPr>
        <w:t>As more fully described elsewhere in this Quarterly Report, on September 17, 2003, we sold our approximate 57% interest in QVC, Inc., our electronic retailing subsidiary, to Liberty Media Corporation. The results of QVC have been reported as discontinued operations for all periods presented in the accompanying condensed consolidated financial statements.</w:t>
      </w:r>
    </w:p>
    <w:p>
      <w:pPr>
        <w:spacing w:after="0" w:line="185" w:lineRule="exact"/>
        <w:rPr>
          <w:sz w:val="20"/>
          <w:szCs w:val="20"/>
          <w:color w:val="auto"/>
        </w:rPr>
      </w:pPr>
    </w:p>
    <w:p>
      <w:pPr>
        <w:jc w:val="both"/>
        <w:ind w:right="2900" w:firstLine="484"/>
        <w:spacing w:after="0" w:line="247" w:lineRule="auto"/>
        <w:rPr>
          <w:sz w:val="20"/>
          <w:szCs w:val="20"/>
          <w:color w:val="auto"/>
        </w:rPr>
      </w:pPr>
      <w:r>
        <w:rPr>
          <w:rFonts w:ascii="Courier New" w:cs="Courier New" w:eastAsia="Courier New" w:hAnsi="Courier New"/>
          <w:sz w:val="16"/>
          <w:szCs w:val="16"/>
          <w:color w:val="auto"/>
        </w:rPr>
        <w:t>In addition, factors that may cause our actual results to differ materially from any of our forward-looking statements presented in this Quarterly Report include, but are not limited to:</w:t>
      </w:r>
    </w:p>
    <w:p>
      <w:pPr>
        <w:spacing w:after="0" w:line="186" w:lineRule="exact"/>
        <w:rPr>
          <w:sz w:val="20"/>
          <w:szCs w:val="20"/>
          <w:color w:val="auto"/>
        </w:rPr>
      </w:pPr>
    </w:p>
    <w:p>
      <w:pPr>
        <w:ind w:left="960" w:hanging="476"/>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industry consolidation and mergers,</w:t>
      </w:r>
    </w:p>
    <w:p>
      <w:pPr>
        <w:spacing w:after="0" w:line="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5" w:lineRule="exact"/>
        <w:rPr>
          <w:rFonts w:ascii="Courier New" w:cs="Courier New" w:eastAsia="Courier New" w:hAnsi="Courier New"/>
          <w:sz w:val="16"/>
          <w:szCs w:val="16"/>
          <w:color w:val="auto"/>
        </w:rPr>
      </w:pPr>
    </w:p>
    <w:p>
      <w:pPr>
        <w:jc w:val="both"/>
        <w:ind w:left="960" w:right="2900" w:hanging="476"/>
        <w:spacing w:after="0" w:line="246"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1" w:lineRule="exact"/>
        <w:rPr>
          <w:rFonts w:ascii="Courier New" w:cs="Courier New" w:eastAsia="Courier New" w:hAnsi="Courier New"/>
          <w:sz w:val="16"/>
          <w:szCs w:val="16"/>
          <w:color w:val="auto"/>
        </w:rPr>
      </w:pPr>
    </w:p>
    <w:p>
      <w:pPr>
        <w:ind w:left="960" w:right="2900" w:hanging="476"/>
        <w:spacing w:after="0" w:line="246"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spacing w:after="0" w:line="1"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ectPr>
          <w:pgSz w:w="11900" w:h="16838" w:orient="portrait"/>
          <w:cols w:equalWidth="0" w:num="1">
            <w:col w:w="10660"/>
          </w:cols>
          <w:pgMar w:left="240" w:top="142" w:right="999" w:bottom="1440" w:gutter="0" w:footer="0" w:header="0"/>
        </w:sectPr>
      </w:pPr>
    </w:p>
    <w:bookmarkStart w:id="2" w:name="page3"/>
    <w:bookmarkEnd w:id="2"/>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00" w:type="dxa"/>
            <w:vAlign w:val="bottom"/>
            <w:gridSpan w:val="2"/>
          </w:tcPr>
          <w:p>
            <w:pPr>
              <w:jc w:val="center"/>
              <w:ind w:left="1359"/>
              <w:spacing w:after="0"/>
              <w:rPr>
                <w:sz w:val="20"/>
                <w:szCs w:val="20"/>
                <w:color w:val="auto"/>
              </w:rPr>
            </w:pPr>
            <w:r>
              <w:rPr>
                <w:rFonts w:ascii="Courier New" w:cs="Courier New" w:eastAsia="Courier New" w:hAnsi="Courier New"/>
                <w:sz w:val="16"/>
                <w:szCs w:val="16"/>
                <w:color w:val="auto"/>
              </w:rPr>
              <w:t>COMCAST HOLDINGS CORPORATION AND SUBSIDIARIES</w:t>
            </w:r>
          </w:p>
        </w:tc>
        <w:tc>
          <w:tcPr>
            <w:tcW w:w="14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6"/>
        </w:trPr>
        <w:tc>
          <w:tcPr>
            <w:tcW w:w="2620" w:type="dxa"/>
            <w:vAlign w:val="bottom"/>
          </w:tcPr>
          <w:p>
            <w:pPr>
              <w:spacing w:after="0"/>
              <w:rPr>
                <w:sz w:val="16"/>
                <w:szCs w:val="16"/>
                <w:color w:val="auto"/>
              </w:rPr>
            </w:pPr>
          </w:p>
        </w:tc>
        <w:tc>
          <w:tcPr>
            <w:tcW w:w="3780" w:type="dxa"/>
            <w:vAlign w:val="bottom"/>
          </w:tcPr>
          <w:p>
            <w:pPr>
              <w:jc w:val="center"/>
              <w:ind w:right="1099"/>
              <w:spacing w:after="0"/>
              <w:rPr>
                <w:sz w:val="20"/>
                <w:szCs w:val="20"/>
                <w:color w:val="auto"/>
              </w:rPr>
            </w:pPr>
            <w:r>
              <w:rPr>
                <w:rFonts w:ascii="Courier New" w:cs="Courier New" w:eastAsia="Courier New" w:hAnsi="Courier New"/>
                <w:sz w:val="16"/>
                <w:szCs w:val="16"/>
                <w:color w:val="auto"/>
              </w:rPr>
              <w:t>FORM 10-Q</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6400" w:type="dxa"/>
            <w:vAlign w:val="bottom"/>
            <w:gridSpan w:val="2"/>
          </w:tcPr>
          <w:p>
            <w:pPr>
              <w:ind w:left="2320"/>
              <w:spacing w:after="0"/>
              <w:rPr>
                <w:sz w:val="20"/>
                <w:szCs w:val="20"/>
                <w:color w:val="auto"/>
              </w:rPr>
            </w:pPr>
            <w:r>
              <w:rPr>
                <w:rFonts w:ascii="Courier New" w:cs="Courier New" w:eastAsia="Courier New" w:hAnsi="Courier New"/>
                <w:sz w:val="16"/>
                <w:szCs w:val="16"/>
                <w:color w:val="auto"/>
              </w:rPr>
              <w:t>QUARTER ENDED SEPTEMBER 30, 2003</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73"/>
        </w:trPr>
        <w:tc>
          <w:tcPr>
            <w:tcW w:w="262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378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78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73"/>
        </w:trPr>
        <w:tc>
          <w:tcPr>
            <w:tcW w:w="26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378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3"/>
        </w:trPr>
        <w:tc>
          <w:tcPr>
            <w:tcW w:w="6400" w:type="dxa"/>
            <w:vAlign w:val="bottom"/>
            <w:gridSpan w:val="2"/>
          </w:tcPr>
          <w:p>
            <w:pPr>
              <w:ind w:left="2140"/>
              <w:spacing w:after="0"/>
              <w:rPr>
                <w:sz w:val="20"/>
                <w:szCs w:val="20"/>
                <w:color w:val="auto"/>
              </w:rPr>
            </w:pPr>
            <w:r>
              <w:rPr>
                <w:rFonts w:ascii="Courier New" w:cs="Courier New" w:eastAsia="Courier New" w:hAnsi="Courier New"/>
                <w:sz w:val="16"/>
                <w:szCs w:val="16"/>
                <w:color w:val="auto"/>
              </w:rPr>
              <w:t>CONDENSED CONSOLIDATED BALANCE SHEET</w:t>
            </w: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6"/>
        </w:trPr>
        <w:tc>
          <w:tcPr>
            <w:tcW w:w="2620" w:type="dxa"/>
            <w:vAlign w:val="bottom"/>
          </w:tcPr>
          <w:p>
            <w:pPr>
              <w:spacing w:after="0"/>
              <w:rPr>
                <w:sz w:val="16"/>
                <w:szCs w:val="16"/>
                <w:color w:val="auto"/>
              </w:rPr>
            </w:pPr>
          </w:p>
        </w:tc>
        <w:tc>
          <w:tcPr>
            <w:tcW w:w="3780" w:type="dxa"/>
            <w:vAlign w:val="bottom"/>
          </w:tcPr>
          <w:p>
            <w:pPr>
              <w:jc w:val="center"/>
              <w:ind w:right="1079"/>
              <w:spacing w:after="0"/>
              <w:rPr>
                <w:sz w:val="20"/>
                <w:szCs w:val="20"/>
                <w:color w:val="auto"/>
              </w:rPr>
            </w:pPr>
            <w:r>
              <w:rPr>
                <w:rFonts w:ascii="Courier New" w:cs="Courier New" w:eastAsia="Courier New" w:hAnsi="Courier New"/>
                <w:sz w:val="16"/>
                <w:szCs w:val="16"/>
                <w:color w:val="auto"/>
              </w:rPr>
              <w:t>(Unaudited)</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73"/>
        </w:trPr>
        <w:tc>
          <w:tcPr>
            <w:tcW w:w="2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(Dollars in millions, except share data)</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September 30,</w:t>
            </w:r>
          </w:p>
        </w:tc>
        <w:tc>
          <w:tcPr>
            <w:tcW w:w="18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2003</w:t>
            </w:r>
          </w:p>
        </w:tc>
        <w:tc>
          <w:tcPr>
            <w:tcW w:w="180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373"/>
        </w:trPr>
        <w:tc>
          <w:tcPr>
            <w:tcW w:w="26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780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$3,213</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$400</w:t>
            </w:r>
          </w:p>
        </w:tc>
      </w:tr>
      <w:tr>
        <w:trPr>
          <w:trHeight w:val="186"/>
        </w:trPr>
        <w:tc>
          <w:tcPr>
            <w:tcW w:w="640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84"/>
              </w:rPr>
              <w:t>Investments................................................................</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1,138</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517</w:t>
            </w:r>
          </w:p>
        </w:tc>
      </w:tr>
      <w:tr>
        <w:trPr>
          <w:trHeight w:val="186"/>
        </w:trPr>
        <w:tc>
          <w:tcPr>
            <w:tcW w:w="780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Accounts receivable, less allowance for doubtful accounts of $82  and $74..</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414</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446</w:t>
            </w:r>
          </w:p>
        </w:tc>
      </w:tr>
      <w:tr>
        <w:trPr>
          <w:trHeight w:val="186"/>
        </w:trPr>
        <w:tc>
          <w:tcPr>
            <w:tcW w:w="640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84"/>
              </w:rPr>
              <w:t>Other current assets.......................................................</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261</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133</w:t>
            </w:r>
          </w:p>
        </w:tc>
      </w:tr>
      <w:tr>
        <w:trPr>
          <w:trHeight w:val="186"/>
        </w:trPr>
        <w:tc>
          <w:tcPr>
            <w:tcW w:w="780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Current assets of discontinued operations..................................</w:t>
            </w:r>
          </w:p>
        </w:tc>
        <w:tc>
          <w:tcPr>
            <w:tcW w:w="164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1,481</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2620" w:type="dxa"/>
            <w:vAlign w:val="bottom"/>
          </w:tcPr>
          <w:p>
            <w:pPr>
              <w:ind w:left="680"/>
              <w:spacing w:after="0"/>
              <w:rPr>
                <w:sz w:val="20"/>
                <w:szCs w:val="20"/>
                <w:color w:val="auto"/>
              </w:rPr>
            </w:pPr>
            <w:r>
              <w:rPr>
                <w:rFonts w:ascii="Courier New" w:cs="Courier New" w:eastAsia="Courier New" w:hAnsi="Courier New"/>
                <w:sz w:val="16"/>
                <w:szCs w:val="16"/>
                <w:color w:val="auto"/>
                <w:w w:val="99"/>
              </w:rPr>
              <w:t>Total current assets</w:t>
            </w:r>
          </w:p>
        </w:tc>
        <w:tc>
          <w:tcPr>
            <w:tcW w:w="51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5,026</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2,977</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7800" w:type="dxa"/>
            <w:vAlign w:val="bottom"/>
            <w:gridSpan w:val="3"/>
          </w:tcPr>
          <w:p>
            <w:pPr>
              <w:spacing w:after="0"/>
              <w:rPr>
                <w:sz w:val="20"/>
                <w:szCs w:val="20"/>
                <w:color w:val="auto"/>
              </w:rPr>
            </w:pPr>
            <w:r>
              <w:rPr>
                <w:rFonts w:ascii="Courier New" w:cs="Courier New" w:eastAsia="Courier New" w:hAnsi="Courier New"/>
                <w:sz w:val="16"/>
                <w:szCs w:val="16"/>
                <w:color w:val="auto"/>
              </w:rPr>
              <w:t>NOTES RECEIVABLE FROM AFFILIATES..............................................</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853</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191</w:t>
            </w: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w w:val="85"/>
              </w:rPr>
              <w:t>DUE FROM AFFILIATES...........................................................</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1,342</w:t>
            </w:r>
          </w:p>
        </w:tc>
        <w:tc>
          <w:tcPr>
            <w:tcW w:w="1800" w:type="dxa"/>
            <w:vAlign w:val="bottom"/>
          </w:tcPr>
          <w:p>
            <w:pPr>
              <w:spacing w:after="0"/>
              <w:rPr>
                <w:sz w:val="16"/>
                <w:szCs w:val="16"/>
                <w:color w:val="auto"/>
              </w:rPr>
            </w:pP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w w:val="85"/>
              </w:rPr>
              <w:t>INVESTMENTS...................................................................</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2,876</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594</w:t>
            </w: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PROPERTY AND EQUIPMENT, net of accumulated depreciation of $4,198</w:t>
            </w: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and  $3,398</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6,513</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6,431</w:t>
            </w: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w w:val="85"/>
              </w:rPr>
              <w:t>FRANCHISE RIGHTS..............................................................</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16,619</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16,611</w:t>
            </w: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w w:val="85"/>
              </w:rPr>
              <w:t>GOODWILL......................................................................</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5,611</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5,611</w:t>
            </w: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OTHER INTANGIBLE ASSETS, net of accumulated amortization of $985</w:t>
            </w: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and $688....</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1,214</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1,311</w:t>
            </w:r>
          </w:p>
        </w:tc>
      </w:tr>
      <w:tr>
        <w:trPr>
          <w:trHeight w:val="186"/>
        </w:trPr>
        <w:tc>
          <w:tcPr>
            <w:tcW w:w="7800" w:type="dxa"/>
            <w:vAlign w:val="bottom"/>
            <w:gridSpan w:val="3"/>
          </w:tcPr>
          <w:p>
            <w:pPr>
              <w:spacing w:after="0"/>
              <w:rPr>
                <w:sz w:val="20"/>
                <w:szCs w:val="20"/>
                <w:color w:val="auto"/>
              </w:rPr>
            </w:pPr>
            <w:r>
              <w:rPr>
                <w:rFonts w:ascii="Courier New" w:cs="Courier New" w:eastAsia="Courier New" w:hAnsi="Courier New"/>
                <w:sz w:val="16"/>
                <w:szCs w:val="16"/>
                <w:color w:val="auto"/>
              </w:rPr>
              <w:t>OTHER NONCURRENT ASSETS, net..................................................</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289</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368</w:t>
            </w:r>
          </w:p>
        </w:tc>
      </w:tr>
      <w:tr>
        <w:trPr>
          <w:trHeight w:val="186"/>
        </w:trPr>
        <w:tc>
          <w:tcPr>
            <w:tcW w:w="7800" w:type="dxa"/>
            <w:vAlign w:val="bottom"/>
            <w:gridSpan w:val="3"/>
          </w:tcPr>
          <w:p>
            <w:pPr>
              <w:spacing w:after="0"/>
              <w:rPr>
                <w:sz w:val="20"/>
                <w:szCs w:val="20"/>
                <w:color w:val="auto"/>
              </w:rPr>
            </w:pPr>
            <w:r>
              <w:rPr>
                <w:rFonts w:ascii="Courier New" w:cs="Courier New" w:eastAsia="Courier New" w:hAnsi="Courier New"/>
                <w:sz w:val="16"/>
                <w:szCs w:val="16"/>
                <w:color w:val="auto"/>
              </w:rPr>
              <w:t>NONCURRENT ASSETS OF DISCONTINUED OPERATIONS..................................</w:t>
            </w:r>
          </w:p>
        </w:tc>
        <w:tc>
          <w:tcPr>
            <w:tcW w:w="164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1,595</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$40,343</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$35,689</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640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84"/>
              </w:rPr>
              <w:t>Accounts payable...........................................................</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$249</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$425</w:t>
            </w:r>
          </w:p>
        </w:tc>
      </w:tr>
      <w:tr>
        <w:trPr>
          <w:trHeight w:val="186"/>
        </w:trPr>
        <w:tc>
          <w:tcPr>
            <w:tcW w:w="780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2,725</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1,425</w:t>
            </w:r>
          </w:p>
        </w:tc>
      </w:tr>
      <w:tr>
        <w:trPr>
          <w:trHeight w:val="186"/>
        </w:trPr>
        <w:tc>
          <w:tcPr>
            <w:tcW w:w="640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84"/>
              </w:rPr>
              <w:t>Due to affiliates..........................................................</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76</w:t>
            </w:r>
          </w:p>
        </w:tc>
      </w:tr>
      <w:tr>
        <w:trPr>
          <w:trHeight w:val="186"/>
        </w:trPr>
        <w:tc>
          <w:tcPr>
            <w:tcW w:w="640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84"/>
              </w:rPr>
              <w:t>Deferred income taxes......................................................</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36</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46</w:t>
            </w:r>
          </w:p>
        </w:tc>
      </w:tr>
      <w:tr>
        <w:trPr>
          <w:trHeight w:val="186"/>
        </w:trPr>
        <w:tc>
          <w:tcPr>
            <w:tcW w:w="780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Current portion of long-term debt..........................................</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375</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23</w:t>
            </w:r>
          </w:p>
        </w:tc>
      </w:tr>
      <w:tr>
        <w:trPr>
          <w:trHeight w:val="186"/>
        </w:trPr>
        <w:tc>
          <w:tcPr>
            <w:tcW w:w="780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Current liabilities of discontinued operations.............................</w:t>
            </w:r>
          </w:p>
        </w:tc>
        <w:tc>
          <w:tcPr>
            <w:tcW w:w="164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816</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780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Total current liabilities..............................................</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3,385</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2,811</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7800" w:type="dxa"/>
            <w:vAlign w:val="bottom"/>
            <w:gridSpan w:val="3"/>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7,941</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9,256</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NOTES PAYABLE TO AFFILIATES</w:t>
            </w:r>
          </w:p>
        </w:tc>
        <w:tc>
          <w:tcPr>
            <w:tcW w:w="518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w w:val="85"/>
              </w:rPr>
              <w:t>DEFERRED INCOME TAXES.........................................................</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8,923</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6,830</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7800" w:type="dxa"/>
            <w:vAlign w:val="bottom"/>
            <w:gridSpan w:val="3"/>
          </w:tcPr>
          <w:p>
            <w:pPr>
              <w:spacing w:after="0"/>
              <w:rPr>
                <w:sz w:val="20"/>
                <w:szCs w:val="20"/>
                <w:color w:val="auto"/>
              </w:rPr>
            </w:pPr>
            <w:r>
              <w:rPr>
                <w:rFonts w:ascii="Courier New" w:cs="Courier New" w:eastAsia="Courier New" w:hAnsi="Courier New"/>
                <w:sz w:val="16"/>
                <w:szCs w:val="16"/>
                <w:color w:val="auto"/>
              </w:rPr>
              <w:t>OTHER NONCURRENT LIABILITIES..................................................</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1,187</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1,216</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w w:val="85"/>
              </w:rPr>
              <w:t>MINORITY INTEREST.............................................................</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295</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266</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NONCURRENT LIABILITIES AND MINORITY INTEREST OF</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640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84"/>
              </w:rPr>
              <w:t>DISCONTINUED OPERATIONS....................................................</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923</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 (NOTE 9)</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780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Preferred stock - authorized 20,000,000 shares; issued, zero...............</w:t>
            </w: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6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Class A common stock, $1.00 par value - authorized,</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780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200,000,000 shares; issued, 21,591,115 ..................................</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w:t>
            </w:r>
          </w:p>
        </w:tc>
      </w:tr>
      <w:tr>
        <w:trPr>
          <w:trHeight w:val="186"/>
        </w:trPr>
        <w:tc>
          <w:tcPr>
            <w:tcW w:w="64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Class A special common stock, $1.00 par value - authorized,</w:t>
            </w:r>
          </w:p>
        </w:tc>
        <w:tc>
          <w:tcPr>
            <w:tcW w:w="1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780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2,500,000,000 shares; issued 916,198,519.................................</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916</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916</w:t>
            </w:r>
          </w:p>
        </w:tc>
      </w:tr>
      <w:tr>
        <w:trPr>
          <w:trHeight w:val="186"/>
        </w:trPr>
        <w:tc>
          <w:tcPr>
            <w:tcW w:w="780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Class B common stock, $1.00 par value - authorized, 50,000,000 shares;</w:t>
            </w:r>
          </w:p>
        </w:tc>
        <w:tc>
          <w:tcPr>
            <w:tcW w:w="16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6"/>
        </w:trPr>
        <w:tc>
          <w:tcPr>
            <w:tcW w:w="640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84"/>
              </w:rPr>
              <w:t>issued, 9,444,375 .......................................................</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w:t>
            </w:r>
          </w:p>
        </w:tc>
      </w:tr>
      <w:tr>
        <w:trPr>
          <w:trHeight w:val="186"/>
        </w:trPr>
        <w:tc>
          <w:tcPr>
            <w:tcW w:w="640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84"/>
              </w:rPr>
              <w:t>Additional capital.........................................................</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12,331</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11,818</w:t>
            </w:r>
          </w:p>
        </w:tc>
      </w:tr>
      <w:tr>
        <w:trPr>
          <w:trHeight w:val="186"/>
        </w:trPr>
        <w:tc>
          <w:tcPr>
            <w:tcW w:w="640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84"/>
              </w:rPr>
              <w:t>Retained earnings..........................................................</w:t>
            </w: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5,311</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1,595</w:t>
            </w:r>
          </w:p>
        </w:tc>
      </w:tr>
      <w:tr>
        <w:trPr>
          <w:trHeight w:val="186"/>
        </w:trPr>
        <w:tc>
          <w:tcPr>
            <w:tcW w:w="780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780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Total stockholders' equity.............................................</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18,563</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14,365</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$40,343</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$35,689</w:t>
            </w:r>
          </w:p>
        </w:tc>
      </w:tr>
      <w:tr>
        <w:trPr>
          <w:trHeight w:val="186"/>
        </w:trPr>
        <w:tc>
          <w:tcPr>
            <w:tcW w:w="2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bl>
    <w:p>
      <w:pPr>
        <w:sectPr>
          <w:pgSz w:w="11900" w:h="16898" w:orient="portrait"/>
          <w:cols w:equalWidth="0" w:num="1">
            <w:col w:w="11240"/>
          </w:cols>
          <w:pgMar w:left="240" w:top="1421" w:right="419"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9159"/>
          </w:cols>
          <w:pgMar w:left="130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159"/>
          </w:cols>
          <w:pgMar w:left="1300" w:top="142" w:right="1440" w:bottom="1440" w:gutter="0" w:footer="0" w:header="0"/>
          <w:type w:val="continuous"/>
        </w:sectPr>
      </w:pPr>
    </w:p>
    <w:bookmarkStart w:id="4" w:name="page5"/>
    <w:bookmarkEnd w:id="4"/>
    <w:p>
      <w:pPr>
        <w:jc w:val="center"/>
        <w:ind w:right="368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CONDENSED CONSOLIDATED STATEMENT OF OPERATIONS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20" w:type="dxa"/>
            <w:vAlign w:val="bottom"/>
          </w:tcPr>
          <w:p>
            <w:pPr>
              <w:jc w:val="right"/>
              <w:ind w:right="2779"/>
              <w:spacing w:after="0"/>
              <w:rPr>
                <w:sz w:val="20"/>
                <w:szCs w:val="20"/>
                <w:color w:val="auto"/>
              </w:rPr>
            </w:pPr>
            <w:r>
              <w:rPr>
                <w:rFonts w:ascii="Courier New" w:cs="Courier New" w:eastAsia="Courier New" w:hAnsi="Courier New"/>
                <w:sz w:val="16"/>
                <w:szCs w:val="16"/>
                <w:color w:val="auto"/>
              </w:rPr>
              <w:t>(Unaudited)</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3"/>
        </w:trPr>
        <w:tc>
          <w:tcPr>
            <w:tcW w:w="7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w w:val="99"/>
              </w:rPr>
              <w:t>(Dollars in millions)</w:t>
            </w:r>
          </w:p>
        </w:tc>
        <w:tc>
          <w:tcPr>
            <w:tcW w:w="1000" w:type="dxa"/>
            <w:vAlign w:val="bottom"/>
          </w:tcPr>
          <w:p>
            <w:pPr>
              <w:spacing w:after="0"/>
              <w:rPr>
                <w:sz w:val="24"/>
                <w:szCs w:val="24"/>
                <w:color w:val="auto"/>
              </w:rPr>
            </w:pPr>
          </w:p>
        </w:tc>
      </w:tr>
      <w:tr>
        <w:trPr>
          <w:trHeight w:val="186"/>
        </w:trPr>
        <w:tc>
          <w:tcPr>
            <w:tcW w:w="7320" w:type="dxa"/>
            <w:vAlign w:val="bottom"/>
          </w:tcPr>
          <w:p>
            <w:pPr>
              <w:spacing w:after="0"/>
              <w:rPr>
                <w:sz w:val="16"/>
                <w:szCs w:val="16"/>
                <w:color w:val="auto"/>
              </w:rPr>
            </w:pPr>
          </w:p>
        </w:tc>
        <w:tc>
          <w:tcPr>
            <w:tcW w:w="21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Three Months Ended</w:t>
            </w:r>
          </w:p>
        </w:tc>
        <w:tc>
          <w:tcPr>
            <w:tcW w:w="20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7320" w:type="dxa"/>
            <w:vAlign w:val="bottom"/>
          </w:tcPr>
          <w:p>
            <w:pPr>
              <w:spacing w:after="0"/>
              <w:rPr>
                <w:sz w:val="16"/>
                <w:szCs w:val="16"/>
                <w:color w:val="auto"/>
              </w:rPr>
            </w:pPr>
          </w:p>
        </w:tc>
        <w:tc>
          <w:tcPr>
            <w:tcW w:w="212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September 30,</w:t>
            </w:r>
          </w:p>
        </w:tc>
        <w:tc>
          <w:tcPr>
            <w:tcW w:w="208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7320" w:type="dxa"/>
            <w:vAlign w:val="bottom"/>
          </w:tcPr>
          <w:p>
            <w:pPr>
              <w:spacing w:after="0"/>
              <w:rPr>
                <w:sz w:val="16"/>
                <w:szCs w:val="16"/>
                <w:color w:val="auto"/>
              </w:rPr>
            </w:pPr>
          </w:p>
        </w:tc>
        <w:tc>
          <w:tcPr>
            <w:tcW w:w="10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2003</w:t>
            </w:r>
          </w:p>
        </w:tc>
        <w:tc>
          <w:tcPr>
            <w:tcW w:w="11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2003</w:t>
            </w:r>
          </w:p>
        </w:tc>
        <w:tc>
          <w:tcPr>
            <w:tcW w:w="10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73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7320" w:type="dxa"/>
            <w:vAlign w:val="bottom"/>
          </w:tcPr>
          <w:p>
            <w:pPr>
              <w:spacing w:after="0"/>
              <w:rPr>
                <w:sz w:val="20"/>
                <w:szCs w:val="20"/>
                <w:color w:val="auto"/>
              </w:rPr>
            </w:pPr>
            <w:r>
              <w:rPr>
                <w:rFonts w:ascii="Courier New" w:cs="Courier New" w:eastAsia="Courier New" w:hAnsi="Courier New"/>
                <w:sz w:val="16"/>
                <w:szCs w:val="16"/>
                <w:color w:val="auto"/>
              </w:rPr>
              <w:t>SERVICE REVENUES...........................................................</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$1,882</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$1,698</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$5,703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$5,102</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Operating (excluding depreciation).....................................</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661</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597</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2,054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1,831</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491</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459</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1,469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1,340</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330</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321</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965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957</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r>
        <w:trPr>
          <w:trHeight w:val="186"/>
        </w:trPr>
        <w:tc>
          <w:tcPr>
            <w:tcW w:w="73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1,531</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1,427</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4,624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4,262</w:t>
            </w:r>
          </w:p>
        </w:tc>
      </w:tr>
      <w:tr>
        <w:trPr>
          <w:trHeight w:val="186"/>
        </w:trPr>
        <w:tc>
          <w:tcPr>
            <w:tcW w:w="73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351</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271</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1,079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840</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(161)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(535)</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 (expense) on affiliate notes, net......................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110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w:t>
            </w:r>
          </w:p>
        </w:tc>
        <w:tc>
          <w:tcPr>
            <w:tcW w:w="1000" w:type="dxa"/>
            <w:vAlign w:val="bottom"/>
          </w:tcPr>
          <w:p>
            <w:pPr>
              <w:spacing w:after="0"/>
              <w:rPr>
                <w:sz w:val="16"/>
                <w:szCs w:val="16"/>
                <w:color w:val="auto"/>
              </w:rPr>
            </w:pP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Investment loss, net...................................................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(166)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(702)</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6"/>
        </w:trPr>
        <w:tc>
          <w:tcPr>
            <w:tcW w:w="73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(353)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(740)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(1,304)</w:t>
            </w:r>
          </w:p>
        </w:tc>
      </w:tr>
      <w:tr>
        <w:trPr>
          <w:trHeight w:val="186"/>
        </w:trPr>
        <w:tc>
          <w:tcPr>
            <w:tcW w:w="73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320" w:type="dxa"/>
            <w:vAlign w:val="bottom"/>
          </w:tcPr>
          <w:p>
            <w:pPr>
              <w:spacing w:after="0"/>
              <w:rPr>
                <w:sz w:val="20"/>
                <w:szCs w:val="20"/>
                <w:color w:val="auto"/>
              </w:rPr>
            </w:pPr>
            <w:r>
              <w:rPr>
                <w:rFonts w:ascii="Courier New" w:cs="Courier New" w:eastAsia="Courier New" w:hAnsi="Courier New"/>
                <w:sz w:val="16"/>
                <w:szCs w:val="16"/>
                <w:color w:val="auto"/>
              </w:rPr>
              <w:t>(LOSS) INCOME FROM CONTINUING OPERATIONS BEFORE INCOME TAXES AND</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(464)</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INCOME TAX BENEFIT (EXPENSE)...............................................</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123</w:t>
            </w:r>
          </w:p>
        </w:tc>
      </w:tr>
      <w:tr>
        <w:trPr>
          <w:trHeight w:val="186"/>
        </w:trPr>
        <w:tc>
          <w:tcPr>
            <w:tcW w:w="73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 BEFORE MINORITY INTEREST..........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291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(341)</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6"/>
        </w:trPr>
        <w:tc>
          <w:tcPr>
            <w:tcW w:w="73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(364)</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INCOME FROM DISCONTINUED OPERATIONS, net of tax............................</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141</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GAIN ON DISCONTINUED OPERATIONS, net of tax................................</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3,290</w:t>
            </w:r>
          </w:p>
        </w:tc>
        <w:tc>
          <w:tcPr>
            <w:tcW w:w="1100" w:type="dxa"/>
            <w:vAlign w:val="bottom"/>
          </w:tcPr>
          <w:p>
            <w:pPr>
              <w:spacing w:after="0"/>
              <w:rPr>
                <w:sz w:val="16"/>
                <w:szCs w:val="16"/>
                <w:color w:val="auto"/>
              </w:rPr>
            </w:pP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3,290</w:t>
            </w:r>
          </w:p>
        </w:tc>
        <w:tc>
          <w:tcPr>
            <w:tcW w:w="1000" w:type="dxa"/>
            <w:vAlign w:val="bottom"/>
          </w:tcPr>
          <w:p>
            <w:pPr>
              <w:spacing w:after="0"/>
              <w:rPr>
                <w:sz w:val="16"/>
                <w:szCs w:val="16"/>
                <w:color w:val="auto"/>
              </w:rPr>
            </w:pPr>
          </w:p>
        </w:tc>
      </w:tr>
      <w:tr>
        <w:trPr>
          <w:trHeight w:val="186"/>
        </w:trPr>
        <w:tc>
          <w:tcPr>
            <w:tcW w:w="73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$3,397</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$76</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$3,716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r>
        <w:trPr>
          <w:trHeight w:val="186"/>
        </w:trPr>
        <w:tc>
          <w:tcPr>
            <w:tcW w:w="73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1421" w:right="139" w:bottom="1440" w:gutter="0" w:footer="0" w:header="0"/>
        </w:sectPr>
      </w:pPr>
    </w:p>
    <w:bookmarkStart w:id="5" w:name="page6"/>
    <w:bookmarkEnd w:id="5"/>
    <w:p>
      <w:pPr>
        <w:spacing w:after="0" w:line="227"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20" w:type="dxa"/>
            <w:vAlign w:val="bottom"/>
          </w:tcPr>
          <w:p>
            <w:pPr>
              <w:jc w:val="right"/>
              <w:ind w:right="2679"/>
              <w:spacing w:after="0"/>
              <w:rPr>
                <w:sz w:val="20"/>
                <w:szCs w:val="20"/>
                <w:color w:val="auto"/>
              </w:rPr>
            </w:pPr>
            <w:r>
              <w:rPr>
                <w:rFonts w:ascii="Courier New" w:cs="Courier New" w:eastAsia="Courier New" w:hAnsi="Courier New"/>
                <w:sz w:val="16"/>
                <w:szCs w:val="16"/>
                <w:color w:val="auto"/>
              </w:rPr>
              <w:t>(Unaudited)</w:t>
            </w: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559"/>
        </w:trPr>
        <w:tc>
          <w:tcPr>
            <w:tcW w:w="7220" w:type="dxa"/>
            <w:vAlign w:val="bottom"/>
          </w:tcPr>
          <w:p>
            <w:pPr>
              <w:spacing w:after="0"/>
              <w:rPr>
                <w:sz w:val="24"/>
                <w:szCs w:val="24"/>
                <w:color w:val="auto"/>
              </w:rPr>
            </w:pPr>
          </w:p>
        </w:tc>
        <w:tc>
          <w:tcPr>
            <w:tcW w:w="2860" w:type="dxa"/>
            <w:vAlign w:val="bottom"/>
            <w:gridSpan w:val="2"/>
          </w:tcPr>
          <w:p>
            <w:pPr>
              <w:jc w:val="center"/>
              <w:ind w:right="59"/>
              <w:spacing w:after="0"/>
              <w:rPr>
                <w:sz w:val="20"/>
                <w:szCs w:val="20"/>
                <w:color w:val="auto"/>
              </w:rPr>
            </w:pPr>
            <w:r>
              <w:rPr>
                <w:rFonts w:ascii="Courier New" w:cs="Courier New" w:eastAsia="Courier New" w:hAnsi="Courier New"/>
                <w:sz w:val="16"/>
                <w:szCs w:val="16"/>
                <w:color w:val="auto"/>
              </w:rPr>
              <w:t>(Dollars in millions)</w:t>
            </w:r>
          </w:p>
        </w:tc>
      </w:tr>
      <w:tr>
        <w:trPr>
          <w:trHeight w:val="186"/>
        </w:trPr>
        <w:tc>
          <w:tcPr>
            <w:tcW w:w="7220" w:type="dxa"/>
            <w:vAlign w:val="bottom"/>
          </w:tcPr>
          <w:p>
            <w:pPr>
              <w:spacing w:after="0"/>
              <w:rPr>
                <w:sz w:val="16"/>
                <w:szCs w:val="16"/>
                <w:color w:val="auto"/>
              </w:rPr>
            </w:pPr>
          </w:p>
        </w:tc>
        <w:tc>
          <w:tcPr>
            <w:tcW w:w="2860" w:type="dxa"/>
            <w:vAlign w:val="bottom"/>
            <w:gridSpan w:val="2"/>
          </w:tcPr>
          <w:p>
            <w:pPr>
              <w:jc w:val="center"/>
              <w:ind w:right="5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7220" w:type="dxa"/>
            <w:vAlign w:val="bottom"/>
          </w:tcPr>
          <w:p>
            <w:pPr>
              <w:spacing w:after="0"/>
              <w:rPr>
                <w:sz w:val="16"/>
                <w:szCs w:val="16"/>
                <w:color w:val="auto"/>
              </w:rPr>
            </w:pPr>
          </w:p>
        </w:tc>
        <w:tc>
          <w:tcPr>
            <w:tcW w:w="2860" w:type="dxa"/>
            <w:vAlign w:val="bottom"/>
            <w:gridSpan w:val="2"/>
          </w:tcPr>
          <w:p>
            <w:pPr>
              <w:jc w:val="center"/>
              <w:ind w:right="7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2003</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220" w:type="dxa"/>
            <w:vAlign w:val="bottom"/>
          </w:tcPr>
          <w:p>
            <w:pPr>
              <w:jc w:val="right"/>
              <w:ind w:right="5199"/>
              <w:spacing w:after="0"/>
              <w:rPr>
                <w:sz w:val="20"/>
                <w:szCs w:val="20"/>
                <w:color w:val="auto"/>
              </w:rPr>
            </w:pPr>
            <w:r>
              <w:rPr>
                <w:rFonts w:ascii="Courier New" w:cs="Courier New" w:eastAsia="Courier New" w:hAnsi="Courier New"/>
                <w:sz w:val="16"/>
                <w:szCs w:val="16"/>
                <w:color w:val="auto"/>
                <w:w w:val="99"/>
              </w:rPr>
              <w:t>OPERATING ACTIVITIES</w:t>
            </w:r>
          </w:p>
        </w:tc>
        <w:tc>
          <w:tcPr>
            <w:tcW w:w="13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$3,716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Income from discontinued operations....................................</w:t>
            </w: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(141)</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Gain on discontinued operations........................................</w:t>
            </w: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(3,290)</w:t>
            </w:r>
          </w:p>
        </w:tc>
        <w:tc>
          <w:tcPr>
            <w:tcW w:w="1500" w:type="dxa"/>
            <w:vAlign w:val="bottom"/>
          </w:tcPr>
          <w:p>
            <w:pPr>
              <w:spacing w:after="0"/>
              <w:rPr>
                <w:sz w:val="16"/>
                <w:szCs w:val="16"/>
                <w:color w:val="auto"/>
              </w:rPr>
            </w:pP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(364)</w:t>
            </w:r>
          </w:p>
        </w:tc>
      </w:tr>
      <w:tr>
        <w:trPr>
          <w:trHeight w:val="373"/>
        </w:trPr>
        <w:tc>
          <w:tcPr>
            <w:tcW w:w="858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Adjustments to reconcile income (loss) from continuing operations to net cash</w:t>
            </w:r>
          </w:p>
        </w:tc>
        <w:tc>
          <w:tcPr>
            <w:tcW w:w="1500" w:type="dxa"/>
            <w:vAlign w:val="bottom"/>
          </w:tcPr>
          <w:p>
            <w:pPr>
              <w:spacing w:after="0"/>
              <w:rPr>
                <w:sz w:val="24"/>
                <w:szCs w:val="24"/>
                <w:color w:val="auto"/>
              </w:rPr>
            </w:pPr>
          </w:p>
        </w:tc>
      </w:tr>
      <w:tr>
        <w:trPr>
          <w:trHeight w:val="186"/>
        </w:trPr>
        <w:tc>
          <w:tcPr>
            <w:tcW w:w="7220" w:type="dxa"/>
            <w:vAlign w:val="bottom"/>
          </w:tcPr>
          <w:p>
            <w:pPr>
              <w:ind w:left="480"/>
              <w:spacing w:after="0"/>
              <w:rPr>
                <w:sz w:val="20"/>
                <w:szCs w:val="20"/>
                <w:color w:val="auto"/>
              </w:rPr>
            </w:pPr>
            <w:r>
              <w:rPr>
                <w:rFonts w:ascii="Courier New" w:cs="Courier New" w:eastAsia="Courier New" w:hAnsi="Courier New"/>
                <w:sz w:val="16"/>
                <w:szCs w:val="16"/>
                <w:color w:val="auto"/>
              </w:rPr>
              <w:t>provided by operating activities from continuing operations:</w:t>
            </w:r>
          </w:p>
        </w:tc>
        <w:tc>
          <w:tcPr>
            <w:tcW w:w="13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965</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957</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136</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Non-cash interest expense, net.......................................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Losses (gains) on investments and other (income) expense, net........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213</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733</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taxes................................................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sales of trading securities............................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85</w:t>
            </w:r>
          </w:p>
        </w:tc>
        <w:tc>
          <w:tcPr>
            <w:tcW w:w="1500" w:type="dxa"/>
            <w:vAlign w:val="bottom"/>
          </w:tcPr>
          <w:p>
            <w:pPr>
              <w:spacing w:after="0"/>
              <w:rPr>
                <w:sz w:val="16"/>
                <w:szCs w:val="16"/>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1,887</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1,454</w:t>
            </w:r>
          </w:p>
        </w:tc>
      </w:tr>
      <w:tr>
        <w:trPr>
          <w:trHeight w:val="186"/>
        </w:trPr>
        <w:tc>
          <w:tcPr>
            <w:tcW w:w="7220" w:type="dxa"/>
            <w:vAlign w:val="bottom"/>
          </w:tcPr>
          <w:p>
            <w:pPr>
              <w:ind w:left="480"/>
              <w:spacing w:after="0"/>
              <w:rPr>
                <w:sz w:val="20"/>
                <w:szCs w:val="20"/>
                <w:color w:val="auto"/>
              </w:rPr>
            </w:pPr>
            <w:r>
              <w:rPr>
                <w:rFonts w:ascii="Courier New" w:cs="Courier New" w:eastAsia="Courier New" w:hAnsi="Courier New"/>
                <w:sz w:val="16"/>
                <w:szCs w:val="16"/>
                <w:color w:val="auto"/>
              </w:rPr>
              <w:t>Changes in working capital, net of effects of acquisitions and</w:t>
            </w:r>
          </w:p>
        </w:tc>
        <w:tc>
          <w:tcPr>
            <w:tcW w:w="13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7220" w:type="dxa"/>
            <w:vAlign w:val="bottom"/>
          </w:tcPr>
          <w:p>
            <w:pPr>
              <w:ind w:left="480"/>
              <w:spacing w:after="0"/>
              <w:rPr>
                <w:sz w:val="20"/>
                <w:szCs w:val="20"/>
                <w:color w:val="auto"/>
              </w:rPr>
            </w:pPr>
            <w:r>
              <w:rPr>
                <w:rFonts w:ascii="Courier New" w:cs="Courier New" w:eastAsia="Courier New" w:hAnsi="Courier New"/>
                <w:sz w:val="16"/>
                <w:szCs w:val="16"/>
                <w:color w:val="auto"/>
              </w:rPr>
              <w:t>divestitures:</w:t>
            </w:r>
          </w:p>
        </w:tc>
        <w:tc>
          <w:tcPr>
            <w:tcW w:w="13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Decrease in accounts receivable, net................................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Increase in other current assets....................................</w:t>
            </w: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7220" w:type="dxa"/>
            <w:vAlign w:val="bottom"/>
          </w:tcPr>
          <w:p>
            <w:pPr>
              <w:ind w:left="580"/>
              <w:spacing w:after="0"/>
              <w:rPr>
                <w:sz w:val="20"/>
                <w:szCs w:val="20"/>
                <w:color w:val="auto"/>
              </w:rPr>
            </w:pPr>
            <w:r>
              <w:rPr>
                <w:rFonts w:ascii="Courier New" w:cs="Courier New" w:eastAsia="Courier New" w:hAnsi="Courier New"/>
                <w:sz w:val="16"/>
                <w:szCs w:val="16"/>
                <w:color w:val="auto"/>
              </w:rPr>
              <w:t>Increase in accounts payable, accrued expenses and other</w:t>
            </w:r>
          </w:p>
        </w:tc>
        <w:tc>
          <w:tcPr>
            <w:tcW w:w="13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current liabilities................................................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284</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183</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179</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189</w:t>
            </w:r>
          </w:p>
        </w:tc>
      </w:tr>
      <w:tr>
        <w:trPr>
          <w:trHeight w:val="373"/>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operating activities from continuing operations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2,066</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1,643</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7220" w:type="dxa"/>
            <w:vAlign w:val="bottom"/>
          </w:tcPr>
          <w:p>
            <w:pPr>
              <w:jc w:val="right"/>
              <w:ind w:right="5199"/>
              <w:spacing w:after="0"/>
              <w:rPr>
                <w:sz w:val="20"/>
                <w:szCs w:val="20"/>
                <w:color w:val="auto"/>
              </w:rPr>
            </w:pPr>
            <w:r>
              <w:rPr>
                <w:rFonts w:ascii="Courier New" w:cs="Courier New" w:eastAsia="Courier New" w:hAnsi="Courier New"/>
                <w:sz w:val="16"/>
                <w:szCs w:val="16"/>
                <w:color w:val="auto"/>
                <w:w w:val="99"/>
              </w:rPr>
              <w:t>FINANCING ACTIVITIES</w:t>
            </w: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Proceeds from borrowings...............................................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1,260</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876</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Retirements and repayments of debt.....................................</w:t>
            </w: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(2,293)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(1,801)</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Net transactions with affiliates.......................................</w:t>
            </w: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(1,430)</w:t>
            </w:r>
          </w:p>
        </w:tc>
        <w:tc>
          <w:tcPr>
            <w:tcW w:w="1500" w:type="dxa"/>
            <w:vAlign w:val="bottom"/>
          </w:tcPr>
          <w:p>
            <w:pPr>
              <w:spacing w:after="0"/>
              <w:rPr>
                <w:sz w:val="16"/>
                <w:szCs w:val="16"/>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Capital contribution from parent.......................................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467</w:t>
            </w:r>
          </w:p>
        </w:tc>
        <w:tc>
          <w:tcPr>
            <w:tcW w:w="1500" w:type="dxa"/>
            <w:vAlign w:val="bottom"/>
          </w:tcPr>
          <w:p>
            <w:pPr>
              <w:spacing w:after="0"/>
              <w:rPr>
                <w:sz w:val="16"/>
                <w:szCs w:val="16"/>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Proceeds from notes payable to affiliates..............................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w:t>
            </w:r>
          </w:p>
        </w:tc>
        <w:tc>
          <w:tcPr>
            <w:tcW w:w="1500" w:type="dxa"/>
            <w:vAlign w:val="bottom"/>
          </w:tcPr>
          <w:p>
            <w:pPr>
              <w:spacing w:after="0"/>
              <w:rPr>
                <w:sz w:val="16"/>
                <w:szCs w:val="16"/>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financing activities from continuing operations....</w:t>
            </w: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(1,969)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(855)</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7220" w:type="dxa"/>
            <w:vAlign w:val="bottom"/>
          </w:tcPr>
          <w:p>
            <w:pPr>
              <w:jc w:val="right"/>
              <w:ind w:right="5199"/>
              <w:spacing w:after="0"/>
              <w:rPr>
                <w:sz w:val="20"/>
                <w:szCs w:val="20"/>
                <w:color w:val="auto"/>
              </w:rPr>
            </w:pPr>
            <w:r>
              <w:rPr>
                <w:rFonts w:ascii="Courier New" w:cs="Courier New" w:eastAsia="Courier New" w:hAnsi="Courier New"/>
                <w:sz w:val="16"/>
                <w:szCs w:val="16"/>
                <w:color w:val="auto"/>
                <w:w w:val="99"/>
              </w:rPr>
              <w:t>INVESTING ACTIVITIES</w:t>
            </w: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Acquisitions, net of cash acquired.....................................</w:t>
            </w: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sales of (purchases of) short-term investments, net......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Increase in notes receivable from affiliates...........................</w:t>
            </w: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(662)</w:t>
            </w:r>
          </w:p>
        </w:tc>
        <w:tc>
          <w:tcPr>
            <w:tcW w:w="1500" w:type="dxa"/>
            <w:vAlign w:val="bottom"/>
          </w:tcPr>
          <w:p>
            <w:pPr>
              <w:spacing w:after="0"/>
              <w:rPr>
                <w:sz w:val="16"/>
                <w:szCs w:val="16"/>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 of discontinued operations..........................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1,350</w:t>
            </w:r>
          </w:p>
        </w:tc>
        <w:tc>
          <w:tcPr>
            <w:tcW w:w="1500" w:type="dxa"/>
            <w:vAlign w:val="bottom"/>
          </w:tcPr>
          <w:p>
            <w:pPr>
              <w:spacing w:after="0"/>
              <w:rPr>
                <w:sz w:val="16"/>
                <w:szCs w:val="16"/>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sales of Liberty Notes...................................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3,000</w:t>
            </w:r>
          </w:p>
        </w:tc>
        <w:tc>
          <w:tcPr>
            <w:tcW w:w="1500" w:type="dxa"/>
            <w:vAlign w:val="bottom"/>
          </w:tcPr>
          <w:p>
            <w:pPr>
              <w:spacing w:after="0"/>
              <w:rPr>
                <w:sz w:val="16"/>
                <w:szCs w:val="16"/>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Proceeds from sales of investments.....................................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213</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734</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Purchases of investments...............................................</w:t>
            </w: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Capital expenditures...................................................</w:t>
            </w: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(1,038)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(1,035)</w:t>
            </w: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Additions to intangible and other noncurrent assets....................</w:t>
            </w:r>
          </w:p>
        </w:tc>
        <w:tc>
          <w:tcPr>
            <w:tcW w:w="13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(231)</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7220" w:type="dxa"/>
            <w:vAlign w:val="bottom"/>
          </w:tcPr>
          <w:p>
            <w:pPr>
              <w:ind w:left="580"/>
              <w:spacing w:after="0"/>
              <w:rPr>
                <w:sz w:val="20"/>
                <w:szCs w:val="20"/>
                <w:color w:val="auto"/>
              </w:rPr>
            </w:pPr>
            <w:r>
              <w:rPr>
                <w:rFonts w:ascii="Courier New" w:cs="Courier New" w:eastAsia="Courier New" w:hAnsi="Courier New"/>
                <w:sz w:val="16"/>
                <w:szCs w:val="16"/>
                <w:color w:val="auto"/>
              </w:rPr>
              <w:t>Net cash provided by (used in) investing activities from continuing</w:t>
            </w: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operations .....................................................</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2,716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(592)</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INCREASE IN CASH AND CASH EQUIVALENTS.....................................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2,813</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w:t>
            </w:r>
          </w:p>
        </w:tc>
      </w:tr>
      <w:tr>
        <w:trPr>
          <w:trHeight w:val="373"/>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400</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214</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722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end of period..................................</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$3,213</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$410</w:t>
            </w:r>
          </w:p>
        </w:tc>
      </w:tr>
      <w:tr>
        <w:trPr>
          <w:trHeight w:val="186"/>
        </w:trPr>
        <w:tc>
          <w:tcPr>
            <w:tcW w:w="7220" w:type="dxa"/>
            <w:vAlign w:val="bottom"/>
          </w:tcPr>
          <w:p>
            <w:pPr>
              <w:spacing w:after="0"/>
              <w:rPr>
                <w:sz w:val="16"/>
                <w:szCs w:val="16"/>
                <w:color w:val="auto"/>
              </w:rPr>
            </w:pP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97" w:orient="portrait"/>
          <w:cols w:equalWidth="0" w:num="1">
            <w:col w:w="10219"/>
          </w:cols>
          <w:pgMar w:left="240" w:top="1440" w:right="1440" w:bottom="0" w:gutter="0" w:footer="0" w:header="0"/>
        </w:sectPr>
      </w:pPr>
    </w:p>
    <w:bookmarkStart w:id="6" w:name="page7"/>
    <w:bookmarkEnd w:id="6"/>
    <w:p>
      <w:pPr>
        <w:ind w:left="25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887" w:right="1440" w:bottom="1440" w:gutter="0" w:footer="0" w:header="0"/>
        </w:sectPr>
      </w:pPr>
    </w:p>
    <w:bookmarkStart w:id="7" w:name="page8"/>
    <w:bookmarkEnd w:id="7"/>
    <w:p>
      <w:pPr>
        <w:jc w:val="center"/>
        <w:ind w:right="235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 CONDENSED CONSOLIDATED FINANCIAL STATEMENTS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Basis of Presentation</w:t>
      </w:r>
    </w:p>
    <w:p>
      <w:pPr>
        <w:spacing w:after="0" w:line="5"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Comcast Holdings Corporation ("Comcast Holdings") and its subsidiaries (the "Company") has prepared these unaudited condensed consolidated financial statements based upon Securities and Exchange Commission ("SEC") rules that permit reduced disclosure for interim periods. The Company is an indirect wholly owned subsidiary of Comcast Corporation ("Comcast").</w:t>
      </w:r>
    </w:p>
    <w:p>
      <w:pPr>
        <w:spacing w:after="0" w:line="185"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85"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For a more complete discussion of the Company's accounting policies and certain other information, refer to the financial statements included in the Company's Annual Report on Form 10-K for the year ended December 31, 2002.</w:t>
      </w:r>
    </w:p>
    <w:p>
      <w:pPr>
        <w:spacing w:after="0" w:line="186"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On September 17, 2003, the Company completed the sale of its approximate 57% interest in QVC, Inc. ("QVC"). Accordingly, QVC has been presented as a discontinued operation pursuant to Statement of Financial Accounting Standards ("SFAS") No. 144, "Accounting for the Impairment or Disposal of Long-Lived Assets" (see Note 3).</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Reclassifications</w:t>
      </w:r>
    </w:p>
    <w:p>
      <w:pPr>
        <w:spacing w:after="0" w:line="5" w:lineRule="exact"/>
        <w:rPr>
          <w:sz w:val="20"/>
          <w:szCs w:val="20"/>
          <w:color w:val="auto"/>
        </w:rPr>
      </w:pPr>
    </w:p>
    <w:p>
      <w:pPr>
        <w:jc w:val="both"/>
        <w:ind w:left="1" w:right="2459"/>
        <w:spacing w:after="0" w:line="248" w:lineRule="auto"/>
        <w:rPr>
          <w:sz w:val="20"/>
          <w:szCs w:val="20"/>
          <w:color w:val="auto"/>
        </w:rPr>
      </w:pPr>
      <w:r>
        <w:rPr>
          <w:rFonts w:ascii="Courier New" w:cs="Courier New" w:eastAsia="Courier New" w:hAnsi="Courier New"/>
          <w:sz w:val="16"/>
          <w:szCs w:val="16"/>
          <w:color w:val="auto"/>
        </w:rPr>
        <w:t>Certain reclassifications have been made to the prior year financial statements to conform to those classifications used in 2003.</w:t>
      </w:r>
    </w:p>
    <w:p>
      <w:pPr>
        <w:spacing w:after="0" w:line="184" w:lineRule="exact"/>
        <w:rPr>
          <w:sz w:val="20"/>
          <w:szCs w:val="20"/>
          <w:color w:val="auto"/>
        </w:rPr>
      </w:pPr>
    </w:p>
    <w:p>
      <w:pPr>
        <w:ind w:left="1" w:right="6819" w:hanging="1"/>
        <w:spacing w:after="0" w:line="493" w:lineRule="auto"/>
        <w:tabs>
          <w:tab w:leader="none" w:pos="29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 ACCOUNTING PRONOUNCEMENTS SFAS No. 143</w:t>
      </w:r>
    </w:p>
    <w:p>
      <w:pPr>
        <w:spacing w:after="0" w:line="1"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The Financial Accounting Standards Board ("FASB") issued SFAS No. 143, "Accounting for Asset Retirement Obligations," in June 2001. SFAS No. 143 addresses financial accounting and reporting for obligations associated with the retirement of tangible long-lived assets and the associated asset retirement costs. The Company adopted SFAS No. 143 on January 1, 2003, in accordance with the new statement. The adoption of SFAS No. 143 had no impact on the Company's financial condition or results of operations.</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SFAS No. 148</w:t>
      </w:r>
    </w:p>
    <w:p>
      <w:pPr>
        <w:spacing w:after="0" w:line="5"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The FASB issued SFAS No. 148, "Accounting for Stock-Based Compensation - Transition and Disclosure," in December 2002. SFAS No. 148 amends SFAS No. 123 to provide alternative methods of transition for an entity that voluntarily changes to the fair value based method of accounting for stock-based employee compensation. SFAS No. 148 also amends the disclosure provisions of SFAS No. 123 to require disclosure about the effects on reported net income of an entity's stock-based employee compensation in interim financial statements. SFAS No. 148 is effective for fiscal years beginning after December 31, 2002. The Company adopted SFAS No. 148 on January 1, 2003. The Company did not change to the fair value based method of accounting for stock-based employee compensation. Accordingly, the adoption of SFAS No. 148 would only affect the Company's financial condition or results of operations if Comcast elects to change to the fair value method specified in SFAS No. 123. The adoption of SFAS No. 148 requires the Company to disclose the effects of its stock-based employee compensation in interim financial statements beginning with the first quarter of 2003 (see Note 7).</w:t>
      </w:r>
    </w:p>
    <w:p>
      <w:pPr>
        <w:spacing w:after="0" w:line="19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SFAS No. 149</w:t>
      </w:r>
    </w:p>
    <w:p>
      <w:pPr>
        <w:spacing w:after="0" w:line="5"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In April 2003, the FASB issued SFAS No. 149, "Amendment of Statement 133 on Derivative Instruments and Hedging Activities." The Statement amends and clarifies accounting for derivative instruments, including certain derivative instruments embedded in other contracts, and for hedging activities under SFAS No. 133. SFAS No. 149 is effective for contracts entered into or modified after June 30, 2003, for hedging relationships designated after June 30, 2003, and to certain preexisting contracts. The Company adopted SFAS No. 149 on July 1, 2003 on a</w:t>
      </w:r>
    </w:p>
    <w:p>
      <w:pPr>
        <w:spacing w:after="0" w:line="200" w:lineRule="exact"/>
        <w:rPr>
          <w:sz w:val="20"/>
          <w:szCs w:val="20"/>
          <w:color w:val="auto"/>
        </w:rPr>
      </w:pPr>
    </w:p>
    <w:p>
      <w:pPr>
        <w:spacing w:after="0" w:line="36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862" w:right="1440" w:bottom="881" w:gutter="0" w:footer="0" w:header="0"/>
        </w:sectPr>
      </w:pPr>
    </w:p>
    <w:bookmarkStart w:id="8" w:name="page9"/>
    <w:bookmarkEnd w:id="8"/>
    <w:p>
      <w:pPr>
        <w:jc w:val="center"/>
        <w:ind w:right="235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prospective basis in accordance with the new statement. The adoption of SFAS No. 149 had no material impact on the Company's financial condition or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150</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SFAS No. 150 requires that an issuer classify a financial instrument that is within its scope as a liability or, in some circumstances, as an asset, with many such financial instruments having been previously classified as equity. SFAS No. 150 is effective for financial instruments entered into or modified after May 31, 2003, and otherwise was effective July 1, 2003. The adoption of SFAS No. 150 did not have a material impact on the Company's financial condition or results of operations.</w:t>
      </w:r>
    </w:p>
    <w:p>
      <w:pPr>
        <w:spacing w:after="0" w:line="193"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FASB is addressing certain implementation issues associated with the application of SFAS No. 150. On October 29, 2003, the FASB decided to defer certain provisions of SFAS No. 150 related to mandatorily redeemable financial instruments representing noncontrolling interests in subsidiaries included in consolidated financial statements. The Company will monitor the actions of the FASB and assess the impact, if any, that these actions may have on its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 45</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 45 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 45 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The Company adopted the disclosure provisions of FIN 45 in the fourth quarter of 2002 and adopted the initial recognition and measurement provisions of FIN 45 on January 1, 2003, as required by the Interpretation. The impact of the adoption of FIN 45 will depend on the nature and terms of guarantees entered into or modified by the Company in the future. The adoption of FIN 45 in the first quarter of 2003 did not have a material impact on the Company's financial condition or results of operations (see Note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 46</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The Company adopted the provisions of FASB Interpretation No. 46 "Consolidation of Variable Interest Entities" ("FIN 46") effective January 1, 2002. FIN 46 clarifies the application of Accounting Research Bulletin 51 to certain entities, defined as variable interest entities ("VIEs"), in which equity investors do not have characteristics of a controlling financial interest or do not have sufficient equity at risk for the entity to finance its activities without additional subordinated support from other parties. At the time of the initial application, FIN 46 had no impact on the Company's financial condition or results of operations because the Company previously consolidated all VIEs in which it was the primary beneficiary. Since the Company's initial application, the FASB has been addressing various implementation issues that could potentially broaden the application of FIN 46 to entities outside its originally interpreted scope and has issued and proposed several FASB Staff Positions. The Company does not expect that these FASB Staff Positions will have a material impact on its financial statements.</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62" w:right="1440" w:bottom="881" w:gutter="0" w:footer="0" w:header="0"/>
        </w:sectPr>
      </w:pPr>
    </w:p>
    <w:bookmarkStart w:id="9" w:name="page10"/>
    <w:bookmarkEnd w:id="9"/>
    <w:p>
      <w:pPr>
        <w:jc w:val="center"/>
        <w:ind w:right="237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ACQUISITIONS AND OTHER SIGNIFICANT EVENTS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of QVC</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On September 17, 2003, the Company completed the sale to Liberty Media Corporation ("Liberty") of all shares of QVC common stock held by a number of indirect wholly-owned subsidiaries of the Company, for an aggregate amount of approximately $7.7 billion, consisting of $4 billion principal amount of Liberty's Floating Rate Senior Notes due 2006 (the "Liberty Notes"), $1.35 billion in cash and approximately 218 million shares of Liberty Series A common stock. The shares had a fair value on the closing date of $10.73 per share. The consideration received, net of transaction costs, over the Company's carrying value of the net assets of QVC resulted in a gain of approximately $3.290 billion, net of approximately $2.865 billion of related income taxes.</w:t>
      </w:r>
    </w:p>
    <w:p>
      <w:pPr>
        <w:spacing w:after="0" w:line="192"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The Liberty Notes and shares of Liberty Series A common stock received in the transaction have been registered with the SEC. On September 24, 2003, the Company, through its wholly-owned indirect subsidiaries, sold an aggregate of $3.0 billion principal amount of the Liberty Notes for net proceeds of approximately $3.0 billion. The remaining Liberty Notes held by the Company, which bear interest at LIBOR plus 1.5%, are classified as available for sale and the shares of Liberty Series A common stock received by the Company in connection with the sale of QVC are classified as trading securities (see Note 4).</w:t>
      </w:r>
    </w:p>
    <w:p>
      <w:pPr>
        <w:spacing w:after="0" w:line="191" w:lineRule="exact"/>
        <w:rPr>
          <w:sz w:val="20"/>
          <w:szCs w:val="20"/>
          <w:color w:val="auto"/>
        </w:rPr>
      </w:pPr>
    </w:p>
    <w:p>
      <w:pPr>
        <w:jc w:val="both"/>
        <w:ind w:right="2459"/>
        <w:spacing w:after="0" w:line="248" w:lineRule="auto"/>
        <w:rPr>
          <w:sz w:val="20"/>
          <w:szCs w:val="20"/>
          <w:color w:val="auto"/>
        </w:rPr>
      </w:pPr>
      <w:r>
        <w:rPr>
          <w:rFonts w:ascii="Courier New" w:cs="Courier New" w:eastAsia="Courier New" w:hAnsi="Courier New"/>
          <w:sz w:val="16"/>
          <w:szCs w:val="16"/>
          <w:color w:val="auto"/>
        </w:rPr>
        <w:t>The current and noncurrent assets and liabilities of QVC included within the related discontinued operations captions are as follows (in millions):</w:t>
      </w:r>
    </w:p>
    <w:p>
      <w:pPr>
        <w:spacing w:after="0" w:line="371"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6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6400" w:type="dxa"/>
            <w:vAlign w:val="bottom"/>
          </w:tcPr>
          <w:p>
            <w:pPr>
              <w:spacing w:after="0"/>
              <w:rPr>
                <w:sz w:val="16"/>
                <w:szCs w:val="16"/>
                <w:color w:val="auto"/>
              </w:rPr>
            </w:pP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64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Cash.............................................................</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$276</w:t>
            </w: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Accounts receivable, less allowance for doubtful accounts........</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569</w:t>
            </w: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Inventories, net.................................................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479</w:t>
            </w: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current assets.............................................</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157</w:t>
            </w:r>
          </w:p>
        </w:tc>
      </w:tr>
      <w:tr>
        <w:trPr>
          <w:trHeight w:val="186"/>
        </w:trPr>
        <w:tc>
          <w:tcPr>
            <w:tcW w:w="64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current assets of discontinued operations.............</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$1,481</w:t>
            </w:r>
          </w:p>
        </w:tc>
      </w:tr>
      <w:tr>
        <w:trPr>
          <w:trHeight w:val="186"/>
        </w:trPr>
        <w:tc>
          <w:tcPr>
            <w:tcW w:w="64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Property and equipment, net of accumulated depreciation..........</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$485</w:t>
            </w: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Goodwill.........................................................</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835</w:t>
            </w: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intangible assets, net of accumulated amortization.........</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w:t>
            </w: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noncurrent assets, net.....................................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w:t>
            </w:r>
          </w:p>
        </w:tc>
      </w:tr>
      <w:tr>
        <w:trPr>
          <w:trHeight w:val="186"/>
        </w:trPr>
        <w:tc>
          <w:tcPr>
            <w:tcW w:w="64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noncurrent assets of discontinued operations..........</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$1,595</w:t>
            </w:r>
          </w:p>
        </w:tc>
      </w:tr>
      <w:tr>
        <w:trPr>
          <w:trHeight w:val="186"/>
        </w:trPr>
        <w:tc>
          <w:tcPr>
            <w:tcW w:w="64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Accounts payable.................................................</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$367</w:t>
            </w: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449</w:t>
            </w:r>
          </w:p>
        </w:tc>
      </w:tr>
      <w:tr>
        <w:trPr>
          <w:trHeight w:val="186"/>
        </w:trPr>
        <w:tc>
          <w:tcPr>
            <w:tcW w:w="64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current liabilities of discontinued operations........</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$816</w:t>
            </w:r>
          </w:p>
        </w:tc>
      </w:tr>
      <w:tr>
        <w:trPr>
          <w:trHeight w:val="186"/>
        </w:trPr>
        <w:tc>
          <w:tcPr>
            <w:tcW w:w="64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Minority interest................................................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$867</w:t>
            </w: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Other noncurrent liabilities.....................................</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w:t>
            </w:r>
          </w:p>
        </w:tc>
      </w:tr>
      <w:tr>
        <w:trPr>
          <w:trHeight w:val="186"/>
        </w:trPr>
        <w:tc>
          <w:tcPr>
            <w:tcW w:w="64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4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Total noncurrent liabilities and minority interest of</w:t>
            </w:r>
          </w:p>
        </w:tc>
        <w:tc>
          <w:tcPr>
            <w:tcW w:w="1260" w:type="dxa"/>
            <w:vAlign w:val="bottom"/>
          </w:tcPr>
          <w:p>
            <w:pPr>
              <w:spacing w:after="0"/>
              <w:rPr>
                <w:sz w:val="16"/>
                <w:szCs w:val="16"/>
                <w:color w:val="auto"/>
              </w:rPr>
            </w:pPr>
          </w:p>
        </w:tc>
      </w:tr>
      <w:tr>
        <w:trPr>
          <w:trHeight w:val="186"/>
        </w:trPr>
        <w:tc>
          <w:tcPr>
            <w:tcW w:w="6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discontinued operations.................................</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$923</w:t>
            </w:r>
          </w:p>
        </w:tc>
      </w:tr>
      <w:tr>
        <w:trPr>
          <w:trHeight w:val="186"/>
        </w:trPr>
        <w:tc>
          <w:tcPr>
            <w:tcW w:w="640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45"/>
        </w:trPr>
        <w:tc>
          <w:tcPr>
            <w:tcW w:w="6400" w:type="dxa"/>
            <w:vAlign w:val="bottom"/>
          </w:tcPr>
          <w:p>
            <w:pPr>
              <w:jc w:val="right"/>
              <w:ind w:right="2539"/>
              <w:spacing w:after="0"/>
              <w:rPr>
                <w:sz w:val="20"/>
                <w:szCs w:val="20"/>
                <w:color w:val="auto"/>
              </w:rPr>
            </w:pPr>
            <w:r>
              <w:rPr>
                <w:rFonts w:ascii="Courier New" w:cs="Courier New" w:eastAsia="Courier New" w:hAnsi="Courier New"/>
                <w:sz w:val="16"/>
                <w:szCs w:val="16"/>
                <w:color w:val="auto"/>
              </w:rPr>
              <w:t>7</w:t>
            </w:r>
          </w:p>
        </w:tc>
        <w:tc>
          <w:tcPr>
            <w:tcW w:w="1260" w:type="dxa"/>
            <w:vAlign w:val="bottom"/>
          </w:tcPr>
          <w:p>
            <w:pPr>
              <w:spacing w:after="0"/>
              <w:rPr>
                <w:sz w:val="24"/>
                <w:szCs w:val="24"/>
                <w:color w:val="auto"/>
              </w:rPr>
            </w:pPr>
          </w:p>
        </w:tc>
      </w:tr>
    </w:tbl>
    <w:p>
      <w:pPr>
        <w:sectPr>
          <w:pgSz w:w="11900" w:h="16838" w:orient="portrait"/>
          <w:cols w:equalWidth="0" w:num="1">
            <w:col w:w="10219"/>
          </w:cols>
          <w:pgMar w:left="240" w:top="1049" w:right="1440" w:bottom="1440" w:gutter="0" w:footer="0" w:header="0"/>
        </w:sectPr>
      </w:pPr>
    </w:p>
    <w:bookmarkStart w:id="10" w:name="page11"/>
    <w:bookmarkEnd w:id="10"/>
    <w:p>
      <w:pPr>
        <w:jc w:val="center"/>
        <w:ind w:right="282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900"/>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9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right="2900"/>
        <w:spacing w:after="0" w:line="247" w:lineRule="auto"/>
        <w:rPr>
          <w:sz w:val="20"/>
          <w:szCs w:val="20"/>
          <w:color w:val="auto"/>
        </w:rPr>
      </w:pPr>
      <w:r>
        <w:rPr>
          <w:rFonts w:ascii="Courier New" w:cs="Courier New" w:eastAsia="Courier New" w:hAnsi="Courier New"/>
          <w:sz w:val="16"/>
          <w:szCs w:val="16"/>
          <w:color w:val="auto"/>
        </w:rPr>
        <w:t>The results of operations of QVC prior to its disposition are included within income from discontinued operations, net of tax in the following periods (in millions):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24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Three Months Ended</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Ended</w:t>
            </w:r>
          </w:p>
        </w:tc>
      </w:tr>
      <w:tr>
        <w:trPr>
          <w:trHeight w:val="186"/>
        </w:trPr>
        <w:tc>
          <w:tcPr>
            <w:tcW w:w="5860" w:type="dxa"/>
            <w:vAlign w:val="bottom"/>
          </w:tcPr>
          <w:p>
            <w:pPr>
              <w:spacing w:after="0"/>
              <w:rPr>
                <w:sz w:val="16"/>
                <w:szCs w:val="16"/>
                <w:color w:val="auto"/>
              </w:rPr>
            </w:pPr>
          </w:p>
        </w:tc>
        <w:tc>
          <w:tcPr>
            <w:tcW w:w="24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September 30,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8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w:t>
            </w:r>
          </w:p>
        </w:tc>
      </w:tr>
      <w:tr>
        <w:trPr>
          <w:trHeight w:val="186"/>
        </w:trPr>
        <w:tc>
          <w:tcPr>
            <w:tcW w:w="5860" w:type="dxa"/>
            <w:vAlign w:val="bottom"/>
          </w:tcPr>
          <w:p>
            <w:pPr>
              <w:spacing w:after="0"/>
              <w:rPr>
                <w:sz w:val="16"/>
                <w:szCs w:val="16"/>
                <w:color w:val="auto"/>
              </w:rPr>
            </w:pP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2003</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2003</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5860" w:type="dxa"/>
            <w:vAlign w:val="bottom"/>
          </w:tcPr>
          <w:p>
            <w:pPr>
              <w:spacing w:after="0"/>
              <w:rPr>
                <w:sz w:val="16"/>
                <w:szCs w:val="16"/>
                <w:color w:val="auto"/>
              </w:rPr>
            </w:pP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559"/>
        </w:trPr>
        <w:tc>
          <w:tcPr>
            <w:tcW w:w="58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$752</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$1,012</w:t>
            </w:r>
          </w:p>
        </w:tc>
        <w:tc>
          <w:tcPr>
            <w:tcW w:w="14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$2,915</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$3,000</w:t>
            </w:r>
          </w:p>
        </w:tc>
      </w:tr>
      <w:tr>
        <w:trPr>
          <w:trHeight w:val="186"/>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Income before income taxes and minority interest...........</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$123</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$146</w:t>
            </w:r>
          </w:p>
        </w:tc>
        <w:tc>
          <w:tcPr>
            <w:tcW w:w="14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$496</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$419</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2900"/>
        <w:spacing w:after="0" w:line="247" w:lineRule="auto"/>
        <w:rPr>
          <w:sz w:val="20"/>
          <w:szCs w:val="20"/>
          <w:color w:val="auto"/>
        </w:rPr>
      </w:pPr>
      <w:r>
        <w:rPr>
          <w:rFonts w:ascii="Courier New" w:cs="Courier New" w:eastAsia="Courier New" w:hAnsi="Courier New"/>
          <w:sz w:val="16"/>
          <w:szCs w:val="16"/>
          <w:color w:val="auto"/>
        </w:rPr>
        <w:t>The 2003 periods include QVC operations through August 31, 2003 as reported to the Company by QVC. The amount of income from discontinued operations and gain on discontinued operations is subject to reallocation as additional information is obtained from QVC, which will have no effect on net income.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6640" w:type="dxa"/>
            <w:vAlign w:val="bottom"/>
          </w:tcPr>
          <w:p>
            <w:pPr>
              <w:spacing w:after="0"/>
              <w:rPr>
                <w:sz w:val="15"/>
                <w:szCs w:val="15"/>
                <w:color w:val="auto"/>
              </w:rPr>
            </w:pPr>
          </w:p>
        </w:tc>
        <w:tc>
          <w:tcPr>
            <w:tcW w:w="18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September 30,</w:t>
            </w:r>
          </w:p>
        </w:tc>
        <w:tc>
          <w:tcPr>
            <w:tcW w:w="1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6640" w:type="dxa"/>
            <w:vAlign w:val="bottom"/>
          </w:tcPr>
          <w:p>
            <w:pPr>
              <w:spacing w:after="0"/>
              <w:rPr>
                <w:sz w:val="16"/>
                <w:szCs w:val="16"/>
                <w:color w:val="auto"/>
              </w:rPr>
            </w:pP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2003</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6640" w:type="dxa"/>
            <w:vAlign w:val="bottom"/>
          </w:tcPr>
          <w:p>
            <w:pPr>
              <w:spacing w:after="0"/>
              <w:rPr>
                <w:sz w:val="16"/>
                <w:szCs w:val="16"/>
                <w:color w:val="auto"/>
              </w:rPr>
            </w:pP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640" w:type="dxa"/>
            <w:vAlign w:val="bottom"/>
          </w:tcPr>
          <w:p>
            <w:pPr>
              <w:spacing w:after="0"/>
              <w:rPr>
                <w:sz w:val="16"/>
                <w:szCs w:val="16"/>
                <w:color w:val="auto"/>
              </w:rPr>
            </w:pPr>
          </w:p>
        </w:tc>
        <w:tc>
          <w:tcPr>
            <w:tcW w:w="33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 millions)</w:t>
            </w:r>
          </w:p>
        </w:tc>
      </w:tr>
      <w:tr>
        <w:trPr>
          <w:trHeight w:val="373"/>
        </w:trPr>
        <w:tc>
          <w:tcPr>
            <w:tcW w:w="6640" w:type="dxa"/>
            <w:vAlign w:val="bottom"/>
          </w:tcPr>
          <w:p>
            <w:pPr>
              <w:jc w:val="right"/>
              <w:ind w:right="4899"/>
              <w:spacing w:after="0"/>
              <w:rPr>
                <w:sz w:val="20"/>
                <w:szCs w:val="20"/>
                <w:color w:val="auto"/>
              </w:rPr>
            </w:pPr>
            <w:r>
              <w:rPr>
                <w:rFonts w:ascii="Courier New" w:cs="Courier New" w:eastAsia="Courier New" w:hAnsi="Courier New"/>
                <w:sz w:val="16"/>
                <w:szCs w:val="16"/>
                <w:color w:val="auto"/>
              </w:rPr>
              <w:t>Fair value method</w:t>
            </w:r>
          </w:p>
        </w:tc>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6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AT&amp;T Corp....................................................</w:t>
            </w:r>
          </w:p>
        </w:tc>
        <w:tc>
          <w:tcPr>
            <w:tcW w:w="18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$287</w:t>
            </w:r>
          </w:p>
        </w:tc>
      </w:tr>
      <w:tr>
        <w:trPr>
          <w:trHeight w:val="186"/>
        </w:trPr>
        <w:tc>
          <w:tcPr>
            <w:tcW w:w="6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Liberty......................................................</w:t>
            </w: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3,212</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6"/>
        </w:trPr>
        <w:tc>
          <w:tcPr>
            <w:tcW w:w="6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Sprint Corp. PCS Group.......................................</w:t>
            </w: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354</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r>
      <w:tr>
        <w:trPr>
          <w:trHeight w:val="186"/>
        </w:trPr>
        <w:tc>
          <w:tcPr>
            <w:tcW w:w="6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Other .......................................................</w:t>
            </w: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6"/>
        </w:trPr>
        <w:tc>
          <w:tcPr>
            <w:tcW w:w="6640" w:type="dxa"/>
            <w:vAlign w:val="bottom"/>
          </w:tcPr>
          <w:p>
            <w:pPr>
              <w:spacing w:after="0"/>
              <w:rPr>
                <w:sz w:val="16"/>
                <w:szCs w:val="16"/>
                <w:color w:val="auto"/>
              </w:rPr>
            </w:pP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640" w:type="dxa"/>
            <w:vAlign w:val="bottom"/>
          </w:tcPr>
          <w:p>
            <w:pPr>
              <w:spacing w:after="0"/>
              <w:rPr>
                <w:sz w:val="16"/>
                <w:szCs w:val="16"/>
                <w:color w:val="auto"/>
              </w:rPr>
            </w:pP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3,589</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723</w:t>
            </w:r>
          </w:p>
        </w:tc>
      </w:tr>
      <w:tr>
        <w:trPr>
          <w:trHeight w:val="373"/>
        </w:trPr>
        <w:tc>
          <w:tcPr>
            <w:tcW w:w="6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Equity method.....................................................</w:t>
            </w: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316</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284</w:t>
            </w:r>
          </w:p>
        </w:tc>
      </w:tr>
      <w:tr>
        <w:trPr>
          <w:trHeight w:val="186"/>
        </w:trPr>
        <w:tc>
          <w:tcPr>
            <w:tcW w:w="6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Cost method.......................................................</w:t>
            </w: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109</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r>
      <w:tr>
        <w:trPr>
          <w:trHeight w:val="186"/>
        </w:trPr>
        <w:tc>
          <w:tcPr>
            <w:tcW w:w="6640" w:type="dxa"/>
            <w:vAlign w:val="bottom"/>
          </w:tcPr>
          <w:p>
            <w:pPr>
              <w:spacing w:after="0"/>
              <w:rPr>
                <w:sz w:val="16"/>
                <w:szCs w:val="16"/>
                <w:color w:val="auto"/>
              </w:rPr>
            </w:pP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Total investments............................................</w:t>
            </w: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4,014</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1,111</w:t>
            </w:r>
          </w:p>
        </w:tc>
      </w:tr>
      <w:tr>
        <w:trPr>
          <w:trHeight w:val="186"/>
        </w:trPr>
        <w:tc>
          <w:tcPr>
            <w:tcW w:w="6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Less, current investments.........................................</w:t>
            </w: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1,138</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517</w:t>
            </w:r>
          </w:p>
        </w:tc>
      </w:tr>
      <w:tr>
        <w:trPr>
          <w:trHeight w:val="186"/>
        </w:trPr>
        <w:tc>
          <w:tcPr>
            <w:tcW w:w="6640" w:type="dxa"/>
            <w:vAlign w:val="bottom"/>
          </w:tcPr>
          <w:p>
            <w:pPr>
              <w:spacing w:after="0"/>
              <w:rPr>
                <w:sz w:val="16"/>
                <w:szCs w:val="16"/>
                <w:color w:val="auto"/>
              </w:rPr>
            </w:pP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Non-current investments...........................................</w:t>
            </w: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$2,876</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$594</w:t>
            </w:r>
          </w:p>
        </w:tc>
      </w:tr>
      <w:tr>
        <w:trPr>
          <w:trHeight w:val="186"/>
        </w:trPr>
        <w:tc>
          <w:tcPr>
            <w:tcW w:w="6640" w:type="dxa"/>
            <w:vAlign w:val="bottom"/>
          </w:tcPr>
          <w:p>
            <w:pPr>
              <w:spacing w:after="0"/>
              <w:rPr>
                <w:sz w:val="16"/>
                <w:szCs w:val="16"/>
                <w:color w:val="auto"/>
              </w:rPr>
            </w:pPr>
          </w:p>
        </w:tc>
        <w:tc>
          <w:tcPr>
            <w:tcW w:w="1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 Value Method</w:t>
      </w:r>
    </w:p>
    <w:p>
      <w:pPr>
        <w:spacing w:after="0" w:line="5" w:lineRule="exact"/>
        <w:rPr>
          <w:sz w:val="20"/>
          <w:szCs w:val="20"/>
          <w:color w:val="auto"/>
        </w:rPr>
      </w:pPr>
    </w:p>
    <w:p>
      <w:pPr>
        <w:jc w:val="both"/>
        <w:ind w:right="2900"/>
        <w:spacing w:after="0" w:line="246"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which it accounts for as available for sale or trading securities. The net unrealized pre-tax gains on investments accounted for as available for sale securities as of September 30, 2003 and December 31, 2002 of $29 million and $70 million, respectively, have been reported in the Company's consolidated balance sheet principally as a component of accumulated other comprehensive income (loss), net of related deferred income taxes of $10 million and $25 million, respectively.</w:t>
      </w:r>
    </w:p>
    <w:p>
      <w:pPr>
        <w:spacing w:after="0" w:line="191" w:lineRule="exact"/>
        <w:rPr>
          <w:sz w:val="20"/>
          <w:szCs w:val="20"/>
          <w:color w:val="auto"/>
        </w:rPr>
      </w:pPr>
    </w:p>
    <w:p>
      <w:pPr>
        <w:jc w:val="both"/>
        <w:ind w:right="2900"/>
        <w:spacing w:after="0" w:line="248" w:lineRule="auto"/>
        <w:rPr>
          <w:sz w:val="20"/>
          <w:szCs w:val="20"/>
          <w:color w:val="auto"/>
        </w:rPr>
      </w:pPr>
      <w:r>
        <w:rPr>
          <w:rFonts w:ascii="Courier New" w:cs="Courier New" w:eastAsia="Courier New" w:hAnsi="Courier New"/>
          <w:sz w:val="16"/>
          <w:szCs w:val="16"/>
          <w:color w:val="auto"/>
        </w:rPr>
        <w:t>The cost, fair value and unrealized gains and losses related to the Company's available for sale securities are as follows (in millions):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September 30,</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4200" w:type="dxa"/>
            <w:vAlign w:val="bottom"/>
          </w:tcPr>
          <w:p>
            <w:pPr>
              <w:spacing w:after="0"/>
              <w:rPr>
                <w:sz w:val="16"/>
                <w:szCs w:val="16"/>
                <w:color w:val="auto"/>
              </w:rPr>
            </w:pPr>
          </w:p>
        </w:tc>
        <w:tc>
          <w:tcPr>
            <w:tcW w:w="17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2003</w:t>
            </w:r>
          </w:p>
        </w:tc>
        <w:tc>
          <w:tcPr>
            <w:tcW w:w="15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4200" w:type="dxa"/>
            <w:vAlign w:val="bottom"/>
          </w:tcPr>
          <w:p>
            <w:pPr>
              <w:spacing w:after="0"/>
              <w:rPr>
                <w:sz w:val="16"/>
                <w:szCs w:val="16"/>
                <w:color w:val="auto"/>
              </w:rPr>
            </w:pPr>
          </w:p>
        </w:tc>
        <w:tc>
          <w:tcPr>
            <w:tcW w:w="17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200" w:type="dxa"/>
            <w:vAlign w:val="bottom"/>
          </w:tcPr>
          <w:p>
            <w:pPr>
              <w:spacing w:after="0"/>
              <w:rPr>
                <w:sz w:val="20"/>
                <w:szCs w:val="20"/>
                <w:color w:val="auto"/>
              </w:rPr>
            </w:pPr>
            <w:r>
              <w:rPr>
                <w:rFonts w:ascii="Courier New" w:cs="Courier New" w:eastAsia="Courier New" w:hAnsi="Courier New"/>
                <w:sz w:val="16"/>
                <w:szCs w:val="16"/>
                <w:color w:val="auto"/>
              </w:rPr>
              <w:t>Cost......................................</w:t>
            </w:r>
          </w:p>
        </w:tc>
        <w:tc>
          <w:tcPr>
            <w:tcW w:w="17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$1,024</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$269</w:t>
            </w:r>
          </w:p>
        </w:tc>
      </w:tr>
      <w:tr>
        <w:trPr>
          <w:trHeight w:val="186"/>
        </w:trPr>
        <w:tc>
          <w:tcPr>
            <w:tcW w:w="4200" w:type="dxa"/>
            <w:vAlign w:val="bottom"/>
          </w:tcPr>
          <w:p>
            <w:pPr>
              <w:spacing w:after="0"/>
              <w:rPr>
                <w:sz w:val="20"/>
                <w:szCs w:val="20"/>
                <w:color w:val="auto"/>
              </w:rPr>
            </w:pPr>
            <w:r>
              <w:rPr>
                <w:rFonts w:ascii="Courier New" w:cs="Courier New" w:eastAsia="Courier New" w:hAnsi="Courier New"/>
                <w:sz w:val="16"/>
                <w:szCs w:val="16"/>
                <w:color w:val="auto"/>
              </w:rPr>
              <w:t>Unrealized gains..........................</w:t>
            </w:r>
          </w:p>
        </w:tc>
        <w:tc>
          <w:tcPr>
            <w:tcW w:w="17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34</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w:t>
            </w:r>
          </w:p>
        </w:tc>
      </w:tr>
      <w:tr>
        <w:trPr>
          <w:trHeight w:val="186"/>
        </w:trPr>
        <w:tc>
          <w:tcPr>
            <w:tcW w:w="4200" w:type="dxa"/>
            <w:vAlign w:val="bottom"/>
          </w:tcPr>
          <w:p>
            <w:pPr>
              <w:spacing w:after="0"/>
              <w:rPr>
                <w:sz w:val="20"/>
                <w:szCs w:val="20"/>
                <w:color w:val="auto"/>
              </w:rPr>
            </w:pPr>
            <w:r>
              <w:rPr>
                <w:rFonts w:ascii="Courier New" w:cs="Courier New" w:eastAsia="Courier New" w:hAnsi="Courier New"/>
                <w:sz w:val="16"/>
                <w:szCs w:val="16"/>
                <w:color w:val="auto"/>
              </w:rPr>
              <w:t>Unrealized losses.........................</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6"/>
        </w:trPr>
        <w:tc>
          <w:tcPr>
            <w:tcW w:w="4200" w:type="dxa"/>
            <w:vAlign w:val="bottom"/>
          </w:tcPr>
          <w:p>
            <w:pPr>
              <w:spacing w:after="0"/>
              <w:rPr>
                <w:sz w:val="16"/>
                <w:szCs w:val="16"/>
                <w:color w:val="auto"/>
              </w:rPr>
            </w:pPr>
          </w:p>
        </w:tc>
        <w:tc>
          <w:tcPr>
            <w:tcW w:w="17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200" w:type="dxa"/>
            <w:vAlign w:val="bottom"/>
          </w:tcPr>
          <w:p>
            <w:pPr>
              <w:spacing w:after="0"/>
              <w:rPr>
                <w:sz w:val="20"/>
                <w:szCs w:val="20"/>
                <w:color w:val="auto"/>
              </w:rPr>
            </w:pPr>
            <w:r>
              <w:rPr>
                <w:rFonts w:ascii="Courier New" w:cs="Courier New" w:eastAsia="Courier New" w:hAnsi="Courier New"/>
                <w:sz w:val="16"/>
                <w:szCs w:val="16"/>
                <w:color w:val="auto"/>
              </w:rPr>
              <w:t>Fair value................................</w:t>
            </w:r>
          </w:p>
        </w:tc>
        <w:tc>
          <w:tcPr>
            <w:tcW w:w="17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$1,053</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$339</w:t>
            </w:r>
          </w:p>
        </w:tc>
      </w:tr>
      <w:tr>
        <w:trPr>
          <w:trHeight w:val="186"/>
        </w:trPr>
        <w:tc>
          <w:tcPr>
            <w:tcW w:w="4200" w:type="dxa"/>
            <w:vAlign w:val="bottom"/>
          </w:tcPr>
          <w:p>
            <w:pPr>
              <w:spacing w:after="0"/>
              <w:rPr>
                <w:sz w:val="16"/>
                <w:szCs w:val="16"/>
                <w:color w:val="auto"/>
              </w:rPr>
            </w:pPr>
          </w:p>
        </w:tc>
        <w:tc>
          <w:tcPr>
            <w:tcW w:w="17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660"/>
          </w:cols>
          <w:pgMar w:left="240" w:top="1049" w:right="999" w:bottom="0" w:gutter="0" w:footer="0" w:header="0"/>
        </w:sectPr>
      </w:pPr>
    </w:p>
    <w:bookmarkStart w:id="11" w:name="page12"/>
    <w:bookmarkEnd w:id="11"/>
    <w:p>
      <w:pPr>
        <w:ind w:left="25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28" w:right="1440" w:bottom="1440" w:gutter="0" w:footer="0" w:header="0"/>
        </w:sectPr>
      </w:pPr>
    </w:p>
    <w:bookmarkStart w:id="12" w:name="page13"/>
    <w:bookmarkEnd w:id="12"/>
    <w:p>
      <w:pPr>
        <w:jc w:val="center"/>
        <w:ind w:right="302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Loss, Net</w:t>
      </w:r>
    </w:p>
    <w:p>
      <w:pPr>
        <w:spacing w:after="0" w:line="5" w:lineRule="exact"/>
        <w:rPr>
          <w:sz w:val="20"/>
          <w:szCs w:val="20"/>
          <w:color w:val="auto"/>
        </w:rPr>
      </w:pPr>
    </w:p>
    <w:p>
      <w:pPr>
        <w:jc w:val="both"/>
        <w:ind w:right="3100"/>
        <w:spacing w:after="0" w:line="248" w:lineRule="auto"/>
        <w:rPr>
          <w:sz w:val="20"/>
          <w:szCs w:val="20"/>
          <w:color w:val="auto"/>
        </w:rPr>
      </w:pPr>
      <w:r>
        <w:rPr>
          <w:rFonts w:ascii="Courier New" w:cs="Courier New" w:eastAsia="Courier New" w:hAnsi="Courier New"/>
          <w:sz w:val="16"/>
          <w:szCs w:val="16"/>
          <w:color w:val="auto"/>
        </w:rPr>
        <w:t>Investment loss, net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6200" w:type="dxa"/>
            <w:vAlign w:val="bottom"/>
          </w:tcPr>
          <w:p>
            <w:pPr>
              <w:spacing w:after="0"/>
              <w:rPr>
                <w:sz w:val="15"/>
                <w:szCs w:val="15"/>
                <w:color w:val="auto"/>
              </w:rPr>
            </w:pPr>
          </w:p>
        </w:tc>
        <w:tc>
          <w:tcPr>
            <w:tcW w:w="2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Three Months Ended</w:t>
            </w:r>
          </w:p>
        </w:tc>
        <w:tc>
          <w:tcPr>
            <w:tcW w:w="20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6200" w:type="dxa"/>
            <w:vAlign w:val="bottom"/>
          </w:tcPr>
          <w:p>
            <w:pPr>
              <w:spacing w:after="0"/>
              <w:rPr>
                <w:sz w:val="16"/>
                <w:szCs w:val="16"/>
                <w:color w:val="auto"/>
              </w:rPr>
            </w:pPr>
          </w:p>
        </w:tc>
        <w:tc>
          <w:tcPr>
            <w:tcW w:w="21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September 30,</w:t>
            </w:r>
          </w:p>
        </w:tc>
        <w:tc>
          <w:tcPr>
            <w:tcW w:w="204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620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2003</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2002</w:t>
            </w: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2003</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62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2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200" w:type="dxa"/>
            <w:vAlign w:val="bottom"/>
          </w:tcPr>
          <w:p>
            <w:pPr>
              <w:spacing w:after="0"/>
              <w:rPr>
                <w:sz w:val="20"/>
                <w:szCs w:val="20"/>
                <w:color w:val="auto"/>
              </w:rPr>
            </w:pPr>
            <w:r>
              <w:rPr>
                <w:rFonts w:ascii="Courier New" w:cs="Courier New" w:eastAsia="Courier New" w:hAnsi="Courier New"/>
                <w:sz w:val="16"/>
                <w:szCs w:val="16"/>
                <w:color w:val="auto"/>
              </w:rPr>
              <w:t>Interest and dividend income....................................</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r>
      <w:tr>
        <w:trPr>
          <w:trHeight w:val="186"/>
        </w:trPr>
        <w:tc>
          <w:tcPr>
            <w:tcW w:w="6200" w:type="dxa"/>
            <w:vAlign w:val="bottom"/>
          </w:tcPr>
          <w:p>
            <w:pPr>
              <w:spacing w:after="0"/>
              <w:rPr>
                <w:sz w:val="20"/>
                <w:szCs w:val="20"/>
                <w:color w:val="auto"/>
              </w:rPr>
            </w:pPr>
            <w:r>
              <w:rPr>
                <w:rFonts w:ascii="Courier New" w:cs="Courier New" w:eastAsia="Courier New" w:hAnsi="Courier New"/>
                <w:sz w:val="16"/>
                <w:szCs w:val="16"/>
                <w:color w:val="auto"/>
              </w:rPr>
              <w:t>Gains (losses) on sales and exchanges of investments, net.......</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6"/>
        </w:trPr>
        <w:tc>
          <w:tcPr>
            <w:tcW w:w="6200" w:type="dxa"/>
            <w:vAlign w:val="bottom"/>
          </w:tcPr>
          <w:p>
            <w:pPr>
              <w:spacing w:after="0"/>
              <w:rPr>
                <w:sz w:val="20"/>
                <w:szCs w:val="20"/>
                <w:color w:val="auto"/>
              </w:rPr>
            </w:pPr>
            <w:r>
              <w:rPr>
                <w:rFonts w:ascii="Courier New" w:cs="Courier New" w:eastAsia="Courier New" w:hAnsi="Courier New"/>
                <w:sz w:val="16"/>
                <w:szCs w:val="16"/>
                <w:color w:val="auto"/>
              </w:rPr>
              <w:t>Investment impairment losses....................................</w:t>
            </w:r>
          </w:p>
        </w:tc>
        <w:tc>
          <w:tcPr>
            <w:tcW w:w="102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r>
      <w:tr>
        <w:trPr>
          <w:trHeight w:val="186"/>
        </w:trPr>
        <w:tc>
          <w:tcPr>
            <w:tcW w:w="6200" w:type="dxa"/>
            <w:vAlign w:val="bottom"/>
          </w:tcPr>
          <w:p>
            <w:pPr>
              <w:spacing w:after="0"/>
              <w:rPr>
                <w:sz w:val="20"/>
                <w:szCs w:val="20"/>
                <w:color w:val="auto"/>
              </w:rPr>
            </w:pPr>
            <w:r>
              <w:rPr>
                <w:rFonts w:ascii="Courier New" w:cs="Courier New" w:eastAsia="Courier New" w:hAnsi="Courier New"/>
                <w:sz w:val="16"/>
                <w:szCs w:val="16"/>
                <w:color w:val="auto"/>
              </w:rPr>
              <w:t>Unrealized losses on trading securities.........................</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(167)</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(181)</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(1,621)</w:t>
            </w:r>
          </w:p>
        </w:tc>
      </w:tr>
      <w:tr>
        <w:trPr>
          <w:trHeight w:val="186"/>
        </w:trPr>
        <w:tc>
          <w:tcPr>
            <w:tcW w:w="620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related</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6200" w:type="dxa"/>
            <w:vAlign w:val="bottom"/>
          </w:tcPr>
          <w:p>
            <w:pPr>
              <w:ind w:left="480"/>
              <w:spacing w:after="0"/>
              <w:rPr>
                <w:sz w:val="20"/>
                <w:szCs w:val="20"/>
                <w:color w:val="auto"/>
              </w:rPr>
            </w:pPr>
            <w:r>
              <w:rPr>
                <w:rFonts w:ascii="Courier New" w:cs="Courier New" w:eastAsia="Courier New" w:hAnsi="Courier New"/>
                <w:sz w:val="16"/>
                <w:szCs w:val="16"/>
                <w:color w:val="auto"/>
              </w:rPr>
              <w:t>to trading securities......................................</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1,310</w:t>
            </w:r>
          </w:p>
        </w:tc>
      </w:tr>
      <w:tr>
        <w:trPr>
          <w:trHeight w:val="186"/>
        </w:trPr>
        <w:tc>
          <w:tcPr>
            <w:tcW w:w="6200" w:type="dxa"/>
            <w:vAlign w:val="bottom"/>
          </w:tcPr>
          <w:p>
            <w:pPr>
              <w:spacing w:after="0"/>
              <w:rPr>
                <w:sz w:val="20"/>
                <w:szCs w:val="20"/>
                <w:color w:val="auto"/>
              </w:rPr>
            </w:pPr>
            <w:r>
              <w:rPr>
                <w:rFonts w:ascii="Courier New" w:cs="Courier New" w:eastAsia="Courier New" w:hAnsi="Courier New"/>
                <w:sz w:val="16"/>
                <w:szCs w:val="16"/>
                <w:color w:val="auto"/>
              </w:rPr>
              <w:t>Mark to market adjustments on derivatives and hedged items......</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6"/>
        </w:trPr>
        <w:tc>
          <w:tcPr>
            <w:tcW w:w="62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2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200" w:type="dxa"/>
            <w:vAlign w:val="bottom"/>
          </w:tcPr>
          <w:p>
            <w:pPr>
              <w:spacing w:after="0"/>
              <w:rPr>
                <w:sz w:val="20"/>
                <w:szCs w:val="20"/>
                <w:color w:val="auto"/>
              </w:rPr>
            </w:pPr>
            <w:r>
              <w:rPr>
                <w:rFonts w:ascii="Courier New" w:cs="Courier New" w:eastAsia="Courier New" w:hAnsi="Courier New"/>
                <w:sz w:val="16"/>
                <w:szCs w:val="16"/>
                <w:color w:val="auto"/>
              </w:rPr>
              <w:t>Investment loss, net............................................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($166)</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($702)</w:t>
            </w:r>
          </w:p>
        </w:tc>
      </w:tr>
      <w:tr>
        <w:trPr>
          <w:trHeight w:val="186"/>
        </w:trPr>
        <w:tc>
          <w:tcPr>
            <w:tcW w:w="62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2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GOODWILL</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changes in the carrying amount of goodwill by business segment (see</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Note 10) for the periods presented are as follows (in millions):</w:t>
      </w:r>
    </w:p>
    <w:p>
      <w:pPr>
        <w:spacing w:after="0" w:line="378"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Corporate</w:t>
            </w:r>
          </w:p>
        </w:tc>
        <w:tc>
          <w:tcPr>
            <w:tcW w:w="1260" w:type="dxa"/>
            <w:vAlign w:val="bottom"/>
          </w:tcPr>
          <w:p>
            <w:pPr>
              <w:spacing w:after="0"/>
              <w:rPr>
                <w:sz w:val="15"/>
                <w:szCs w:val="15"/>
                <w:color w:val="auto"/>
              </w:rPr>
            </w:pPr>
          </w:p>
        </w:tc>
      </w:tr>
      <w:tr>
        <w:trPr>
          <w:trHeight w:val="186"/>
        </w:trPr>
        <w:tc>
          <w:tcPr>
            <w:tcW w:w="470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Cable</w:t>
            </w:r>
          </w:p>
        </w:tc>
        <w:tc>
          <w:tcPr>
            <w:tcW w:w="15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and Other</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470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Balance, December 31, 2002......................</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$4,693</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$918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$5,611</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Intersegment transfers......................</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w:t>
            </w:r>
          </w:p>
        </w:tc>
        <w:tc>
          <w:tcPr>
            <w:tcW w:w="1260" w:type="dxa"/>
            <w:vAlign w:val="bottom"/>
          </w:tcPr>
          <w:p>
            <w:pPr>
              <w:spacing w:after="0"/>
              <w:rPr>
                <w:sz w:val="16"/>
                <w:szCs w:val="16"/>
                <w:color w:val="auto"/>
              </w:rPr>
            </w:pPr>
          </w:p>
        </w:tc>
      </w:tr>
      <w:tr>
        <w:trPr>
          <w:trHeight w:val="186"/>
        </w:trPr>
        <w:tc>
          <w:tcPr>
            <w:tcW w:w="470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00" w:type="dxa"/>
            <w:vAlign w:val="bottom"/>
          </w:tcPr>
          <w:p>
            <w:pPr>
              <w:jc w:val="right"/>
              <w:spacing w:after="0"/>
              <w:rPr>
                <w:sz w:val="20"/>
                <w:szCs w:val="20"/>
                <w:color w:val="auto"/>
              </w:rPr>
            </w:pPr>
            <w:r>
              <w:rPr>
                <w:rFonts w:ascii="Courier New" w:cs="Courier New" w:eastAsia="Courier New" w:hAnsi="Courier New"/>
                <w:sz w:val="16"/>
                <w:szCs w:val="16"/>
                <w:color w:val="auto"/>
              </w:rPr>
              <w:t>Balance, September 30, 2003.....................</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$4,713</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$898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$5,611</w:t>
            </w:r>
          </w:p>
        </w:tc>
      </w:tr>
      <w:tr>
        <w:trPr>
          <w:trHeight w:val="186"/>
        </w:trPr>
        <w:tc>
          <w:tcPr>
            <w:tcW w:w="4700" w:type="dxa"/>
            <w:vAlign w:val="bottom"/>
          </w:tcPr>
          <w:p>
            <w:pPr>
              <w:spacing w:after="0"/>
              <w:rPr>
                <w:sz w:val="16"/>
                <w:szCs w:val="16"/>
                <w:color w:val="auto"/>
              </w:rPr>
            </w:pP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LONG-TERM DEBT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Cross-Guarantee Structure</w:t>
      </w:r>
    </w:p>
    <w:p>
      <w:pPr>
        <w:spacing w:after="0" w:line="5" w:lineRule="exact"/>
        <w:rPr>
          <w:sz w:val="20"/>
          <w:szCs w:val="20"/>
          <w:color w:val="auto"/>
        </w:rPr>
      </w:pPr>
    </w:p>
    <w:p>
      <w:pPr>
        <w:jc w:val="both"/>
        <w:ind w:right="3100"/>
        <w:spacing w:after="0" w:line="246" w:lineRule="auto"/>
        <w:rPr>
          <w:sz w:val="20"/>
          <w:szCs w:val="20"/>
          <w:color w:val="auto"/>
        </w:rPr>
      </w:pPr>
      <w:r>
        <w:rPr>
          <w:rFonts w:ascii="Courier New" w:cs="Courier New" w:eastAsia="Courier New" w:hAnsi="Courier New"/>
          <w:sz w:val="16"/>
          <w:szCs w:val="16"/>
          <w:color w:val="auto"/>
        </w:rPr>
        <w:t>To simplify Comcast's capital structure, effective with its acquisition of AT&amp;T Corp.'s broadband business ("Broadband") on November 18, 2002, Comcast and certain of its cable holding company subsidiaries, including the Company's wholly owned subsidiary Comcast Cable Communications, Inc. ("Comcast Cable"), fully and unconditionally guaranteed each other's debt securities (the "Cross-Guarantee Structure"). Comcast Holdings is not a guarantor, and none of its debt is guaranteed. As of September 30, 2003, $22.568 billion of Comcast's debt securities were entitled to the benefits of the Cross-Guarantee Structure, including $6.932 billion of Comcast Cable's debt securities.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Repayments and Redemptions of Debt</w:t>
      </w:r>
    </w:p>
    <w:p>
      <w:pPr>
        <w:spacing w:after="0" w:line="5" w:lineRule="exact"/>
        <w:rPr>
          <w:sz w:val="20"/>
          <w:szCs w:val="20"/>
          <w:color w:val="auto"/>
        </w:rPr>
      </w:pPr>
    </w:p>
    <w:p>
      <w:pPr>
        <w:jc w:val="both"/>
        <w:ind w:right="3100"/>
        <w:spacing w:after="0" w:line="247" w:lineRule="auto"/>
        <w:rPr>
          <w:sz w:val="20"/>
          <w:szCs w:val="20"/>
          <w:color w:val="auto"/>
        </w:rPr>
      </w:pPr>
      <w:r>
        <w:rPr>
          <w:rFonts w:ascii="Courier New" w:cs="Courier New" w:eastAsia="Courier New" w:hAnsi="Courier New"/>
          <w:sz w:val="16"/>
          <w:szCs w:val="16"/>
          <w:color w:val="auto"/>
        </w:rPr>
        <w:t>On March 31, 2003, in connection with the closing of the restructuring of Time Warner Entertainment Company L.P., an investment accounted for under the cost method by Comcast, Comcast received $2.1 billion in cash which was used to repay debt, including $800 million of amounts outstanding under Comcast Cable's revolving credit facility.</w:t>
      </w:r>
    </w:p>
    <w:p>
      <w:pPr>
        <w:spacing w:after="0" w:line="185" w:lineRule="exact"/>
        <w:rPr>
          <w:sz w:val="20"/>
          <w:szCs w:val="20"/>
          <w:color w:val="auto"/>
        </w:rPr>
      </w:pPr>
    </w:p>
    <w:p>
      <w:pPr>
        <w:jc w:val="both"/>
        <w:ind w:right="3100"/>
        <w:spacing w:after="0" w:line="247" w:lineRule="auto"/>
        <w:rPr>
          <w:sz w:val="20"/>
          <w:szCs w:val="20"/>
          <w:color w:val="auto"/>
        </w:rPr>
      </w:pPr>
      <w:r>
        <w:rPr>
          <w:rFonts w:ascii="Courier New" w:cs="Courier New" w:eastAsia="Courier New" w:hAnsi="Courier New"/>
          <w:sz w:val="16"/>
          <w:szCs w:val="16"/>
          <w:color w:val="auto"/>
        </w:rPr>
        <w:t>In May 2003, the Company redeemed, at its scheduled redemption price, the $154 million outstanding principal amount of its 8 1/4% senior subordinated notes due 2008. The Company financed the redemption with amounts available under its existing credit facilities.</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860"/>
          </w:cols>
          <w:pgMar w:left="240" w:top="1049" w:right="799" w:bottom="881" w:gutter="0" w:footer="0" w:header="0"/>
        </w:sectPr>
      </w:pPr>
    </w:p>
    <w:bookmarkStart w:id="13" w:name="page14"/>
    <w:bookmarkEnd w:id="13"/>
    <w:p>
      <w:pPr>
        <w:jc w:val="center"/>
        <w:ind w:right="237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Repayments of Debt with Proceeds from Sales of QVC and Liberty Notes</w:t>
      </w:r>
    </w:p>
    <w:p>
      <w:pPr>
        <w:spacing w:after="0" w:line="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In September 2003, in connection with the sale of QVC and the sale of the Liberty Notes, the Company received an aggregate of approximately $4.35 billion in cash (see Note 3). In September 2003, the Company used a portion of the cash proceeds to repay $550 million on the Comcast Cable revolving credit facility due 2005 and also repaid $1.130 billion outstanding on certain of Comcast's bank credit facilities.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ZONES</w:t>
      </w:r>
    </w:p>
    <w:p>
      <w:pPr>
        <w:spacing w:after="0" w:line="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At maturity, holders of the Company's 2.0% Exchangeable Subordinated Debentures due 2029 (the "ZONES") are entitled to receive in cash an amount equal to the higher of the principal amount of the ZONES or the market value of Sprint PCS common stock. Prior to maturity, each ZONES is exchangeable at the holders' option for an amount of cash equal to 95% of the market value of Sprint PCS Stock. As of September 30, 2003, the number of Sprint PCS shares held by the Company exceeded the number of ZONES outstanding.</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Company split the accounting for the ZONES into derivative and debt components. The Company records the change in the fair value of the derivative component of the ZONES (see Note 4) and the change in the carrying value of the debt component of the ZONES as follows (in millions):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29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4800" w:type="dxa"/>
            <w:vAlign w:val="bottom"/>
          </w:tcPr>
          <w:p>
            <w:pPr>
              <w:spacing w:after="0"/>
              <w:rPr>
                <w:sz w:val="16"/>
                <w:szCs w:val="16"/>
                <w:color w:val="auto"/>
              </w:rPr>
            </w:pPr>
          </w:p>
        </w:tc>
        <w:tc>
          <w:tcPr>
            <w:tcW w:w="296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4800" w:type="dxa"/>
            <w:vAlign w:val="bottom"/>
          </w:tcPr>
          <w:p>
            <w:pPr>
              <w:spacing w:after="0"/>
              <w:rPr>
                <w:sz w:val="16"/>
                <w:szCs w:val="16"/>
                <w:color w:val="auto"/>
              </w:rPr>
            </w:pP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2003</w:t>
            </w: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4800" w:type="dxa"/>
            <w:vAlign w:val="bottom"/>
          </w:tcPr>
          <w:p>
            <w:pPr>
              <w:spacing w:after="0"/>
              <w:rPr>
                <w:sz w:val="16"/>
                <w:szCs w:val="16"/>
                <w:color w:val="auto"/>
              </w:rPr>
            </w:pP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Balance at Beginning of Period:</w:t>
            </w: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Debt component................................</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$491</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$468</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Derivative component..........................</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208</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1,145</w:t>
            </w:r>
          </w:p>
        </w:tc>
      </w:tr>
      <w:tr>
        <w:trPr>
          <w:trHeight w:val="186"/>
        </w:trPr>
        <w:tc>
          <w:tcPr>
            <w:tcW w:w="4800" w:type="dxa"/>
            <w:vAlign w:val="bottom"/>
          </w:tcPr>
          <w:p>
            <w:pPr>
              <w:spacing w:after="0"/>
              <w:rPr>
                <w:sz w:val="16"/>
                <w:szCs w:val="16"/>
                <w:color w:val="auto"/>
              </w:rPr>
            </w:pP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699</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1,613</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Increase in debt component</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 interest expense...........................</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Increase (decrease) in derivative component</w:t>
            </w: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 investment loss, net.......................</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(1,053)</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Balance at End of Period:</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Debt component................................</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509</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485</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Derivative component..........................</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272</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w:t>
            </w:r>
          </w:p>
        </w:tc>
      </w:tr>
      <w:tr>
        <w:trPr>
          <w:trHeight w:val="186"/>
        </w:trPr>
        <w:tc>
          <w:tcPr>
            <w:tcW w:w="4800" w:type="dxa"/>
            <w:vAlign w:val="bottom"/>
          </w:tcPr>
          <w:p>
            <w:pPr>
              <w:spacing w:after="0"/>
              <w:rPr>
                <w:sz w:val="16"/>
                <w:szCs w:val="16"/>
                <w:color w:val="auto"/>
              </w:rPr>
            </w:pP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$781</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$577</w:t>
            </w:r>
          </w:p>
        </w:tc>
      </w:tr>
      <w:tr>
        <w:trPr>
          <w:trHeight w:val="186"/>
        </w:trPr>
        <w:tc>
          <w:tcPr>
            <w:tcW w:w="4800" w:type="dxa"/>
            <w:vAlign w:val="bottom"/>
          </w:tcPr>
          <w:p>
            <w:pPr>
              <w:spacing w:after="0"/>
              <w:rPr>
                <w:sz w:val="16"/>
                <w:szCs w:val="16"/>
                <w:color w:val="auto"/>
              </w:rPr>
            </w:pPr>
          </w:p>
        </w:tc>
        <w:tc>
          <w:tcPr>
            <w:tcW w:w="1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Rates</w:t>
      </w:r>
    </w:p>
    <w:p>
      <w:pPr>
        <w:spacing w:after="0" w:line="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Excluding the derivative component of the ZONES whose changes in fair value are recorded to investment loss, net, the Company's effective weighted average interest rate on its total debt outstanding was 7.49% and 7.07% as of September 30, 2003 and December 31, 2002,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Derivatives</w:t>
      </w:r>
    </w:p>
    <w:p>
      <w:pPr>
        <w:spacing w:after="0" w:line="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Company uses derivative financial instruments to manage its exposure to fluctuations in interest rates and securities prices. The Company has issued indexed debt instruments and prepaid forward sale agreements whose value, in part, is derived from the market value of certain publicly traded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Lines and Letters of Credit</w:t>
      </w:r>
    </w:p>
    <w:p>
      <w:pPr>
        <w:spacing w:after="0" w:line="5" w:lineRule="exact"/>
        <w:rPr>
          <w:sz w:val="20"/>
          <w:szCs w:val="20"/>
          <w:color w:val="auto"/>
        </w:rPr>
      </w:pPr>
    </w:p>
    <w:p>
      <w:pPr>
        <w:jc w:val="both"/>
        <w:ind w:right="2459"/>
        <w:spacing w:after="0" w:line="248" w:lineRule="auto"/>
        <w:rPr>
          <w:sz w:val="20"/>
          <w:szCs w:val="20"/>
          <w:color w:val="auto"/>
        </w:rPr>
      </w:pPr>
      <w:r>
        <w:rPr>
          <w:rFonts w:ascii="Courier New" w:cs="Courier New" w:eastAsia="Courier New" w:hAnsi="Courier New"/>
          <w:sz w:val="16"/>
          <w:szCs w:val="16"/>
          <w:color w:val="auto"/>
        </w:rPr>
        <w:t>As of September 30, 2003, certain subsidiaries of the Company had unused lines of credit of $2.508 billion under their respective credit facilities.</w:t>
      </w:r>
    </w:p>
    <w:p>
      <w:pPr>
        <w:spacing w:after="0" w:line="184"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As of September 30, 2003, the Company and certain of its subsidiaries had unused irrevocable standby letters of credit totaling $42 million to cover potential fundings under various agreements.</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049" w:right="1440" w:bottom="1440" w:gutter="0" w:footer="0" w:header="0"/>
        </w:sectPr>
      </w:pPr>
    </w:p>
    <w:bookmarkStart w:id="14" w:name="page15"/>
    <w:bookmarkEnd w:id="14"/>
    <w:p>
      <w:pPr>
        <w:jc w:val="center"/>
        <w:ind w:right="290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90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900"/>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STOCKHOLDERS' EQUITY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Stock-Based Compensation</w:t>
      </w:r>
    </w:p>
    <w:p>
      <w:pPr>
        <w:spacing w:after="0" w:line="5" w:lineRule="exact"/>
        <w:rPr>
          <w:sz w:val="20"/>
          <w:szCs w:val="20"/>
          <w:color w:val="auto"/>
        </w:rPr>
      </w:pPr>
    </w:p>
    <w:p>
      <w:pPr>
        <w:jc w:val="both"/>
        <w:ind w:right="3000"/>
        <w:spacing w:after="0" w:line="246" w:lineRule="auto"/>
        <w:rPr>
          <w:sz w:val="20"/>
          <w:szCs w:val="20"/>
          <w:color w:val="auto"/>
        </w:rPr>
      </w:pPr>
      <w:r>
        <w:rPr>
          <w:rFonts w:ascii="Courier New" w:cs="Courier New" w:eastAsia="Courier New" w:hAnsi="Courier New"/>
          <w:sz w:val="16"/>
          <w:szCs w:val="16"/>
          <w:color w:val="auto"/>
        </w:rPr>
        <w:t>The Company accounts for stock-based compensation in accordance with Accounting Principles Board Opinion No. 25, "Accounting for Stock Issued to Employees," and related interpretations, as permitted by SFAS No. 123, "Accounting for Stock-Based Compensation," as amended. Compensation expense for stock options is measured as the excess, if any, of the quoted market price of the stock at the date of the grant over the amount an employee must pay to acquire the stock. The Company records compensation expense for restricted stock awards based on the quoted market price of the stock at the date of the grant and the vesting period. The Company records compensation expense for stock appreciation rights based on the changes in quoted market prices of the stock or other determinants of fair value.</w:t>
      </w:r>
    </w:p>
    <w:p>
      <w:pPr>
        <w:spacing w:after="0" w:line="193" w:lineRule="exact"/>
        <w:rPr>
          <w:sz w:val="20"/>
          <w:szCs w:val="20"/>
          <w:color w:val="auto"/>
        </w:rPr>
      </w:pPr>
    </w:p>
    <w:p>
      <w:pPr>
        <w:jc w:val="both"/>
        <w:ind w:right="3000"/>
        <w:spacing w:after="0" w:line="247" w:lineRule="auto"/>
        <w:rPr>
          <w:sz w:val="20"/>
          <w:szCs w:val="20"/>
          <w:color w:val="auto"/>
        </w:rPr>
      </w:pPr>
      <w:r>
        <w:rPr>
          <w:rFonts w:ascii="Courier New" w:cs="Courier New" w:eastAsia="Courier New" w:hAnsi="Courier New"/>
          <w:sz w:val="16"/>
          <w:szCs w:val="16"/>
          <w:color w:val="auto"/>
        </w:rPr>
        <w:t>The following table illustrates the effect on net income (loss) if the Company had applied the fair value recognition provisions of SFAS No. 123 to stock-based compensation (dollars in millions):</w:t>
      </w:r>
    </w:p>
    <w:p>
      <w:pPr>
        <w:sectPr>
          <w:pgSz w:w="11900" w:h="16838" w:orient="portrait"/>
          <w:cols w:equalWidth="0" w:num="1">
            <w:col w:w="10760"/>
          </w:cols>
          <w:pgMar w:left="240" w:top="1235"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6680"/>
        <w:spacing w:after="0"/>
        <w:rPr>
          <w:sz w:val="20"/>
          <w:szCs w:val="20"/>
          <w:color w:val="auto"/>
        </w:rPr>
      </w:pPr>
      <w:r>
        <w:rPr>
          <w:rFonts w:ascii="Courier New" w:cs="Courier New" w:eastAsia="Courier New" w:hAnsi="Courier New"/>
          <w:sz w:val="16"/>
          <w:szCs w:val="16"/>
          <w:color w:val="auto"/>
        </w:rPr>
        <w:t>Three Months Ended</w:t>
      </w:r>
    </w:p>
    <w:p>
      <w:pPr>
        <w:spacing w:after="0" w:line="5" w:lineRule="exact"/>
        <w:rPr>
          <w:sz w:val="20"/>
          <w:szCs w:val="20"/>
          <w:color w:val="auto"/>
        </w:rPr>
      </w:pPr>
    </w:p>
    <w:p>
      <w:pPr>
        <w:jc w:val="center"/>
        <w:ind w:left="6580"/>
        <w:spacing w:after="0"/>
        <w:rPr>
          <w:sz w:val="20"/>
          <w:szCs w:val="20"/>
          <w:color w:val="auto"/>
        </w:rPr>
      </w:pPr>
      <w:r>
        <w:rPr>
          <w:rFonts w:ascii="Courier New" w:cs="Courier New" w:eastAsia="Courier New" w:hAnsi="Courier New"/>
          <w:sz w:val="16"/>
          <w:szCs w:val="16"/>
          <w:color w:val="auto"/>
        </w:rPr>
        <w:t>September 30,</w:t>
      </w:r>
    </w:p>
    <w:p>
      <w:pPr>
        <w:spacing w:after="0" w:line="5" w:lineRule="exact"/>
        <w:rPr>
          <w:sz w:val="20"/>
          <w:szCs w:val="20"/>
          <w:color w:val="auto"/>
        </w:rPr>
      </w:pPr>
    </w:p>
    <w:p>
      <w:pPr>
        <w:jc w:val="center"/>
        <w:ind w:left="6880"/>
        <w:spacing w:after="0"/>
        <w:tabs>
          <w:tab w:leader="none" w:pos="760" w:val="left"/>
        </w:tabs>
        <w:rPr>
          <w:sz w:val="20"/>
          <w:szCs w:val="20"/>
          <w:color w:val="auto"/>
        </w:rPr>
      </w:pPr>
      <w:r>
        <w:rPr>
          <w:rFonts w:ascii="Courier New" w:cs="Courier New" w:eastAsia="Courier New" w:hAnsi="Courier New"/>
          <w:sz w:val="16"/>
          <w:szCs w:val="16"/>
          <w:color w:val="auto"/>
        </w:rPr>
        <w:t>2003</w:t>
      </w:r>
      <w:r>
        <w:rPr>
          <w:sz w:val="20"/>
          <w:szCs w:val="20"/>
          <w:color w:val="auto"/>
        </w:rPr>
        <w:tab/>
      </w:r>
      <w:r>
        <w:rPr>
          <w:rFonts w:ascii="Courier New" w:cs="Courier New" w:eastAsia="Courier New" w:hAnsi="Courier New"/>
          <w:sz w:val="16"/>
          <w:szCs w:val="16"/>
          <w:color w:val="auto"/>
        </w:rPr>
        <w:t>2002</w:t>
      </w:r>
    </w:p>
    <w:p>
      <w:pPr>
        <w:spacing w:after="0" w:line="5" w:lineRule="exact"/>
        <w:rPr>
          <w:sz w:val="20"/>
          <w:szCs w:val="20"/>
          <w:color w:val="auto"/>
        </w:rPr>
      </w:pPr>
    </w:p>
    <w:p>
      <w:pPr>
        <w:jc w:val="center"/>
        <w:ind w:left="6680"/>
        <w:spacing w:after="0"/>
        <w:tabs>
          <w:tab w:leader="none" w:pos="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line="247" w:lineRule="auto"/>
        <w:rPr>
          <w:sz w:val="20"/>
          <w:szCs w:val="20"/>
          <w:color w:val="auto"/>
        </w:rPr>
      </w:pPr>
      <w:r>
        <w:rPr>
          <w:rFonts w:ascii="Courier New" w:cs="Courier New" w:eastAsia="Courier New" w:hAnsi="Courier New"/>
          <w:sz w:val="16"/>
          <w:szCs w:val="16"/>
          <w:color w:val="auto"/>
        </w:rPr>
        <w:t>Nine Months Ended September 30, 2003      2002 --------   -------</w:t>
      </w:r>
    </w:p>
    <w:p>
      <w:pPr>
        <w:spacing w:after="0" w:line="186" w:lineRule="exact"/>
        <w:rPr>
          <w:sz w:val="20"/>
          <w:szCs w:val="20"/>
          <w:color w:val="auto"/>
        </w:rPr>
      </w:pPr>
    </w:p>
    <w:p>
      <w:pPr>
        <w:sectPr>
          <w:pgSz w:w="11900" w:h="16838" w:orient="portrait"/>
          <w:cols w:equalWidth="0" w:num="2">
            <w:col w:w="8620" w:space="300"/>
            <w:col w:w="1840"/>
          </w:cols>
          <w:pgMar w:left="240" w:top="1235" w:right="899"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Net income (loss),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$3,397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$3,716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($223)</w:t>
      </w:r>
    </w:p>
    <w:p>
      <w:pPr>
        <w:spacing w:after="0" w:line="191" w:lineRule="exact"/>
        <w:rPr>
          <w:sz w:val="20"/>
          <w:szCs w:val="20"/>
          <w:color w:val="auto"/>
        </w:rPr>
      </w:pPr>
    </w:p>
    <w:p>
      <w:pPr>
        <w:sectPr>
          <w:pgSz w:w="11900" w:h="16838" w:orient="portrait"/>
          <w:cols w:equalWidth="0" w:num="5">
            <w:col w:w="6680" w:space="200"/>
            <w:col w:w="740" w:space="720"/>
            <w:col w:w="280" w:space="480"/>
            <w:col w:w="580" w:space="500"/>
            <w:col w:w="580"/>
          </w:cols>
          <w:pgMar w:left="240" w:top="1235" w:right="899"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Deduct: Total stock-based compensation expense</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determined under fair value based method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for all awards relating to continuing operations, net</w:t>
      </w:r>
    </w:p>
    <w:p>
      <w:pPr>
        <w:sectPr>
          <w:pgSz w:w="11900" w:h="16838" w:orient="portrait"/>
          <w:cols w:equalWidth="0" w:num="1">
            <w:col w:w="10760"/>
          </w:cols>
          <w:pgMar w:left="240" w:top="1235" w:right="899" w:bottom="1440" w:gutter="0" w:footer="0" w:header="0"/>
          <w:type w:val="continuous"/>
        </w:sectPr>
      </w:pP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of related tax effects............................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(94)</w:t>
      </w:r>
    </w:p>
    <w:p>
      <w:pPr>
        <w:spacing w:after="0" w:line="191" w:lineRule="exact"/>
        <w:rPr>
          <w:sz w:val="20"/>
          <w:szCs w:val="20"/>
          <w:color w:val="auto"/>
        </w:rPr>
      </w:pPr>
    </w:p>
    <w:p>
      <w:pPr>
        <w:sectPr>
          <w:pgSz w:w="11900" w:h="16838" w:orient="portrait"/>
          <w:cols w:equalWidth="0" w:num="4">
            <w:col w:w="6680" w:space="500"/>
            <w:col w:w="440" w:space="720"/>
            <w:col w:w="1440" w:space="580"/>
            <w:col w:w="400"/>
          </w:cols>
          <w:pgMar w:left="240" w:top="1235" w:right="899" w:bottom="1440" w:gutter="0" w:footer="0" w:header="0"/>
          <w:type w:val="continuous"/>
        </w:sectPr>
      </w:pPr>
    </w:p>
    <w:p>
      <w:pPr>
        <w:ind w:left="1840"/>
        <w:spacing w:after="0"/>
        <w:rPr>
          <w:sz w:val="20"/>
          <w:szCs w:val="20"/>
          <w:color w:val="auto"/>
        </w:rPr>
      </w:pPr>
      <w:r>
        <w:rPr>
          <w:rFonts w:ascii="Courier New" w:cs="Courier New" w:eastAsia="Courier New" w:hAnsi="Courier New"/>
          <w:sz w:val="16"/>
          <w:szCs w:val="16"/>
          <w:color w:val="auto"/>
        </w:rPr>
        <w:t>Total stock-based compensation expense determined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under fair value based method for all awards relating</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to discontinued operations, net of related tax</w:t>
      </w:r>
    </w:p>
    <w:p>
      <w:pPr>
        <w:spacing w:after="0" w:line="5" w:lineRule="exact"/>
        <w:rPr>
          <w:sz w:val="20"/>
          <w:szCs w:val="20"/>
          <w:color w:val="auto"/>
        </w:rPr>
      </w:pPr>
    </w:p>
    <w:p>
      <w:pPr>
        <w:ind w:left="1840"/>
        <w:spacing w:after="0"/>
        <w:tabs>
          <w:tab w:leader="none" w:pos="7240" w:val="left"/>
        </w:tabs>
        <w:rPr>
          <w:sz w:val="20"/>
          <w:szCs w:val="20"/>
          <w:color w:val="auto"/>
        </w:rPr>
      </w:pPr>
      <w:r>
        <w:rPr>
          <w:rFonts w:ascii="Courier New" w:cs="Courier New" w:eastAsia="Courier New" w:hAnsi="Courier New"/>
          <w:sz w:val="16"/>
          <w:szCs w:val="16"/>
          <w:color w:val="auto"/>
        </w:rPr>
        <w:t>effects .........................................</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66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(12)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firstLine="388"/>
        <w:spacing w:after="0" w:line="248" w:lineRule="auto"/>
        <w:rPr>
          <w:sz w:val="20"/>
          <w:szCs w:val="20"/>
          <w:color w:val="auto"/>
        </w:rPr>
      </w:pPr>
      <w:r>
        <w:rPr>
          <w:rFonts w:ascii="Courier New" w:cs="Courier New" w:eastAsia="Courier New" w:hAnsi="Courier New"/>
          <w:sz w:val="16"/>
          <w:szCs w:val="16"/>
          <w:color w:val="auto"/>
        </w:rPr>
        <w:t>(12) -------</w:t>
      </w:r>
    </w:p>
    <w:p>
      <w:pPr>
        <w:spacing w:after="0" w:line="184" w:lineRule="exact"/>
        <w:rPr>
          <w:sz w:val="20"/>
          <w:szCs w:val="20"/>
          <w:color w:val="auto"/>
        </w:rPr>
      </w:pPr>
    </w:p>
    <w:p>
      <w:pPr>
        <w:sectPr>
          <w:pgSz w:w="11900" w:h="16838" w:orient="portrait"/>
          <w:cols w:equalWidth="0" w:num="4">
            <w:col w:w="7560" w:space="280"/>
            <w:col w:w="880" w:space="200"/>
            <w:col w:w="860" w:space="200"/>
            <w:col w:w="780"/>
          </w:cols>
          <w:pgMar w:left="240" w:top="1235" w:right="899"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Pro forma, net income (loss)....................................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$3,367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$39</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both"/>
        <w:ind w:firstLine="194"/>
        <w:spacing w:after="0" w:line="281" w:lineRule="auto"/>
        <w:rPr>
          <w:sz w:val="20"/>
          <w:szCs w:val="20"/>
          <w:color w:val="auto"/>
        </w:rPr>
      </w:pPr>
      <w:r>
        <w:rPr>
          <w:rFonts w:ascii="Courier New" w:cs="Courier New" w:eastAsia="Courier New" w:hAnsi="Courier New"/>
          <w:sz w:val="15"/>
          <w:szCs w:val="15"/>
          <w:color w:val="auto"/>
        </w:rPr>
        <w:t>$3,641 ========</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($329)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0" w:lineRule="exact"/>
        <w:rPr>
          <w:sz w:val="20"/>
          <w:szCs w:val="20"/>
          <w:color w:val="auto"/>
        </w:rPr>
      </w:pPr>
    </w:p>
    <w:p>
      <w:pPr>
        <w:sectPr>
          <w:pgSz w:w="11900" w:h="16838" w:orient="portrait"/>
          <w:cols w:equalWidth="0" w:num="5">
            <w:col w:w="6680" w:space="0"/>
            <w:col w:w="780" w:space="380"/>
            <w:col w:w="780" w:space="300"/>
            <w:col w:w="760" w:space="300"/>
            <w:col w:w="780"/>
          </w:cols>
          <w:pgMar w:left="240" w:top="1235" w:right="899" w:bottom="1440" w:gutter="0" w:footer="0" w:header="0"/>
          <w:type w:val="continuous"/>
        </w:sectPr>
      </w:pPr>
    </w:p>
    <w:p>
      <w:pPr>
        <w:spacing w:after="0" w:line="334" w:lineRule="exact"/>
        <w:rPr>
          <w:sz w:val="20"/>
          <w:szCs w:val="20"/>
          <w:color w:val="auto"/>
        </w:rPr>
      </w:pPr>
    </w:p>
    <w:p>
      <w:pPr>
        <w:jc w:val="both"/>
        <w:ind w:right="3000"/>
        <w:spacing w:after="0" w:line="246" w:lineRule="auto"/>
        <w:rPr>
          <w:sz w:val="20"/>
          <w:szCs w:val="20"/>
          <w:color w:val="auto"/>
        </w:rPr>
      </w:pPr>
      <w:r>
        <w:rPr>
          <w:rFonts w:ascii="Courier New" w:cs="Courier New" w:eastAsia="Courier New" w:hAnsi="Courier New"/>
          <w:sz w:val="16"/>
          <w:szCs w:val="16"/>
          <w:color w:val="auto"/>
        </w:rPr>
        <w:t>Total stock-based compensation expense was determined under the fair value method for all awards using the accelerated recognition method as permitted under SFAS No. 123. Had the Company applied the fair value recognition provisions of SFAS No. 123 using the straight-line rather than the accelerated recognition method of its stock options, total stock-based compensation expense relating to continuing operations, net of related tax effects, would have been $21 million and $26 million for the three months ended September 30, 2003 and 2002, respectively, and $55 million and $75 million for the nine months ended September 30, 2003 and 2002, respectively.</w:t>
      </w:r>
    </w:p>
    <w:p>
      <w:pPr>
        <w:spacing w:after="0" w:line="191" w:lineRule="exact"/>
        <w:rPr>
          <w:sz w:val="20"/>
          <w:szCs w:val="20"/>
          <w:color w:val="auto"/>
        </w:rPr>
      </w:pPr>
    </w:p>
    <w:p>
      <w:pPr>
        <w:jc w:val="both"/>
        <w:ind w:right="3000"/>
        <w:spacing w:after="0" w:line="246" w:lineRule="auto"/>
        <w:rPr>
          <w:sz w:val="20"/>
          <w:szCs w:val="20"/>
          <w:color w:val="auto"/>
        </w:rPr>
      </w:pPr>
      <w:r>
        <w:rPr>
          <w:rFonts w:ascii="Courier New" w:cs="Courier New" w:eastAsia="Courier New" w:hAnsi="Courier New"/>
          <w:sz w:val="16"/>
          <w:szCs w:val="16"/>
          <w:color w:val="auto"/>
        </w:rPr>
        <w:t>The weighted-average fair value at date of grant of a Class A common stock option granted under Comcast's option plan during the three and nine months ended September 30, 2003 was $12.94 and $10.76, respectively. The weighted-average fair value at date of grant of a Class A Special common stock option granted under the Company's option plans during the three and nine months ended September 30, 2002 was $10.33 and $15.50, respectively. The fair value of each option granted during the interim periods in 2003 and 2002 was estimated on the date of grant using the Black-Scholes option-pricing model with the following weighted-average assumptions: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760"/>
          </w:cols>
          <w:pgMar w:left="240" w:top="1235" w:right="899" w:bottom="1440" w:gutter="0" w:footer="0" w:header="0"/>
          <w:type w:val="continuous"/>
        </w:sectPr>
      </w:pPr>
    </w:p>
    <w:bookmarkStart w:id="15" w:name="page16"/>
    <w:bookmarkEnd w:id="15"/>
    <w:p>
      <w:pPr>
        <w:jc w:val="center"/>
        <w:ind w:right="302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51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(Unaudited)</w:t>
            </w:r>
          </w:p>
        </w:tc>
        <w:tc>
          <w:tcPr>
            <w:tcW w:w="18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559"/>
        </w:trPr>
        <w:tc>
          <w:tcPr>
            <w:tcW w:w="3440" w:type="dxa"/>
            <w:vAlign w:val="bottom"/>
          </w:tcPr>
          <w:p>
            <w:pPr>
              <w:spacing w:after="0"/>
              <w:rPr>
                <w:sz w:val="24"/>
                <w:szCs w:val="24"/>
                <w:color w:val="auto"/>
              </w:rPr>
            </w:pPr>
          </w:p>
        </w:tc>
        <w:tc>
          <w:tcPr>
            <w:tcW w:w="354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Three Months Ended</w:t>
            </w:r>
          </w:p>
        </w:tc>
        <w:tc>
          <w:tcPr>
            <w:tcW w:w="340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3440" w:type="dxa"/>
            <w:vAlign w:val="bottom"/>
          </w:tcPr>
          <w:p>
            <w:pPr>
              <w:spacing w:after="0"/>
              <w:rPr>
                <w:sz w:val="16"/>
                <w:szCs w:val="16"/>
                <w:color w:val="auto"/>
              </w:rPr>
            </w:pPr>
          </w:p>
        </w:tc>
        <w:tc>
          <w:tcPr>
            <w:tcW w:w="354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September 30,</w:t>
            </w:r>
          </w:p>
        </w:tc>
        <w:tc>
          <w:tcPr>
            <w:tcW w:w="3400" w:type="dxa"/>
            <w:vAlign w:val="bottom"/>
            <w:gridSpan w:val="2"/>
          </w:tcPr>
          <w:p>
            <w:pPr>
              <w:jc w:val="right"/>
              <w:ind w:right="99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3440" w:type="dxa"/>
            <w:vAlign w:val="bottom"/>
          </w:tcPr>
          <w:p>
            <w:pPr>
              <w:spacing w:after="0"/>
              <w:rPr>
                <w:sz w:val="16"/>
                <w:szCs w:val="16"/>
                <w:color w:val="auto"/>
              </w:rPr>
            </w:pPr>
          </w:p>
        </w:tc>
        <w:tc>
          <w:tcPr>
            <w:tcW w:w="17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2003</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2002</w:t>
            </w:r>
          </w:p>
        </w:tc>
        <w:tc>
          <w:tcPr>
            <w:tcW w:w="17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2003</w:t>
            </w:r>
          </w:p>
        </w:tc>
        <w:tc>
          <w:tcPr>
            <w:tcW w:w="17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344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35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w:t>
            </w:r>
          </w:p>
        </w:tc>
      </w:tr>
      <w:tr>
        <w:trPr>
          <w:trHeight w:val="186"/>
        </w:trPr>
        <w:tc>
          <w:tcPr>
            <w:tcW w:w="3440" w:type="dxa"/>
            <w:vAlign w:val="bottom"/>
          </w:tcPr>
          <w:p>
            <w:pPr>
              <w:spacing w:after="0"/>
              <w:rPr>
                <w:sz w:val="16"/>
                <w:szCs w:val="16"/>
                <w:color w:val="auto"/>
              </w:rPr>
            </w:pP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Class A</w:t>
            </w:r>
          </w:p>
        </w:tc>
        <w:tc>
          <w:tcPr>
            <w:tcW w:w="1840" w:type="dxa"/>
            <w:vAlign w:val="bottom"/>
          </w:tcPr>
          <w:p>
            <w:pPr>
              <w:ind w:left="200"/>
              <w:spacing w:after="0"/>
              <w:rPr>
                <w:sz w:val="20"/>
                <w:szCs w:val="20"/>
                <w:color w:val="auto"/>
              </w:rPr>
            </w:pPr>
            <w:r>
              <w:rPr>
                <w:rFonts w:ascii="Courier New" w:cs="Courier New" w:eastAsia="Courier New" w:hAnsi="Courier New"/>
                <w:sz w:val="16"/>
                <w:szCs w:val="16"/>
                <w:color w:val="auto"/>
              </w:rPr>
              <w:t>Class A Special</w:t>
            </w: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Class A</w:t>
            </w:r>
          </w:p>
        </w:tc>
        <w:tc>
          <w:tcPr>
            <w:tcW w:w="17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Class A Special</w:t>
            </w:r>
          </w:p>
        </w:tc>
      </w:tr>
      <w:tr>
        <w:trPr>
          <w:trHeight w:val="186"/>
        </w:trPr>
        <w:tc>
          <w:tcPr>
            <w:tcW w:w="3440" w:type="dxa"/>
            <w:vAlign w:val="bottom"/>
          </w:tcPr>
          <w:p>
            <w:pPr>
              <w:spacing w:after="0"/>
              <w:rPr>
                <w:sz w:val="16"/>
                <w:szCs w:val="16"/>
                <w:color w:val="auto"/>
              </w:rPr>
            </w:pPr>
          </w:p>
        </w:tc>
        <w:tc>
          <w:tcPr>
            <w:tcW w:w="17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Common Stock</w:t>
            </w:r>
          </w:p>
        </w:tc>
        <w:tc>
          <w:tcPr>
            <w:tcW w:w="18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Common Stock</w:t>
            </w: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Common Stock</w:t>
            </w: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Common Stock</w:t>
            </w:r>
          </w:p>
        </w:tc>
      </w:tr>
      <w:tr>
        <w:trPr>
          <w:trHeight w:val="186"/>
        </w:trPr>
        <w:tc>
          <w:tcPr>
            <w:tcW w:w="3440" w:type="dxa"/>
            <w:vAlign w:val="bottom"/>
          </w:tcPr>
          <w:p>
            <w:pPr>
              <w:spacing w:after="0"/>
              <w:rPr>
                <w:sz w:val="16"/>
                <w:szCs w:val="16"/>
                <w:color w:val="auto"/>
              </w:rPr>
            </w:pPr>
          </w:p>
        </w:tc>
        <w:tc>
          <w:tcPr>
            <w:tcW w:w="17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35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 ----------------</w:t>
            </w:r>
          </w:p>
        </w:tc>
        <w:tc>
          <w:tcPr>
            <w:tcW w:w="17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w:t>
            </w:r>
          </w:p>
        </w:tc>
      </w:tr>
      <w:tr>
        <w:trPr>
          <w:trHeight w:val="373"/>
        </w:trPr>
        <w:tc>
          <w:tcPr>
            <w:tcW w:w="3440" w:type="dxa"/>
            <w:vAlign w:val="bottom"/>
          </w:tcPr>
          <w:p>
            <w:pPr>
              <w:spacing w:after="0"/>
              <w:rPr>
                <w:sz w:val="20"/>
                <w:szCs w:val="20"/>
                <w:color w:val="auto"/>
              </w:rPr>
            </w:pPr>
            <w:r>
              <w:rPr>
                <w:rFonts w:ascii="Courier New" w:cs="Courier New" w:eastAsia="Courier New" w:hAnsi="Courier New"/>
                <w:sz w:val="16"/>
                <w:szCs w:val="16"/>
                <w:color w:val="auto"/>
              </w:rPr>
              <w:t>Dividend yield.....................</w:t>
            </w: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Expected volatility................</w:t>
            </w: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28.2%</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31.5%</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29.3%</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29.5%</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Risk-free interest rate............</w:t>
            </w: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4.1%</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4.6%</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Expected option lives (in years)...</w:t>
            </w: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8.0</w:t>
            </w: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8.0</w:t>
            </w:r>
          </w:p>
        </w:tc>
        <w:tc>
          <w:tcPr>
            <w:tcW w:w="17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6.9</w:t>
            </w:r>
          </w:p>
        </w:tc>
        <w:tc>
          <w:tcPr>
            <w:tcW w:w="17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8.0</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Forfeiture rate....................</w:t>
            </w: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3.0%</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3100"/>
        <w:spacing w:after="0" w:line="247" w:lineRule="auto"/>
        <w:rPr>
          <w:sz w:val="20"/>
          <w:szCs w:val="20"/>
          <w:color w:val="auto"/>
        </w:rPr>
      </w:pPr>
      <w:r>
        <w:rPr>
          <w:rFonts w:ascii="Courier New" w:cs="Courier New" w:eastAsia="Courier New" w:hAnsi="Courier New"/>
          <w:sz w:val="16"/>
          <w:szCs w:val="16"/>
          <w:color w:val="auto"/>
        </w:rPr>
        <w:t>The pro forma effect on net income (loss) for the interim periods by applying SFAS No. 123 may not be indicative of the effect on net income or loss in future years since SFAS No. 123 does not take into consideration pro forma compensation expense related to awards made prior to January 1, 1995 and since additional awards in future years are anticipated.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 (Loss)</w:t>
      </w:r>
    </w:p>
    <w:p>
      <w:pPr>
        <w:spacing w:after="0" w:line="5" w:lineRule="exact"/>
        <w:rPr>
          <w:sz w:val="20"/>
          <w:szCs w:val="20"/>
          <w:color w:val="auto"/>
        </w:rPr>
      </w:pPr>
    </w:p>
    <w:p>
      <w:pPr>
        <w:jc w:val="both"/>
        <w:ind w:right="3100"/>
        <w:spacing w:after="0" w:line="248" w:lineRule="auto"/>
        <w:rPr>
          <w:sz w:val="20"/>
          <w:szCs w:val="20"/>
          <w:color w:val="auto"/>
        </w:rPr>
      </w:pPr>
      <w:r>
        <w:rPr>
          <w:rFonts w:ascii="Courier New" w:cs="Courier New" w:eastAsia="Courier New" w:hAnsi="Courier New"/>
          <w:sz w:val="16"/>
          <w:szCs w:val="16"/>
          <w:color w:val="auto"/>
        </w:rPr>
        <w:t>The Company's total comprehensive income (loss) for the interim periods was as follows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234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Three Months Ended</w:t>
            </w:r>
          </w:p>
        </w:tc>
        <w:tc>
          <w:tcPr>
            <w:tcW w:w="2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5280" w:type="dxa"/>
            <w:vAlign w:val="bottom"/>
          </w:tcPr>
          <w:p>
            <w:pPr>
              <w:spacing w:after="0"/>
              <w:rPr>
                <w:sz w:val="16"/>
                <w:szCs w:val="16"/>
                <w:color w:val="auto"/>
              </w:rPr>
            </w:pPr>
          </w:p>
        </w:tc>
        <w:tc>
          <w:tcPr>
            <w:tcW w:w="234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September 30,</w:t>
            </w:r>
          </w:p>
        </w:tc>
        <w:tc>
          <w:tcPr>
            <w:tcW w:w="21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5280" w:type="dxa"/>
            <w:vAlign w:val="bottom"/>
          </w:tcPr>
          <w:p>
            <w:pPr>
              <w:spacing w:after="0"/>
              <w:rPr>
                <w:sz w:val="16"/>
                <w:szCs w:val="16"/>
                <w:color w:val="auto"/>
              </w:rPr>
            </w:pPr>
          </w:p>
        </w:tc>
        <w:tc>
          <w:tcPr>
            <w:tcW w:w="11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2003</w:t>
            </w:r>
          </w:p>
        </w:tc>
        <w:tc>
          <w:tcPr>
            <w:tcW w:w="11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2003</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52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52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$3,397</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$76</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$3,716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Unrealized (losses) gains on marketable securities...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(339)</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Reclassification adjustments for (gains) losses</w:t>
            </w: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included in net income (loss)......................</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1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203</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Unrealized losses (gains) on the effective portion</w:t>
            </w: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of cash flow hedges................................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gains (losses)..........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6"/>
        </w:trPr>
        <w:tc>
          <w:tcPr>
            <w:tcW w:w="52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Comprehensive income (loss)..........................</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$3,368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$3,685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($565)</w:t>
            </w:r>
          </w:p>
        </w:tc>
      </w:tr>
      <w:tr>
        <w:trPr>
          <w:trHeight w:val="186"/>
        </w:trPr>
        <w:tc>
          <w:tcPr>
            <w:tcW w:w="52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STATEMENT OF CASH FLOWS - SUPPLEMENTAL INFORMATION</w:t>
      </w:r>
    </w:p>
    <w:p>
      <w:pPr>
        <w:spacing w:after="0" w:line="191" w:lineRule="exact"/>
        <w:rPr>
          <w:sz w:val="20"/>
          <w:szCs w:val="20"/>
          <w:color w:val="auto"/>
        </w:rPr>
      </w:pPr>
    </w:p>
    <w:p>
      <w:pPr>
        <w:ind w:left="480" w:right="3200"/>
        <w:spacing w:after="0" w:line="248" w:lineRule="auto"/>
        <w:rPr>
          <w:sz w:val="20"/>
          <w:szCs w:val="20"/>
          <w:color w:val="auto"/>
        </w:rPr>
      </w:pPr>
      <w:r>
        <w:rPr>
          <w:rFonts w:ascii="Courier New" w:cs="Courier New" w:eastAsia="Courier New" w:hAnsi="Courier New"/>
          <w:sz w:val="16"/>
          <w:szCs w:val="16"/>
          <w:color w:val="auto"/>
        </w:rPr>
        <w:t>The Company made cash payments for interest and income taxes related to continuing operations during the interim periods as follows (in millions):</w:t>
      </w:r>
    </w:p>
    <w:p>
      <w:pPr>
        <w:spacing w:after="0" w:line="371" w:lineRule="exact"/>
        <w:rPr>
          <w:sz w:val="20"/>
          <w:szCs w:val="20"/>
          <w:color w:val="auto"/>
        </w:rPr>
      </w:pPr>
    </w:p>
    <w:tbl>
      <w:tblPr>
        <w:tblLayout w:type="fixed"/>
        <w:tblInd w:w="6000" w:type="dxa"/>
        <w:tblCellMar>
          <w:top w:w="0" w:type="dxa"/>
          <w:left w:w="0" w:type="dxa"/>
          <w:bottom w:w="0" w:type="dxa"/>
          <w:right w:w="0" w:type="dxa"/>
        </w:tblCellMar>
      </w:tblPr>
      <w:tr>
        <w:trPr>
          <w:trHeight w:val="18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Three Months</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Ended</w:t>
            </w:r>
          </w:p>
        </w:tc>
        <w:tc>
          <w:tcPr>
            <w:tcW w:w="760" w:type="dxa"/>
            <w:vAlign w:val="bottom"/>
          </w:tcPr>
          <w:p>
            <w:pPr>
              <w:ind w:left="320"/>
              <w:spacing w:after="0"/>
              <w:rPr>
                <w:sz w:val="20"/>
                <w:szCs w:val="20"/>
                <w:color w:val="auto"/>
              </w:rPr>
            </w:pPr>
            <w:r>
              <w:rPr>
                <w:rFonts w:ascii="Courier New" w:cs="Courier New" w:eastAsia="Courier New" w:hAnsi="Courier New"/>
                <w:sz w:val="16"/>
                <w:szCs w:val="16"/>
                <w:color w:val="auto"/>
              </w:rPr>
              <w:t>Nine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Months</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Ended</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rPr>
              <w:t>30,</w:t>
            </w:r>
          </w:p>
        </w:tc>
      </w:tr>
      <w:tr>
        <w:trPr>
          <w:trHeight w:val="186"/>
        </w:trPr>
        <w:tc>
          <w:tcPr>
            <w:tcW w:w="12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2003</w:t>
            </w:r>
          </w:p>
        </w:tc>
        <w:tc>
          <w:tcPr>
            <w:tcW w:w="8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760" w:type="dxa"/>
            <w:vAlign w:val="bottom"/>
          </w:tcPr>
          <w:p>
            <w:pPr>
              <w:ind w:left="320"/>
              <w:spacing w:after="0"/>
              <w:rPr>
                <w:sz w:val="20"/>
                <w:szCs w:val="20"/>
                <w:color w:val="auto"/>
              </w:rPr>
            </w:pPr>
            <w:r>
              <w:rPr>
                <w:rFonts w:ascii="Courier New" w:cs="Courier New" w:eastAsia="Courier New" w:hAnsi="Courier New"/>
                <w:sz w:val="16"/>
                <w:szCs w:val="16"/>
                <w:color w:val="auto"/>
              </w:rPr>
              <w:t>2003</w:t>
            </w:r>
          </w:p>
        </w:tc>
        <w:tc>
          <w:tcPr>
            <w:tcW w:w="68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rPr>
              <w:t>2002</w:t>
            </w:r>
          </w:p>
        </w:tc>
      </w:tr>
    </w:tbl>
    <w:p>
      <w:pPr>
        <w:spacing w:after="0" w:line="4"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$90</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$101</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$441</w:t>
            </w:r>
          </w:p>
        </w:tc>
      </w:tr>
      <w:tr>
        <w:trPr>
          <w:trHeight w:val="186"/>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3100"/>
        <w:spacing w:after="0" w:line="248" w:lineRule="auto"/>
        <w:rPr>
          <w:sz w:val="20"/>
          <w:szCs w:val="20"/>
          <w:color w:val="auto"/>
        </w:rPr>
      </w:pPr>
      <w:r>
        <w:rPr>
          <w:rFonts w:ascii="Courier New" w:cs="Courier New" w:eastAsia="Courier New" w:hAnsi="Courier New"/>
          <w:sz w:val="16"/>
          <w:szCs w:val="16"/>
          <w:color w:val="auto"/>
        </w:rPr>
        <w:t>The Liberty shares and Liberty Notes received in connection with the sale of QVC are non-cash investing activities (see Note 3).</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860"/>
          </w:cols>
          <w:pgMar w:left="240" w:top="1421" w:right="799" w:bottom="0" w:gutter="0" w:footer="0" w:header="0"/>
        </w:sectPr>
      </w:pPr>
    </w:p>
    <w:bookmarkStart w:id="16" w:name="page17"/>
    <w:bookmarkEnd w:id="16"/>
    <w:p>
      <w:pPr>
        <w:jc w:val="center"/>
        <w:ind w:right="235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1" w:right="7119" w:hanging="1"/>
        <w:spacing w:after="0" w:line="493" w:lineRule="auto"/>
        <w:tabs>
          <w:tab w:leader="none" w:pos="2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Contingencies</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 Home.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Litigation has been filed against the Company as a result of alleged conduct of the Company with respect to its investment in and distribution relationship with At Home Corporation. At Home was a provider of high-speed Internet services which filed for bankruptcy protection in September 2001. Filed actions are: (i) class action lawsuits against the Company, Brian L. Roberts (the Company's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and Cox Communications, Inc. (Cox is also an investor in At Home and a former distributor of the At Home service);</w:t>
      </w:r>
    </w:p>
    <w:p>
      <w:pPr>
        <w:spacing w:after="0" w:line="7" w:lineRule="exact"/>
        <w:rPr>
          <w:sz w:val="20"/>
          <w:szCs w:val="20"/>
          <w:color w:val="auto"/>
        </w:rPr>
      </w:pPr>
    </w:p>
    <w:p>
      <w:pPr>
        <w:jc w:val="both"/>
        <w:ind w:left="1" w:right="2459" w:hanging="1"/>
        <w:spacing w:after="0" w:line="246" w:lineRule="auto"/>
        <w:tabs>
          <w:tab w:leader="none" w:pos="4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action lawsuits against Comcast Cable Communications, Inc.,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All of the defendants served motions to dismiss on February 11, 2003. The court dismissed the common law claims against the Company and Mr. Roberts, leaving only a claim against them for "control person" liability under the Securities Exchange Act of 1934. The Delaware case has been transferred to the United States District Court for the Southern District of New York.</w:t>
      </w:r>
    </w:p>
    <w:p>
      <w:pPr>
        <w:spacing w:after="0" w:line="198"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The Company denies any wrongdoing in connection with the claims which have been made directly against the Company, its subsidiaries and Brian L. Roberts, and intends to defend all of these claims vigorously. In management's opinion, the final disposition of these claims is not expected to have a material adverse effect on the Company's consolidated financial position, but could possibly be material to the Company's consolidated results of operations of any one period. Further, no assurance can be given that any adverse outcome would not be material to such consolidated financial position.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Starz Encore.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Some of the entities formerly attributed to Broadband which are now subsidiaries of Comcast were parties to a 1997 affiliation term sheet with Starz Encore Group LLC ("Starz Encore"), an affiliate of Liberty, which was the subject of a lawsuit by Starz Encore against Broadband in Colorado State Court that preceded Comcast's acquisition of Broadband. In November 2002, the Company and Comcast filed suit against Starz Encore in the United States District Court for the Eastern District of Pennsylvania relating to that term sheet.</w:t>
      </w:r>
    </w:p>
    <w:p>
      <w:pPr>
        <w:spacing w:after="0" w:line="185"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In January 2003, Starz Encore filed an amended complaint in its lawsuit against Broadband in Colorado state court. The amended complaint added the Company and Comcast as defendants and added new claims against the Company, Comcast and Broadband asserting alleged breaches of, and interference with, a standstill agreement relating to the lawsuit filed by the Company and Comcast in federal District Court in Pennsylvania. On September 19, 2003, Comcast, Starz Encore and certain of their affiliates entered into a confidential settlement agreement that provided for the dismissal with prejudice of both the Colorado lawsuit and the Pennsylvania lawsuit, subject to the execution of a contemporaneous amendment to an existing affiliation agreement between Comcast and Starz Encore</w:t>
      </w:r>
    </w:p>
    <w:p>
      <w:pPr>
        <w:spacing w:after="0" w:line="200" w:lineRule="exact"/>
        <w:rPr>
          <w:sz w:val="20"/>
          <w:szCs w:val="20"/>
          <w:color w:val="auto"/>
        </w:rPr>
      </w:pPr>
    </w:p>
    <w:p>
      <w:pPr>
        <w:spacing w:after="0" w:line="36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1235" w:right="1440" w:bottom="136" w:gutter="0" w:footer="0" w:header="0"/>
        </w:sectPr>
      </w:pPr>
    </w:p>
    <w:bookmarkStart w:id="17" w:name="page18"/>
    <w:bookmarkEnd w:id="17"/>
    <w:p>
      <w:pPr>
        <w:jc w:val="center"/>
        <w:ind w:right="235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that originally applied only to the cable systems of the Company. The amended affiliation agreement now applies to all Comcast owned and operated systems, including the former Broadband systems, and provides for: (i) payment on a per-subscriber basis rather than the flat fee arrangement that formerly existed under the 1997 term sheet between Broadband and Starz Encore; (ii) elimination of the pass-through of any of Starz Encore's incremental programming costs, such as there had been under the 1997 term sheet between Broadband and Starz Encore; and (iii) enhanced joint marketing efforts promoting Starz Encore products. The parties have filed stipulations of dismissal of both the Colorado and Pennsylvania lawsuits with prejudice.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Company is subject to other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$165 million; however the Company's current estimate of the amount of expenditures (principally in the form of capital expenditures) that will be made by the affiliate necessary to comply with the performance requirements will not exceed $50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62" w:right="1440" w:bottom="1440" w:gutter="0" w:footer="0" w:header="0"/>
        </w:sectPr>
      </w:pPr>
    </w:p>
    <w:bookmarkStart w:id="18" w:name="page19"/>
    <w:bookmarkEnd w:id="18"/>
    <w:p>
      <w:pPr>
        <w:jc w:val="center"/>
        <w:ind w:right="237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FINANCIAL DATA BY BUSINESS SEGMENT</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As a result of the sale of QVC, the Company's only reportable segment is "Cable." The Company's other business segments, including the Company's content operations, do not meet the quantitative guidelines for segment reporting. The components of net income (loss) below operating income (loss) before depreciation and amortization are not separately evaluated by the Company's management on a segment basis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Corporate and</w:t>
            </w:r>
          </w:p>
        </w:tc>
        <w:tc>
          <w:tcPr>
            <w:tcW w:w="1020" w:type="dxa"/>
            <w:vAlign w:val="bottom"/>
          </w:tcPr>
          <w:p>
            <w:pPr>
              <w:spacing w:after="0"/>
              <w:rPr>
                <w:sz w:val="15"/>
                <w:szCs w:val="15"/>
                <w:color w:val="auto"/>
              </w:rPr>
            </w:pPr>
          </w:p>
        </w:tc>
      </w:tr>
      <w:tr>
        <w:trPr>
          <w:trHeight w:val="186"/>
        </w:trPr>
        <w:tc>
          <w:tcPr>
            <w:tcW w:w="53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Cable</w:t>
            </w:r>
          </w:p>
        </w:tc>
        <w:tc>
          <w:tcPr>
            <w:tcW w:w="17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Other (1)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53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2003</w:t>
            </w: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Revenues (2).........................................</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$1,718</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$1,882</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(3)............................</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742</w:t>
            </w: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730</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333</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379</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409</w:t>
            </w: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351</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130</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31</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324</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343</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2002</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Revenues (2).........................................</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$1,548</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$150</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$1,698</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(loss) before depreciation</w:t>
            </w: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(3)............................</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645</w:t>
            </w: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642</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309</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62</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371</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336</w:t>
            </w: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(65)</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271</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140</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32</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172</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322</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329</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2003</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Revenues (2).........................................</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$5,079</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$624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$5,703</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(3)............................</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2,155</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25</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2,180</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957</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1,101</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1,198</w:t>
            </w: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1,079</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405</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95</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500</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1,009</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1,038</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2002</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Revenues (2).........................................</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$4,558</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$544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$5,102</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38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(3)............................</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1,896</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35</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1,931</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900</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191</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1,091</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996</w:t>
            </w:r>
          </w:p>
        </w:tc>
        <w:tc>
          <w:tcPr>
            <w:tcW w:w="17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840</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428</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107</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535</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1,011</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1,035</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As of September 30, 2003</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$29,754</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$10,589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$40,343</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6,634</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1,307</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7,941</w:t>
            </w:r>
          </w:p>
        </w:tc>
      </w:tr>
      <w:tr>
        <w:trPr>
          <w:trHeight w:val="373"/>
        </w:trPr>
        <w:tc>
          <w:tcPr>
            <w:tcW w:w="5380" w:type="dxa"/>
            <w:vAlign w:val="bottom"/>
          </w:tcPr>
          <w:p>
            <w:pPr>
              <w:spacing w:after="0"/>
              <w:rPr>
                <w:sz w:val="20"/>
                <w:szCs w:val="20"/>
                <w:color w:val="auto"/>
              </w:rPr>
            </w:pPr>
            <w:r>
              <w:rPr>
                <w:rFonts w:ascii="Courier New" w:cs="Courier New" w:eastAsia="Courier New" w:hAnsi="Courier New"/>
                <w:sz w:val="16"/>
                <w:szCs w:val="16"/>
                <w:color w:val="auto"/>
              </w:rPr>
              <w:t>As of December 31, 2002</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$29,844</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$5,845</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$35,689</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7,908</w:t>
            </w:r>
          </w:p>
        </w:tc>
        <w:tc>
          <w:tcPr>
            <w:tcW w:w="17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1,348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9,256</w:t>
            </w:r>
          </w:p>
        </w:tc>
      </w:tr>
      <w:tr>
        <w:trPr>
          <w:trHeight w:val="186"/>
        </w:trPr>
        <w:tc>
          <w:tcPr>
            <w:tcW w:w="5380" w:type="dxa"/>
            <w:vAlign w:val="bottom"/>
          </w:tcPr>
          <w:p>
            <w:pPr>
              <w:spacing w:after="0"/>
              <w:rPr>
                <w:sz w:val="20"/>
                <w:szCs w:val="20"/>
                <w:color w:val="auto"/>
              </w:rPr>
            </w:pPr>
            <w:r>
              <w:rPr>
                <w:rFonts w:ascii="Courier New" w:cs="Courier New" w:eastAsia="Courier New" w:hAnsi="Courier New"/>
                <w:sz w:val="16"/>
                <w:szCs w:val="16"/>
                <w:color w:val="auto"/>
              </w:rPr>
              <w:t>_______________</w:t>
            </w: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932"/>
        </w:trPr>
        <w:tc>
          <w:tcPr>
            <w:tcW w:w="5380" w:type="dxa"/>
            <w:vAlign w:val="bottom"/>
          </w:tcPr>
          <w:p>
            <w:pPr>
              <w:ind w:left="3780"/>
              <w:spacing w:after="0"/>
              <w:rPr>
                <w:sz w:val="20"/>
                <w:szCs w:val="20"/>
                <w:color w:val="auto"/>
              </w:rPr>
            </w:pPr>
            <w:r>
              <w:rPr>
                <w:rFonts w:ascii="Courier New" w:cs="Courier New" w:eastAsia="Courier New" w:hAnsi="Courier New"/>
                <w:sz w:val="16"/>
                <w:szCs w:val="16"/>
                <w:color w:val="auto"/>
              </w:rPr>
              <w:t>15</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862" w:right="1440" w:bottom="1066" w:gutter="0" w:footer="0" w:header="0"/>
        </w:sectPr>
      </w:pPr>
    </w:p>
    <w:bookmarkStart w:id="19" w:name="page20"/>
    <w:bookmarkEnd w:id="19"/>
    <w:p>
      <w:pPr>
        <w:jc w:val="center"/>
        <w:ind w:right="235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481" w:right="2459" w:hanging="481"/>
        <w:spacing w:after="0" w:line="246"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and elimination entries related to the segment presented. Corporate and other assets consist primarily of the Company's investments and intangible assets related to the Company's content operations and, as of December 31, 2002, $3.076 billion of assets associated with discontinued operations (see Notes 3, 4 and 5).</w:t>
      </w:r>
    </w:p>
    <w:p>
      <w:pPr>
        <w:spacing w:after="0" w:line="3" w:lineRule="exact"/>
        <w:rPr>
          <w:rFonts w:ascii="Courier New" w:cs="Courier New" w:eastAsia="Courier New" w:hAnsi="Courier New"/>
          <w:sz w:val="16"/>
          <w:szCs w:val="16"/>
          <w:color w:val="auto"/>
        </w:rPr>
      </w:pPr>
    </w:p>
    <w:p>
      <w:pPr>
        <w:ind w:left="481" w:right="2959" w:hanging="481"/>
        <w:spacing w:after="0" w:line="246"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single customer accounted for a significant amount of the Company's revenues in any period.</w:t>
      </w:r>
    </w:p>
    <w:p>
      <w:pPr>
        <w:spacing w:after="0" w:line="1"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before depreciation and amortization is defined as operating income (loss) before depreciation and amortization and impairment charges, if any, related to fixed and intangible assets. As such, it eliminates the significant level of non-cash depreciation and amortization expense that results from the capital intensive nature of the Company's businesses and intangible assets recognized in business combinations, and is unaffected by the Company's capital structure or investment activities. The Company's management and Board of Directors use this measure in evaluating the Company's consolidated operating performance and the operating performance of all of its operating segments. This metric is used to allocate resources and capital to the Company's operating segments and is a significant component of the Company's annual incentive compensation programs. This measure is also useful to investors as it is one of the bases for comparing the Company's operating performance with other companies in its industries, although the Company's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239" w:top="862" w:right="1440" w:bottom="1440" w:gutter="0" w:footer="0" w:header="0"/>
        </w:sectPr>
      </w:pPr>
    </w:p>
    <w:bookmarkStart w:id="20" w:name="page21"/>
    <w:bookmarkEnd w:id="20"/>
    <w:p>
      <w:pPr>
        <w:jc w:val="center"/>
        <w:ind w:right="235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RELATED PARTY TRANSACTIONS</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QVC has an affiliation agreement with Comcast Cable Communications Holdings, Inc. ("CCCH"), a wholly owned subsidiary of Comcast, to carry QVC's programming. In return for carrying QVC programming, QVC pays CCCH an allocated portion, based upon market share, of a percentage of net sales of merchandise sold to QVC customers located in CCCH's service area. These amounts, which are included in income from discontinued operations in the Company's consolidated statement of operations, totaled $3 million and $11 million during the three and nine months ended September 30, 2003, respectively. Amounts related to a similar affiliation agreement between QVC and Comcast Cable, which are included in service revenues and income from discontinued operations in the Company's consolidated statement of operations, totaled $4 million and $13 million during the three and nine months ended September 30, 2003, respectively.</w:t>
      </w:r>
    </w:p>
    <w:p>
      <w:pPr>
        <w:spacing w:after="0" w:line="193"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Company's content businesses generate a portion of their revenues through the sale of subscriber services to CCCH under affiliation agreements. These amounts, which are included in service revenues in the Company's consolidated statement of operations, totaled $9 million and $26 million during the three and nine months ended September 30, 2003, respectively. Amounts related to similar affiliation agreements between the Company's content businesses and Comcast Cable are eliminated in the Company's consolidated financial statements.</w:t>
      </w:r>
    </w:p>
    <w:p>
      <w:pPr>
        <w:spacing w:after="0" w:line="18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Effective January 1, 2003, Comcast has entered into management agreements with the Company's cable subsidiaries. The management agreements generally provide that Comcast supervise the management and operations of the cable systems and arrange for and supervise certain administrative functions. As compensation for such services, the agreements provide for Comcast to charge management fees based on a percentage of gross revenues. These charges, which are included in selling, general and administrative expenses in the Company's consolidated statement of operations, totaled $39 million and $109 million during the three and nine months ended September 30, 2003, respectively. During the 2002 interim periods, similar management agreements existed between Comcast Cable and its subsidiaries. Accordingly, amounts related to those agreements were eliminated in the Company's consolidated financial statements during the 2002 interim periods.</w:t>
      </w:r>
    </w:p>
    <w:p>
      <w:pPr>
        <w:spacing w:after="0" w:line="194"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Effective January 1, 2003, Comcast Cable reimburses Comcast Cable Communications Management, LLC ("CCCM"), a wholly owned subsidiary of Comcast but not of the Company, for certain costs under a cost sharing agreement. These charges, which are included in selling, general and administrative expenses in the Company's consolidated statement of operations, totaled $47 million and $129 million during the three and nine months ended September 30, 2003, respectively. During the 2002 interim periods, similar costs were included in selling, general and administrative expenses in the Company's consolidated statement of operations.</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Effective upon the closing of Comcast's acquisition of Broadband on November 18, 2002, the Company purchases certain other services, including insurance and employee benefits, from Comcast under cost sharing arrangements on terms that reflect Comcast's actual cost. These charges, which are included in selling, general and administrative expenses in the Company's consolidated statement of operations, totaled $40 million and $116 million during the three and nine months ended September 30, 2003, respectively. During the 2002 interim periods, similar cost sharing agreements existed between Comcast Holdings and Comcast Cable. Accordingly, amounts related to those agreements were eliminated in the Company's consolidated financial statements during the 2002 interim periods.</w:t>
      </w:r>
    </w:p>
    <w:p>
      <w:pPr>
        <w:spacing w:after="0" w:line="192"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Comcast Financial Agency Corporation ("CFAC"), an indirect wholly owned subsidiary of the Company, provides cash management services to Comcast and CCCH. Under this arrangement, Comcast's and CCCH's cash receipts are deposited with and held by CFAC, as custodian and agent, which invests and disburses such funds at the direction of the Company. Interest income related to cash deposited by Comcast and CCCH in CFAC was not significant during the 2003 interim periods.</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Due from affiliates in the Company's consolidated balance sheet as of September 30, 2003 primarily consists of amounts due from Comcast, CCCH and CCCM for advances made by the Company for working capital and capital expenditures in the ordinary course of business. Due to affiliates in the Company's consolidated balance sheet as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62" w:right="1440" w:bottom="881" w:gutter="0" w:footer="0" w:header="0"/>
        </w:sectPr>
      </w:pPr>
    </w:p>
    <w:bookmarkStart w:id="21" w:name="page22"/>
    <w:bookmarkEnd w:id="21"/>
    <w:p>
      <w:pPr>
        <w:jc w:val="center"/>
        <w:ind w:right="235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of December 31, 2002 primarily consists of amounts due to Comcast and its affiliates under the cost sharing arrangements described above and amounts payable to Comcast and its affiliates as reimbursements for costs incurred, in the ordinary course of business, by such affiliates on behalf of the Company.</w:t>
      </w:r>
    </w:p>
    <w:p>
      <w:pPr>
        <w:spacing w:after="0" w:line="186"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As of September 30, 2003 and December 31, 2002, notes receivable from affiliates consist of an aggregate of $843 million and $191 million principal amount, respectively, of notes receivable from Comcast and from a subsidiary of CCCH. The notes receivable bear interest at rates ranging from 5.0% to 7.5% and are due between 2012 and 2013. As of September 30, 2003, notes receivable from affiliates includes $10 million of interest receivable related to the notes. As of September 30, 2003 and December 31, 2002, notes payable to affiliates consist of an aggregate of $47 million and $22 million principal amount, respectively, of notes payable to subsidiaries of CCCH. The notes payable bear interest at 7.5% and are due between 2012 and 2013. As of September 30, 2003, notes payable to affiliates includes $2 million of interest payable related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1049" w:right="1440" w:bottom="1440" w:gutter="0" w:footer="0" w:header="0"/>
        </w:sectPr>
      </w:pPr>
    </w:p>
    <w:bookmarkStart w:id="22" w:name="page23"/>
    <w:bookmarkEnd w:id="22"/>
    <w:p>
      <w:pPr>
        <w:jc w:val="center"/>
        <w:ind w:right="282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900"/>
        <w:spacing w:after="0"/>
        <w:rPr>
          <w:sz w:val="20"/>
          <w:szCs w:val="20"/>
          <w:color w:val="auto"/>
        </w:rPr>
      </w:pPr>
      <w:r>
        <w:rPr>
          <w:rFonts w:ascii="Courier New" w:cs="Courier New" w:eastAsia="Courier New" w:hAnsi="Courier New"/>
          <w:sz w:val="16"/>
          <w:szCs w:val="16"/>
          <w:color w:val="auto"/>
        </w:rPr>
        <w:t>QUARTER ENDED SEPTEMBER 30, 2003</w:t>
      </w:r>
    </w:p>
    <w:p>
      <w:pPr>
        <w:spacing w:after="0" w:line="37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OF OPERATIONS</w:t>
      </w:r>
    </w:p>
    <w:p>
      <w:pPr>
        <w:spacing w:after="0" w:line="191" w:lineRule="exact"/>
        <w:rPr>
          <w:sz w:val="20"/>
          <w:szCs w:val="20"/>
          <w:color w:val="auto"/>
        </w:rPr>
      </w:pPr>
    </w:p>
    <w:p>
      <w:pPr>
        <w:jc w:val="both"/>
        <w:ind w:right="2900" w:firstLine="484"/>
        <w:spacing w:after="0" w:line="248" w:lineRule="auto"/>
        <w:rPr>
          <w:sz w:val="20"/>
          <w:szCs w:val="20"/>
          <w:color w:val="auto"/>
        </w:rPr>
      </w:pPr>
      <w:r>
        <w:rPr>
          <w:rFonts w:ascii="Courier New" w:cs="Courier New" w:eastAsia="Courier New" w:hAnsi="Courier New"/>
          <w:sz w:val="16"/>
          <w:szCs w:val="16"/>
          <w:color w:val="auto"/>
        </w:rPr>
        <w:t>Information for this item is omitted pursuant to SEC General Instruction H to Form 10-Q, except as noted below.</w:t>
      </w:r>
    </w:p>
    <w:p>
      <w:pPr>
        <w:spacing w:after="0" w:line="184" w:lineRule="exact"/>
        <w:rPr>
          <w:sz w:val="20"/>
          <w:szCs w:val="20"/>
          <w:color w:val="auto"/>
        </w:rPr>
      </w:pPr>
    </w:p>
    <w:p>
      <w:pPr>
        <w:jc w:val="both"/>
        <w:ind w:right="2900" w:firstLine="484"/>
        <w:spacing w:after="0" w:line="248" w:lineRule="auto"/>
        <w:rPr>
          <w:sz w:val="20"/>
          <w:szCs w:val="20"/>
          <w:color w:val="auto"/>
        </w:rPr>
      </w:pPr>
      <w:r>
        <w:rPr>
          <w:rFonts w:ascii="Courier New" w:cs="Courier New" w:eastAsia="Courier New" w:hAnsi="Courier New"/>
          <w:sz w:val="16"/>
          <w:szCs w:val="16"/>
          <w:color w:val="auto"/>
        </w:rPr>
        <w:t>We are an indirect wholly owned subsidiary of Comcast Corporation ("Comcast").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Developments</w:t>
      </w:r>
    </w:p>
    <w:p>
      <w:pPr>
        <w:spacing w:after="0" w:line="191" w:lineRule="exact"/>
        <w:rPr>
          <w:sz w:val="20"/>
          <w:szCs w:val="20"/>
          <w:color w:val="auto"/>
        </w:rPr>
      </w:pPr>
    </w:p>
    <w:p>
      <w:pPr>
        <w:jc w:val="both"/>
        <w:ind w:right="2900" w:firstLine="484"/>
        <w:spacing w:after="0" w:line="247" w:lineRule="auto"/>
        <w:rPr>
          <w:sz w:val="20"/>
          <w:szCs w:val="20"/>
          <w:color w:val="auto"/>
        </w:rPr>
      </w:pPr>
      <w:r>
        <w:rPr>
          <w:rFonts w:ascii="Courier New" w:cs="Courier New" w:eastAsia="Courier New" w:hAnsi="Courier New"/>
          <w:sz w:val="16"/>
          <w:szCs w:val="16"/>
          <w:color w:val="auto"/>
        </w:rPr>
        <w:t>We have grown significantly in recent years through both strategic acquisitions and growth in our existing businesses. We have historically met our cash needs for operations through our cash flows from operating activities. We have generally financed our acquisitions and capital expenditures through issuances of our common stock, borrowings of long-term debt, sales of investments and from existing cash, cash equivalents and short-term investments.</w:t>
      </w:r>
    </w:p>
    <w:p>
      <w:pPr>
        <w:spacing w:after="0" w:line="185" w:lineRule="exact"/>
        <w:rPr>
          <w:sz w:val="20"/>
          <w:szCs w:val="20"/>
          <w:color w:val="auto"/>
        </w:rPr>
      </w:pPr>
    </w:p>
    <w:p>
      <w:pPr>
        <w:jc w:val="both"/>
        <w:ind w:right="2900" w:firstLine="484"/>
        <w:spacing w:after="0" w:line="246" w:lineRule="auto"/>
        <w:rPr>
          <w:sz w:val="20"/>
          <w:szCs w:val="20"/>
          <w:color w:val="auto"/>
        </w:rPr>
      </w:pPr>
      <w:r>
        <w:rPr>
          <w:rFonts w:ascii="Courier New" w:cs="Courier New" w:eastAsia="Courier New" w:hAnsi="Courier New"/>
          <w:sz w:val="16"/>
          <w:szCs w:val="16"/>
          <w:color w:val="auto"/>
        </w:rPr>
        <w:t>As more fully described in Note 3 to our financial statements included in Item 1 (see Sale of QVC), on September 17, 2003 we sold to Liberty Media Corporation ("Liberty") our approximate 57% interest in QVC, Inc. ("QVC") for approximately $7.7 billion under a stock purchase agreement. We received from Liberty three-year senior unsecured notes (the "Liberty Notes") bearing interest at LIBOR plus 1.5%, approximately 218 million shares of Liberty Series A common stock and cash. The values of the notes, shares and cash received were approximately $4.0 billion, $2.339 billion and $1.35 billion, respectively. In accordance with Statement of Financial Accounting Standards No. 144 ("SFAS 144"), QVC's operations are presented as a discontinued operation in our financial statements.</w:t>
      </w:r>
    </w:p>
    <w:p>
      <w:pPr>
        <w:spacing w:after="0" w:line="193" w:lineRule="exact"/>
        <w:rPr>
          <w:sz w:val="20"/>
          <w:szCs w:val="20"/>
          <w:color w:val="auto"/>
        </w:rPr>
      </w:pPr>
    </w:p>
    <w:p>
      <w:pPr>
        <w:jc w:val="both"/>
        <w:ind w:right="2900" w:firstLine="484"/>
        <w:spacing w:after="0" w:line="248" w:lineRule="auto"/>
        <w:rPr>
          <w:sz w:val="20"/>
          <w:szCs w:val="20"/>
          <w:color w:val="auto"/>
        </w:rPr>
      </w:pPr>
      <w:r>
        <w:rPr>
          <w:rFonts w:ascii="Courier New" w:cs="Courier New" w:eastAsia="Courier New" w:hAnsi="Courier New"/>
          <w:sz w:val="16"/>
          <w:szCs w:val="16"/>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60" w:type="dxa"/>
            <w:vAlign w:val="bottom"/>
          </w:tcPr>
          <w:p>
            <w:pPr>
              <w:spacing w:after="0"/>
              <w:rPr>
                <w:sz w:val="15"/>
                <w:szCs w:val="15"/>
                <w:color w:val="auto"/>
              </w:rPr>
            </w:pPr>
          </w:p>
        </w:tc>
        <w:tc>
          <w:tcPr>
            <w:tcW w:w="23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Three Months Ended</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6060" w:type="dxa"/>
            <w:vAlign w:val="bottom"/>
          </w:tcPr>
          <w:p>
            <w:pPr>
              <w:spacing w:after="0"/>
              <w:rPr>
                <w:sz w:val="16"/>
                <w:szCs w:val="16"/>
                <w:color w:val="auto"/>
              </w:rPr>
            </w:pPr>
          </w:p>
        </w:tc>
        <w:tc>
          <w:tcPr>
            <w:tcW w:w="236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September 30,</w:t>
            </w:r>
          </w:p>
        </w:tc>
        <w:tc>
          <w:tcPr>
            <w:tcW w:w="22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Increase / (Decrease)</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2003</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2002</w:t>
            </w:r>
          </w:p>
        </w:tc>
        <w:tc>
          <w:tcPr>
            <w:tcW w:w="122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Service revenues.............................................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$1,882</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$1,698</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1,152</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1,056</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330</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321</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351</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271</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29.5</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(161)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Interest expense on affiliate notes, net.....................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11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Investment loss, net.........................................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(166)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119</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253.2</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66.7</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tax benefit (expense).................................</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111</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$68</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183.3%</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660"/>
          </w:cols>
          <w:pgMar w:left="240" w:top="1235" w:right="999" w:bottom="1440" w:gutter="0" w:footer="0" w:header="0"/>
        </w:sectPr>
      </w:pPr>
    </w:p>
    <w:bookmarkStart w:id="23" w:name="page24"/>
    <w:bookmarkEnd w:id="23"/>
    <w:p>
      <w:pPr>
        <w:jc w:val="center"/>
        <w:ind w:right="50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6"/>
          <w:szCs w:val="16"/>
          <w:color w:val="auto"/>
        </w:rPr>
        <w:t>QUARTER ENDED SEPTEMBER 30,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60" w:type="dxa"/>
            <w:vAlign w:val="bottom"/>
          </w:tcPr>
          <w:p>
            <w:pPr>
              <w:spacing w:after="0"/>
              <w:rPr>
                <w:sz w:val="15"/>
                <w:szCs w:val="15"/>
                <w:color w:val="auto"/>
              </w:rPr>
            </w:pPr>
          </w:p>
        </w:tc>
        <w:tc>
          <w:tcPr>
            <w:tcW w:w="22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6060" w:type="dxa"/>
            <w:vAlign w:val="bottom"/>
          </w:tcPr>
          <w:p>
            <w:pPr>
              <w:spacing w:after="0"/>
              <w:rPr>
                <w:sz w:val="16"/>
                <w:szCs w:val="16"/>
                <w:color w:val="auto"/>
              </w:rPr>
            </w:pPr>
          </w:p>
        </w:tc>
        <w:tc>
          <w:tcPr>
            <w:tcW w:w="22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6060" w:type="dxa"/>
            <w:vAlign w:val="bottom"/>
          </w:tcPr>
          <w:p>
            <w:pPr>
              <w:spacing w:after="0"/>
              <w:rPr>
                <w:sz w:val="16"/>
                <w:szCs w:val="16"/>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rPr>
              <w:t>2003</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Service revenues.............................................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$5,703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$5,102</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3,523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3,171</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965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957</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1,079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840</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(535)</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Interest income on affiliate notes, net......................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w:t>
            </w:r>
          </w:p>
        </w:tc>
        <w:tc>
          <w:tcPr>
            <w:tcW w:w="1080" w:type="dxa"/>
            <w:vAlign w:val="bottom"/>
          </w:tcPr>
          <w:p>
            <w:pPr>
              <w:spacing w:after="0"/>
              <w:rPr>
                <w:sz w:val="16"/>
                <w:szCs w:val="16"/>
                <w:color w:val="auto"/>
              </w:rPr>
            </w:pP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Investment loss, net.........................................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(702)</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tax benefit (expense).................................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($364)</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Operating Results</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Revenues</w:t>
      </w:r>
    </w:p>
    <w:p>
      <w:pPr>
        <w:spacing w:after="0" w:line="191" w:lineRule="exact"/>
        <w:rPr>
          <w:sz w:val="20"/>
          <w:szCs w:val="20"/>
          <w:color w:val="auto"/>
        </w:rPr>
      </w:pPr>
    </w:p>
    <w:p>
      <w:pPr>
        <w:jc w:val="both"/>
        <w:ind w:right="580" w:firstLine="484"/>
        <w:spacing w:after="0" w:line="246" w:lineRule="auto"/>
        <w:rPr>
          <w:sz w:val="20"/>
          <w:szCs w:val="20"/>
          <w:color w:val="auto"/>
        </w:rPr>
      </w:pPr>
      <w:r>
        <w:rPr>
          <w:rFonts w:ascii="Courier New" w:cs="Courier New" w:eastAsia="Courier New" w:hAnsi="Courier New"/>
          <w:sz w:val="16"/>
          <w:szCs w:val="16"/>
          <w:color w:val="auto"/>
        </w:rPr>
        <w:t>Consolidated revenues for the three and nine month interim periods increased $184 million and $601 million, respectively. Of these increases, $170 million and $521 million, respectively, relate to our cable segment, which is discussed separately below. The remaining increases are primarily the result of our content businesses, which achieved combined revenue growth of 17.5% and 16.2%, respectively, for the three and nine month interim periods. Such increases were primarily the result of increases in distribution revenues and in advertising.</w:t>
      </w:r>
    </w:p>
    <w:p>
      <w:pPr>
        <w:spacing w:after="0" w:line="191" w:lineRule="exact"/>
        <w:rPr>
          <w:sz w:val="20"/>
          <w:szCs w:val="20"/>
          <w:color w:val="auto"/>
        </w:rPr>
      </w:pPr>
    </w:p>
    <w:p>
      <w:pPr>
        <w:ind w:left="300" w:right="3600"/>
        <w:spacing w:after="0" w:line="248" w:lineRule="auto"/>
        <w:rPr>
          <w:sz w:val="20"/>
          <w:szCs w:val="20"/>
          <w:color w:val="auto"/>
        </w:rPr>
      </w:pPr>
      <w:r>
        <w:rPr>
          <w:rFonts w:ascii="Courier New" w:cs="Courier New" w:eastAsia="Courier New" w:hAnsi="Courier New"/>
          <w:sz w:val="16"/>
          <w:szCs w:val="16"/>
          <w:color w:val="auto"/>
        </w:rPr>
        <w:t>Operating, selling, general and administrative expenses</w:t>
      </w:r>
    </w:p>
    <w:p>
      <w:pPr>
        <w:spacing w:after="0" w:line="184" w:lineRule="exact"/>
        <w:rPr>
          <w:sz w:val="20"/>
          <w:szCs w:val="20"/>
          <w:color w:val="auto"/>
        </w:rPr>
      </w:pPr>
    </w:p>
    <w:p>
      <w:pPr>
        <w:jc w:val="both"/>
        <w:ind w:right="580" w:firstLine="484"/>
        <w:spacing w:after="0" w:line="246" w:lineRule="auto"/>
        <w:rPr>
          <w:sz w:val="20"/>
          <w:szCs w:val="20"/>
          <w:color w:val="auto"/>
        </w:rPr>
      </w:pPr>
      <w:r>
        <w:rPr>
          <w:rFonts w:ascii="Courier New" w:cs="Courier New" w:eastAsia="Courier New" w:hAnsi="Courier New"/>
          <w:sz w:val="16"/>
          <w:szCs w:val="16"/>
          <w:color w:val="auto"/>
        </w:rPr>
        <w:t>Consolidated operating, selling, general and administrative expenses for the three and nine month interim periods increased $96 million and $352 million, respectively. Of these increases, $73 million and $262 million, respectively, relate to our cable segment, which is discussed separately below. The remaining increases for the interim periods are primarily attributable to costs associated with management agreements between Comcast and the Company's cable subsidiaries during the 2003 interim periods that had been eliminated in consolidation in 2002 and to increased expenses in our content operations. These increases were offset, in part, by the effects of reduced corporate overhead which, upon closing of Comcast's acquisition of Broadband on November 18, 2002, are recorded by the Comcast parent rather than by the Comcast Holdings parent.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 Operating Results</w:t>
      </w:r>
    </w:p>
    <w:p>
      <w:pPr>
        <w:spacing w:after="0" w:line="191" w:lineRule="exact"/>
        <w:rPr>
          <w:sz w:val="20"/>
          <w:szCs w:val="20"/>
          <w:color w:val="auto"/>
        </w:rPr>
      </w:pPr>
    </w:p>
    <w:p>
      <w:pPr>
        <w:jc w:val="both"/>
        <w:ind w:right="580" w:firstLine="484"/>
        <w:spacing w:after="0" w:line="247" w:lineRule="auto"/>
        <w:rPr>
          <w:sz w:val="20"/>
          <w:szCs w:val="20"/>
          <w:color w:val="auto"/>
        </w:rPr>
      </w:pPr>
      <w:r>
        <w:rPr>
          <w:rFonts w:ascii="Courier New" w:cs="Courier New" w:eastAsia="Courier New" w:hAnsi="Courier New"/>
          <w:sz w:val="16"/>
          <w:szCs w:val="16"/>
          <w:color w:val="auto"/>
        </w:rPr>
        <w:t>The following represents the operating results of our Cable segment. The remaining components of our operations are not independently significant to our consolidated financial condition or results of operations (dollars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 (Decrease)</w:t>
      </w:r>
    </w:p>
    <w:p>
      <w:pPr>
        <w:spacing w:after="0" w:line="5" w:lineRule="exact"/>
        <w:rPr>
          <w:sz w:val="20"/>
          <w:szCs w:val="20"/>
          <w:color w:val="auto"/>
        </w:rPr>
      </w:pPr>
    </w:p>
    <w:p>
      <w:pPr>
        <w:ind w:left="1560" w:hanging="1166"/>
        <w:spacing w:after="0"/>
        <w:tabs>
          <w:tab w:leader="none" w:pos="15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right"/>
        <w:spacing w:after="0"/>
        <w:tabs>
          <w:tab w:leader="none" w:pos="460" w:val="left"/>
        </w:tabs>
        <w:rPr>
          <w:sz w:val="20"/>
          <w:szCs w:val="20"/>
          <w:color w:val="auto"/>
        </w:rPr>
      </w:pPr>
      <w:r>
        <w:rPr>
          <w:rFonts w:ascii="Courier New" w:cs="Courier New" w:eastAsia="Courier New" w:hAnsi="Courier New"/>
          <w:sz w:val="16"/>
          <w:szCs w:val="16"/>
          <w:color w:val="auto"/>
        </w:rPr>
        <w:t>$601</w:t>
      </w:r>
      <w:r>
        <w:rPr>
          <w:sz w:val="20"/>
          <w:szCs w:val="20"/>
          <w:color w:val="auto"/>
        </w:rPr>
        <w:tab/>
      </w:r>
      <w:r>
        <w:rPr>
          <w:rFonts w:ascii="Courier New" w:cs="Courier New" w:eastAsia="Courier New" w:hAnsi="Courier New"/>
          <w:sz w:val="16"/>
          <w:szCs w:val="16"/>
          <w:color w:val="auto"/>
        </w:rPr>
        <w:t>11.8%</w:t>
      </w:r>
    </w:p>
    <w:p>
      <w:pPr>
        <w:spacing w:after="0" w:line="5" w:lineRule="exact"/>
        <w:rPr>
          <w:sz w:val="20"/>
          <w:szCs w:val="20"/>
          <w:color w:val="auto"/>
        </w:rPr>
      </w:pPr>
    </w:p>
    <w:p>
      <w:pPr>
        <w:ind w:left="680"/>
        <w:spacing w:after="0"/>
        <w:tabs>
          <w:tab w:leader="none" w:pos="1640" w:val="left"/>
        </w:tabs>
        <w:rPr>
          <w:sz w:val="20"/>
          <w:szCs w:val="20"/>
          <w:color w:val="auto"/>
        </w:rPr>
      </w:pPr>
      <w:r>
        <w:rPr>
          <w:rFonts w:ascii="Courier New" w:cs="Courier New" w:eastAsia="Courier New" w:hAnsi="Courier New"/>
          <w:sz w:val="16"/>
          <w:szCs w:val="16"/>
          <w:color w:val="auto"/>
        </w:rPr>
        <w:t>352</w:t>
      </w:r>
      <w:r>
        <w:rPr>
          <w:sz w:val="20"/>
          <w:szCs w:val="20"/>
          <w:color w:val="auto"/>
        </w:rPr>
        <w:tab/>
      </w:r>
      <w:r>
        <w:rPr>
          <w:rFonts w:ascii="Courier New" w:cs="Courier New" w:eastAsia="Courier New" w:hAnsi="Courier New"/>
          <w:sz w:val="16"/>
          <w:szCs w:val="16"/>
          <w:color w:val="auto"/>
        </w:rPr>
        <w:t>11.1</w:t>
      </w:r>
    </w:p>
    <w:p>
      <w:pPr>
        <w:spacing w:after="0" w:line="5" w:lineRule="exact"/>
        <w:rPr>
          <w:sz w:val="20"/>
          <w:szCs w:val="20"/>
          <w:color w:val="auto"/>
        </w:rPr>
      </w:pPr>
    </w:p>
    <w:p>
      <w:pPr>
        <w:ind w:left="880"/>
        <w:spacing w:after="0"/>
        <w:tabs>
          <w:tab w:leader="none" w:pos="174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0.8</w:t>
      </w:r>
    </w:p>
    <w:p>
      <w:pPr>
        <w:spacing w:after="0" w:line="5" w:lineRule="exact"/>
        <w:rPr>
          <w:sz w:val="20"/>
          <w:szCs w:val="20"/>
          <w:color w:val="auto"/>
        </w:rPr>
      </w:pPr>
    </w:p>
    <w:p>
      <w:pPr>
        <w:ind w:left="1760" w:hanging="881"/>
        <w:spacing w:after="0"/>
        <w:tabs>
          <w:tab w:leader="none" w:pos="17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ind w:left="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239</w:t>
      </w:r>
      <w:r>
        <w:rPr>
          <w:rFonts w:ascii="Courier New" w:cs="Courier New" w:eastAsia="Courier New" w:hAnsi="Courier New"/>
          <w:sz w:val="15"/>
          <w:szCs w:val="15"/>
          <w:color w:val="auto"/>
        </w:rPr>
        <w:t>28.5</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660" w:hanging="975"/>
        <w:spacing w:after="0"/>
        <w:tabs>
          <w:tab w:leader="none" w:pos="1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2NM</w:t>
      </w:r>
    </w:p>
    <w:p>
      <w:pPr>
        <w:spacing w:after="0" w:line="5" w:lineRule="exact"/>
        <w:rPr>
          <w:sz w:val="20"/>
          <w:szCs w:val="20"/>
          <w:color w:val="auto"/>
        </w:rPr>
      </w:pPr>
    </w:p>
    <w:p>
      <w:pPr>
        <w:ind w:left="1560" w:hanging="972"/>
        <w:spacing w:after="0"/>
        <w:tabs>
          <w:tab w:leader="none" w:pos="15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(71.8)</w:t>
      </w:r>
    </w:p>
    <w:p>
      <w:pPr>
        <w:spacing w:after="0" w:line="5" w:lineRule="exact"/>
        <w:rPr>
          <w:sz w:val="20"/>
          <w:szCs w:val="20"/>
          <w:color w:val="auto"/>
        </w:rPr>
      </w:pPr>
    </w:p>
    <w:p>
      <w:pPr>
        <w:ind w:left="1560" w:hanging="875"/>
        <w:spacing w:after="0"/>
        <w:tabs>
          <w:tab w:leader="none" w:pos="15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(18.2)</w:t>
      </w:r>
    </w:p>
    <w:p>
      <w:pPr>
        <w:spacing w:after="0" w:line="5"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13NM</w:t>
      </w:r>
    </w:p>
    <w:p>
      <w:pPr>
        <w:spacing w:after="0" w:line="5" w:lineRule="exact"/>
        <w:rPr>
          <w:sz w:val="20"/>
          <w:szCs w:val="20"/>
          <w:color w:val="auto"/>
        </w:rPr>
      </w:pPr>
    </w:p>
    <w:p>
      <w:pPr>
        <w:ind w:left="1840" w:hanging="1252"/>
        <w:spacing w:after="0"/>
        <w:tabs>
          <w:tab w:leader="none" w:pos="18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NM</w:t>
      </w:r>
    </w:p>
    <w:p>
      <w:pPr>
        <w:spacing w:after="0" w:line="5"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w:t>
      </w:r>
      <w:r>
        <w:rPr>
          <w:rFonts w:ascii="Courier New" w:cs="Courier New" w:eastAsia="Courier New" w:hAnsi="Courier New"/>
          <w:sz w:val="15"/>
          <w:szCs w:val="15"/>
          <w:color w:val="auto"/>
        </w:rPr>
        <w:t>43.5</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jc w:val="right"/>
        <w:spacing w:after="0"/>
        <w:tabs>
          <w:tab w:leader="none" w:pos="280" w:val="left"/>
        </w:tabs>
        <w:rPr>
          <w:sz w:val="20"/>
          <w:szCs w:val="20"/>
          <w:color w:val="auto"/>
        </w:rPr>
      </w:pPr>
      <w:r>
        <w:rPr>
          <w:rFonts w:ascii="Courier New" w:cs="Courier New" w:eastAsia="Courier New" w:hAnsi="Courier New"/>
          <w:sz w:val="16"/>
          <w:szCs w:val="16"/>
          <w:color w:val="auto"/>
        </w:rPr>
        <w:t>$622</w:t>
      </w:r>
      <w:r>
        <w:rPr>
          <w:sz w:val="20"/>
          <w:szCs w:val="20"/>
          <w:color w:val="auto"/>
        </w:rPr>
        <w:tab/>
      </w:r>
      <w:r>
        <w:rPr>
          <w:rFonts w:ascii="Courier New" w:cs="Courier New" w:eastAsia="Courier New" w:hAnsi="Courier New"/>
          <w:sz w:val="16"/>
          <w:szCs w:val="16"/>
          <w:color w:val="auto"/>
        </w:rPr>
        <w:t>NM%</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tab/>
        <w:t>=========</w:t>
      </w:r>
    </w:p>
    <w:p>
      <w:pPr>
        <w:spacing w:after="0" w:line="7100" w:lineRule="exact"/>
        <w:rPr>
          <w:sz w:val="20"/>
          <w:szCs w:val="20"/>
          <w:color w:val="auto"/>
        </w:rPr>
      </w:pPr>
    </w:p>
    <w:p>
      <w:pPr>
        <w:sectPr>
          <w:pgSz w:w="11900" w:h="16838" w:orient="portrait"/>
          <w:cols w:equalWidth="0" w:num="2">
            <w:col w:w="8340" w:space="180"/>
            <w:col w:w="2140"/>
          </w:cols>
          <w:pgMar w:left="240" w:top="676" w:right="999" w:bottom="1440" w:gutter="0" w:footer="0" w:header="0"/>
        </w:sect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660"/>
          </w:cols>
          <w:pgMar w:left="240" w:top="676" w:right="999" w:bottom="1440" w:gutter="0" w:footer="0" w:header="0"/>
          <w:type w:val="continuous"/>
        </w:sectPr>
      </w:pPr>
    </w:p>
    <w:bookmarkStart w:id="24" w:name="page25"/>
    <w:bookmarkEnd w:id="24"/>
    <w:p>
      <w:pPr>
        <w:spacing w:after="0" w:line="5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6"/>
          <w:szCs w:val="16"/>
          <w:color w:val="auto"/>
        </w:rPr>
        <w:t>QUARTER ENDED SEPTEMBER 30, 2003</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Cable</w:t>
      </w:r>
    </w:p>
    <w:p>
      <w:pPr>
        <w:spacing w:after="0" w:line="191" w:lineRule="exact"/>
        <w:rPr>
          <w:sz w:val="20"/>
          <w:szCs w:val="20"/>
          <w:color w:val="auto"/>
        </w:rPr>
      </w:pPr>
    </w:p>
    <w:p>
      <w:pPr>
        <w:ind w:left="1" w:right="3600" w:firstLine="291"/>
        <w:spacing w:after="0" w:line="248" w:lineRule="auto"/>
        <w:rPr>
          <w:sz w:val="20"/>
          <w:szCs w:val="20"/>
          <w:color w:val="auto"/>
        </w:rPr>
      </w:pPr>
      <w:r>
        <w:rPr>
          <w:rFonts w:ascii="Courier New" w:cs="Courier New" w:eastAsia="Courier New" w:hAnsi="Courier New"/>
          <w:sz w:val="16"/>
          <w:szCs w:val="16"/>
          <w:color w:val="auto"/>
        </w:rPr>
        <w:t>The following table presents financial information for our Cable segment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23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Three Months Ended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6"/>
        </w:trPr>
        <w:tc>
          <w:tcPr>
            <w:tcW w:w="6100" w:type="dxa"/>
            <w:vAlign w:val="bottom"/>
          </w:tcPr>
          <w:p>
            <w:pPr>
              <w:spacing w:after="0"/>
              <w:rPr>
                <w:sz w:val="16"/>
                <w:szCs w:val="16"/>
                <w:color w:val="auto"/>
              </w:rPr>
            </w:pPr>
          </w:p>
        </w:tc>
        <w:tc>
          <w:tcPr>
            <w:tcW w:w="238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September 30,</w:t>
            </w:r>
          </w:p>
        </w:tc>
        <w:tc>
          <w:tcPr>
            <w:tcW w:w="23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Increase</w:t>
            </w:r>
          </w:p>
        </w:tc>
      </w:tr>
      <w:tr>
        <w:trPr>
          <w:trHeight w:val="186"/>
        </w:trPr>
        <w:tc>
          <w:tcPr>
            <w:tcW w:w="610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6"/>
                <w:szCs w:val="16"/>
                <w:color w:val="auto"/>
              </w:rPr>
              <w:t>2003</w:t>
            </w:r>
          </w:p>
        </w:tc>
        <w:tc>
          <w:tcPr>
            <w:tcW w:w="1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$1,249</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$1,180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56.4</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102</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Revenues...............................................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$1,718</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170</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11.0</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976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903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$742</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$645</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15.0%</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6100" w:type="dxa"/>
            <w:vAlign w:val="bottom"/>
          </w:tcPr>
          <w:p>
            <w:pPr>
              <w:spacing w:after="0"/>
              <w:rPr>
                <w:sz w:val="24"/>
                <w:szCs w:val="24"/>
                <w:color w:val="auto"/>
              </w:rPr>
            </w:pPr>
          </w:p>
        </w:tc>
        <w:tc>
          <w:tcPr>
            <w:tcW w:w="23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Nine Months Ended</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6"/>
        </w:trPr>
        <w:tc>
          <w:tcPr>
            <w:tcW w:w="6100" w:type="dxa"/>
            <w:vAlign w:val="bottom"/>
          </w:tcPr>
          <w:p>
            <w:pPr>
              <w:spacing w:after="0"/>
              <w:rPr>
                <w:sz w:val="16"/>
                <w:szCs w:val="16"/>
                <w:color w:val="auto"/>
              </w:rPr>
            </w:pPr>
          </w:p>
        </w:tc>
        <w:tc>
          <w:tcPr>
            <w:tcW w:w="238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September 30,</w:t>
            </w:r>
          </w:p>
        </w:tc>
        <w:tc>
          <w:tcPr>
            <w:tcW w:w="23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Increase</w:t>
            </w:r>
          </w:p>
        </w:tc>
      </w:tr>
      <w:tr>
        <w:trPr>
          <w:trHeight w:val="186"/>
        </w:trPr>
        <w:tc>
          <w:tcPr>
            <w:tcW w:w="610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Courier New" w:cs="Courier New" w:eastAsia="Courier New" w:hAnsi="Courier New"/>
                <w:sz w:val="16"/>
                <w:szCs w:val="16"/>
                <w:color w:val="auto"/>
              </w:rPr>
              <w:t>2003</w:t>
            </w:r>
          </w:p>
        </w:tc>
        <w:tc>
          <w:tcPr>
            <w:tcW w:w="11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Video.......................................................</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$3,735</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$3,516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$219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High-speed Internet.........................................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677</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415</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262</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63.1</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Advertising sales...........................................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Franchise fees..............................................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157</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Revenues................................................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$5,079</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4,558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521</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11.4</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2,924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2,662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262</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$2,155</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$1,896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$259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13.7%</w:t>
            </w:r>
          </w:p>
        </w:tc>
      </w:tr>
      <w:tr>
        <w:trPr>
          <w:trHeight w:val="186"/>
        </w:trPr>
        <w:tc>
          <w:tcPr>
            <w:tcW w:w="610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w:t>
      </w:r>
    </w:p>
    <w:p>
      <w:pPr>
        <w:spacing w:after="0" w:line="5" w:lineRule="exact"/>
        <w:rPr>
          <w:sz w:val="20"/>
          <w:szCs w:val="20"/>
          <w:color w:val="auto"/>
        </w:rPr>
      </w:pPr>
    </w:p>
    <w:p>
      <w:pPr>
        <w:jc w:val="both"/>
        <w:ind w:left="481" w:right="3100" w:hanging="481"/>
        <w:spacing w:after="0" w:line="246"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this measure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This measure should not be considered as a substitute for operating income (loss), net income (loss), net cash provided by operating activities or other measures of performance or liquidity reported in accordance with GAAP.</w:t>
      </w:r>
    </w:p>
    <w:p>
      <w:pPr>
        <w:spacing w:after="0" w:line="199" w:lineRule="exact"/>
        <w:rPr>
          <w:sz w:val="20"/>
          <w:szCs w:val="20"/>
          <w:color w:val="auto"/>
        </w:rPr>
      </w:pPr>
    </w:p>
    <w:p>
      <w:pPr>
        <w:jc w:val="both"/>
        <w:ind w:left="1" w:right="3100" w:firstLine="484"/>
        <w:spacing w:after="0" w:line="246" w:lineRule="auto"/>
        <w:rPr>
          <w:sz w:val="20"/>
          <w:szCs w:val="20"/>
          <w:color w:val="auto"/>
        </w:rPr>
      </w:pPr>
      <w:r>
        <w:rPr>
          <w:rFonts w:ascii="Courier New" w:cs="Courier New" w:eastAsia="Courier New" w:hAnsi="Courier New"/>
          <w:sz w:val="16"/>
          <w:szCs w:val="16"/>
          <w:color w:val="auto"/>
        </w:rPr>
        <w:t>Video revenue consists of our basic, expanded basic, premium, pay-per-view, equipment and digital cable services. The increases in video revenue for the interim periods from 2002 to 2003 are primarily due to the effects of increases in average monthly revenue per basic subscriber as a result of rate increases in our traditional analog video service and growth in digital subscribers. From September 30, 2002 to September 30, 2003, we added approximately 437,000 digital subscribers, or a 20.7% increase in digital subscribers. During the three and nine months ended September 30, 2003, we added approximately 133,000 and 304,000</w:t>
      </w:r>
    </w:p>
    <w:p>
      <w:pPr>
        <w:sectPr>
          <w:pgSz w:w="11900" w:h="16898" w:orient="portrait"/>
          <w:cols w:equalWidth="0" w:num="1">
            <w:col w:w="10861"/>
          </w:cols>
          <w:pgMar w:left="239" w:top="862" w:right="799"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digital subscribers respectively.</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increases in high-speed Internet revenue for the interim periods from 2002 to 2003 are primarily due to the addition of approximately 733,000 high-speed Internet subscribers from September 30, 2002 to</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142" w:right="1440" w:bottom="1440" w:gutter="0" w:footer="0" w:header="0"/>
        </w:sectPr>
      </w:pPr>
    </w:p>
    <w:bookmarkStart w:id="26" w:name="page27"/>
    <w:bookmarkEnd w:id="26"/>
    <w:p>
      <w:pPr>
        <w:spacing w:after="0" w:line="57"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QUARTER ENDED SEPTEMBER 30, 2003</w:t>
      </w:r>
    </w:p>
    <w:p>
      <w:pPr>
        <w:spacing w:after="0" w:line="378" w:lineRule="exact"/>
        <w:rPr>
          <w:sz w:val="20"/>
          <w:szCs w:val="20"/>
          <w:color w:val="auto"/>
        </w:rPr>
      </w:pPr>
    </w:p>
    <w:p>
      <w:pPr>
        <w:jc w:val="both"/>
        <w:ind w:right="480"/>
        <w:spacing w:after="0" w:line="247" w:lineRule="auto"/>
        <w:rPr>
          <w:sz w:val="20"/>
          <w:szCs w:val="20"/>
          <w:color w:val="auto"/>
        </w:rPr>
      </w:pPr>
      <w:r>
        <w:rPr>
          <w:rFonts w:ascii="Courier New" w:cs="Courier New" w:eastAsia="Courier New" w:hAnsi="Courier New"/>
          <w:sz w:val="16"/>
          <w:szCs w:val="16"/>
          <w:color w:val="auto"/>
        </w:rPr>
        <w:t>September 30, 2003, or a 54.8% increase in high-speed Internet subscribers. During the three and nine months ended September 30, 2003, we added approximately 190,000 and 546,000 high-speed Internet subscribers, respectively.</w:t>
      </w:r>
    </w:p>
    <w:p>
      <w:pPr>
        <w:spacing w:after="0" w:line="186" w:lineRule="exact"/>
        <w:rPr>
          <w:sz w:val="20"/>
          <w:szCs w:val="20"/>
          <w:color w:val="auto"/>
        </w:rPr>
      </w:pPr>
    </w:p>
    <w:p>
      <w:pPr>
        <w:jc w:val="both"/>
        <w:ind w:right="480" w:firstLine="484"/>
        <w:spacing w:after="0" w:line="247" w:lineRule="auto"/>
        <w:rPr>
          <w:sz w:val="20"/>
          <w:szCs w:val="20"/>
          <w:color w:val="auto"/>
        </w:rPr>
      </w:pPr>
      <w:r>
        <w:rPr>
          <w:rFonts w:ascii="Courier New" w:cs="Courier New" w:eastAsia="Courier New" w:hAnsi="Courier New"/>
          <w:sz w:val="16"/>
          <w:szCs w:val="16"/>
          <w:color w:val="auto"/>
        </w:rPr>
        <w:t>The increases in advertising sales revenue for the interim periods from 2002 to 2003 are primarily due to the effects of growth in regional/national advertising as a result of the continuing success of our regional interconnects, and growth in a soft local advertising market.</w:t>
      </w:r>
    </w:p>
    <w:p>
      <w:pPr>
        <w:spacing w:after="0" w:line="186" w:lineRule="exact"/>
        <w:rPr>
          <w:sz w:val="20"/>
          <w:szCs w:val="20"/>
          <w:color w:val="auto"/>
        </w:rPr>
      </w:pPr>
    </w:p>
    <w:p>
      <w:pPr>
        <w:jc w:val="both"/>
        <w:ind w:right="480" w:firstLine="484"/>
        <w:spacing w:after="0" w:line="247" w:lineRule="auto"/>
        <w:rPr>
          <w:sz w:val="20"/>
          <w:szCs w:val="20"/>
          <w:color w:val="auto"/>
        </w:rPr>
      </w:pPr>
      <w:r>
        <w:rPr>
          <w:rFonts w:ascii="Courier New" w:cs="Courier New" w:eastAsia="Courier New" w:hAnsi="Courier New"/>
          <w:sz w:val="16"/>
          <w:szCs w:val="16"/>
          <w:color w:val="auto"/>
        </w:rPr>
        <w:t>Other revenue includes phone revenues, installation revenues, guide revenues, commissions from electronic retailing, revenues of our regional sports programming networks and revenue from other product offerings.</w:t>
      </w:r>
    </w:p>
    <w:p>
      <w:pPr>
        <w:spacing w:after="0" w:line="186" w:lineRule="exact"/>
        <w:rPr>
          <w:sz w:val="20"/>
          <w:szCs w:val="20"/>
          <w:color w:val="auto"/>
        </w:rPr>
      </w:pPr>
    </w:p>
    <w:p>
      <w:pPr>
        <w:jc w:val="both"/>
        <w:ind w:right="480" w:firstLine="484"/>
        <w:spacing w:after="0" w:line="247" w:lineRule="auto"/>
        <w:rPr>
          <w:sz w:val="20"/>
          <w:szCs w:val="20"/>
          <w:color w:val="auto"/>
        </w:rPr>
      </w:pPr>
      <w:r>
        <w:rPr>
          <w:rFonts w:ascii="Courier New" w:cs="Courier New" w:eastAsia="Courier New" w:hAnsi="Courier New"/>
          <w:sz w:val="16"/>
          <w:szCs w:val="16"/>
          <w:color w:val="auto"/>
        </w:rPr>
        <w:t>The increases in operating, selling, general and administrative expense for the interim periods from 2002 to 2003 are primarily due to the effects of increases in the costs of cable programming, high-speed Internet subscriber growth, and, to a lesser extent, increases in labor costs and other volume related expenses.</w:t>
      </w:r>
    </w:p>
    <w:p>
      <w:pPr>
        <w:spacing w:after="0" w:line="185" w:lineRule="exact"/>
        <w:rPr>
          <w:sz w:val="20"/>
          <w:szCs w:val="20"/>
          <w:color w:val="auto"/>
        </w:rPr>
      </w:pPr>
    </w:p>
    <w:p>
      <w:pPr>
        <w:jc w:val="both"/>
        <w:ind w:right="480" w:firstLine="484"/>
        <w:spacing w:after="0" w:line="247" w:lineRule="auto"/>
        <w:rPr>
          <w:sz w:val="20"/>
          <w:szCs w:val="20"/>
          <w:color w:val="auto"/>
        </w:rPr>
      </w:pPr>
      <w:r>
        <w:rPr>
          <w:rFonts w:ascii="Courier New" w:cs="Courier New" w:eastAsia="Courier New" w:hAnsi="Courier New"/>
          <w:sz w:val="16"/>
          <w:szCs w:val="16"/>
          <w:color w:val="auto"/>
        </w:rPr>
        <w:t>Our cost of programming increases as a result of changes in rates, subscriber growth, additional channel offerings and our acquisitions. We anticipate the cost of cable programming will increase in the future as cable programming rates increase and additional sources of cable programming become available.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Expense</w:t>
      </w:r>
    </w:p>
    <w:p>
      <w:pPr>
        <w:spacing w:after="0" w:line="191" w:lineRule="exact"/>
        <w:rPr>
          <w:sz w:val="20"/>
          <w:szCs w:val="20"/>
          <w:color w:val="auto"/>
        </w:rPr>
      </w:pPr>
    </w:p>
    <w:p>
      <w:pPr>
        <w:jc w:val="both"/>
        <w:ind w:right="480" w:firstLine="484"/>
        <w:spacing w:after="0" w:line="247" w:lineRule="auto"/>
        <w:rPr>
          <w:sz w:val="20"/>
          <w:szCs w:val="20"/>
          <w:color w:val="auto"/>
        </w:rPr>
      </w:pPr>
      <w:r>
        <w:rPr>
          <w:rFonts w:ascii="Courier New" w:cs="Courier New" w:eastAsia="Courier New" w:hAnsi="Courier New"/>
          <w:sz w:val="16"/>
          <w:szCs w:val="16"/>
          <w:color w:val="auto"/>
        </w:rPr>
        <w:t>The decreases in interest expense for the interim periods from 2002 to 2003 are primarily attributable to the effects of our lower amount of outstanding debt as a result of our net debt repayments.</w:t>
      </w:r>
    </w:p>
    <w:p>
      <w:pPr>
        <w:spacing w:after="0" w:line="186" w:lineRule="exact"/>
        <w:rPr>
          <w:sz w:val="20"/>
          <w:szCs w:val="20"/>
          <w:color w:val="auto"/>
        </w:rPr>
      </w:pPr>
    </w:p>
    <w:p>
      <w:pPr>
        <w:jc w:val="both"/>
        <w:ind w:right="480" w:firstLine="484"/>
        <w:spacing w:after="0" w:line="247" w:lineRule="auto"/>
        <w:rPr>
          <w:sz w:val="20"/>
          <w:szCs w:val="20"/>
          <w:color w:val="auto"/>
        </w:rPr>
      </w:pPr>
      <w:r>
        <w:rPr>
          <w:rFonts w:ascii="Courier New" w:cs="Courier New" w:eastAsia="Courier New" w:hAnsi="Courier New"/>
          <w:sz w:val="16"/>
          <w:szCs w:val="16"/>
          <w:color w:val="auto"/>
        </w:rPr>
        <w:t>We anticipate that, for the foreseeable future, interest expense will be significant. We believe we will continue to be able to meet our obligations through our ability both to generate cash flow from operations and to obtain external financing.</w:t>
      </w:r>
    </w:p>
    <w:p>
      <w:pPr>
        <w:spacing w:after="0" w:line="18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_______________________</w:t>
      </w:r>
    </w:p>
    <w:p>
      <w:pPr>
        <w:spacing w:after="0" w:line="200" w:lineRule="exact"/>
        <w:rPr>
          <w:sz w:val="20"/>
          <w:szCs w:val="20"/>
          <w:color w:val="auto"/>
        </w:rPr>
      </w:pPr>
    </w:p>
    <w:p>
      <w:pPr>
        <w:spacing w:after="0" w:line="36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Loss, Net</w:t>
      </w:r>
    </w:p>
    <w:p>
      <w:pPr>
        <w:spacing w:after="0" w:line="191" w:lineRule="exact"/>
        <w:rPr>
          <w:sz w:val="20"/>
          <w:szCs w:val="20"/>
          <w:color w:val="auto"/>
        </w:rPr>
      </w:pPr>
    </w:p>
    <w:p>
      <w:pPr>
        <w:ind w:right="880" w:firstLine="484"/>
        <w:spacing w:after="0" w:line="248" w:lineRule="auto"/>
        <w:rPr>
          <w:sz w:val="20"/>
          <w:szCs w:val="20"/>
          <w:color w:val="auto"/>
        </w:rPr>
      </w:pPr>
      <w:r>
        <w:rPr>
          <w:rFonts w:ascii="Courier New" w:cs="Courier New" w:eastAsia="Courier New" w:hAnsi="Courier New"/>
          <w:sz w:val="16"/>
          <w:szCs w:val="16"/>
          <w:color w:val="auto"/>
        </w:rPr>
        <w:t>Investment loss, net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21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Three Months Ended</w:t>
            </w:r>
          </w:p>
        </w:tc>
      </w:tr>
      <w:tr>
        <w:trPr>
          <w:trHeight w:val="186"/>
        </w:trPr>
        <w:tc>
          <w:tcPr>
            <w:tcW w:w="6100" w:type="dxa"/>
            <w:vAlign w:val="bottom"/>
          </w:tcPr>
          <w:p>
            <w:pPr>
              <w:spacing w:after="0"/>
              <w:rPr>
                <w:sz w:val="16"/>
                <w:szCs w:val="16"/>
                <w:color w:val="auto"/>
              </w:rPr>
            </w:pPr>
          </w:p>
        </w:tc>
        <w:tc>
          <w:tcPr>
            <w:tcW w:w="21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610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2003</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6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Interest and dividend income...................................</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w:t>
            </w:r>
          </w:p>
        </w:tc>
      </w:tr>
      <w:tr>
        <w:trPr>
          <w:trHeight w:val="186"/>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Gains (losses) on sales and exchanges of investments, net......</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Investment impairment losses...................................</w:t>
            </w:r>
          </w:p>
        </w:tc>
        <w:tc>
          <w:tcPr>
            <w:tcW w:w="10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6"/>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Unrealized losses on trading securities........................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(167)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6"/>
        </w:trPr>
        <w:tc>
          <w:tcPr>
            <w:tcW w:w="6100" w:type="dxa"/>
            <w:vAlign w:val="bottom"/>
          </w:tcPr>
          <w:p>
            <w:pPr>
              <w:jc w:val="right"/>
              <w:ind w:right="2039"/>
              <w:spacing w:after="0"/>
              <w:rPr>
                <w:sz w:val="20"/>
                <w:szCs w:val="20"/>
                <w:color w:val="auto"/>
              </w:rPr>
            </w:pPr>
            <w:r>
              <w:rPr>
                <w:rFonts w:ascii="Courier New" w:cs="Courier New" w:eastAsia="Courier New" w:hAnsi="Courier New"/>
                <w:sz w:val="16"/>
                <w:szCs w:val="16"/>
                <w:color w:val="auto"/>
              </w:rPr>
              <w:t>Mark to market adjustments on derivatives</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related to trading securities.............................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139</w:t>
            </w:r>
          </w:p>
        </w:tc>
      </w:tr>
      <w:tr>
        <w:trPr>
          <w:trHeight w:val="186"/>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Mark to market adjustments on derivatives and hedged items.....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6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Investment loss, net......................................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($166)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6"/>
        </w:trPr>
        <w:tc>
          <w:tcPr>
            <w:tcW w:w="6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jc w:val="both"/>
        <w:ind w:right="480" w:firstLine="484"/>
        <w:spacing w:after="0" w:line="246" w:lineRule="auto"/>
        <w:rPr>
          <w:sz w:val="20"/>
          <w:szCs w:val="20"/>
          <w:color w:val="auto"/>
        </w:rPr>
      </w:pPr>
      <w:r>
        <w:rPr>
          <w:rFonts w:ascii="Courier New" w:cs="Courier New" w:eastAsia="Courier New" w:hAnsi="Courier New"/>
          <w:sz w:val="16"/>
          <w:szCs w:val="16"/>
          <w:color w:val="auto"/>
        </w:rPr>
        <w:t>We have entered into derivative financial instruments which we account for at fair value and which limit our exposure to and benefits from price fluctuations in the common stock of certain of our investments accounted for as trading securities. Investment loss, net includes the fair value adjustments related to our trading securities and derivative financial instruments. The change in the fair value of our investments accounted for as trading securities, with the exception of the Liberty Series A common shares, was substantially offset by the changes in the fair values of the related derivatives. The Liberty Series A common shares we received in the sale of QVC have been classified as trading securities; however, currently there is no corresponding derivative to hedge this market exposure. As such, the decline in value in these shares during the quarter is included in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Nine Months Ended</w:t>
      </w:r>
    </w:p>
    <w:p>
      <w:pPr>
        <w:spacing w:after="0" w:line="5"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2003</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2002</w:t>
            </w:r>
          </w:p>
        </w:tc>
      </w:tr>
      <w:tr>
        <w:trPr>
          <w:trHeight w:val="186"/>
        </w:trPr>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r>
      <w:tr>
        <w:trPr>
          <w:trHeight w:val="186"/>
        </w:trPr>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6"/>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r>
      <w:tr>
        <w:trPr>
          <w:trHeight w:val="186"/>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(1,621)</w:t>
            </w:r>
          </w:p>
        </w:tc>
      </w:tr>
      <w:tr>
        <w:trPr>
          <w:trHeight w:val="373"/>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1,310</w:t>
            </w:r>
          </w:p>
        </w:tc>
      </w:tr>
      <w:tr>
        <w:trPr>
          <w:trHeight w:val="186"/>
        </w:trPr>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6"/>
        </w:trPr>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($702)</w:t>
            </w:r>
          </w:p>
        </w:tc>
      </w:tr>
      <w:tr>
        <w:trPr>
          <w:trHeight w:val="186"/>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95" w:orient="portrait"/>
          <w:cols w:equalWidth="0" w:num="2">
            <w:col w:w="8240" w:space="180"/>
            <w:col w:w="2040"/>
          </w:cols>
          <w:pgMar w:left="240" w:top="676" w:right="1199" w:bottom="0" w:gutter="0" w:footer="0" w:header="0"/>
        </w:sectPr>
      </w:pPr>
    </w:p>
    <w:bookmarkStart w:id="27" w:name="page28"/>
    <w:bookmarkEnd w:id="27"/>
    <w:p>
      <w:pPr>
        <w:ind w:left="25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701" w:right="1440" w:bottom="1440" w:gutter="0" w:footer="0" w:header="0"/>
        </w:sectPr>
      </w:pPr>
    </w:p>
    <w:bookmarkStart w:id="28" w:name="page29"/>
    <w:bookmarkEnd w:id="28"/>
    <w:p>
      <w:pPr>
        <w:jc w:val="center"/>
        <w:ind w:right="235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378"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loss, net. Accordingly, our future results of operations may be affected by fluctuations in the fair value of the Liberty Series A common stock in future periods.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Equity in Net Losses of Affiliates</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increase in equity in net losses of affiliates for the three month interim period from 2002 to 2003 is primarily attributable to the effects of our additional investments and to changes in the net income or loss of our equity method investees. The decrease in equity in net losses of affiliates for the nine month interim period from 2002 to 2003 is primarily attributable to decreases in the net losses of certain of our international equity method investees, offset, in part, by the effects of our additional investments and to changes in the net income or loss of our equity method investees.</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Other Income (Expense)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change in other income (expense) for the nine month interim period from 2002 to 2003 is attributable to the loss on the sale of one of our equity method investees in the first quarter of 2002.</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 Benefit (Expense)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changes in income tax benefit (expense) for the interim periods from 2002 to 2003 are primarily the result of the effects of changes in our income (loss) before taxes and minority interest and the effects of the resolution of certain tax contingencies.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Minority Interest</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changes in minority interest for the interim periods from 2002 to 2003 are attributable to the effects of changes in the net income or loss of our less than wholly owned consolidated subsidiaries.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Discontinued Operations</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decrease in income from discontinued operations for the three month interim period from 2002 to 2003 is primarily attributable to the 2003 period including QVC's results through August 31, while the 2002 period includes results for the full three month interim period. The increase in income from discontinued operations for the nine month interim period from 2002 to 2003 is primarily attributable to a decrease in investment loss, net, offset in part by the 2003 period including results through August 31, while the 2002 period includes results for the full nine month interim period. As a result of the sale, we recognized a $3.290 billion gain, net of approximately $2.865 billion of related income taxes.</w:t>
      </w:r>
    </w:p>
    <w:p>
      <w:pPr>
        <w:spacing w:after="0" w:line="19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62" w:right="1440" w:bottom="1440" w:gutter="0" w:footer="0" w:header="0"/>
        </w:sectPr>
      </w:pPr>
    </w:p>
    <w:bookmarkStart w:id="29" w:name="page30"/>
    <w:bookmarkEnd w:id="29"/>
    <w:p>
      <w:pPr>
        <w:jc w:val="center"/>
        <w:ind w:right="235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378"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CONTROLS AND PROCEDURES</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quarterly report, have concluded, based on the evaluation of these controls and procedures required by paragraph (b) of Exchange Act Rules 13a-15 or 15d-15, that our disclosure controls and procedures were adequate and designed to ensure that material information relating to us and our consolidated subsidiaries would be made known to them by others within those entities.</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is reasonably likely to materially affect, our internal control over financial reporting.</w:t>
      </w:r>
    </w:p>
    <w:p>
      <w:pPr>
        <w:spacing w:after="0" w:line="18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191" w:lineRule="exact"/>
        <w:rPr>
          <w:sz w:val="20"/>
          <w:szCs w:val="20"/>
          <w:color w:val="auto"/>
        </w:rPr>
      </w:pPr>
    </w:p>
    <w:p>
      <w:pPr>
        <w:ind w:left="480" w:right="2659"/>
        <w:spacing w:after="0" w:line="248" w:lineRule="auto"/>
        <w:rPr>
          <w:sz w:val="20"/>
          <w:szCs w:val="20"/>
          <w:color w:val="auto"/>
        </w:rPr>
      </w:pPr>
      <w:r>
        <w:rPr>
          <w:rFonts w:ascii="Courier New" w:cs="Courier New" w:eastAsia="Courier New" w:hAnsi="Courier New"/>
          <w:sz w:val="16"/>
          <w:szCs w:val="16"/>
          <w:color w:val="auto"/>
        </w:rPr>
        <w:t>Refer to Note 9 to our condensed financial statements included in Item 1 for a discussion of recent developments related to our legal proceedings.</w:t>
      </w:r>
    </w:p>
    <w:p>
      <w:pPr>
        <w:spacing w:after="0" w:line="18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Exhibits required to be filed by Item 601 of Regulation S-K:</w:t>
      </w:r>
    </w:p>
    <w:p>
      <w:pPr>
        <w:spacing w:after="0" w:line="191" w:lineRule="exact"/>
        <w:rPr>
          <w:sz w:val="20"/>
          <w:szCs w:val="20"/>
          <w:color w:val="auto"/>
        </w:rPr>
      </w:pPr>
    </w:p>
    <w:p>
      <w:pPr>
        <w:jc w:val="both"/>
        <w:ind w:left="1540" w:right="2459" w:hanging="774"/>
        <w:spacing w:after="0" w:line="247" w:lineRule="auto"/>
        <w:tabs>
          <w:tab w:leader="none" w:pos="15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Amended and Restated Stock Purchase Agreement dated as of June 30, 2003 among Comcast QVC, Inc., Comcast Corporation, Liberty Media Corporation, and QVC, Inc. (incorporated by reference to Exhibit 10.1 to Comcast Corporation's Current Report on Form 8-K filed on October 1, 2003).</w:t>
      </w:r>
    </w:p>
    <w:p>
      <w:pPr>
        <w:spacing w:after="0" w:line="185" w:lineRule="exact"/>
        <w:rPr>
          <w:sz w:val="20"/>
          <w:szCs w:val="20"/>
          <w:color w:val="auto"/>
        </w:rPr>
      </w:pPr>
    </w:p>
    <w:p>
      <w:pPr>
        <w:jc w:val="both"/>
        <w:ind w:left="1540" w:right="2459" w:hanging="765"/>
        <w:spacing w:after="0" w:line="247" w:lineRule="auto"/>
        <w:tabs>
          <w:tab w:leader="none" w:pos="15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Certifications of Chief Executive Officer and Co-Chief Financial Officers pursuant to Section 302 of the Sarbanes-Oxley Act of 2002.</w:t>
      </w:r>
    </w:p>
    <w:p>
      <w:pPr>
        <w:spacing w:after="0" w:line="185" w:lineRule="exact"/>
        <w:rPr>
          <w:rFonts w:ascii="Courier New" w:cs="Courier New" w:eastAsia="Courier New" w:hAnsi="Courier New"/>
          <w:sz w:val="16"/>
          <w:szCs w:val="16"/>
          <w:color w:val="auto"/>
        </w:rPr>
      </w:pPr>
    </w:p>
    <w:p>
      <w:pPr>
        <w:jc w:val="both"/>
        <w:ind w:left="1540" w:right="2459" w:hanging="765"/>
        <w:spacing w:after="0" w:line="247" w:lineRule="auto"/>
        <w:tabs>
          <w:tab w:leader="none" w:pos="15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of Chief Executive Officer and Co-Chief Financial Officers pursuant to Section 906 of the Sarbanes-Oxley Act of 2002.</w:t>
      </w:r>
    </w:p>
    <w:p>
      <w:pPr>
        <w:spacing w:after="0" w:line="185" w:lineRule="exact"/>
        <w:rPr>
          <w:rFonts w:ascii="Courier New" w:cs="Courier New" w:eastAsia="Courier New" w:hAnsi="Courier New"/>
          <w:sz w:val="16"/>
          <w:szCs w:val="16"/>
          <w:color w:val="auto"/>
        </w:rPr>
      </w:pPr>
    </w:p>
    <w:p>
      <w:pPr>
        <w:ind w:left="880" w:right="7419" w:hanging="396"/>
        <w:spacing w:after="0" w:line="495" w:lineRule="auto"/>
        <w:tabs>
          <w:tab w:leader="none" w:pos="8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None.</w:t>
      </w:r>
    </w:p>
    <w:p>
      <w:pPr>
        <w:spacing w:after="0" w:line="37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6" w:right="1440" w:bottom="1440" w:gutter="0" w:footer="0" w:header="0"/>
        </w:sectPr>
      </w:pPr>
    </w:p>
    <w:bookmarkStart w:id="30" w:name="page31"/>
    <w:bookmarkEnd w:id="30"/>
    <w:p>
      <w:pPr>
        <w:jc w:val="center"/>
        <w:ind w:right="2359"/>
        <w:spacing w:after="0"/>
        <w:rPr>
          <w:sz w:val="20"/>
          <w:szCs w:val="20"/>
          <w:color w:val="auto"/>
        </w:rPr>
      </w:pPr>
      <w:r>
        <w:rPr>
          <w:rFonts w:ascii="Courier New" w:cs="Courier New" w:eastAsia="Courier New" w:hAnsi="Courier New"/>
          <w:sz w:val="16"/>
          <w:szCs w:val="16"/>
          <w:color w:val="auto"/>
        </w:rPr>
        <w:t>COMCAST HOLDINGS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QUARTER ENDED SEPTEMBER 30, 2003</w:t>
      </w:r>
    </w:p>
    <w:p>
      <w:pPr>
        <w:spacing w:after="0" w:line="37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COMCAST HOLDINGS CORPORATION</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/S/ LAWRENCE J. SALVA</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Lawrence J. Salva</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Senior Vice President and Controller</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(Principal Accounting Officer)</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13, 2003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1049" w:right="1440" w:bottom="1440" w:gutter="0" w:footer="0" w:header="0"/>
        </w:sectPr>
      </w:pPr>
    </w:p>
    <w:bookmarkStart w:id="31" w:name="page32"/>
    <w:bookmarkEnd w:id="31"/>
    <w:p>
      <w:pPr>
        <w:spacing w:after="0" w:line="64" w:lineRule="exact"/>
        <w:rPr>
          <w:sz w:val="20"/>
          <w:szCs w:val="20"/>
          <w:color w:val="auto"/>
        </w:rPr>
      </w:pPr>
    </w:p>
    <w:p>
      <w:pPr>
        <w:ind w:left="6681"/>
        <w:spacing w:after="0"/>
        <w:rPr>
          <w:sz w:val="20"/>
          <w:szCs w:val="20"/>
          <w:color w:val="auto"/>
        </w:rPr>
      </w:pPr>
      <w:r>
        <w:rPr>
          <w:rFonts w:ascii="Courier New" w:cs="Courier New" w:eastAsia="Courier New" w:hAnsi="Courier New"/>
          <w:sz w:val="16"/>
          <w:szCs w:val="16"/>
          <w:color w:val="auto"/>
        </w:rPr>
        <w:t>Exhibit 31</w:t>
      </w:r>
    </w:p>
    <w:p>
      <w:pPr>
        <w:spacing w:after="0" w:line="191"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CERTIFICATIONS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Brian L. Roberts, certify that:</w:t>
      </w:r>
    </w:p>
    <w:p>
      <w:pPr>
        <w:spacing w:after="0" w:line="191" w:lineRule="exact"/>
        <w:rPr>
          <w:sz w:val="20"/>
          <w:szCs w:val="20"/>
          <w:color w:val="auto"/>
        </w:rPr>
      </w:pPr>
    </w:p>
    <w:p>
      <w:pPr>
        <w:ind w:left="481" w:right="2959" w:hanging="481"/>
        <w:spacing w:after="0" w:line="248"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4"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ind w:left="481" w:right="2659"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Courier New" w:cs="Courier New" w:eastAsia="Courier New" w:hAnsi="Courier New"/>
          <w:sz w:val="16"/>
          <w:szCs w:val="16"/>
          <w:color w:val="auto"/>
        </w:rPr>
      </w:pPr>
    </w:p>
    <w:p>
      <w:pPr>
        <w:ind w:left="881" w:right="2659" w:hanging="396"/>
        <w:spacing w:after="0" w:line="247" w:lineRule="auto"/>
        <w:tabs>
          <w:tab w:leader="none" w:pos="88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91" w:lineRule="exact"/>
        <w:rPr>
          <w:rFonts w:ascii="Courier New" w:cs="Courier New" w:eastAsia="Courier New" w:hAnsi="Courier New"/>
          <w:sz w:val="16"/>
          <w:szCs w:val="16"/>
          <w:color w:val="auto"/>
        </w:rPr>
      </w:pPr>
    </w:p>
    <w:p>
      <w:pPr>
        <w:ind w:left="881" w:right="2459" w:hanging="396"/>
        <w:spacing w:after="0" w:line="247" w:lineRule="auto"/>
        <w:tabs>
          <w:tab w:leader="none" w:pos="88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Courier New" w:cs="Courier New" w:eastAsia="Courier New" w:hAnsi="Courier New"/>
          <w:sz w:val="16"/>
          <w:szCs w:val="16"/>
          <w:color w:val="auto"/>
        </w:rPr>
      </w:pPr>
    </w:p>
    <w:p>
      <w:pPr>
        <w:ind w:left="881" w:right="2559" w:hanging="396"/>
        <w:spacing w:after="0" w:line="247" w:lineRule="auto"/>
        <w:tabs>
          <w:tab w:leader="none" w:pos="88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Courier New" w:cs="Courier New" w:eastAsia="Courier New" w:hAnsi="Courier New"/>
          <w:sz w:val="16"/>
          <w:szCs w:val="16"/>
          <w:color w:val="auto"/>
        </w:rPr>
      </w:pPr>
    </w:p>
    <w:p>
      <w:pPr>
        <w:ind w:left="881" w:right="2659" w:hanging="396"/>
        <w:spacing w:after="0" w:line="247" w:lineRule="auto"/>
        <w:tabs>
          <w:tab w:leader="none" w:pos="88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Courier New" w:cs="Courier New" w:eastAsia="Courier New" w:hAnsi="Courier New"/>
          <w:sz w:val="16"/>
          <w:szCs w:val="16"/>
          <w:color w:val="auto"/>
        </w:rPr>
      </w:pPr>
    </w:p>
    <w:p>
      <w:pPr>
        <w:ind w:left="881" w:right="2659" w:hanging="396"/>
        <w:spacing w:after="0" w:line="247" w:lineRule="auto"/>
        <w:tabs>
          <w:tab w:leader="none" w:pos="88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November 13, 2003</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BRIAN L. ROBERTS</w:t>
      </w:r>
    </w:p>
    <w:p>
      <w:pPr>
        <w:spacing w:after="0" w:line="5" w:lineRule="exact"/>
        <w:rPr>
          <w:sz w:val="20"/>
          <w:szCs w:val="20"/>
          <w:color w:val="auto"/>
        </w:rPr>
      </w:pPr>
    </w:p>
    <w:p>
      <w:pPr>
        <w:ind w:left="201" w:hanging="201"/>
        <w:spacing w:after="0"/>
        <w:tabs>
          <w:tab w:leader="none" w:pos="20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9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Lawrence S. Smith, certify that:</w:t>
      </w:r>
    </w:p>
    <w:p>
      <w:pPr>
        <w:spacing w:after="0" w:line="191" w:lineRule="exact"/>
        <w:rPr>
          <w:sz w:val="20"/>
          <w:szCs w:val="20"/>
          <w:color w:val="auto"/>
        </w:rPr>
      </w:pPr>
    </w:p>
    <w:p>
      <w:pPr>
        <w:ind w:left="481" w:right="2959" w:hanging="481"/>
        <w:spacing w:after="0" w:line="248" w:lineRule="auto"/>
        <w:tabs>
          <w:tab w:leader="none" w:pos="4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4"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ind w:left="481" w:right="2659" w:hanging="481"/>
        <w:spacing w:after="0" w:line="247" w:lineRule="auto"/>
        <w:tabs>
          <w:tab w:leader="none" w:pos="4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ectPr>
          <w:pgSz w:w="11900" w:h="16903" w:orient="portrait"/>
          <w:cols w:equalWidth="0" w:num="1">
            <w:col w:w="10220"/>
          </w:cols>
          <w:pgMar w:left="239" w:top="142" w:right="1440" w:bottom="0" w:gutter="0" w:footer="0" w:header="0"/>
        </w:sectPr>
      </w:pPr>
    </w:p>
    <w:bookmarkStart w:id="32" w:name="page33"/>
    <w:bookmarkEnd w:id="32"/>
    <w:p>
      <w:pPr>
        <w:ind w:left="481" w:right="2459" w:hanging="481"/>
        <w:spacing w:after="0" w:line="247" w:lineRule="auto"/>
        <w:tabs>
          <w:tab w:leader="none" w:pos="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Courier New" w:cs="Courier New" w:eastAsia="Courier New" w:hAnsi="Courier New"/>
          <w:sz w:val="16"/>
          <w:szCs w:val="16"/>
          <w:color w:val="auto"/>
        </w:rPr>
      </w:pPr>
    </w:p>
    <w:p>
      <w:pPr>
        <w:ind w:left="881" w:right="2659" w:hanging="396"/>
        <w:spacing w:after="0" w:line="247" w:lineRule="auto"/>
        <w:tabs>
          <w:tab w:leader="none" w:pos="88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91" w:lineRule="exact"/>
        <w:rPr>
          <w:rFonts w:ascii="Courier New" w:cs="Courier New" w:eastAsia="Courier New" w:hAnsi="Courier New"/>
          <w:sz w:val="16"/>
          <w:szCs w:val="16"/>
          <w:color w:val="auto"/>
        </w:rPr>
      </w:pPr>
    </w:p>
    <w:p>
      <w:pPr>
        <w:ind w:left="881" w:right="2459" w:hanging="396"/>
        <w:spacing w:after="0" w:line="247" w:lineRule="auto"/>
        <w:tabs>
          <w:tab w:leader="none" w:pos="88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Courier New" w:cs="Courier New" w:eastAsia="Courier New" w:hAnsi="Courier New"/>
          <w:sz w:val="16"/>
          <w:szCs w:val="16"/>
          <w:color w:val="auto"/>
        </w:rPr>
      </w:pPr>
    </w:p>
    <w:p>
      <w:pPr>
        <w:ind w:left="881" w:right="2559" w:hanging="396"/>
        <w:spacing w:after="0" w:line="247" w:lineRule="auto"/>
        <w:tabs>
          <w:tab w:leader="none" w:pos="88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Courier New" w:cs="Courier New" w:eastAsia="Courier New" w:hAnsi="Courier New"/>
          <w:sz w:val="16"/>
          <w:szCs w:val="16"/>
          <w:color w:val="auto"/>
        </w:rPr>
      </w:pPr>
    </w:p>
    <w:p>
      <w:pPr>
        <w:ind w:left="881" w:right="2659" w:hanging="396"/>
        <w:spacing w:after="0" w:line="247" w:lineRule="auto"/>
        <w:tabs>
          <w:tab w:leader="none" w:pos="88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Courier New" w:cs="Courier New" w:eastAsia="Courier New" w:hAnsi="Courier New"/>
          <w:sz w:val="16"/>
          <w:szCs w:val="16"/>
          <w:color w:val="auto"/>
        </w:rPr>
      </w:pPr>
    </w:p>
    <w:p>
      <w:pPr>
        <w:ind w:left="881" w:right="2659" w:hanging="396"/>
        <w:spacing w:after="0" w:line="247" w:lineRule="auto"/>
        <w:tabs>
          <w:tab w:leader="none" w:pos="88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November 13, 2003</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LAWRENCE S. SMITH</w:t>
      </w:r>
    </w:p>
    <w:p>
      <w:pPr>
        <w:spacing w:after="0" w:line="5" w:lineRule="exact"/>
        <w:rPr>
          <w:sz w:val="20"/>
          <w:szCs w:val="20"/>
          <w:color w:val="auto"/>
        </w:rPr>
      </w:pPr>
    </w:p>
    <w:p>
      <w:pPr>
        <w:ind w:left="201" w:hanging="201"/>
        <w:spacing w:after="0"/>
        <w:tabs>
          <w:tab w:leader="none" w:pos="2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6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Lawrence S. Smith Co-Chief Financial Officer</w:t>
      </w:r>
    </w:p>
    <w:p>
      <w:pPr>
        <w:sectPr>
          <w:pgSz w:w="11900" w:h="16838" w:orient="portrait"/>
          <w:cols w:equalWidth="0" w:num="1">
            <w:col w:w="10220"/>
          </w:cols>
          <w:pgMar w:left="239" w:top="328" w:right="1440" w:bottom="1440" w:gutter="0" w:footer="0" w:header="0"/>
        </w:sectPr>
      </w:pPr>
    </w:p>
    <w:bookmarkStart w:id="33" w:name="page34"/>
    <w:bookmarkEnd w:id="33"/>
    <w:p>
      <w:pPr>
        <w:ind w:left="1"/>
        <w:spacing w:after="0"/>
        <w:rPr>
          <w:sz w:val="20"/>
          <w:szCs w:val="20"/>
          <w:color w:val="auto"/>
        </w:rPr>
      </w:pPr>
      <w:r>
        <w:rPr>
          <w:rFonts w:ascii="Courier New" w:cs="Courier New" w:eastAsia="Courier New" w:hAnsi="Courier New"/>
          <w:sz w:val="16"/>
          <w:szCs w:val="16"/>
          <w:color w:val="auto"/>
        </w:rPr>
        <w:t>I, John R. Alchin, certify that:</w:t>
      </w:r>
    </w:p>
    <w:p>
      <w:pPr>
        <w:spacing w:after="0" w:line="191" w:lineRule="exact"/>
        <w:rPr>
          <w:sz w:val="20"/>
          <w:szCs w:val="20"/>
          <w:color w:val="auto"/>
        </w:rPr>
      </w:pPr>
    </w:p>
    <w:p>
      <w:pPr>
        <w:ind w:left="481" w:right="2959" w:hanging="481"/>
        <w:spacing w:after="0" w:line="248"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Comcast Holdings Corporation;</w:t>
      </w:r>
    </w:p>
    <w:p>
      <w:pPr>
        <w:spacing w:after="0" w:line="184"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ind w:left="481" w:right="2659" w:hanging="481"/>
        <w:spacing w:after="0" w:line="247"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Courier New" w:cs="Courier New" w:eastAsia="Courier New" w:hAnsi="Courier New"/>
          <w:sz w:val="16"/>
          <w:szCs w:val="16"/>
          <w:color w:val="auto"/>
        </w:rPr>
      </w:pPr>
    </w:p>
    <w:p>
      <w:pPr>
        <w:ind w:left="881" w:right="2659" w:hanging="396"/>
        <w:spacing w:after="0" w:line="247" w:lineRule="auto"/>
        <w:tabs>
          <w:tab w:leader="none" w:pos="88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881" w:hanging="396"/>
        <w:spacing w:after="0"/>
        <w:tabs>
          <w:tab w:leader="none" w:pos="88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91" w:lineRule="exact"/>
        <w:rPr>
          <w:rFonts w:ascii="Courier New" w:cs="Courier New" w:eastAsia="Courier New" w:hAnsi="Courier New"/>
          <w:sz w:val="16"/>
          <w:szCs w:val="16"/>
          <w:color w:val="auto"/>
        </w:rPr>
      </w:pPr>
    </w:p>
    <w:p>
      <w:pPr>
        <w:ind w:left="881" w:right="2459" w:hanging="396"/>
        <w:spacing w:after="0" w:line="247" w:lineRule="auto"/>
        <w:tabs>
          <w:tab w:leader="none" w:pos="88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Courier New" w:cs="Courier New" w:eastAsia="Courier New" w:hAnsi="Courier New"/>
          <w:sz w:val="16"/>
          <w:szCs w:val="16"/>
          <w:color w:val="auto"/>
        </w:rPr>
      </w:pPr>
    </w:p>
    <w:p>
      <w:pPr>
        <w:ind w:left="881" w:right="2559" w:hanging="396"/>
        <w:spacing w:after="0" w:line="247" w:lineRule="auto"/>
        <w:tabs>
          <w:tab w:leader="none" w:pos="88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Courier New" w:cs="Courier New" w:eastAsia="Courier New" w:hAnsi="Courier New"/>
          <w:sz w:val="16"/>
          <w:szCs w:val="16"/>
          <w:color w:val="auto"/>
        </w:rPr>
      </w:pPr>
    </w:p>
    <w:p>
      <w:pPr>
        <w:ind w:left="881" w:right="2659" w:hanging="396"/>
        <w:spacing w:after="0" w:line="247" w:lineRule="auto"/>
        <w:tabs>
          <w:tab w:leader="none" w:pos="88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Courier New" w:cs="Courier New" w:eastAsia="Courier New" w:hAnsi="Courier New"/>
          <w:sz w:val="16"/>
          <w:szCs w:val="16"/>
          <w:color w:val="auto"/>
        </w:rPr>
      </w:pPr>
    </w:p>
    <w:p>
      <w:pPr>
        <w:ind w:left="881" w:right="2659" w:hanging="396"/>
        <w:spacing w:after="0" w:line="247" w:lineRule="auto"/>
        <w:tabs>
          <w:tab w:leader="none" w:pos="88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November 13, 2003</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JOHN R. ALCHIN</w:t>
      </w:r>
    </w:p>
    <w:p>
      <w:pPr>
        <w:spacing w:after="0" w:line="5" w:lineRule="exact"/>
        <w:rPr>
          <w:sz w:val="20"/>
          <w:szCs w:val="20"/>
          <w:color w:val="auto"/>
        </w:rPr>
      </w:pPr>
    </w:p>
    <w:p>
      <w:pPr>
        <w:ind w:left="201" w:hanging="201"/>
        <w:spacing w:after="0"/>
        <w:tabs>
          <w:tab w:leader="none" w:pos="20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6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p>
      <w:pPr>
        <w:sectPr>
          <w:pgSz w:w="11900" w:h="16838" w:orient="portrait"/>
          <w:cols w:equalWidth="0" w:num="1">
            <w:col w:w="10220"/>
          </w:cols>
          <w:pgMar w:left="239" w:top="1049" w:right="1440" w:bottom="1440" w:gutter="0" w:footer="0" w:header="0"/>
        </w:sectPr>
      </w:pPr>
    </w:p>
    <w:bookmarkStart w:id="34" w:name="page35"/>
    <w:bookmarkEnd w:id="34"/>
    <w:p>
      <w:pPr>
        <w:ind w:left="6401"/>
        <w:spacing w:after="0"/>
        <w:rPr>
          <w:sz w:val="20"/>
          <w:szCs w:val="20"/>
          <w:color w:val="auto"/>
        </w:rPr>
      </w:pPr>
      <w:r>
        <w:rPr>
          <w:rFonts w:ascii="Courier New" w:cs="Courier New" w:eastAsia="Courier New" w:hAnsi="Courier New"/>
          <w:sz w:val="16"/>
          <w:szCs w:val="16"/>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Certification Pursuant to Section 906 of the Sarbanes-Oxley Act</w:t>
      </w:r>
    </w:p>
    <w:p>
      <w:pPr>
        <w:spacing w:after="0" w:line="191" w:lineRule="exact"/>
        <w:rPr>
          <w:sz w:val="20"/>
          <w:szCs w:val="20"/>
          <w:color w:val="auto"/>
        </w:rPr>
      </w:pPr>
    </w:p>
    <w:p>
      <w:pPr>
        <w:ind w:left="5821"/>
        <w:spacing w:after="0"/>
        <w:rPr>
          <w:sz w:val="20"/>
          <w:szCs w:val="20"/>
          <w:color w:val="auto"/>
        </w:rPr>
      </w:pPr>
      <w:r>
        <w:rPr>
          <w:rFonts w:ascii="Courier New" w:cs="Courier New" w:eastAsia="Courier New" w:hAnsi="Courier New"/>
          <w:sz w:val="16"/>
          <w:szCs w:val="16"/>
          <w:color w:val="auto"/>
        </w:rPr>
        <w:t>November 13, 2003</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450 Fifth Street, N.W.</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The certification set forth below is being submitted in connection with the quarterly report on Form 10-Q of Comcast Holdings Corporation (the "Report") for the purpose of complying with Rule 13a-14(b) or Rule 15d-14(b) of the Securities Exchange Act of 1934 (the "Exchange Act") and Section 1350 of Chapter 63 of Title 18 of the United States Code.</w:t>
      </w:r>
    </w:p>
    <w:p>
      <w:pPr>
        <w:spacing w:after="0" w:line="185" w:lineRule="exact"/>
        <w:rPr>
          <w:sz w:val="20"/>
          <w:szCs w:val="20"/>
          <w:color w:val="auto"/>
        </w:rPr>
      </w:pPr>
    </w:p>
    <w:p>
      <w:pPr>
        <w:jc w:val="both"/>
        <w:ind w:left="1" w:right="2559"/>
        <w:spacing w:after="0" w:line="247" w:lineRule="auto"/>
        <w:rPr>
          <w:sz w:val="20"/>
          <w:szCs w:val="20"/>
          <w:color w:val="auto"/>
        </w:rPr>
      </w:pPr>
      <w:r>
        <w:rPr>
          <w:rFonts w:ascii="Courier New" w:cs="Courier New" w:eastAsia="Courier New" w:hAnsi="Courier New"/>
          <w:sz w:val="16"/>
          <w:szCs w:val="16"/>
          <w:color w:val="auto"/>
        </w:rPr>
        <w:t>Brian L. Roberts, the Chief Executive Officer, Lawrence S. Smith, the Co-Chief Financial Officer and John R. Alchin, the Co-Chief Financial Officer of Comcast Holdings Corporation, each certifies that, to the best of his knowledge:</w:t>
      </w:r>
    </w:p>
    <w:p>
      <w:pPr>
        <w:spacing w:after="0" w:line="186" w:lineRule="exact"/>
        <w:rPr>
          <w:sz w:val="20"/>
          <w:szCs w:val="20"/>
          <w:color w:val="auto"/>
        </w:rPr>
      </w:pPr>
    </w:p>
    <w:p>
      <w:pPr>
        <w:ind w:left="881" w:right="2859" w:hanging="396"/>
        <w:spacing w:after="0" w:line="248" w:lineRule="auto"/>
        <w:tabs>
          <w:tab w:leader="none" w:pos="8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Exchange Act; and</w:t>
      </w:r>
    </w:p>
    <w:p>
      <w:pPr>
        <w:spacing w:after="0" w:line="184" w:lineRule="exact"/>
        <w:rPr>
          <w:rFonts w:ascii="Courier New" w:cs="Courier New" w:eastAsia="Courier New" w:hAnsi="Courier New"/>
          <w:sz w:val="16"/>
          <w:szCs w:val="16"/>
          <w:color w:val="auto"/>
        </w:rPr>
      </w:pPr>
    </w:p>
    <w:p>
      <w:pPr>
        <w:ind w:left="881" w:right="2459" w:hanging="396"/>
        <w:spacing w:after="0" w:line="247" w:lineRule="auto"/>
        <w:tabs>
          <w:tab w:leader="none" w:pos="8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Comcast Holdings Corporation.</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BRIAN L. ROBERTS</w:t>
      </w:r>
    </w:p>
    <w:p>
      <w:pPr>
        <w:spacing w:after="0" w:line="5" w:lineRule="exact"/>
        <w:rPr>
          <w:sz w:val="20"/>
          <w:szCs w:val="20"/>
          <w:color w:val="auto"/>
        </w:rPr>
      </w:pPr>
    </w:p>
    <w:p>
      <w:pPr>
        <w:ind w:left="201" w:hanging="201"/>
        <w:spacing w:after="0"/>
        <w:tabs>
          <w:tab w:leader="none" w:pos="20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9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Brian L. Roberts Chief Executive Officer</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LAWRENCE S. SMITH</w:t>
      </w:r>
    </w:p>
    <w:p>
      <w:pPr>
        <w:spacing w:after="0" w:line="5" w:lineRule="exact"/>
        <w:rPr>
          <w:sz w:val="20"/>
          <w:szCs w:val="20"/>
          <w:color w:val="auto"/>
        </w:rPr>
      </w:pPr>
    </w:p>
    <w:p>
      <w:pPr>
        <w:ind w:left="201" w:hanging="201"/>
        <w:spacing w:after="0"/>
        <w:tabs>
          <w:tab w:leader="none" w:pos="20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6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Lawrence S. Smith Co-Chief Financial Officer</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JOHN R. ALCHIN</w:t>
      </w:r>
    </w:p>
    <w:p>
      <w:pPr>
        <w:spacing w:after="0" w:line="5" w:lineRule="exact"/>
        <w:rPr>
          <w:sz w:val="20"/>
          <w:szCs w:val="20"/>
          <w:color w:val="auto"/>
        </w:rPr>
      </w:pPr>
    </w:p>
    <w:p>
      <w:pPr>
        <w:ind w:left="201" w:hanging="201"/>
        <w:spacing w:after="0"/>
        <w:tabs>
          <w:tab w:leader="none" w:pos="2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6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sectPr>
      <w:pgSz w:w="11900" w:h="16838" w:orient="portrait"/>
      <w:cols w:equalWidth="0" w:num="1">
        <w:col w:w="10220"/>
      </w:cols>
      <w:pgMar w:left="239"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o"/>
      <w:numFmt w:val="bullet"/>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9"/>
    </w:lvl>
  </w:abstractNum>
  <w:abstractNum w:abstractNumId="5">
    <w:nsid w:val="4E6AFB66"/>
    <w:multiLevelType w:val="hybridMultilevel"/>
    <w:lvl w:ilvl="0">
      <w:lvlJc w:val="left"/>
      <w:lvlText w:val="(%1)"/>
      <w:numFmt w:val="lowerRoman"/>
      <w:start w:val="2"/>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2"/>
      <w:numFmt w:val="bullet"/>
      <w:start w:val="1"/>
    </w:lvl>
  </w:abstractNum>
  <w:abstractNum w:abstractNumId="9">
    <w:nsid w:val="3F2DBA31"/>
    <w:multiLevelType w:val="hybridMultilevel"/>
    <w:lvl w:ilvl="0">
      <w:lvlJc w:val="left"/>
      <w:lvlText w:val="(%1)"/>
      <w:numFmt w:val="decimal"/>
      <w:start w:val="35"/>
    </w:lvl>
  </w:abstractNum>
  <w:abstractNum w:abstractNumId="10">
    <w:nsid w:val="7C83E458"/>
    <w:multiLevelType w:val="hybridMultilevel"/>
    <w:lvl w:ilvl="0">
      <w:lvlJc w:val="left"/>
      <w:lvlText w:val="(%1)"/>
      <w:numFmt w:val="decimal"/>
      <w:start w:val="504"/>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7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lvl w:ilvl="1">
      <w:lvlJc w:val="left"/>
      <w:lvlText w:val="%2"/>
      <w:numFmt w:val="decimal"/>
      <w:start w:val="31"/>
    </w:lvl>
  </w:abstractNum>
  <w:abstractNum w:abstractNumId="15">
    <w:nsid w:val="333AB105"/>
    <w:multiLevelType w:val="hybridMultilevel"/>
    <w:lvl w:ilvl="0">
      <w:lvlJc w:val="left"/>
      <w:lvlText w:val="(%1)"/>
      <w:numFmt w:val="lowerLetter"/>
      <w:start w:val="2"/>
    </w:lvl>
    <w:lvl w:ilvl="1">
      <w:lvlJc w:val="left"/>
      <w:lvlText w:val="%2"/>
      <w:numFmt w:val="decimal"/>
      <w:start w:val="1"/>
    </w:lvl>
  </w:abstractNum>
  <w:abstractNum w:abstractNumId="16">
    <w:nsid w:val="721DA317"/>
    <w:multiLevelType w:val="hybridMultilevel"/>
    <w:lvl w:ilvl="0">
      <w:lvlJc w:val="left"/>
      <w:lvlText w:val="%1."/>
      <w:numFmt w:val="decimal"/>
      <w:start w:val="1"/>
    </w:lvl>
    <w:lvl w:ilvl="1">
      <w:lvlJc w:val="left"/>
      <w:lvlText w:val="%2)"/>
      <w:numFmt w:val="lowerLetter"/>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4"/>
    </w:lvl>
    <w:lvl w:ilvl="1">
      <w:lvlJc w:val="left"/>
      <w:lvlText w:val="%2)"/>
      <w:numFmt w:val="lowerLetter"/>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lvl w:ilvl="1">
      <w:lvlJc w:val="left"/>
      <w:lvlText w:val="%2)"/>
      <w:numFmt w:val="lowerLetter"/>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2019-12-12T23:14:00Z</dcterms:created>
  <dcterms:modified xsi:type="dcterms:W3CDTF">2019-12-12T23:14:00Z</dcterms:modified>
</cp:coreProperties>
</file>