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1176"/>
        <w:gridCol w:w="906"/>
        <w:gridCol w:w="801"/>
        <w:gridCol w:w="891"/>
        <w:gridCol w:w="13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392,769.065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392,769.065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565,642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565,642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had previously elected to defer receipt of shares and to notionally reinvest the deferred compensation in another 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48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3652</Characters>
  <CharactersWithSpaces>4236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