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30, 2025</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289"/>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3.250% Notes due 2032</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CMCS32A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3.550% Notes due 2036</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CMCS36A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5.250% Notes due 2040</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CMCS40A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30, 2025, Comcast Corporation (“Comcast”) issued a press release reporting the results of its operations for the three and twelve months ended December 31, 2024.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January 30, 2025.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30, 2025</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525145</wp:posOffset>
            </wp:positionH>
            <wp:positionV relativeFrom="page">
              <wp:posOffset>260350</wp:posOffset>
            </wp:positionV>
            <wp:extent cx="1371600" cy="540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4038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263525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4th QUARTER 2024 RESULTS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PHILADELPHIA - January 30, 2025… Comcast Corporation (NASDAQ: CMCSA) today reported results for the quarter ended December 31, 2024.</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had the best financial performance in our company’s 60-year history with record revenue, EBITDA and EPS along with significant free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flow," </w:t>
      </w:r>
      <w:r>
        <w:rPr>
          <w:rFonts w:ascii="Arial" w:cs="Arial" w:eastAsia="Arial" w:hAnsi="Arial"/>
          <w:sz w:val="18"/>
          <w:szCs w:val="18"/>
          <w:color w:val="auto"/>
        </w:rPr>
        <w:t>said Brian L. Roberts, Chairman and Chief Executive Officer of Comcast Corporation. "</w:t>
      </w:r>
      <w:r>
        <w:rPr>
          <w:rFonts w:ascii="Arial" w:cs="Arial" w:eastAsia="Arial" w:hAnsi="Arial"/>
          <w:sz w:val="18"/>
          <w:szCs w:val="18"/>
          <w:i w:val="1"/>
          <w:iCs w:val="1"/>
          <w:color w:val="auto"/>
        </w:rPr>
        <w:t>Driving these results were the many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accomplishments our teams have made across our six growth businesses, including 5% connectivity revenue growth in an intensely competitive environment, another 1.2 million mobile line additions, and a 5% increase in revenue for Business Services. We also had strong performance from our Studios, where we ranked #2 in worldwide box office, and at Peacock, where we delivered revenue growth of 46%, fueled by a diverse slate of sports and entertainment content, including the incredibly successful Paris Olympics. Looking ahead to 2025, we are excited about our Comcast Business acquisition of Nitel, the opening of Epic Universe and bringing the NBA and WNBA back to NBC and on Peacock. We're positioning our company for the future, and the Board's confidence in our path forward is underscored by today's announcement that we are increasing our dividend for the 17th consecutive year</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45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60" w:type="dxa"/>
            <w:vAlign w:val="bottom"/>
            <w:tcBorders>
              <w:bottom w:val="single" w:sz="8" w:color="D9D9D6"/>
            </w:tcBorders>
            <w:shd w:val="clear" w:color="auto" w:fill="D9D9D6"/>
          </w:tcPr>
          <w:p>
            <w:pPr>
              <w:spacing w:after="0"/>
              <w:rPr>
                <w:sz w:val="17"/>
                <w:szCs w:val="17"/>
                <w:color w:val="auto"/>
              </w:rPr>
            </w:pPr>
          </w:p>
        </w:tc>
        <w:tc>
          <w:tcPr>
            <w:tcW w:w="4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right w:val="single" w:sz="8" w:color="D9D9D6"/>
            </w:tcBorders>
            <w:shd w:val="clear" w:color="auto" w:fill="D9D9D6"/>
          </w:tcPr>
          <w:p>
            <w:pPr>
              <w:spacing w:after="0"/>
              <w:rPr>
                <w:sz w:val="17"/>
                <w:szCs w:val="17"/>
                <w:color w:val="auto"/>
              </w:rPr>
            </w:pPr>
          </w:p>
        </w:tc>
        <w:tc>
          <w:tcPr>
            <w:tcW w:w="240" w:type="dxa"/>
            <w:vAlign w:val="bottom"/>
            <w:tcBorders>
              <w:bottom w:val="single" w:sz="8" w:color="D9D9D6"/>
              <w:right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2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D9D9D6"/>
          </w:tcPr>
          <w:p>
            <w:pPr>
              <w:spacing w:after="0"/>
              <w:rPr>
                <w:sz w:val="14"/>
                <w:szCs w:val="14"/>
                <w:color w:val="auto"/>
              </w:rPr>
            </w:pPr>
          </w:p>
        </w:tc>
        <w:tc>
          <w:tcPr>
            <w:tcW w:w="4540" w:type="dxa"/>
            <w:vAlign w:val="bottom"/>
            <w:shd w:val="clear" w:color="auto" w:fill="D9D9D6"/>
          </w:tcPr>
          <w:p>
            <w:pPr>
              <w:spacing w:after="0"/>
              <w:rPr>
                <w:sz w:val="14"/>
                <w:szCs w:val="14"/>
                <w:color w:val="auto"/>
              </w:rPr>
            </w:pPr>
          </w:p>
        </w:tc>
        <w:tc>
          <w:tcPr>
            <w:tcW w:w="60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4th Quarter</w:t>
            </w:r>
          </w:p>
        </w:tc>
        <w:tc>
          <w:tcPr>
            <w:tcW w:w="540" w:type="dxa"/>
            <w:vAlign w:val="bottom"/>
            <w:shd w:val="clear" w:color="auto" w:fill="D9D9D6"/>
          </w:tcPr>
          <w:p>
            <w:pPr>
              <w:spacing w:after="0"/>
              <w:rPr>
                <w:sz w:val="14"/>
                <w:szCs w:val="14"/>
                <w:color w:val="auto"/>
              </w:rPr>
            </w:pPr>
          </w:p>
        </w:tc>
        <w:tc>
          <w:tcPr>
            <w:tcW w:w="36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300" w:type="dxa"/>
            <w:vAlign w:val="bottom"/>
            <w:tcBorders>
              <w:right w:val="single" w:sz="8" w:color="828282"/>
            </w:tcBorders>
            <w:shd w:val="clear" w:color="auto" w:fill="D9D9D6"/>
          </w:tcPr>
          <w:p>
            <w:pPr>
              <w:spacing w:after="0"/>
              <w:rPr>
                <w:sz w:val="14"/>
                <w:szCs w:val="14"/>
                <w:color w:val="auto"/>
              </w:rPr>
            </w:pPr>
          </w:p>
        </w:tc>
        <w:tc>
          <w:tcPr>
            <w:tcW w:w="240" w:type="dxa"/>
            <w:vAlign w:val="bottom"/>
            <w:tcBorders>
              <w:right w:val="single" w:sz="8" w:color="D9D9D6"/>
            </w:tcBorders>
            <w:shd w:val="clear" w:color="auto" w:fill="D9D9D6"/>
          </w:tcPr>
          <w:p>
            <w:pPr>
              <w:spacing w:after="0"/>
              <w:rPr>
                <w:sz w:val="14"/>
                <w:szCs w:val="14"/>
                <w:color w:val="auto"/>
              </w:rPr>
            </w:pPr>
          </w:p>
        </w:tc>
        <w:tc>
          <w:tcPr>
            <w:tcW w:w="60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220" w:type="dxa"/>
            <w:vAlign w:val="bottom"/>
            <w:gridSpan w:val="5"/>
            <w:shd w:val="clear" w:color="auto" w:fill="D9D9D6"/>
          </w:tcPr>
          <w:p>
            <w:pPr>
              <w:jc w:val="right"/>
              <w:ind w:right="380"/>
              <w:spacing w:after="0"/>
              <w:rPr>
                <w:sz w:val="20"/>
                <w:szCs w:val="20"/>
                <w:color w:val="auto"/>
              </w:rPr>
            </w:pPr>
            <w:r>
              <w:rPr>
                <w:rFonts w:ascii="Arial" w:cs="Arial" w:eastAsia="Arial" w:hAnsi="Arial"/>
                <w:sz w:val="14"/>
                <w:szCs w:val="14"/>
                <w:color w:val="auto"/>
              </w:rPr>
              <w:t>Full Year</w:t>
            </w:r>
          </w:p>
        </w:tc>
        <w:tc>
          <w:tcPr>
            <w:tcW w:w="32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54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24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9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60" w:type="dxa"/>
            <w:vAlign w:val="bottom"/>
            <w:shd w:val="clear" w:color="auto" w:fill="D9D9D6"/>
          </w:tcPr>
          <w:p>
            <w:pPr>
              <w:spacing w:after="0"/>
              <w:rPr>
                <w:sz w:val="15"/>
                <w:szCs w:val="15"/>
                <w:color w:val="auto"/>
              </w:rPr>
            </w:pPr>
          </w:p>
        </w:tc>
        <w:tc>
          <w:tcPr>
            <w:tcW w:w="7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540" w:type="dxa"/>
            <w:vAlign w:val="bottom"/>
            <w:shd w:val="clear" w:color="auto" w:fill="D9D9D6"/>
          </w:tcPr>
          <w:p>
            <w:pPr>
              <w:spacing w:after="0"/>
              <w:rPr>
                <w:sz w:val="15"/>
                <w:szCs w:val="15"/>
                <w:color w:val="auto"/>
              </w:rPr>
            </w:pPr>
          </w:p>
        </w:tc>
        <w:tc>
          <w:tcPr>
            <w:tcW w:w="800" w:type="dxa"/>
            <w:vAlign w:val="bottom"/>
            <w:tcBorders>
              <w:right w:val="single" w:sz="8" w:color="828282"/>
            </w:tcBorders>
            <w:gridSpan w:val="3"/>
            <w:shd w:val="clear" w:color="auto" w:fill="D9D9D6"/>
          </w:tcPr>
          <w:p>
            <w:pPr>
              <w:spacing w:after="0"/>
              <w:rPr>
                <w:sz w:val="20"/>
                <w:szCs w:val="20"/>
                <w:color w:val="auto"/>
              </w:rPr>
            </w:pPr>
            <w:r>
              <w:rPr>
                <w:rFonts w:ascii="Arial" w:cs="Arial" w:eastAsia="Arial" w:hAnsi="Arial"/>
                <w:sz w:val="14"/>
                <w:szCs w:val="14"/>
                <w:color w:val="auto"/>
              </w:rPr>
              <w:t>Change</w:t>
            </w:r>
          </w:p>
        </w:tc>
        <w:tc>
          <w:tcPr>
            <w:tcW w:w="11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20" w:type="dxa"/>
            <w:vAlign w:val="bottom"/>
            <w:gridSpan w:val="5"/>
            <w:shd w:val="clear" w:color="auto" w:fill="D9D9D6"/>
          </w:tcPr>
          <w:p>
            <w:pPr>
              <w:jc w:val="right"/>
              <w:ind w:right="300"/>
              <w:spacing w:after="0"/>
              <w:rPr>
                <w:sz w:val="20"/>
                <w:szCs w:val="20"/>
                <w:color w:val="auto"/>
              </w:rPr>
            </w:pPr>
            <w:r>
              <w:rPr>
                <w:rFonts w:ascii="Arial" w:cs="Arial" w:eastAsia="Arial" w:hAnsi="Arial"/>
                <w:sz w:val="14"/>
                <w:szCs w:val="14"/>
                <w:color w:val="auto"/>
              </w:rPr>
              <w:t>2023</w:t>
            </w:r>
          </w:p>
        </w:tc>
        <w:tc>
          <w:tcPr>
            <w:tcW w:w="960" w:type="dxa"/>
            <w:vAlign w:val="bottom"/>
            <w:gridSpan w:val="3"/>
            <w:shd w:val="clear" w:color="auto" w:fill="D9D9D6"/>
          </w:tcPr>
          <w:p>
            <w:pPr>
              <w:ind w:left="3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4540" w:type="dxa"/>
            <w:vAlign w:val="bottom"/>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24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0" w:type="dxa"/>
            <w:vAlign w:val="bottom"/>
            <w:shd w:val="clear" w:color="auto" w:fill="D9D9D6"/>
          </w:tcPr>
          <w:p>
            <w:pPr>
              <w:spacing w:after="0"/>
              <w:rPr>
                <w:sz w:val="10"/>
                <w:szCs w:val="10"/>
                <w:color w:val="auto"/>
              </w:rPr>
            </w:pPr>
          </w:p>
        </w:tc>
        <w:tc>
          <w:tcPr>
            <w:tcW w:w="4540" w:type="dxa"/>
            <w:vAlign w:val="bottom"/>
            <w:vMerge w:val="restart"/>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right w:val="single" w:sz="8" w:color="D9D9D6"/>
            </w:tcBorders>
            <w:gridSpan w:val="2"/>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$31,915</w:t>
            </w:r>
          </w:p>
        </w:tc>
        <w:tc>
          <w:tcPr>
            <w:tcW w:w="94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$31,253</w:t>
            </w:r>
          </w:p>
        </w:tc>
        <w:tc>
          <w:tcPr>
            <w:tcW w:w="1040" w:type="dxa"/>
            <w:vAlign w:val="bottom"/>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2.1 %</w:t>
            </w:r>
          </w:p>
        </w:tc>
        <w:tc>
          <w:tcPr>
            <w:tcW w:w="300" w:type="dxa"/>
            <w:vAlign w:val="bottom"/>
            <w:tcBorders>
              <w:right w:val="single" w:sz="8" w:color="828282"/>
            </w:tcBorders>
            <w:shd w:val="clear" w:color="auto" w:fill="D9D9D6"/>
          </w:tcPr>
          <w:p>
            <w:pPr>
              <w:spacing w:after="0"/>
              <w:rPr>
                <w:sz w:val="10"/>
                <w:szCs w:val="10"/>
                <w:color w:val="auto"/>
              </w:rPr>
            </w:pPr>
          </w:p>
        </w:tc>
        <w:tc>
          <w:tcPr>
            <w:tcW w:w="240" w:type="dxa"/>
            <w:vAlign w:val="bottom"/>
            <w:tcBorders>
              <w:right w:val="single" w:sz="8" w:color="D9D9D6"/>
            </w:tcBorders>
            <w:shd w:val="clear" w:color="auto" w:fill="D9D9D6"/>
          </w:tcPr>
          <w:p>
            <w:pPr>
              <w:spacing w:after="0"/>
              <w:rPr>
                <w:sz w:val="10"/>
                <w:szCs w:val="10"/>
                <w:color w:val="auto"/>
              </w:rPr>
            </w:pPr>
          </w:p>
        </w:tc>
        <w:tc>
          <w:tcPr>
            <w:tcW w:w="940" w:type="dxa"/>
            <w:vAlign w:val="bottom"/>
            <w:tcBorders>
              <w:right w:val="single" w:sz="8" w:color="D9D9D6"/>
            </w:tcBorders>
            <w:gridSpan w:val="2"/>
            <w:vMerge w:val="restart"/>
            <w:shd w:val="clear" w:color="auto" w:fill="D9D9D6"/>
          </w:tcPr>
          <w:p>
            <w:pPr>
              <w:jc w:val="right"/>
              <w:ind w:right="80"/>
              <w:spacing w:after="0"/>
              <w:rPr>
                <w:sz w:val="20"/>
                <w:szCs w:val="20"/>
                <w:color w:val="auto"/>
              </w:rPr>
            </w:pPr>
            <w:r>
              <w:rPr>
                <w:rFonts w:ascii="Arial" w:cs="Arial" w:eastAsia="Arial" w:hAnsi="Arial"/>
                <w:sz w:val="14"/>
                <w:szCs w:val="14"/>
                <w:color w:val="auto"/>
              </w:rPr>
              <w:t>$123,731</w:t>
            </w:r>
          </w:p>
        </w:tc>
        <w:tc>
          <w:tcPr>
            <w:tcW w:w="920" w:type="dxa"/>
            <w:vAlign w:val="bottom"/>
            <w:gridSpan w:val="4"/>
            <w:vMerge w:val="restart"/>
            <w:shd w:val="clear" w:color="auto" w:fill="D9D9D6"/>
          </w:tcPr>
          <w:p>
            <w:pPr>
              <w:jc w:val="right"/>
              <w:ind w:right="40"/>
              <w:spacing w:after="0"/>
              <w:rPr>
                <w:sz w:val="20"/>
                <w:szCs w:val="20"/>
                <w:color w:val="auto"/>
              </w:rPr>
            </w:pPr>
            <w:r>
              <w:rPr>
                <w:rFonts w:ascii="Arial" w:cs="Arial" w:eastAsia="Arial" w:hAnsi="Arial"/>
                <w:sz w:val="14"/>
                <w:szCs w:val="14"/>
                <w:color w:val="auto"/>
              </w:rPr>
              <w:t>$121,572</w:t>
            </w:r>
          </w:p>
        </w:tc>
        <w:tc>
          <w:tcPr>
            <w:tcW w:w="300" w:type="dxa"/>
            <w:vAlign w:val="bottom"/>
            <w:shd w:val="clear" w:color="auto" w:fill="D9D9D6"/>
          </w:tcPr>
          <w:p>
            <w:pPr>
              <w:spacing w:after="0"/>
              <w:rPr>
                <w:sz w:val="10"/>
                <w:szCs w:val="10"/>
                <w:color w:val="auto"/>
              </w:rPr>
            </w:pPr>
          </w:p>
        </w:tc>
        <w:tc>
          <w:tcPr>
            <w:tcW w:w="820" w:type="dxa"/>
            <w:vAlign w:val="bottom"/>
            <w:gridSpan w:val="2"/>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1.8 %</w:t>
            </w:r>
          </w:p>
        </w:tc>
        <w:tc>
          <w:tcPr>
            <w:tcW w:w="140" w:type="dxa"/>
            <w:vAlign w:val="bottom"/>
            <w:shd w:val="clear" w:color="auto" w:fill="D9D9D6"/>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4540" w:type="dxa"/>
            <w:vAlign w:val="bottom"/>
            <w:vMerge w:val="continue"/>
            <w:shd w:val="clear" w:color="auto" w:fill="D9D9D6"/>
          </w:tcPr>
          <w:p>
            <w:pPr>
              <w:spacing w:after="0"/>
              <w:rPr>
                <w:sz w:val="16"/>
                <w:szCs w:val="16"/>
                <w:color w:val="auto"/>
              </w:rPr>
            </w:pPr>
          </w:p>
        </w:tc>
        <w:tc>
          <w:tcPr>
            <w:tcW w:w="940" w:type="dxa"/>
            <w:vAlign w:val="bottom"/>
            <w:tcBorders>
              <w:right w:val="single" w:sz="8" w:color="D9D9D6"/>
            </w:tcBorders>
            <w:gridSpan w:val="2"/>
            <w:vMerge w:val="continue"/>
            <w:shd w:val="clear" w:color="auto" w:fill="D9D9D6"/>
          </w:tcPr>
          <w:p>
            <w:pPr>
              <w:spacing w:after="0"/>
              <w:rPr>
                <w:sz w:val="16"/>
                <w:szCs w:val="16"/>
                <w:color w:val="auto"/>
              </w:rPr>
            </w:pPr>
          </w:p>
        </w:tc>
        <w:tc>
          <w:tcPr>
            <w:tcW w:w="940" w:type="dxa"/>
            <w:vAlign w:val="bottom"/>
            <w:tcBorders>
              <w:right w:val="single" w:sz="8" w:color="D9D9D6"/>
            </w:tcBorders>
            <w:gridSpan w:val="3"/>
            <w:vMerge w:val="continue"/>
            <w:shd w:val="clear" w:color="auto" w:fill="D9D9D6"/>
          </w:tcPr>
          <w:p>
            <w:pPr>
              <w:spacing w:after="0"/>
              <w:rPr>
                <w:sz w:val="16"/>
                <w:szCs w:val="16"/>
                <w:color w:val="auto"/>
              </w:rPr>
            </w:pPr>
          </w:p>
        </w:tc>
        <w:tc>
          <w:tcPr>
            <w:tcW w:w="1040" w:type="dxa"/>
            <w:vAlign w:val="bottom"/>
            <w:gridSpan w:val="3"/>
            <w:vMerge w:val="continue"/>
            <w:shd w:val="clear" w:color="auto" w:fill="D9D9D6"/>
          </w:tcPr>
          <w:p>
            <w:pPr>
              <w:spacing w:after="0"/>
              <w:rPr>
                <w:sz w:val="16"/>
                <w:szCs w:val="16"/>
                <w:color w:val="auto"/>
              </w:rPr>
            </w:pPr>
          </w:p>
        </w:tc>
        <w:tc>
          <w:tcPr>
            <w:tcW w:w="300" w:type="dxa"/>
            <w:vAlign w:val="bottom"/>
            <w:tcBorders>
              <w:right w:val="single" w:sz="8" w:color="828282"/>
            </w:tcBorders>
            <w:shd w:val="clear" w:color="auto" w:fill="D9D9D6"/>
          </w:tcPr>
          <w:p>
            <w:pPr>
              <w:spacing w:after="0"/>
              <w:rPr>
                <w:sz w:val="16"/>
                <w:szCs w:val="16"/>
                <w:color w:val="auto"/>
              </w:rPr>
            </w:pPr>
          </w:p>
        </w:tc>
        <w:tc>
          <w:tcPr>
            <w:tcW w:w="240" w:type="dxa"/>
            <w:vAlign w:val="bottom"/>
            <w:tcBorders>
              <w:right w:val="single" w:sz="8" w:color="DBDBDB"/>
            </w:tcBorders>
            <w:shd w:val="clear" w:color="auto" w:fill="D9D9D6"/>
          </w:tcPr>
          <w:p>
            <w:pPr>
              <w:spacing w:after="0"/>
              <w:rPr>
                <w:sz w:val="16"/>
                <w:szCs w:val="16"/>
                <w:color w:val="auto"/>
              </w:rPr>
            </w:pPr>
          </w:p>
        </w:tc>
        <w:tc>
          <w:tcPr>
            <w:tcW w:w="940" w:type="dxa"/>
            <w:vAlign w:val="bottom"/>
            <w:tcBorders>
              <w:right w:val="single" w:sz="8" w:color="D9D9D6"/>
            </w:tcBorders>
            <w:gridSpan w:val="2"/>
            <w:vMerge w:val="continue"/>
            <w:shd w:val="clear" w:color="auto" w:fill="D9D9D6"/>
          </w:tcPr>
          <w:p>
            <w:pPr>
              <w:spacing w:after="0"/>
              <w:rPr>
                <w:sz w:val="16"/>
                <w:szCs w:val="16"/>
                <w:color w:val="auto"/>
              </w:rPr>
            </w:pPr>
          </w:p>
        </w:tc>
        <w:tc>
          <w:tcPr>
            <w:tcW w:w="920" w:type="dxa"/>
            <w:vAlign w:val="bottom"/>
            <w:gridSpan w:val="4"/>
            <w:vMerge w:val="continue"/>
            <w:shd w:val="clear" w:color="auto" w:fill="D9D9D6"/>
          </w:tcPr>
          <w:p>
            <w:pPr>
              <w:spacing w:after="0"/>
              <w:rPr>
                <w:sz w:val="16"/>
                <w:szCs w:val="16"/>
                <w:color w:val="auto"/>
              </w:rPr>
            </w:pPr>
          </w:p>
        </w:tc>
        <w:tc>
          <w:tcPr>
            <w:tcW w:w="300" w:type="dxa"/>
            <w:vAlign w:val="bottom"/>
            <w:shd w:val="clear" w:color="auto" w:fill="D9D9D6"/>
          </w:tcPr>
          <w:p>
            <w:pPr>
              <w:spacing w:after="0"/>
              <w:rPr>
                <w:sz w:val="16"/>
                <w:szCs w:val="16"/>
                <w:color w:val="auto"/>
              </w:rPr>
            </w:pPr>
          </w:p>
        </w:tc>
        <w:tc>
          <w:tcPr>
            <w:tcW w:w="820" w:type="dxa"/>
            <w:vAlign w:val="bottom"/>
            <w:gridSpan w:val="2"/>
            <w:vMerge w:val="continue"/>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4540" w:type="dxa"/>
            <w:vAlign w:val="bottom"/>
            <w:shd w:val="clear" w:color="auto" w:fill="D9D9D6"/>
          </w:tcPr>
          <w:p>
            <w:pPr>
              <w:spacing w:after="0" w:line="20" w:lineRule="exact"/>
              <w:rPr>
                <w:sz w:val="1"/>
                <w:szCs w:val="1"/>
                <w:color w:val="auto"/>
              </w:rPr>
            </w:pPr>
          </w:p>
        </w:tc>
        <w:tc>
          <w:tcPr>
            <w:tcW w:w="940" w:type="dxa"/>
            <w:vAlign w:val="bottom"/>
            <w:tcBorders>
              <w:right w:val="single" w:sz="8" w:color="D9D9D6"/>
            </w:tcBorders>
            <w:gridSpan w:val="2"/>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$4,778</w:t>
            </w:r>
          </w:p>
        </w:tc>
        <w:tc>
          <w:tcPr>
            <w:tcW w:w="94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$3,260</w:t>
            </w:r>
          </w:p>
        </w:tc>
        <w:tc>
          <w:tcPr>
            <w:tcW w:w="1040" w:type="dxa"/>
            <w:vAlign w:val="bottom"/>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46.6 %</w:t>
            </w:r>
          </w:p>
        </w:tc>
        <w:tc>
          <w:tcPr>
            <w:tcW w:w="300" w:type="dxa"/>
            <w:vAlign w:val="bottom"/>
            <w:tcBorders>
              <w:right w:val="single" w:sz="8" w:color="828282"/>
            </w:tcBorders>
            <w:shd w:val="clear" w:color="auto" w:fill="D9D9D6"/>
          </w:tcPr>
          <w:p>
            <w:pPr>
              <w:spacing w:after="0" w:line="20" w:lineRule="exact"/>
              <w:rPr>
                <w:sz w:val="1"/>
                <w:szCs w:val="1"/>
                <w:color w:val="auto"/>
              </w:rPr>
            </w:pPr>
          </w:p>
        </w:tc>
        <w:tc>
          <w:tcPr>
            <w:tcW w:w="240" w:type="dxa"/>
            <w:vAlign w:val="bottom"/>
            <w:tcBorders>
              <w:right w:val="single" w:sz="8" w:color="DBDBDB"/>
            </w:tcBorders>
            <w:shd w:val="clear" w:color="auto" w:fill="D9D9D6"/>
          </w:tcPr>
          <w:p>
            <w:pPr>
              <w:spacing w:after="0" w:line="20" w:lineRule="exact"/>
              <w:rPr>
                <w:sz w:val="1"/>
                <w:szCs w:val="1"/>
                <w:color w:val="auto"/>
              </w:rPr>
            </w:pPr>
          </w:p>
        </w:tc>
        <w:tc>
          <w:tcPr>
            <w:tcW w:w="940" w:type="dxa"/>
            <w:vAlign w:val="bottom"/>
            <w:tcBorders>
              <w:right w:val="single" w:sz="8" w:color="D9D9D6"/>
            </w:tcBorders>
            <w:gridSpan w:val="2"/>
            <w:vMerge w:val="restart"/>
            <w:shd w:val="clear" w:color="auto" w:fill="D9D9D6"/>
          </w:tcPr>
          <w:p>
            <w:pPr>
              <w:jc w:val="right"/>
              <w:ind w:right="80"/>
              <w:spacing w:after="0"/>
              <w:rPr>
                <w:sz w:val="20"/>
                <w:szCs w:val="20"/>
                <w:color w:val="auto"/>
              </w:rPr>
            </w:pPr>
            <w:r>
              <w:rPr>
                <w:rFonts w:ascii="Arial" w:cs="Arial" w:eastAsia="Arial" w:hAnsi="Arial"/>
                <w:sz w:val="14"/>
                <w:szCs w:val="14"/>
                <w:color w:val="auto"/>
              </w:rPr>
              <w:t>$16,192</w:t>
            </w:r>
          </w:p>
        </w:tc>
        <w:tc>
          <w:tcPr>
            <w:tcW w:w="920" w:type="dxa"/>
            <w:vAlign w:val="bottom"/>
            <w:gridSpan w:val="4"/>
            <w:vMerge w:val="restart"/>
            <w:shd w:val="clear" w:color="auto" w:fill="D9D9D6"/>
          </w:tcPr>
          <w:p>
            <w:pPr>
              <w:jc w:val="right"/>
              <w:ind w:right="40"/>
              <w:spacing w:after="0"/>
              <w:rPr>
                <w:sz w:val="20"/>
                <w:szCs w:val="20"/>
                <w:color w:val="auto"/>
              </w:rPr>
            </w:pPr>
            <w:r>
              <w:rPr>
                <w:rFonts w:ascii="Arial" w:cs="Arial" w:eastAsia="Arial" w:hAnsi="Arial"/>
                <w:sz w:val="14"/>
                <w:szCs w:val="14"/>
                <w:color w:val="auto"/>
              </w:rPr>
              <w:t>$15,388</w:t>
            </w:r>
          </w:p>
        </w:tc>
        <w:tc>
          <w:tcPr>
            <w:tcW w:w="300" w:type="dxa"/>
            <w:vAlign w:val="bottom"/>
            <w:shd w:val="clear" w:color="auto" w:fill="D9D9D6"/>
          </w:tcPr>
          <w:p>
            <w:pPr>
              <w:spacing w:after="0" w:line="20" w:lineRule="exact"/>
              <w:rPr>
                <w:sz w:val="1"/>
                <w:szCs w:val="1"/>
                <w:color w:val="auto"/>
              </w:rPr>
            </w:pPr>
          </w:p>
        </w:tc>
        <w:tc>
          <w:tcPr>
            <w:tcW w:w="820" w:type="dxa"/>
            <w:vAlign w:val="bottom"/>
            <w:gridSpan w:val="2"/>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5.2 %</w:t>
            </w: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 w:type="dxa"/>
            <w:vAlign w:val="bottom"/>
            <w:shd w:val="clear" w:color="auto" w:fill="D9D9D6"/>
          </w:tcPr>
          <w:p>
            <w:pPr>
              <w:spacing w:after="0"/>
              <w:rPr>
                <w:sz w:val="17"/>
                <w:szCs w:val="17"/>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vMerge w:val="continue"/>
            <w:shd w:val="clear" w:color="auto" w:fill="D9D9D6"/>
          </w:tcPr>
          <w:p>
            <w:pPr>
              <w:spacing w:after="0"/>
              <w:rPr>
                <w:sz w:val="17"/>
                <w:szCs w:val="17"/>
                <w:color w:val="auto"/>
              </w:rPr>
            </w:pPr>
          </w:p>
        </w:tc>
        <w:tc>
          <w:tcPr>
            <w:tcW w:w="940" w:type="dxa"/>
            <w:vAlign w:val="bottom"/>
            <w:tcBorders>
              <w:right w:val="single" w:sz="8" w:color="D9D9D6"/>
            </w:tcBorders>
            <w:gridSpan w:val="3"/>
            <w:vMerge w:val="continue"/>
            <w:shd w:val="clear" w:color="auto" w:fill="D9D9D6"/>
          </w:tcPr>
          <w:p>
            <w:pPr>
              <w:spacing w:after="0"/>
              <w:rPr>
                <w:sz w:val="17"/>
                <w:szCs w:val="17"/>
                <w:color w:val="auto"/>
              </w:rPr>
            </w:pPr>
          </w:p>
        </w:tc>
        <w:tc>
          <w:tcPr>
            <w:tcW w:w="1040" w:type="dxa"/>
            <w:vAlign w:val="bottom"/>
            <w:gridSpan w:val="3"/>
            <w:vMerge w:val="continue"/>
            <w:shd w:val="clear" w:color="auto" w:fill="D9D9D6"/>
          </w:tcPr>
          <w:p>
            <w:pPr>
              <w:spacing w:after="0"/>
              <w:rPr>
                <w:sz w:val="17"/>
                <w:szCs w:val="17"/>
                <w:color w:val="auto"/>
              </w:rPr>
            </w:pPr>
          </w:p>
        </w:tc>
        <w:tc>
          <w:tcPr>
            <w:tcW w:w="300" w:type="dxa"/>
            <w:vAlign w:val="bottom"/>
            <w:tcBorders>
              <w:right w:val="single" w:sz="8" w:color="828282"/>
            </w:tcBorders>
            <w:shd w:val="clear" w:color="auto" w:fill="D9D9D6"/>
          </w:tcPr>
          <w:p>
            <w:pPr>
              <w:spacing w:after="0"/>
              <w:rPr>
                <w:sz w:val="17"/>
                <w:szCs w:val="17"/>
                <w:color w:val="auto"/>
              </w:rPr>
            </w:pPr>
          </w:p>
        </w:tc>
        <w:tc>
          <w:tcPr>
            <w:tcW w:w="240" w:type="dxa"/>
            <w:vAlign w:val="bottom"/>
            <w:tcBorders>
              <w:right w:val="single" w:sz="8" w:color="DBDBDB"/>
            </w:tcBorders>
            <w:shd w:val="clear" w:color="auto" w:fill="D9D9D6"/>
          </w:tcPr>
          <w:p>
            <w:pPr>
              <w:spacing w:after="0"/>
              <w:rPr>
                <w:sz w:val="17"/>
                <w:szCs w:val="17"/>
                <w:color w:val="auto"/>
              </w:rPr>
            </w:pPr>
          </w:p>
        </w:tc>
        <w:tc>
          <w:tcPr>
            <w:tcW w:w="940" w:type="dxa"/>
            <w:vAlign w:val="bottom"/>
            <w:tcBorders>
              <w:right w:val="single" w:sz="8" w:color="D9D9D6"/>
            </w:tcBorders>
            <w:gridSpan w:val="2"/>
            <w:vMerge w:val="continue"/>
            <w:shd w:val="clear" w:color="auto" w:fill="D9D9D6"/>
          </w:tcPr>
          <w:p>
            <w:pPr>
              <w:spacing w:after="0"/>
              <w:rPr>
                <w:sz w:val="17"/>
                <w:szCs w:val="17"/>
                <w:color w:val="auto"/>
              </w:rPr>
            </w:pPr>
          </w:p>
        </w:tc>
        <w:tc>
          <w:tcPr>
            <w:tcW w:w="920" w:type="dxa"/>
            <w:vAlign w:val="bottom"/>
            <w:gridSpan w:val="4"/>
            <w:vMerge w:val="continue"/>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820" w:type="dxa"/>
            <w:vAlign w:val="bottom"/>
            <w:gridSpan w:val="2"/>
            <w:vMerge w:val="continue"/>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D9D9D6"/>
          </w:tcPr>
          <w:p>
            <w:pPr>
              <w:spacing w:after="0"/>
              <w:rPr>
                <w:sz w:val="19"/>
                <w:szCs w:val="19"/>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$3,694</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$3,410</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8.3 %</w:t>
            </w:r>
          </w:p>
        </w:tc>
        <w:tc>
          <w:tcPr>
            <w:tcW w:w="300" w:type="dxa"/>
            <w:vAlign w:val="bottom"/>
            <w:tcBorders>
              <w:right w:val="single" w:sz="8" w:color="828282"/>
            </w:tcBorders>
            <w:shd w:val="clear" w:color="auto" w:fill="D9D9D6"/>
          </w:tcPr>
          <w:p>
            <w:pPr>
              <w:spacing w:after="0"/>
              <w:rPr>
                <w:sz w:val="19"/>
                <w:szCs w:val="19"/>
                <w:color w:val="auto"/>
              </w:rPr>
            </w:pPr>
          </w:p>
        </w:tc>
        <w:tc>
          <w:tcPr>
            <w:tcW w:w="11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$16,937</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$16,493</w:t>
            </w:r>
          </w:p>
        </w:tc>
        <w:tc>
          <w:tcPr>
            <w:tcW w:w="300" w:type="dxa"/>
            <w:vAlign w:val="bottom"/>
            <w:shd w:val="clear" w:color="auto" w:fill="D9D9D6"/>
          </w:tcPr>
          <w:p>
            <w:pPr>
              <w:spacing w:after="0"/>
              <w:rPr>
                <w:sz w:val="19"/>
                <w:szCs w:val="19"/>
                <w:color w:val="auto"/>
              </w:rPr>
            </w:pPr>
          </w:p>
        </w:tc>
        <w:tc>
          <w:tcPr>
            <w:tcW w:w="8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2.7 %</w:t>
            </w:r>
          </w:p>
        </w:tc>
        <w:tc>
          <w:tcPr>
            <w:tcW w:w="14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454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$8,807</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$8,012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9.9 %</w:t>
            </w:r>
          </w:p>
        </w:tc>
        <w:tc>
          <w:tcPr>
            <w:tcW w:w="30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$38,069</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$37,633</w:t>
            </w:r>
          </w:p>
        </w:tc>
        <w:tc>
          <w:tcPr>
            <w:tcW w:w="30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454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$1.24</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$0.81</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54.1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30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$4.14</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$3.71</w:t>
            </w:r>
          </w:p>
        </w:tc>
        <w:tc>
          <w:tcPr>
            <w:tcW w:w="30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11.7 %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4540" w:type="dxa"/>
            <w:vAlign w:val="bottom"/>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$0.96</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$0.84</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300" w:type="dxa"/>
            <w:vAlign w:val="bottom"/>
            <w:tcBorders>
              <w:right w:val="single" w:sz="8" w:color="828282"/>
            </w:tcBorders>
            <w:shd w:val="clear" w:color="auto" w:fill="D9D9D6"/>
          </w:tcPr>
          <w:p>
            <w:pPr>
              <w:spacing w:after="0"/>
              <w:rPr>
                <w:sz w:val="17"/>
                <w:szCs w:val="17"/>
                <w:color w:val="auto"/>
              </w:rPr>
            </w:pPr>
          </w:p>
        </w:tc>
        <w:tc>
          <w:tcPr>
            <w:tcW w:w="240" w:type="dxa"/>
            <w:vAlign w:val="bottom"/>
            <w:tcBorders>
              <w:right w:val="single" w:sz="8" w:color="DBDBDB"/>
            </w:tcBorders>
            <w:shd w:val="clear" w:color="auto" w:fill="D9D9D6"/>
          </w:tcPr>
          <w:p>
            <w:pPr>
              <w:spacing w:after="0"/>
              <w:rPr>
                <w:sz w:val="17"/>
                <w:szCs w:val="17"/>
                <w:color w:val="auto"/>
              </w:rPr>
            </w:pPr>
          </w:p>
        </w:tc>
        <w:tc>
          <w:tcPr>
            <w:tcW w:w="9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$4.33</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$3.98</w:t>
            </w:r>
          </w:p>
        </w:tc>
        <w:tc>
          <w:tcPr>
            <w:tcW w:w="300" w:type="dxa"/>
            <w:vAlign w:val="bottom"/>
            <w:shd w:val="clear" w:color="auto" w:fill="D9D9D6"/>
          </w:tcPr>
          <w:p>
            <w:pPr>
              <w:spacing w:after="0"/>
              <w:rPr>
                <w:sz w:val="17"/>
                <w:szCs w:val="17"/>
                <w:color w:val="auto"/>
              </w:rPr>
            </w:pPr>
          </w:p>
        </w:tc>
        <w:tc>
          <w:tcPr>
            <w:tcW w:w="82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9.0 %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 w:type="dxa"/>
            <w:vAlign w:val="bottom"/>
            <w:shd w:val="clear" w:color="auto" w:fill="D9D9D6"/>
          </w:tcPr>
          <w:p>
            <w:pPr>
              <w:spacing w:after="0"/>
              <w:rPr>
                <w:sz w:val="16"/>
                <w:szCs w:val="16"/>
                <w:color w:val="auto"/>
              </w:rPr>
            </w:pPr>
          </w:p>
        </w:tc>
        <w:tc>
          <w:tcPr>
            <w:tcW w:w="45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$8,080</w:t>
            </w:r>
          </w:p>
        </w:tc>
        <w:tc>
          <w:tcPr>
            <w:tcW w:w="9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$5,922</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36.5</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300" w:type="dxa"/>
            <w:vAlign w:val="bottom"/>
            <w:tcBorders>
              <w:right w:val="single" w:sz="8" w:color="828282"/>
            </w:tcBorders>
            <w:shd w:val="clear" w:color="auto" w:fill="D9D9D6"/>
          </w:tcPr>
          <w:p>
            <w:pPr>
              <w:spacing w:after="0"/>
              <w:rPr>
                <w:sz w:val="16"/>
                <w:szCs w:val="16"/>
                <w:color w:val="auto"/>
              </w:rPr>
            </w:pPr>
          </w:p>
        </w:tc>
        <w:tc>
          <w:tcPr>
            <w:tcW w:w="240" w:type="dxa"/>
            <w:vAlign w:val="bottom"/>
            <w:tcBorders>
              <w:right w:val="single" w:sz="8" w:color="DBDBDB"/>
            </w:tcBorders>
            <w:shd w:val="clear" w:color="auto" w:fill="D9D9D6"/>
          </w:tcPr>
          <w:p>
            <w:pPr>
              <w:spacing w:after="0"/>
              <w:rPr>
                <w:sz w:val="16"/>
                <w:szCs w:val="16"/>
                <w:color w:val="auto"/>
              </w:rPr>
            </w:pPr>
          </w:p>
        </w:tc>
        <w:tc>
          <w:tcPr>
            <w:tcW w:w="9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$27,673</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$28,501</w:t>
            </w:r>
          </w:p>
        </w:tc>
        <w:tc>
          <w:tcPr>
            <w:tcW w:w="300" w:type="dxa"/>
            <w:vAlign w:val="bottom"/>
            <w:shd w:val="clear" w:color="auto" w:fill="D9D9D6"/>
          </w:tcPr>
          <w:p>
            <w:pPr>
              <w:spacing w:after="0"/>
              <w:rPr>
                <w:sz w:val="16"/>
                <w:szCs w:val="16"/>
                <w:color w:val="auto"/>
              </w:rPr>
            </w:pPr>
          </w:p>
        </w:tc>
        <w:tc>
          <w:tcPr>
            <w:tcW w:w="8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tcBorders>
              <w:bottom w:val="single" w:sz="8" w:color="D9D9D6"/>
            </w:tcBorders>
            <w:shd w:val="clear" w:color="auto" w:fill="D9D9D6"/>
          </w:tcPr>
          <w:p>
            <w:pPr>
              <w:spacing w:after="0"/>
              <w:rPr>
                <w:sz w:val="21"/>
                <w:szCs w:val="21"/>
                <w:color w:val="auto"/>
              </w:rPr>
            </w:pPr>
          </w:p>
        </w:tc>
        <w:tc>
          <w:tcPr>
            <w:tcW w:w="45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4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$3,260</w:t>
            </w:r>
          </w:p>
        </w:tc>
        <w:tc>
          <w:tcPr>
            <w:tcW w:w="94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$1,708</w:t>
            </w:r>
          </w:p>
        </w:tc>
        <w:tc>
          <w:tcPr>
            <w:tcW w:w="9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90.9</w:t>
            </w:r>
          </w:p>
        </w:tc>
        <w:tc>
          <w:tcPr>
            <w:tcW w:w="14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300" w:type="dxa"/>
            <w:vAlign w:val="bottom"/>
            <w:tcBorders>
              <w:bottom w:val="single" w:sz="8" w:color="D9D9D6"/>
              <w:right w:val="single" w:sz="8" w:color="828282"/>
            </w:tcBorders>
            <w:shd w:val="clear" w:color="auto" w:fill="D9D9D6"/>
          </w:tcPr>
          <w:p>
            <w:pPr>
              <w:spacing w:after="0"/>
              <w:rPr>
                <w:sz w:val="21"/>
                <w:szCs w:val="21"/>
                <w:color w:val="auto"/>
              </w:rPr>
            </w:pPr>
          </w:p>
        </w:tc>
        <w:tc>
          <w:tcPr>
            <w:tcW w:w="240" w:type="dxa"/>
            <w:vAlign w:val="bottom"/>
            <w:tcBorders>
              <w:bottom w:val="single" w:sz="8" w:color="D9D9D6"/>
              <w:right w:val="single" w:sz="8" w:color="DBDBDB"/>
            </w:tcBorders>
            <w:shd w:val="clear" w:color="auto" w:fill="D9D9D6"/>
          </w:tcPr>
          <w:p>
            <w:pPr>
              <w:spacing w:after="0"/>
              <w:rPr>
                <w:sz w:val="21"/>
                <w:szCs w:val="21"/>
                <w:color w:val="auto"/>
              </w:rPr>
            </w:pPr>
          </w:p>
        </w:tc>
        <w:tc>
          <w:tcPr>
            <w:tcW w:w="94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$12,543</w:t>
            </w:r>
          </w:p>
        </w:tc>
        <w:tc>
          <w:tcPr>
            <w:tcW w:w="920" w:type="dxa"/>
            <w:vAlign w:val="bottom"/>
            <w:tcBorders>
              <w:bottom w:val="single" w:sz="8" w:color="D9D9D6"/>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$12,962</w:t>
            </w:r>
          </w:p>
        </w:tc>
        <w:tc>
          <w:tcPr>
            <w:tcW w:w="300" w:type="dxa"/>
            <w:vAlign w:val="bottom"/>
            <w:tcBorders>
              <w:bottom w:val="single" w:sz="8" w:color="D9D9D6"/>
            </w:tcBorders>
            <w:shd w:val="clear" w:color="auto" w:fill="D9D9D6"/>
          </w:tcPr>
          <w:p>
            <w:pPr>
              <w:spacing w:after="0"/>
              <w:rPr>
                <w:sz w:val="21"/>
                <w:szCs w:val="21"/>
                <w:color w:val="auto"/>
              </w:rPr>
            </w:pPr>
          </w:p>
        </w:tc>
        <w:tc>
          <w:tcPr>
            <w:tcW w:w="82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(3.2 %)</w:t>
            </w:r>
          </w:p>
        </w:tc>
        <w:tc>
          <w:tcPr>
            <w:tcW w:w="14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and Full Year 2024 Highlights:</w:t>
      </w:r>
    </w:p>
    <w:p>
      <w:pPr>
        <w:spacing w:after="0" w:line="40" w:lineRule="exact"/>
        <w:rPr>
          <w:sz w:val="20"/>
          <w:szCs w:val="20"/>
          <w:color w:val="auto"/>
        </w:rPr>
      </w:pPr>
    </w:p>
    <w:p>
      <w:pPr>
        <w:jc w:val="both"/>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9.9% in the Fourth Quarter and Increased 1.2% for the Full Year; Adjusted EPS in the Fourth Quarter Increased 14% to $0.96 and Increased 9.0% to $4.33 for the Full Year; Generated Free Cash Flow of $3.3 Billion in the Fourth Quarter and $12.5 Billion for the Full Year</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$3.2 Billion to Shareholders in the Fourth Quarter Through a Combination of $1.2 Billion in Dividend Payments and $2.0 Billion in Share Repurchases. Total Return of Capital to Shareholders for the Full Year Was $13.5 Billion, Including $8.6 Billion in Share Repurchases, Reducing Shares Outstanding by 5%</w:t>
      </w:r>
    </w:p>
    <w:p>
      <w:pPr>
        <w:spacing w:after="0" w:line="2"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Dividend by $0.08, or 6.5% Year-over-Year, to $1.32 per Share on an Annualized Basis for 2025, the 17th Consecutive Annual Increase; Increased Share Repurchase Authorization to $15 Billion</w:t>
      </w:r>
    </w:p>
    <w:p>
      <w:pPr>
        <w:spacing w:after="0" w:line="1"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Connectivity &amp; Platforms, Connectivity Revenue Increased 4.9% to $11.5 Billion in the Fourth Quarter and 5.7% to $45.1 Billion for the Full Year, Reflecting Growth in Domestic Broadband, Domestic Wireless, International Connectivity and Business Services Connectivity</w:t>
      </w: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Revenue Increased 28% to $1.3 Billion in the Fourth Quarter and 46% to $4.9 Billion for the Full Year Compared to the Prior Year Periods; Adjusted EBITDA Losses Improved by Nearly $1 Billion for the Full Year</w:t>
      </w:r>
    </w:p>
    <w:p>
      <w:pPr>
        <w:spacing w:after="0" w:line="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 Sports Delivered Its Most-Watched Year Since 2016, Highlighted by Our Innovative Broadcast of the Paris Olympics and Peacock's First-Ever Exclusive Live Streamed NFL Playoff Game; Announced an 11-Year Agreement to Present NBA and WNBA Games Beginning with the 2025-26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jc w:val="both"/>
        <w:ind w:left="340" w:hanging="332"/>
        <w:spacing w:after="0" w:line="23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Studios Adjusted EBITDA Increased 85% to $569 Million in the Fourth Quarter and 11% to $1.4 Billion for the Full Year; Ranked #2 Studio in Worldwide Box Office for the Year, Driven by the Successful Theatrical Performance of </w:t>
      </w:r>
      <w:r>
        <w:rPr>
          <w:rFonts w:ascii="Arial" w:cs="Arial" w:eastAsia="Arial" w:hAnsi="Arial"/>
          <w:sz w:val="18"/>
          <w:szCs w:val="18"/>
          <w:i w:val="1"/>
          <w:iCs w:val="1"/>
          <w:color w:val="auto"/>
        </w:rPr>
        <w:t>Kung Fu Panda 4</w:t>
      </w:r>
      <w:r>
        <w:rPr>
          <w:rFonts w:ascii="Arial" w:cs="Arial" w:eastAsia="Arial" w:hAnsi="Arial"/>
          <w:sz w:val="18"/>
          <w:szCs w:val="18"/>
          <w:color w:val="auto"/>
        </w:rPr>
        <w:t xml:space="preserve">, </w:t>
      </w:r>
      <w:r>
        <w:rPr>
          <w:rFonts w:ascii="Arial" w:cs="Arial" w:eastAsia="Arial" w:hAnsi="Arial"/>
          <w:sz w:val="18"/>
          <w:szCs w:val="18"/>
          <w:i w:val="1"/>
          <w:iCs w:val="1"/>
          <w:color w:val="auto"/>
        </w:rPr>
        <w:t>Despicable Me 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Wild Robot </w:t>
      </w:r>
      <w:r>
        <w:rPr>
          <w:rFonts w:ascii="Arial" w:cs="Arial" w:eastAsia="Arial" w:hAnsi="Arial"/>
          <w:sz w:val="18"/>
          <w:szCs w:val="18"/>
          <w:color w:val="auto"/>
        </w:rPr>
        <w:t>and</w:t>
      </w:r>
      <w:r>
        <w:rPr>
          <w:rFonts w:ascii="Arial" w:cs="Arial" w:eastAsia="Arial" w:hAnsi="Arial"/>
          <w:sz w:val="18"/>
          <w:szCs w:val="18"/>
          <w:i w:val="1"/>
          <w:iCs w:val="1"/>
          <w:color w:val="auto"/>
        </w:rPr>
        <w:t xml:space="preserve"> Wicked</w:t>
      </w:r>
    </w:p>
    <w:p>
      <w:pPr>
        <w:spacing w:after="0" w:line="1" w:lineRule="exact"/>
        <w:rPr>
          <w:rFonts w:ascii="Arial" w:cs="Arial" w:eastAsia="Arial" w:hAnsi="Arial"/>
          <w:sz w:val="18"/>
          <w:szCs w:val="18"/>
          <w:color w:val="auto"/>
        </w:rPr>
      </w:pPr>
    </w:p>
    <w:p>
      <w:pPr>
        <w:ind w:left="340" w:right="20" w:hanging="332"/>
        <w:spacing w:after="0" w:line="242"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Theme Parks Revenue in the Fourth Quarter Was Consistent with the Prior Year Period and Adjusted EBITDA in the Fourth Quarter Decreased 3.9% to $838 Million, Due to Pre-Opening Costs for Universal Epic Universe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Our Intention to Spin-off Select Cable Television Networks in a Tax-Free Transaction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4th Quarter Consolidated Financial Results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2.1% compared to the prior year period.</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increased 46.6%, including a $1.9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income tax benefit due to an internal corporate reorganization. We expect to receive the cash tax refund related to this benefit in 2025. </w:t>
      </w: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increased 8.3%.</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9.9%, including $441 million of severance in the quarter and $527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severance and other in the prior year period. Excluding these charges</w:t>
      </w:r>
      <w:r>
        <w:rPr>
          <w:rFonts w:ascii="Arial" w:cs="Arial" w:eastAsia="Arial" w:hAnsi="Arial"/>
          <w:sz w:val="23"/>
          <w:szCs w:val="23"/>
          <w:color w:val="auto"/>
          <w:vertAlign w:val="superscript"/>
        </w:rPr>
        <w:t>7</w:t>
      </w:r>
      <w:r>
        <w:rPr>
          <w:rFonts w:ascii="Arial" w:cs="Arial" w:eastAsia="Arial" w:hAnsi="Arial"/>
          <w:sz w:val="18"/>
          <w:szCs w:val="18"/>
          <w:color w:val="auto"/>
        </w:rPr>
        <w:t>, Adjusted EBITDA increased 8.3%.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increased 54.1% to $1.24.</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13.9% to $0.96.</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17.9% to $3.9 billion. Connectivity &amp; Platforms’ capital expenditures increased 25.5% to $2.6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higher spending on scalable infrastructure, line extensions and customer premise equipment. On a full year basis, Connectivity &amp; Platforms capital expenditures were consistent at $8.3 billion. Content &amp; Experiences' capital expenditures increased 6.3% to $1.3 billion, reflecting significant spending due to the construction of Epic Universe theme park in Orlando, which is scheduled to open on May 22, 2025.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$8.1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$3.3 billion.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49.5 million of its shares for $2.0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$3.2 billion.</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Today, Comcast announced that it increased its dividend by $0.08, or 6.5% year-over-year, to $1.32 per share on an annualized basis for 2025. In accordance with the increase, the Board of Directors declared a quarterly cash dividend of $0.33 per share on the company's stock, payable April 23, 2025, to shareholders of record as of the close of business on April 2, 2025. The Board of Directors also approved a new share repurchase program authorization, effective as of January 31, 2025, of $15 billion, which does not have an expiration date. We expect to repurchase shares of our Class A common stock under this authorization in the open market or private transactions, subject to market and other conditions.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2503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28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74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4th Quarter</w:t>
            </w:r>
          </w:p>
        </w:tc>
        <w:tc>
          <w:tcPr>
            <w:tcW w:w="140" w:type="dxa"/>
            <w:vAlign w:val="bottom"/>
            <w:gridSpan w:val="2"/>
            <w:vMerge w:val="restart"/>
            <w:shd w:val="clear" w:color="auto" w:fill="D9D9D6"/>
          </w:tcPr>
          <w:p>
            <w:pPr>
              <w:spacing w:after="0"/>
              <w:rPr>
                <w:sz w:val="8"/>
                <w:szCs w:val="8"/>
                <w:color w:val="auto"/>
              </w:rPr>
            </w:pPr>
          </w:p>
        </w:tc>
        <w:tc>
          <w:tcPr>
            <w:tcW w:w="5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12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80" w:type="dxa"/>
            <w:vAlign w:val="bottom"/>
            <w:tcBorders>
              <w:bottom w:val="single" w:sz="8" w:color="D9D9D6"/>
            </w:tcBorders>
            <w:shd w:val="clear" w:color="auto" w:fill="D9D9D6"/>
          </w:tcPr>
          <w:p>
            <w:pPr>
              <w:spacing w:after="0"/>
              <w:rPr>
                <w:sz w:val="7"/>
                <w:szCs w:val="7"/>
                <w:color w:val="auto"/>
              </w:rPr>
            </w:pPr>
          </w:p>
        </w:tc>
        <w:tc>
          <w:tcPr>
            <w:tcW w:w="180" w:type="dxa"/>
            <w:vAlign w:val="bottom"/>
            <w:tcBorders>
              <w:bottom w:val="single" w:sz="8" w:color="D9D9D6"/>
            </w:tcBorders>
            <w:shd w:val="clear" w:color="auto" w:fill="D9D9D6"/>
          </w:tcPr>
          <w:p>
            <w:pPr>
              <w:spacing w:after="0"/>
              <w:rPr>
                <w:sz w:val="7"/>
                <w:szCs w:val="7"/>
                <w:color w:val="auto"/>
              </w:rPr>
            </w:pPr>
          </w:p>
        </w:tc>
        <w:tc>
          <w:tcPr>
            <w:tcW w:w="140" w:type="dxa"/>
            <w:vAlign w:val="bottom"/>
            <w:tcBorders>
              <w:bottom w:val="single" w:sz="8" w:color="D9D9D6"/>
            </w:tcBorders>
            <w:shd w:val="clear" w:color="auto" w:fill="D9D9D6"/>
          </w:tcPr>
          <w:p>
            <w:pPr>
              <w:spacing w:after="0"/>
              <w:rPr>
                <w:sz w:val="7"/>
                <w:szCs w:val="7"/>
                <w:color w:val="auto"/>
              </w:rPr>
            </w:pPr>
          </w:p>
        </w:tc>
        <w:tc>
          <w:tcPr>
            <w:tcW w:w="20" w:type="dxa"/>
            <w:vAlign w:val="bottom"/>
            <w:tcBorders>
              <w:bottom w:val="single" w:sz="8" w:color="D9D9D6"/>
            </w:tcBorders>
            <w:shd w:val="clear" w:color="auto" w:fill="D9D9D6"/>
          </w:tcPr>
          <w:p>
            <w:pPr>
              <w:spacing w:after="0"/>
              <w:rPr>
                <w:sz w:val="7"/>
                <w:szCs w:val="7"/>
                <w:color w:val="auto"/>
              </w:rPr>
            </w:pPr>
          </w:p>
        </w:tc>
        <w:tc>
          <w:tcPr>
            <w:tcW w:w="120" w:type="dxa"/>
            <w:vAlign w:val="bottom"/>
            <w:tcBorders>
              <w:bottom w:val="single" w:sz="8" w:color="D9D9D6"/>
            </w:tcBorders>
            <w:shd w:val="clear" w:color="auto" w:fill="D9D9D6"/>
          </w:tcPr>
          <w:p>
            <w:pPr>
              <w:spacing w:after="0"/>
              <w:rPr>
                <w:sz w:val="7"/>
                <w:szCs w:val="7"/>
                <w:color w:val="auto"/>
              </w:rPr>
            </w:pPr>
          </w:p>
        </w:tc>
        <w:tc>
          <w:tcPr>
            <w:tcW w:w="740" w:type="dxa"/>
            <w:vAlign w:val="bottom"/>
            <w:tcBorders>
              <w:bottom w:val="single" w:sz="8" w:color="auto"/>
            </w:tcBorders>
            <w:gridSpan w:val="2"/>
            <w:vMerge w:val="continue"/>
            <w:shd w:val="clear" w:color="auto" w:fill="D9D9D6"/>
          </w:tcPr>
          <w:p>
            <w:pPr>
              <w:spacing w:after="0"/>
              <w:rPr>
                <w:sz w:val="7"/>
                <w:szCs w:val="7"/>
                <w:color w:val="auto"/>
              </w:rPr>
            </w:pPr>
          </w:p>
        </w:tc>
        <w:tc>
          <w:tcPr>
            <w:tcW w:w="140" w:type="dxa"/>
            <w:vAlign w:val="bottom"/>
            <w:tcBorders>
              <w:bottom w:val="single" w:sz="8" w:color="D9D9D6"/>
            </w:tcBorders>
            <w:gridSpan w:val="2"/>
            <w:vMerge w:val="continue"/>
            <w:shd w:val="clear" w:color="auto" w:fill="D9D9D6"/>
          </w:tcPr>
          <w:p>
            <w:pPr>
              <w:spacing w:after="0"/>
              <w:rPr>
                <w:sz w:val="7"/>
                <w:szCs w:val="7"/>
                <w:color w:val="auto"/>
              </w:rPr>
            </w:pPr>
          </w:p>
        </w:tc>
        <w:tc>
          <w:tcPr>
            <w:tcW w:w="560" w:type="dxa"/>
            <w:vAlign w:val="bottom"/>
            <w:tcBorders>
              <w:bottom w:val="single" w:sz="8" w:color="D9D9D6"/>
            </w:tcBorders>
            <w:shd w:val="clear" w:color="auto" w:fill="D9D9D6"/>
          </w:tcPr>
          <w:p>
            <w:pPr>
              <w:spacing w:after="0"/>
              <w:rPr>
                <w:sz w:val="7"/>
                <w:szCs w:val="7"/>
                <w:color w:val="auto"/>
              </w:rPr>
            </w:pPr>
          </w:p>
        </w:tc>
        <w:tc>
          <w:tcPr>
            <w:tcW w:w="320" w:type="dxa"/>
            <w:vAlign w:val="bottom"/>
            <w:tcBorders>
              <w:bottom w:val="single" w:sz="8" w:color="D9D9D6"/>
            </w:tcBorders>
            <w:shd w:val="clear" w:color="auto" w:fill="D9D9D6"/>
          </w:tcPr>
          <w:p>
            <w:pPr>
              <w:spacing w:after="0"/>
              <w:rPr>
                <w:sz w:val="7"/>
                <w:szCs w:val="7"/>
                <w:color w:val="auto"/>
              </w:rPr>
            </w:pPr>
          </w:p>
        </w:tc>
        <w:tc>
          <w:tcPr>
            <w:tcW w:w="200" w:type="dxa"/>
            <w:vAlign w:val="bottom"/>
            <w:tcBorders>
              <w:bottom w:val="single" w:sz="8" w:color="D9D9D6"/>
            </w:tcBorders>
            <w:shd w:val="clear" w:color="auto" w:fill="D9D9D6"/>
          </w:tcPr>
          <w:p>
            <w:pPr>
              <w:spacing w:after="0"/>
              <w:rPr>
                <w:sz w:val="7"/>
                <w:szCs w:val="7"/>
                <w:color w:val="auto"/>
              </w:rPr>
            </w:pPr>
          </w:p>
        </w:tc>
        <w:tc>
          <w:tcPr>
            <w:tcW w:w="1120" w:type="dxa"/>
            <w:vAlign w:val="bottom"/>
            <w:tcBorders>
              <w:bottom w:val="single" w:sz="8" w:color="D9D9D6"/>
              <w:right w:val="single" w:sz="8" w:color="D9D9D6"/>
            </w:tcBorders>
            <w:gridSpan w:val="2"/>
            <w:vMerge w:val="restart"/>
            <w:shd w:val="clear" w:color="auto" w:fill="D9D9D6"/>
          </w:tcPr>
          <w:p>
            <w:pPr>
              <w:jc w:val="right"/>
              <w:spacing w:after="0" w:line="137" w:lineRule="exact"/>
              <w:rPr>
                <w:sz w:val="20"/>
                <w:szCs w:val="20"/>
                <w:color w:val="auto"/>
              </w:rPr>
            </w:pPr>
            <w:r>
              <w:rPr>
                <w:rFonts w:ascii="Arial" w:cs="Arial" w:eastAsia="Arial" w:hAnsi="Arial"/>
                <w:sz w:val="14"/>
                <w:szCs w:val="14"/>
                <w:color w:val="auto"/>
              </w:rPr>
              <w:t>Currency</w:t>
            </w:r>
          </w:p>
        </w:tc>
        <w:tc>
          <w:tcPr>
            <w:tcW w:w="320" w:type="dxa"/>
            <w:vAlign w:val="bottom"/>
            <w:tcBorders>
              <w:bottom w:val="single" w:sz="8" w:color="D9D9D6"/>
            </w:tcBorders>
            <w:shd w:val="clear" w:color="auto" w:fill="D9D9D6"/>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12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000" w:type="dxa"/>
            <w:vAlign w:val="bottom"/>
            <w:gridSpan w:val="5"/>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560" w:type="dxa"/>
            <w:vAlign w:val="bottom"/>
            <w:shd w:val="clear" w:color="auto" w:fill="D9D9D6"/>
          </w:tcPr>
          <w:p>
            <w:pPr>
              <w:spacing w:after="0"/>
              <w:rPr>
                <w:sz w:val="3"/>
                <w:szCs w:val="3"/>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1120" w:type="dxa"/>
            <w:vAlign w:val="bottom"/>
            <w:tcBorders>
              <w:right w:val="single" w:sz="8" w:color="D9D9D6"/>
            </w:tcBorders>
            <w:gridSpan w:val="2"/>
            <w:vMerge w:val="continue"/>
            <w:shd w:val="clear" w:color="auto" w:fill="D9D9D6"/>
          </w:tcPr>
          <w:p>
            <w:pPr>
              <w:spacing w:after="0"/>
              <w:rPr>
                <w:sz w:val="3"/>
                <w:szCs w:val="3"/>
                <w:color w:val="auto"/>
              </w:rPr>
            </w:pPr>
          </w:p>
        </w:tc>
        <w:tc>
          <w:tcPr>
            <w:tcW w:w="32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1120" w:type="dxa"/>
            <w:vAlign w:val="bottom"/>
            <w:gridSpan w:val="4"/>
            <w:vMerge w:val="continue"/>
            <w:shd w:val="clear" w:color="auto" w:fill="D9D9D6"/>
          </w:tcPr>
          <w:p>
            <w:pPr>
              <w:spacing w:after="0"/>
              <w:rPr>
                <w:sz w:val="12"/>
                <w:szCs w:val="12"/>
                <w:color w:val="auto"/>
              </w:rPr>
            </w:pPr>
          </w:p>
        </w:tc>
        <w:tc>
          <w:tcPr>
            <w:tcW w:w="1000" w:type="dxa"/>
            <w:vAlign w:val="bottom"/>
            <w:gridSpan w:val="5"/>
            <w:vMerge w:val="continue"/>
            <w:shd w:val="clear" w:color="auto" w:fill="D9D9D6"/>
          </w:tcPr>
          <w:p>
            <w:pPr>
              <w:spacing w:after="0"/>
              <w:rPr>
                <w:sz w:val="12"/>
                <w:szCs w:val="12"/>
                <w:color w:val="auto"/>
              </w:rPr>
            </w:pPr>
          </w:p>
        </w:tc>
        <w:tc>
          <w:tcPr>
            <w:tcW w:w="560" w:type="dxa"/>
            <w:vAlign w:val="bottom"/>
            <w:shd w:val="clear" w:color="auto" w:fill="D9D9D6"/>
          </w:tcPr>
          <w:p>
            <w:pPr>
              <w:spacing w:after="0"/>
              <w:rPr>
                <w:sz w:val="12"/>
                <w:szCs w:val="12"/>
                <w:color w:val="auto"/>
              </w:rPr>
            </w:pPr>
          </w:p>
        </w:tc>
        <w:tc>
          <w:tcPr>
            <w:tcW w:w="520" w:type="dxa"/>
            <w:vAlign w:val="bottom"/>
            <w:gridSpan w:val="2"/>
            <w:vMerge w:val="continue"/>
            <w:shd w:val="clear" w:color="auto" w:fill="D9D9D6"/>
          </w:tcPr>
          <w:p>
            <w:pPr>
              <w:spacing w:after="0"/>
              <w:rPr>
                <w:sz w:val="12"/>
                <w:szCs w:val="12"/>
                <w:color w:val="auto"/>
              </w:rPr>
            </w:pPr>
          </w:p>
        </w:tc>
        <w:tc>
          <w:tcPr>
            <w:tcW w:w="560" w:type="dxa"/>
            <w:vAlign w:val="bottom"/>
            <w:shd w:val="clear" w:color="auto" w:fill="D9D9D6"/>
          </w:tcPr>
          <w:p>
            <w:pPr>
              <w:spacing w:after="0"/>
              <w:rPr>
                <w:sz w:val="12"/>
                <w:szCs w:val="12"/>
                <w:color w:val="auto"/>
              </w:rPr>
            </w:pPr>
          </w:p>
        </w:tc>
        <w:tc>
          <w:tcPr>
            <w:tcW w:w="560" w:type="dxa"/>
            <w:vAlign w:val="bottom"/>
            <w:tcBorders>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32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auto"/>
            </w:tcBorders>
            <w:shd w:val="clear" w:color="auto" w:fill="D9D9D6"/>
          </w:tcPr>
          <w:p>
            <w:pPr>
              <w:spacing w:after="0" w:line="20" w:lineRule="exact"/>
              <w:rPr>
                <w:sz w:val="1"/>
                <w:szCs w:val="1"/>
                <w:color w:val="auto"/>
              </w:rPr>
            </w:pPr>
          </w:p>
        </w:tc>
        <w:tc>
          <w:tcPr>
            <w:tcW w:w="1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0" w:type="dxa"/>
            <w:vAlign w:val="bottom"/>
            <w:tcBorders>
              <w:top w:val="single" w:sz="8" w:color="auto"/>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$18,016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$18,058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(0.8 %)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2,448</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2,361</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$20,464</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$20,418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0.2</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(0.3 %)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$6,479</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$6,276</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2.9 %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1,363</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1,303</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4.6</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4.6 %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$7,842</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$7,579</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3.5</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3.2 %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36.0</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34.8 %</w:t>
            </w:r>
          </w:p>
        </w:tc>
        <w:tc>
          <w:tcPr>
            <w:tcW w:w="20" w:type="dxa"/>
            <w:vAlign w:val="bottom"/>
            <w:shd w:val="clear" w:color="auto" w:fill="D9D9D6"/>
          </w:tcPr>
          <w:p>
            <w:pPr>
              <w:spacing w:after="0"/>
              <w:rPr>
                <w:sz w:val="24"/>
                <w:szCs w:val="24"/>
                <w:color w:val="auto"/>
              </w:rPr>
            </w:pP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120 bps</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130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55.7</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55.2 %</w:t>
            </w:r>
          </w:p>
        </w:tc>
        <w:tc>
          <w:tcPr>
            <w:tcW w:w="2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50 bps</w:t>
            </w:r>
          </w:p>
        </w:tc>
        <w:tc>
          <w:tcPr>
            <w:tcW w:w="56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50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38.3</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37.1 %</w:t>
            </w:r>
          </w:p>
        </w:tc>
        <w:tc>
          <w:tcPr>
            <w:tcW w:w="20" w:type="dxa"/>
            <w:vAlign w:val="bottom"/>
            <w:shd w:val="clear" w:color="auto" w:fill="D9D9D6"/>
          </w:tcPr>
          <w:p>
            <w:pPr>
              <w:spacing w:after="0"/>
              <w:rPr>
                <w:sz w:val="17"/>
                <w:szCs w:val="17"/>
                <w:color w:val="auto"/>
              </w:rPr>
            </w:pP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120 bps</w:t>
            </w:r>
          </w:p>
        </w:tc>
        <w:tc>
          <w:tcPr>
            <w:tcW w:w="56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130 bps</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6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2">
            <w:col w:w="5880" w:space="720"/>
            <w:col w:w="4640"/>
          </w:cols>
          <w:pgMar w:left="320" w:top="566" w:right="339" w:bottom="1440" w:gutter="0" w:footer="0" w:header="0"/>
          <w:type w:val="continuous"/>
        </w:sectPr>
      </w:pPr>
    </w:p>
    <w:p>
      <w:pPr>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6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3.5%, including $331 million of</w:t>
      </w:r>
    </w:p>
    <w:p>
      <w:pPr>
        <w:spacing w:after="0" w:line="14"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severance in the quarter and $422 million of severance and other in the prior year period. Excluding these charges as well as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Adjusted EBITDA increased 1.9% due to growth in both Residential Connectivity &amp; Platforms Adjusted EBITDA and Business Services Connectivity Adjusted EBITDA, and includes the modest negative impact associated with Hurricanes Milton and Helene that affected our service areas during the quarter.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120 basis points to 38.3%. Excluding severance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Adjusted EBITDA margin increased 80 basis points.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744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4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400" w:type="dxa"/>
            <w:vAlign w:val="bottom"/>
            <w:tcBorders>
              <w:top w:val="single" w:sz="8" w:color="auto"/>
              <w:bottom w:val="single" w:sz="8" w:color="D9D9D6"/>
            </w:tcBorders>
            <w:shd w:val="clear" w:color="auto" w:fill="D9D9D6"/>
          </w:tcPr>
          <w:p>
            <w:pPr>
              <w:spacing w:after="0"/>
              <w:rPr>
                <w:sz w:val="15"/>
                <w:szCs w:val="15"/>
                <w:color w:val="auto"/>
              </w:rPr>
            </w:pPr>
          </w:p>
        </w:tc>
        <w:tc>
          <w:tcPr>
            <w:tcW w:w="740" w:type="dxa"/>
            <w:vAlign w:val="bottom"/>
            <w:tcBorders>
              <w:top w:val="single" w:sz="8" w:color="auto"/>
              <w:bottom w:val="single" w:sz="8" w:color="auto"/>
            </w:tcBorders>
            <w:gridSpan w:val="3"/>
            <w:shd w:val="clear" w:color="auto" w:fill="D9D9D6"/>
          </w:tcPr>
          <w:p>
            <w:pPr>
              <w:jc w:val="center"/>
              <w:spacing w:after="0"/>
              <w:rPr>
                <w:sz w:val="20"/>
                <w:szCs w:val="20"/>
                <w:color w:val="auto"/>
              </w:rPr>
            </w:pPr>
            <w:r>
              <w:rPr>
                <w:rFonts w:ascii="Arial" w:cs="Arial" w:eastAsia="Arial" w:hAnsi="Arial"/>
                <w:sz w:val="14"/>
                <w:szCs w:val="14"/>
                <w:color w:val="auto"/>
              </w:rPr>
              <w:t>4th Quarter</w:t>
            </w:r>
          </w:p>
        </w:tc>
        <w:tc>
          <w:tcPr>
            <w:tcW w:w="80" w:type="dxa"/>
            <w:vAlign w:val="bottom"/>
            <w:tcBorders>
              <w:top w:val="single" w:sz="8" w:color="auto"/>
              <w:bottom w:val="single" w:sz="8" w:color="D9D9D6"/>
            </w:tcBorders>
            <w:shd w:val="clear" w:color="auto" w:fill="D9D9D6"/>
          </w:tcPr>
          <w:p>
            <w:pPr>
              <w:spacing w:after="0"/>
              <w:rPr>
                <w:sz w:val="15"/>
                <w:szCs w:val="15"/>
                <w:color w:val="auto"/>
              </w:rPr>
            </w:pPr>
          </w:p>
        </w:tc>
        <w:tc>
          <w:tcPr>
            <w:tcW w:w="100" w:type="dxa"/>
            <w:vAlign w:val="bottom"/>
            <w:tcBorders>
              <w:top w:val="single" w:sz="8" w:color="auto"/>
              <w:bottom w:val="single" w:sz="8" w:color="D9D9D6"/>
            </w:tcBorders>
            <w:shd w:val="clear" w:color="auto" w:fill="D9D9D6"/>
          </w:tcPr>
          <w:p>
            <w:pPr>
              <w:spacing w:after="0"/>
              <w:rPr>
                <w:sz w:val="15"/>
                <w:szCs w:val="15"/>
                <w:color w:val="auto"/>
              </w:rPr>
            </w:pPr>
          </w:p>
        </w:tc>
        <w:tc>
          <w:tcPr>
            <w:tcW w:w="220" w:type="dxa"/>
            <w:vAlign w:val="bottom"/>
            <w:tcBorders>
              <w:top w:val="single" w:sz="8" w:color="auto"/>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74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4Q24</w:t>
            </w:r>
          </w:p>
        </w:tc>
        <w:tc>
          <w:tcPr>
            <w:tcW w:w="520" w:type="dxa"/>
            <w:vAlign w:val="bottom"/>
            <w:shd w:val="clear" w:color="auto" w:fill="D9D9D6"/>
          </w:tcPr>
          <w:p>
            <w:pPr>
              <w:spacing w:after="0"/>
              <w:rPr>
                <w:sz w:val="15"/>
                <w:szCs w:val="15"/>
                <w:color w:val="auto"/>
              </w:rPr>
            </w:pPr>
          </w:p>
        </w:tc>
        <w:tc>
          <w:tcPr>
            <w:tcW w:w="3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4Q23</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38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31,172</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31,648</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(151)</w:t>
            </w:r>
          </w:p>
        </w:tc>
        <w:tc>
          <w:tcPr>
            <w:tcW w:w="3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(74)</w:t>
            </w:r>
          </w:p>
        </w:tc>
        <w:tc>
          <w:tcPr>
            <w:tcW w:w="120" w:type="dxa"/>
            <w:vAlign w:val="bottom"/>
            <w:shd w:val="clear" w:color="auto" w:fill="D9D9D6"/>
          </w:tcPr>
          <w:p>
            <w:pPr>
              <w:spacing w:after="0"/>
              <w:rPr>
                <w:sz w:val="17"/>
                <w:szCs w:val="17"/>
                <w:color w:val="auto"/>
              </w:rPr>
            </w:pPr>
          </w:p>
        </w:tc>
      </w:tr>
      <w:tr>
        <w:trPr>
          <w:trHeight w:val="210"/>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17,811</w:t>
            </w:r>
          </w:p>
        </w:tc>
        <w:tc>
          <w:tcPr>
            <w:tcW w:w="20" w:type="dxa"/>
            <w:vAlign w:val="bottom"/>
            <w:shd w:val="clear" w:color="auto" w:fill="D9D9D6"/>
          </w:tcPr>
          <w:p>
            <w:pPr>
              <w:spacing w:after="0"/>
              <w:rPr>
                <w:sz w:val="18"/>
                <w:szCs w:val="18"/>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17,847</w:t>
            </w:r>
          </w:p>
        </w:tc>
        <w:tc>
          <w:tcPr>
            <w:tcW w:w="20" w:type="dxa"/>
            <w:vAlign w:val="bottom"/>
            <w:shd w:val="clear" w:color="auto" w:fill="D9D9D6"/>
          </w:tcPr>
          <w:p>
            <w:pPr>
              <w:spacing w:after="0"/>
              <w:rPr>
                <w:sz w:val="18"/>
                <w:szCs w:val="18"/>
                <w:color w:val="auto"/>
              </w:rPr>
            </w:pPr>
          </w:p>
        </w:tc>
        <w:tc>
          <w:tcPr>
            <w:tcW w:w="88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95</w:t>
            </w:r>
          </w:p>
        </w:tc>
        <w:tc>
          <w:tcPr>
            <w:tcW w:w="380" w:type="dxa"/>
            <w:vAlign w:val="bottom"/>
            <w:shd w:val="clear" w:color="auto" w:fill="D9D9D6"/>
          </w:tcPr>
          <w:p>
            <w:pPr>
              <w:spacing w:after="0"/>
              <w:rPr>
                <w:sz w:val="18"/>
                <w:szCs w:val="18"/>
                <w:color w:val="auto"/>
              </w:rPr>
            </w:pPr>
          </w:p>
        </w:tc>
        <w:tc>
          <w:tcPr>
            <w:tcW w:w="8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D9D9D6"/>
          </w:tcPr>
          <w:p>
            <w:pPr>
              <w:spacing w:after="0"/>
              <w:rPr>
                <w:sz w:val="18"/>
                <w:szCs w:val="18"/>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2,626</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2,641</w:t>
            </w:r>
          </w:p>
        </w:tc>
        <w:tc>
          <w:tcPr>
            <w:tcW w:w="88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51,609</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52,136</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(58)</w:t>
            </w: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(183)</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29,373</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29,748</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(131)</w:t>
            </w:r>
          </w:p>
        </w:tc>
        <w:tc>
          <w:tcPr>
            <w:tcW w:w="380" w:type="dxa"/>
            <w:vAlign w:val="bottom"/>
            <w:shd w:val="clear" w:color="auto" w:fill="D9D9D6"/>
          </w:tcPr>
          <w:p>
            <w:pPr>
              <w:spacing w:after="0"/>
              <w:rPr>
                <w:sz w:val="17"/>
                <w:szCs w:val="17"/>
                <w:color w:val="auto"/>
              </w:rPr>
            </w:pPr>
          </w:p>
        </w:tc>
        <w:tc>
          <w:tcPr>
            <w:tcW w:w="8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2,469</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2,505</w:t>
            </w:r>
          </w:p>
        </w:tc>
        <w:tc>
          <w:tcPr>
            <w:tcW w:w="88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w:t>
            </w:r>
          </w:p>
        </w:tc>
        <w:tc>
          <w:tcPr>
            <w:tcW w:w="3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31,842</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32,253</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(139)</w:t>
            </w: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7,826</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6,588</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307</w:t>
            </w:r>
          </w:p>
        </w:tc>
        <w:tc>
          <w:tcPr>
            <w:tcW w:w="3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310</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12,523</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14,106</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(311)</w:t>
            </w:r>
          </w:p>
        </w:tc>
        <w:tc>
          <w:tcPr>
            <w:tcW w:w="3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(389)</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58,000 to 51.6 million, primarily reflecting a decrease in domestic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partially offset by an increase in international customer relationships. Total domestic broadband customer net losses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were 139,000, including the modest negative impact associated with Hurricanes Milton and Helene. Total domestic wireless line net additions were 307,000 and total domestic video customer net losses were 311,000.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80" w:type="dxa"/>
            <w:vAlign w:val="bottom"/>
            <w:shd w:val="clear" w:color="auto" w:fill="D9D9D6"/>
          </w:tcPr>
          <w:p>
            <w:pPr>
              <w:spacing w:after="0"/>
              <w:rPr>
                <w:sz w:val="12"/>
                <w:szCs w:val="12"/>
                <w:color w:val="auto"/>
              </w:rPr>
            </w:pPr>
          </w:p>
        </w:tc>
        <w:tc>
          <w:tcPr>
            <w:tcW w:w="900" w:type="dxa"/>
            <w:vAlign w:val="bottom"/>
            <w:gridSpan w:val="4"/>
            <w:vMerge w:val="restart"/>
            <w:shd w:val="clear" w:color="auto" w:fill="D9D9D6"/>
          </w:tcPr>
          <w:p>
            <w:pPr>
              <w:jc w:val="right"/>
              <w:ind w:right="180"/>
              <w:spacing w:after="0"/>
              <w:rPr>
                <w:sz w:val="20"/>
                <w:szCs w:val="20"/>
                <w:color w:val="auto"/>
              </w:rPr>
            </w:pPr>
            <w:r>
              <w:rPr>
                <w:rFonts w:ascii="Arial" w:cs="Arial" w:eastAsia="Arial" w:hAnsi="Arial"/>
                <w:sz w:val="14"/>
                <w:szCs w:val="14"/>
                <w:color w:val="auto"/>
                <w:w w:val="98"/>
              </w:rPr>
              <w:t>4th Quarter</w:t>
            </w: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78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80" w:type="dxa"/>
            <w:vAlign w:val="bottom"/>
            <w:shd w:val="clear" w:color="auto" w:fill="D9D9D6"/>
          </w:tcPr>
          <w:p>
            <w:pPr>
              <w:spacing w:after="0"/>
              <w:rPr>
                <w:sz w:val="6"/>
                <w:szCs w:val="6"/>
                <w:color w:val="auto"/>
              </w:rPr>
            </w:pPr>
          </w:p>
        </w:tc>
        <w:tc>
          <w:tcPr>
            <w:tcW w:w="900" w:type="dxa"/>
            <w:vAlign w:val="bottom"/>
            <w:gridSpan w:val="4"/>
            <w:vMerge w:val="continue"/>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80" w:type="dxa"/>
            <w:vAlign w:val="bottom"/>
            <w:gridSpan w:val="4"/>
            <w:vMerge w:val="restart"/>
            <w:shd w:val="clear" w:color="auto" w:fill="D9D9D6"/>
          </w:tcPr>
          <w:p>
            <w:pPr>
              <w:jc w:val="right"/>
              <w:ind w:right="60"/>
              <w:spacing w:after="0" w:line="12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780" w:type="dxa"/>
            <w:vAlign w:val="bottom"/>
            <w:tcBorders>
              <w:bottom w:val="single" w:sz="8" w:color="D9D9D6"/>
            </w:tcBorders>
            <w:shd w:val="clear" w:color="auto" w:fill="D9D9D6"/>
          </w:tcPr>
          <w:p>
            <w:pPr>
              <w:spacing w:after="0"/>
              <w:rPr>
                <w:sz w:val="4"/>
                <w:szCs w:val="4"/>
                <w:color w:val="auto"/>
              </w:rPr>
            </w:pPr>
          </w:p>
        </w:tc>
        <w:tc>
          <w:tcPr>
            <w:tcW w:w="76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80" w:type="dxa"/>
            <w:vAlign w:val="bottom"/>
            <w:tcBorders>
              <w:bottom w:val="single" w:sz="8" w:color="D9D9D6"/>
            </w:tcBorders>
            <w:shd w:val="clear" w:color="auto" w:fill="D9D9D6"/>
          </w:tcPr>
          <w:p>
            <w:pPr>
              <w:spacing w:after="0"/>
              <w:rPr>
                <w:sz w:val="4"/>
                <w:szCs w:val="4"/>
                <w:color w:val="auto"/>
              </w:rPr>
            </w:pPr>
          </w:p>
        </w:tc>
        <w:tc>
          <w:tcPr>
            <w:tcW w:w="560" w:type="dxa"/>
            <w:vAlign w:val="bottom"/>
            <w:tcBorders>
              <w:bottom w:val="single" w:sz="8" w:color="D9D9D6"/>
            </w:tcBorders>
            <w:shd w:val="clear" w:color="auto" w:fill="000000"/>
          </w:tcPr>
          <w:p>
            <w:pPr>
              <w:spacing w:after="0"/>
              <w:rPr>
                <w:sz w:val="4"/>
                <w:szCs w:val="4"/>
                <w:color w:val="auto"/>
              </w:rPr>
            </w:pPr>
          </w:p>
        </w:tc>
        <w:tc>
          <w:tcPr>
            <w:tcW w:w="160" w:type="dxa"/>
            <w:vAlign w:val="bottom"/>
            <w:tcBorders>
              <w:bottom w:val="single" w:sz="8" w:color="D9D9D6"/>
            </w:tcBorders>
            <w:shd w:val="clear" w:color="auto" w:fill="000000"/>
          </w:tcPr>
          <w:p>
            <w:pPr>
              <w:spacing w:after="0"/>
              <w:rPr>
                <w:sz w:val="4"/>
                <w:szCs w:val="4"/>
                <w:color w:val="auto"/>
              </w:rPr>
            </w:pPr>
          </w:p>
        </w:tc>
        <w:tc>
          <w:tcPr>
            <w:tcW w:w="16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48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80" w:type="dxa"/>
            <w:vAlign w:val="bottom"/>
            <w:tcBorders>
              <w:bottom w:val="single" w:sz="8" w:color="D9D9D6"/>
            </w:tcBorders>
            <w:gridSpan w:val="4"/>
            <w:vMerge w:val="continue"/>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0" w:type="dxa"/>
            <w:vAlign w:val="bottom"/>
            <w:tcBorders>
              <w:bottom w:val="single" w:sz="8" w:color="D9D9D6"/>
            </w:tcBorders>
            <w:shd w:val="clear" w:color="auto" w:fill="D9D9D6"/>
          </w:tcPr>
          <w:p>
            <w:pPr>
              <w:spacing w:after="0"/>
              <w:rPr>
                <w:sz w:val="15"/>
                <w:szCs w:val="15"/>
                <w:color w:val="auto"/>
              </w:rPr>
            </w:pPr>
          </w:p>
        </w:tc>
        <w:tc>
          <w:tcPr>
            <w:tcW w:w="678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2024</w:t>
            </w:r>
          </w:p>
        </w:tc>
        <w:tc>
          <w:tcPr>
            <w:tcW w:w="20" w:type="dxa"/>
            <w:vAlign w:val="bottom"/>
            <w:tcBorders>
              <w:bottom w:val="single" w:sz="8" w:color="D9D9D6"/>
            </w:tcBorders>
            <w:shd w:val="clear" w:color="auto" w:fill="D9D9D6"/>
          </w:tcPr>
          <w:p>
            <w:pPr>
              <w:spacing w:after="0"/>
              <w:rPr>
                <w:sz w:val="15"/>
                <w:szCs w:val="15"/>
                <w:color w:val="auto"/>
              </w:rPr>
            </w:pPr>
          </w:p>
        </w:tc>
        <w:tc>
          <w:tcPr>
            <w:tcW w:w="640" w:type="dxa"/>
            <w:vAlign w:val="bottom"/>
            <w:tcBorders>
              <w:bottom w:val="single" w:sz="8" w:color="D9D9D6"/>
            </w:tcBorders>
            <w:gridSpan w:val="2"/>
            <w:shd w:val="clear" w:color="auto" w:fill="D9D9D6"/>
          </w:tcPr>
          <w:p>
            <w:pPr>
              <w:spacing w:after="0"/>
              <w:rPr>
                <w:sz w:val="15"/>
                <w:szCs w:val="15"/>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5"/>
                <w:szCs w:val="15"/>
                <w:color w:val="auto"/>
              </w:rPr>
            </w:pPr>
          </w:p>
        </w:tc>
        <w:tc>
          <w:tcPr>
            <w:tcW w:w="48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5"/>
                <w:szCs w:val="15"/>
                <w:color w:val="auto"/>
              </w:rPr>
            </w:pPr>
          </w:p>
        </w:tc>
        <w:tc>
          <w:tcPr>
            <w:tcW w:w="1080" w:type="dxa"/>
            <w:vAlign w:val="bottom"/>
            <w:tcBorders>
              <w:bottom w:val="single" w:sz="8" w:color="D9D9D6"/>
            </w:tcBorders>
            <w:gridSpan w:val="4"/>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5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$6,528</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$6,403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1,189</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1,020</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16.6 %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1,354</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1,197</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9.8</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9,071</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8,620</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6,502</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6,903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(6.4</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1,158</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1,109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4.4</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3.5</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1,286</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1,426</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(9.9</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$18,016</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$18,058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(0.2</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(0.8</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$4,125</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$4,429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(6.9</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(7.4 %)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7,412</w:t>
            </w:r>
          </w:p>
        </w:tc>
        <w:tc>
          <w:tcPr>
            <w:tcW w:w="98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7,353</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0.1 %</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$11,537</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$11,782</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(2.7 %)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$6,479</w:t>
            </w:r>
          </w:p>
        </w:tc>
        <w:tc>
          <w:tcPr>
            <w:tcW w:w="9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$6,276</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3.2 %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2.9 %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36.0 %</w:t>
            </w:r>
          </w:p>
        </w:tc>
        <w:tc>
          <w:tcPr>
            <w:tcW w:w="20" w:type="dxa"/>
            <w:vAlign w:val="bottom"/>
            <w:shd w:val="clear" w:color="auto" w:fill="D9D9D6"/>
          </w:tcPr>
          <w:p>
            <w:pPr>
              <w:spacing w:after="0"/>
              <w:rPr>
                <w:sz w:val="17"/>
                <w:szCs w:val="17"/>
                <w:color w:val="auto"/>
              </w:rPr>
            </w:pPr>
          </w:p>
        </w:tc>
        <w:tc>
          <w:tcPr>
            <w:tcW w:w="96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34.8 %</w:t>
            </w:r>
          </w:p>
        </w:tc>
        <w:tc>
          <w:tcPr>
            <w:tcW w:w="20" w:type="dxa"/>
            <w:vAlign w:val="bottom"/>
            <w:shd w:val="clear" w:color="auto" w:fill="D9D9D6"/>
          </w:tcPr>
          <w:p>
            <w:pPr>
              <w:spacing w:after="0"/>
              <w:rPr>
                <w:sz w:val="17"/>
                <w:szCs w:val="17"/>
                <w:color w:val="auto"/>
              </w:rPr>
            </w:pPr>
          </w:p>
        </w:tc>
        <w:tc>
          <w:tcPr>
            <w:tcW w:w="10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120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130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5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ectPr>
          <w:pgSz w:w="11900" w:h="16838" w:orient="portrait"/>
          <w:cols w:equalWidth="0" w:num="1">
            <w:col w:w="11240"/>
          </w:cols>
          <w:pgMar w:left="320" w:top="83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36" w:right="339" w:bottom="1440" w:gutter="0" w:footer="0" w:header="0"/>
          <w:type w:val="continuous"/>
        </w:sectPr>
      </w:pPr>
    </w:p>
    <w:bookmarkStart w:id="6" w:name="page7"/>
    <w:bookmarkEnd w:id="6"/>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was consistent with the prior year period, driven by increases in domestic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connectivity, domestic broadband and advertising revenue, offset by decreases in video and other revenue. Domestic wireless revenue increased due to an increase in the number of customer lines and device sales. International connectivity revenue increased due to increases in broadband revenue from higher average rates and in wireless revenue, primarily reflecting higher sales of wireless services, as</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well as the positive impact of foreign currency. Domestic broadband revenue increased due to higher average rates. Advertising revenue increased primarily due to higher domestic political advertising, partially offset by lower domestic nonpolitical and international advertising. Excluding political advertising, advertising revenue decreased about 6%. Video revenue decreased due to a decline in the number of video customers, partially offset by an overall increase in average rates. Other revenue decreased primarily due to lower residential wireline voice</w:t>
      </w:r>
    </w:p>
    <w:p>
      <w:pPr>
        <w:spacing w:after="0"/>
        <w:rPr>
          <w:sz w:val="20"/>
          <w:szCs w:val="20"/>
          <w:color w:val="auto"/>
        </w:rPr>
      </w:pPr>
      <w:r>
        <w:rPr>
          <w:rFonts w:ascii="Arial" w:cs="Arial" w:eastAsia="Arial" w:hAnsi="Arial"/>
          <w:sz w:val="18"/>
          <w:szCs w:val="18"/>
          <w:color w:val="auto"/>
        </w:rPr>
        <w:t>revenue, driven by a decline in the number of customers.</w:t>
      </w:r>
    </w:p>
    <w:p>
      <w:pPr>
        <w:spacing w:after="0" w:line="207" w:lineRule="exact"/>
        <w:rPr>
          <w:sz w:val="20"/>
          <w:szCs w:val="20"/>
          <w:color w:val="auto"/>
        </w:rPr>
      </w:pPr>
    </w:p>
    <w:p>
      <w:pPr>
        <w:jc w:val="both"/>
        <w:spacing w:after="0" w:line="20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3.2%, including $291 million of severance in the quarter and $380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severance and other in the prior year period. Excluding these charges as well as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Adjusted EBITDA</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 xml:space="preserve">increased 1.4%, including the modest negative impact associated with Hurricanes Milton and Helene. Programming expenses decreased primarily due to a decline in the number of domestic video customers, partially offset by rate increases under our domestic programming contracts. Excluding severance and other, non-programming expenses increased primarily reflecting an increase in direct product costs and marketing and promotion costs, which were reduced in the prior year period by one-time items in our international business. </w:t>
      </w:r>
      <w:r>
        <w:rPr>
          <w:rFonts w:ascii="Arial" w:cs="Arial" w:eastAsia="Arial" w:hAnsi="Arial"/>
          <w:sz w:val="18"/>
          <w:szCs w:val="18"/>
          <w:b w:val="1"/>
          <w:bCs w:val="1"/>
          <w:i w:val="1"/>
          <w:iCs w:val="1"/>
          <w:color w:val="auto"/>
        </w:rPr>
        <w:t>Adjusted</w:t>
      </w:r>
    </w:p>
    <w:p>
      <w:pPr>
        <w:jc w:val="both"/>
        <w:ind w:right="20"/>
        <w:spacing w:after="0" w:line="213" w:lineRule="auto"/>
        <w:rPr>
          <w:sz w:val="20"/>
          <w:szCs w:val="20"/>
          <w:color w:val="auto"/>
        </w:rPr>
      </w:pPr>
      <w:r>
        <w:rPr>
          <w:rFonts w:ascii="Arial" w:cs="Arial" w:eastAsia="Arial" w:hAnsi="Arial"/>
          <w:sz w:val="18"/>
          <w:szCs w:val="18"/>
          <w:b w:val="1"/>
          <w:bCs w:val="1"/>
          <w:i w:val="1"/>
          <w:iCs w:val="1"/>
          <w:color w:val="auto"/>
        </w:rPr>
        <w:t xml:space="preserve">EBITDA margin </w:t>
      </w:r>
      <w:r>
        <w:rPr>
          <w:rFonts w:ascii="Arial" w:cs="Arial" w:eastAsia="Arial" w:hAnsi="Arial"/>
          <w:sz w:val="18"/>
          <w:szCs w:val="18"/>
          <w:color w:val="auto"/>
        </w:rPr>
        <w:t>increased 120 basis points to 36.0%. Excluding severance and other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increased 80 basis points.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2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60" w:type="dxa"/>
            <w:vAlign w:val="bottom"/>
            <w:gridSpan w:val="3"/>
            <w:vMerge w:val="restart"/>
            <w:shd w:val="clear" w:color="auto" w:fill="D9D9D6"/>
          </w:tcPr>
          <w:p>
            <w:pPr>
              <w:jc w:val="right"/>
              <w:ind w:right="26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gridSpan w:val="5"/>
            <w:vMerge w:val="restart"/>
            <w:shd w:val="clear" w:color="auto" w:fill="D9D9D6"/>
          </w:tcPr>
          <w:p>
            <w:pPr>
              <w:ind w:left="180"/>
              <w:spacing w:after="0"/>
              <w:rPr>
                <w:sz w:val="20"/>
                <w:szCs w:val="20"/>
                <w:color w:val="auto"/>
              </w:rPr>
            </w:pPr>
            <w:r>
              <w:rPr>
                <w:rFonts w:ascii="Arial" w:cs="Arial" w:eastAsia="Arial" w:hAnsi="Arial"/>
                <w:sz w:val="14"/>
                <w:szCs w:val="14"/>
                <w:color w:val="auto"/>
              </w:rPr>
              <w:t>4th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260" w:type="dxa"/>
            <w:vAlign w:val="bottom"/>
            <w:gridSpan w:val="3"/>
            <w:vMerge w:val="continue"/>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820" w:type="dxa"/>
            <w:vAlign w:val="bottom"/>
            <w:shd w:val="clear" w:color="auto" w:fill="D9D9D6"/>
          </w:tcPr>
          <w:p>
            <w:pPr>
              <w:spacing w:after="0"/>
              <w:rPr>
                <w:sz w:val="6"/>
                <w:szCs w:val="6"/>
                <w:color w:val="auto"/>
              </w:rPr>
            </w:pPr>
          </w:p>
        </w:tc>
        <w:tc>
          <w:tcPr>
            <w:tcW w:w="6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00" w:type="dxa"/>
            <w:vAlign w:val="bottom"/>
            <w:gridSpan w:val="5"/>
            <w:vMerge w:val="continue"/>
            <w:shd w:val="clear" w:color="auto" w:fill="D9D9D6"/>
          </w:tcPr>
          <w:p>
            <w:pPr>
              <w:spacing w:after="0"/>
              <w:rPr>
                <w:sz w:val="6"/>
                <w:szCs w:val="6"/>
                <w:color w:val="auto"/>
              </w:rPr>
            </w:pPr>
          </w:p>
        </w:tc>
        <w:tc>
          <w:tcPr>
            <w:tcW w:w="540" w:type="dxa"/>
            <w:vAlign w:val="bottom"/>
            <w:shd w:val="clear" w:color="auto" w:fill="D9D9D6"/>
          </w:tcPr>
          <w:p>
            <w:pPr>
              <w:spacing w:after="0"/>
              <w:rPr>
                <w:sz w:val="6"/>
                <w:szCs w:val="6"/>
                <w:color w:val="auto"/>
              </w:rPr>
            </w:pPr>
          </w:p>
        </w:tc>
        <w:tc>
          <w:tcPr>
            <w:tcW w:w="36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60" w:type="dxa"/>
            <w:vAlign w:val="bottom"/>
            <w:gridSpan w:val="3"/>
            <w:vMerge w:val="restart"/>
            <w:shd w:val="clear" w:color="auto" w:fill="D9D9D6"/>
          </w:tcPr>
          <w:p>
            <w:pPr>
              <w:jc w:val="right"/>
              <w:ind w:right="260"/>
              <w:spacing w:after="0" w:line="126"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820" w:type="dxa"/>
            <w:vAlign w:val="bottom"/>
            <w:tcBorders>
              <w:bottom w:val="single" w:sz="8" w:color="D9D9D6"/>
            </w:tcBorders>
            <w:shd w:val="clear" w:color="auto" w:fill="D9D9D6"/>
          </w:tcPr>
          <w:p>
            <w:pPr>
              <w:spacing w:after="0"/>
              <w:rPr>
                <w:sz w:val="4"/>
                <w:szCs w:val="4"/>
                <w:color w:val="auto"/>
              </w:rPr>
            </w:pPr>
          </w:p>
        </w:tc>
        <w:tc>
          <w:tcPr>
            <w:tcW w:w="64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480" w:type="dxa"/>
            <w:vAlign w:val="bottom"/>
            <w:tcBorders>
              <w:bottom w:val="single" w:sz="8" w:color="D9D9D6"/>
            </w:tcBorders>
            <w:shd w:val="clear" w:color="auto" w:fill="000000"/>
          </w:tcPr>
          <w:p>
            <w:pPr>
              <w:spacing w:after="0"/>
              <w:rPr>
                <w:sz w:val="4"/>
                <w:szCs w:val="4"/>
                <w:color w:val="auto"/>
              </w:rPr>
            </w:pPr>
          </w:p>
        </w:tc>
        <w:tc>
          <w:tcPr>
            <w:tcW w:w="240" w:type="dxa"/>
            <w:vAlign w:val="bottom"/>
            <w:tcBorders>
              <w:bottom w:val="single" w:sz="8" w:color="D9D9D6"/>
            </w:tcBorders>
            <w:shd w:val="clear" w:color="auto" w:fill="000000"/>
          </w:tcPr>
          <w:p>
            <w:pPr>
              <w:spacing w:after="0"/>
              <w:rPr>
                <w:sz w:val="4"/>
                <w:szCs w:val="4"/>
                <w:color w:val="auto"/>
              </w:rPr>
            </w:pPr>
          </w:p>
        </w:tc>
        <w:tc>
          <w:tcPr>
            <w:tcW w:w="8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540" w:type="dxa"/>
            <w:vAlign w:val="bottom"/>
            <w:tcBorders>
              <w:bottom w:val="single" w:sz="8" w:color="D9D9D6"/>
            </w:tcBorders>
            <w:shd w:val="clear" w:color="auto" w:fill="D9D9D6"/>
          </w:tcPr>
          <w:p>
            <w:pPr>
              <w:spacing w:after="0"/>
              <w:rPr>
                <w:sz w:val="4"/>
                <w:szCs w:val="4"/>
                <w:color w:val="auto"/>
              </w:rPr>
            </w:pPr>
          </w:p>
        </w:tc>
        <w:tc>
          <w:tcPr>
            <w:tcW w:w="360" w:type="dxa"/>
            <w:vAlign w:val="bottom"/>
            <w:tcBorders>
              <w:bottom w:val="single" w:sz="8" w:color="D9D9D6"/>
            </w:tcBorders>
            <w:shd w:val="clear" w:color="auto" w:fill="D9D9D6"/>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260" w:type="dxa"/>
            <w:vAlign w:val="bottom"/>
            <w:tcBorders>
              <w:bottom w:val="single" w:sz="8" w:color="D9D9D6"/>
            </w:tcBorders>
            <w:gridSpan w:val="3"/>
            <w:vMerge w:val="continue"/>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00" w:type="dxa"/>
            <w:vAlign w:val="bottom"/>
            <w:tcBorders>
              <w:bottom w:val="single" w:sz="8" w:color="D9D9D6"/>
            </w:tcBorders>
            <w:shd w:val="clear" w:color="auto" w:fill="D9D9D6"/>
          </w:tcPr>
          <w:p>
            <w:pPr>
              <w:spacing w:after="0"/>
              <w:rPr>
                <w:sz w:val="13"/>
                <w:szCs w:val="13"/>
                <w:color w:val="auto"/>
              </w:rPr>
            </w:pPr>
          </w:p>
        </w:tc>
        <w:tc>
          <w:tcPr>
            <w:tcW w:w="6820" w:type="dxa"/>
            <w:vAlign w:val="bottom"/>
            <w:tcBorders>
              <w:bottom w:val="single" w:sz="8" w:color="D9D9D6"/>
            </w:tcBorders>
            <w:shd w:val="clear" w:color="auto" w:fill="D9D9D6"/>
          </w:tcPr>
          <w:p>
            <w:pPr>
              <w:spacing w:after="0"/>
              <w:rPr>
                <w:sz w:val="13"/>
                <w:szCs w:val="13"/>
                <w:color w:val="auto"/>
              </w:rPr>
            </w:pPr>
          </w:p>
        </w:tc>
        <w:tc>
          <w:tcPr>
            <w:tcW w:w="64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2024</w:t>
            </w: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3"/>
                <w:szCs w:val="13"/>
                <w:color w:val="auto"/>
              </w:rPr>
            </w:pPr>
          </w:p>
        </w:tc>
        <w:tc>
          <w:tcPr>
            <w:tcW w:w="540" w:type="dxa"/>
            <w:vAlign w:val="bottom"/>
            <w:tcBorders>
              <w:bottom w:val="single" w:sz="8" w:color="D9D9D6"/>
            </w:tcBorders>
            <w:shd w:val="clear" w:color="auto" w:fill="D9D9D6"/>
          </w:tcPr>
          <w:p>
            <w:pPr>
              <w:spacing w:after="0"/>
              <w:rPr>
                <w:sz w:val="13"/>
                <w:szCs w:val="13"/>
                <w:color w:val="auto"/>
              </w:rPr>
            </w:pPr>
          </w:p>
        </w:tc>
        <w:tc>
          <w:tcPr>
            <w:tcW w:w="50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3"/>
                <w:szCs w:val="13"/>
                <w:color w:val="auto"/>
              </w:rPr>
            </w:pPr>
          </w:p>
        </w:tc>
        <w:tc>
          <w:tcPr>
            <w:tcW w:w="1260" w:type="dxa"/>
            <w:vAlign w:val="bottom"/>
            <w:tcBorders>
              <w:bottom w:val="single" w:sz="8" w:color="D9D9D6"/>
            </w:tcBorders>
            <w:gridSpan w:val="3"/>
            <w:shd w:val="clear" w:color="auto" w:fill="D9D9D6"/>
          </w:tcPr>
          <w:p>
            <w:pPr>
              <w:jc w:val="right"/>
              <w:ind w:right="2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40" w:type="dxa"/>
            <w:vAlign w:val="bottom"/>
            <w:tcBorders>
              <w:top w:val="single" w:sz="8" w:color="D9D9D6"/>
            </w:tcBorders>
            <w:shd w:val="clear" w:color="auto" w:fill="D9D9D6"/>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$2,448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$2,361</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1,085</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1,057</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2.5 %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$1,363</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$1,303</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4.6</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4.6 %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55.7 %</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55.2 %</w:t>
            </w: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5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50 bps</w:t>
            </w:r>
          </w:p>
        </w:tc>
        <w:tc>
          <w:tcPr>
            <w:tcW w:w="50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50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2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enterprise solutions offerings and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small business customers driven by higher average rates.</w:t>
      </w:r>
    </w:p>
    <w:p>
      <w:pPr>
        <w:spacing w:after="0" w:line="193" w:lineRule="exact"/>
        <w:rPr>
          <w:sz w:val="20"/>
          <w:szCs w:val="20"/>
          <w:color w:val="auto"/>
        </w:rPr>
      </w:pPr>
    </w:p>
    <w:p>
      <w:pPr>
        <w:jc w:val="both"/>
        <w:spacing w:after="0" w:line="200"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4.6%, including $39 million of severance in the quarter and $42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in the prior year period. Excluding severance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Adjusted EBITDA increased 4.3%. The increase in Adjusted EBITDA reflects higher revenue, partially offset by higher operating expenses primarily due to increases in direct product costs and marketing and promotion expenses.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50 basis points to 55.7%. Excluding severance</w:t>
      </w:r>
      <w:r>
        <w:rPr>
          <w:rFonts w:ascii="Arial" w:cs="Arial" w:eastAsia="Arial" w:hAnsi="Arial"/>
          <w:sz w:val="23"/>
          <w:szCs w:val="23"/>
          <w:color w:val="auto"/>
          <w:vertAlign w:val="superscript"/>
        </w:rPr>
        <w:t>7</w:t>
      </w:r>
      <w:r>
        <w:rPr>
          <w:rFonts w:ascii="Arial" w:cs="Arial" w:eastAsia="Arial" w:hAnsi="Arial"/>
          <w:sz w:val="18"/>
          <w:szCs w:val="18"/>
          <w:color w:val="auto"/>
        </w:rPr>
        <w:t>, Adjusted EBITDA margin increased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2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98"/>
              </w:rPr>
              <w:t>4th Quarter</w:t>
            </w: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0" w:type="dxa"/>
            <w:vAlign w:val="bottom"/>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$7,222</w:t>
            </w: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$6,979</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3,269</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3,064</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2,374</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2,371</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17</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(804)</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(933)</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13.8</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$12,078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$11,500</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5.0</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42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$298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$108</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175.2 %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569</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308</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84.7 %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838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872</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(189)</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(337)</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43.9 %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(28.9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$1,491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$932</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60.0</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primarily driven by Media and Studios.</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Content &amp; Experiences increased 60.0%, including $101 million of severance in the quarter primarily in Media and $101 million of severance in the prior year period primarily in Headquarters and Other. Excluding severance</w:t>
      </w:r>
      <w:r>
        <w:rPr>
          <w:rFonts w:ascii="Arial" w:cs="Arial" w:eastAsia="Arial" w:hAnsi="Arial"/>
          <w:sz w:val="23"/>
          <w:szCs w:val="23"/>
          <w:color w:val="auto"/>
          <w:vertAlign w:val="superscript"/>
        </w:rPr>
        <w:t>7</w:t>
      </w:r>
      <w:r>
        <w:rPr>
          <w:rFonts w:ascii="Arial" w:cs="Arial" w:eastAsia="Arial" w:hAnsi="Arial"/>
          <w:sz w:val="18"/>
          <w:szCs w:val="18"/>
          <w:color w:val="auto"/>
        </w:rPr>
        <w:t>, Adjusted EBITDA increased 54.2%, primarily due to increases in Studios and Media, partially offset by a decrease in Theme Parks.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50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200" w:type="dxa"/>
            <w:vAlign w:val="bottom"/>
            <w:shd w:val="clear" w:color="auto" w:fill="D9D9D6"/>
          </w:tcPr>
          <w:p>
            <w:pPr>
              <w:spacing w:after="0"/>
              <w:rPr>
                <w:sz w:val="15"/>
                <w:szCs w:val="15"/>
                <w:color w:val="auto"/>
              </w:rPr>
            </w:pPr>
          </w:p>
        </w:tc>
        <w:tc>
          <w:tcPr>
            <w:tcW w:w="56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8"/>
              </w:rPr>
              <w:t>4th Quarter</w:t>
            </w:r>
          </w:p>
        </w:tc>
        <w:tc>
          <w:tcPr>
            <w:tcW w:w="500" w:type="dxa"/>
            <w:vAlign w:val="bottom"/>
            <w:shd w:val="clear" w:color="auto" w:fill="D9D9D6"/>
          </w:tcPr>
          <w:p>
            <w:pPr>
              <w:spacing w:after="0"/>
              <w:rPr>
                <w:sz w:val="15"/>
                <w:szCs w:val="15"/>
                <w:color w:val="auto"/>
              </w:rPr>
            </w:pPr>
          </w:p>
        </w:tc>
        <w:tc>
          <w:tcPr>
            <w:tcW w:w="36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20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20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D9D9D6"/>
          </w:tcPr>
          <w:p>
            <w:pPr>
              <w:spacing w:after="0"/>
              <w:rPr>
                <w:sz w:val="15"/>
                <w:szCs w:val="15"/>
                <w:color w:val="auto"/>
              </w:rPr>
            </w:pPr>
          </w:p>
        </w:tc>
        <w:tc>
          <w:tcPr>
            <w:tcW w:w="7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140" w:type="dxa"/>
            <w:vAlign w:val="bottom"/>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20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5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1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5"/>
        </w:trPr>
        <w:tc>
          <w:tcPr>
            <w:tcW w:w="120" w:type="dxa"/>
            <w:vAlign w:val="bottom"/>
            <w:shd w:val="clear" w:color="auto" w:fill="D9D9D6"/>
          </w:tcPr>
          <w:p>
            <w:pPr>
              <w:spacing w:after="0"/>
              <w:rPr>
                <w:sz w:val="16"/>
                <w:szCs w:val="16"/>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$2,645</w:t>
            </w:r>
          </w:p>
        </w:tc>
        <w:tc>
          <w:tcPr>
            <w:tcW w:w="88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color w:val="auto"/>
              </w:rPr>
              <w:t>$2,635</w:t>
            </w: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0.4</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2,885</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2,747</w:t>
            </w: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5.0</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1,090</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1,047</w:t>
            </w: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4.1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20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603</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550</w:t>
            </w: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9.6</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20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$7,222</w:t>
            </w:r>
          </w:p>
        </w:tc>
        <w:tc>
          <w:tcPr>
            <w:tcW w:w="880" w:type="dxa"/>
            <w:vAlign w:val="bottom"/>
            <w:tcBorders>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$6,979</w:t>
            </w:r>
          </w:p>
        </w:tc>
        <w:tc>
          <w:tcPr>
            <w:tcW w:w="8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3.5</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2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6,923</w:t>
            </w:r>
          </w:p>
        </w:tc>
        <w:tc>
          <w:tcPr>
            <w:tcW w:w="88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6,871</w:t>
            </w:r>
          </w:p>
        </w:tc>
        <w:tc>
          <w:tcPr>
            <w:tcW w:w="8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0.8</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20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$298</w:t>
            </w:r>
          </w:p>
        </w:tc>
        <w:tc>
          <w:tcPr>
            <w:tcW w:w="880" w:type="dxa"/>
            <w:vAlign w:val="bottom"/>
            <w:tcBorders>
              <w:bottom w:val="single" w:sz="8" w:color="D9D9D6"/>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$108</w:t>
            </w:r>
          </w:p>
        </w:tc>
        <w:tc>
          <w:tcPr>
            <w:tcW w:w="860" w:type="dxa"/>
            <w:vAlign w:val="bottom"/>
            <w:tcBorders>
              <w:bottom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175.2</w:t>
            </w:r>
          </w:p>
        </w:tc>
        <w:tc>
          <w:tcPr>
            <w:tcW w:w="14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primarily due to higher domestic distribution revenue. Domestic distribution revenue increased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 at Peacock, driven by an increase in paid subscribers compared to the prior year period. International networks revenue increased primarily due to the positive impact of foreign currency and an increase in revenue associated with the distribution of sports networks. Domestic advertising revenue was consistent primarily due to an increase in revenue at Peacock, offset by lower revenue at our networks.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increased due to higher revenue and consistent operating expenses. The consistent operating expenses reflect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programming and production costs and lower marketing and promotion expenses, offset by higher other expenses, primarily due to severance this quarter. Programming and production expenses were consistent due to a combination of lower programming costs at Peacock and lower domestic sports programming costs at our networks, offset by an increase in content costs at our entertainment television networks, which were impacted by the Writers Guild and Screen Actors Guild work stoppages in the prior year period. Media results include $1.3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$372 million related to Peacock, compared to $1.0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$825 million in the prior year period.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6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w w:val="98"/>
              </w:rPr>
              <w:t>4th Quarter</w:t>
            </w:r>
          </w:p>
        </w:tc>
        <w:tc>
          <w:tcPr>
            <w:tcW w:w="5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88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$2,383</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$2,375</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515</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343</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50.0 %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371</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345</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7.6 %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$3,269</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$3,064</w:t>
            </w:r>
          </w:p>
        </w:tc>
        <w:tc>
          <w:tcPr>
            <w:tcW w:w="20" w:type="dxa"/>
            <w:vAlign w:val="bottom"/>
            <w:shd w:val="clear" w:color="auto" w:fill="D9D9D6"/>
          </w:tcPr>
          <w:p>
            <w:pPr>
              <w:spacing w:after="0"/>
              <w:rPr>
                <w:sz w:val="17"/>
                <w:szCs w:val="17"/>
                <w:color w:val="auto"/>
              </w:rPr>
            </w:pP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6.7 %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2,700</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2,756</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$569</w:t>
            </w:r>
          </w:p>
        </w:tc>
        <w:tc>
          <w:tcPr>
            <w:tcW w:w="20" w:type="dxa"/>
            <w:vAlign w:val="bottom"/>
            <w:shd w:val="clear" w:color="auto" w:fill="D9D9D6"/>
          </w:tcPr>
          <w:p>
            <w:pPr>
              <w:spacing w:after="0"/>
              <w:rPr>
                <w:sz w:val="17"/>
                <w:szCs w:val="17"/>
                <w:color w:val="auto"/>
              </w:rPr>
            </w:pPr>
          </w:p>
        </w:tc>
        <w:tc>
          <w:tcPr>
            <w:tcW w:w="86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$308</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84.7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16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primarily due to higher theatrical revenue. Theatrical revenue increased due to the successful performance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recent releases, including </w:t>
      </w:r>
      <w:r>
        <w:rPr>
          <w:rFonts w:ascii="Arial" w:cs="Arial" w:eastAsia="Arial" w:hAnsi="Arial"/>
          <w:sz w:val="18"/>
          <w:szCs w:val="18"/>
          <w:i w:val="1"/>
          <w:iCs w:val="1"/>
          <w:color w:val="auto"/>
        </w:rPr>
        <w:t>Wicked</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Wild Robot</w:t>
      </w:r>
      <w:r>
        <w:rPr>
          <w:rFonts w:ascii="Arial" w:cs="Arial" w:eastAsia="Arial" w:hAnsi="Arial"/>
          <w:sz w:val="18"/>
          <w:szCs w:val="18"/>
          <w:color w:val="auto"/>
        </w:rPr>
        <w:t>. Content licensing revenue was consistent as higher content licensing revenue at our television studios was offset by lower content licensing revenue at our film studios, primarily due to the timing of when content was made available under licensing agreements, including the impacts of the work stoppages in the prior year period.</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increased due to higher revenue and lower operating expenses. The decrease in operating expenses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lower marketing and promotion expenses. Programming and production expenses were consistent, reflecting lower film costs, offset by higher television studio costs due to the higher content licensing sales this quarter compared to the prior year period which was impacted by the work stoppages.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360" w:type="dxa"/>
            <w:vAlign w:val="bottom"/>
            <w:tcBorders>
              <w:right w:val="single" w:sz="8" w:color="D9D9D6"/>
            </w:tcBorders>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2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3"/>
        </w:trPr>
        <w:tc>
          <w:tcPr>
            <w:tcW w:w="100" w:type="dxa"/>
            <w:vAlign w:val="bottom"/>
            <w:tcBorders>
              <w:bottom w:val="single" w:sz="8" w:color="D9D9D6"/>
            </w:tcBorders>
            <w:shd w:val="clear" w:color="auto" w:fill="D9D9D6"/>
          </w:tcPr>
          <w:p>
            <w:pPr>
              <w:spacing w:after="0"/>
              <w:rPr>
                <w:sz w:val="19"/>
                <w:szCs w:val="19"/>
                <w:color w:val="auto"/>
              </w:rPr>
            </w:pPr>
          </w:p>
        </w:tc>
        <w:tc>
          <w:tcPr>
            <w:tcW w:w="822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40" w:type="dxa"/>
            <w:vAlign w:val="bottom"/>
            <w:tcBorders>
              <w:bottom w:val="single" w:sz="8" w:color="D9D9D6"/>
              <w:right w:val="single" w:sz="8" w:color="D9D9D6"/>
            </w:tcBorders>
            <w:shd w:val="clear" w:color="auto" w:fill="D9D9D6"/>
          </w:tcPr>
          <w:p>
            <w:pPr>
              <w:spacing w:after="0"/>
              <w:rPr>
                <w:sz w:val="19"/>
                <w:szCs w:val="19"/>
                <w:color w:val="auto"/>
              </w:rPr>
            </w:pPr>
          </w:p>
        </w:tc>
        <w:tc>
          <w:tcPr>
            <w:tcW w:w="160" w:type="dxa"/>
            <w:vAlign w:val="bottom"/>
            <w:tcBorders>
              <w:bottom w:val="single" w:sz="8" w:color="D9D9D6"/>
            </w:tcBorders>
            <w:shd w:val="clear" w:color="auto" w:fill="D9D9D6"/>
          </w:tcPr>
          <w:p>
            <w:pPr>
              <w:spacing w:after="0"/>
              <w:rPr>
                <w:sz w:val="19"/>
                <w:szCs w:val="19"/>
                <w:color w:val="auto"/>
              </w:rPr>
            </w:pPr>
          </w:p>
        </w:tc>
        <w:tc>
          <w:tcPr>
            <w:tcW w:w="74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4th Quarter</w:t>
            </w:r>
          </w:p>
        </w:tc>
        <w:tc>
          <w:tcPr>
            <w:tcW w:w="520" w:type="dxa"/>
            <w:vAlign w:val="bottom"/>
            <w:tcBorders>
              <w:bottom w:val="single" w:sz="8" w:color="D9D9D6"/>
            </w:tcBorders>
            <w:shd w:val="clear" w:color="auto" w:fill="D9D9D6"/>
          </w:tcPr>
          <w:p>
            <w:pPr>
              <w:spacing w:after="0"/>
              <w:rPr>
                <w:sz w:val="19"/>
                <w:szCs w:val="19"/>
                <w:color w:val="auto"/>
              </w:rPr>
            </w:pPr>
          </w:p>
        </w:tc>
        <w:tc>
          <w:tcPr>
            <w:tcW w:w="30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right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r>
      <w:tr>
        <w:trPr>
          <w:trHeight w:val="182"/>
        </w:trPr>
        <w:tc>
          <w:tcPr>
            <w:tcW w:w="100" w:type="dxa"/>
            <w:vAlign w:val="bottom"/>
            <w:shd w:val="clear" w:color="auto" w:fill="D9D9D6"/>
          </w:tcPr>
          <w:p>
            <w:pPr>
              <w:spacing w:after="0"/>
              <w:rPr>
                <w:sz w:val="15"/>
                <w:szCs w:val="15"/>
                <w:color w:val="auto"/>
              </w:rPr>
            </w:pPr>
          </w:p>
        </w:tc>
        <w:tc>
          <w:tcPr>
            <w:tcW w:w="822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90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2023</w:t>
            </w:r>
          </w:p>
        </w:tc>
        <w:tc>
          <w:tcPr>
            <w:tcW w:w="520" w:type="dxa"/>
            <w:vAlign w:val="bottom"/>
            <w:shd w:val="clear" w:color="auto" w:fill="D9D9D6"/>
          </w:tcPr>
          <w:p>
            <w:pPr>
              <w:spacing w:after="0"/>
              <w:rPr>
                <w:sz w:val="15"/>
                <w:szCs w:val="15"/>
                <w:color w:val="auto"/>
              </w:rPr>
            </w:pPr>
          </w:p>
        </w:tc>
        <w:tc>
          <w:tcPr>
            <w:tcW w:w="6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80" w:type="dxa"/>
            <w:vAlign w:val="bottom"/>
            <w:shd w:val="clear" w:color="auto" w:fill="D9D9D6"/>
          </w:tcPr>
          <w:p>
            <w:pPr>
              <w:spacing w:after="0" w:line="20" w:lineRule="exact"/>
              <w:rPr>
                <w:sz w:val="1"/>
                <w:szCs w:val="1"/>
                <w:color w:val="auto"/>
              </w:rPr>
            </w:pPr>
          </w:p>
        </w:tc>
        <w:tc>
          <w:tcPr>
            <w:tcW w:w="360" w:type="dxa"/>
            <w:vAlign w:val="bottom"/>
            <w:tcBorders>
              <w:right w:val="single" w:sz="8" w:color="D9D9D6"/>
            </w:tcBorders>
            <w:shd w:val="clear" w:color="auto" w:fill="000000"/>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343"/>
        </w:trPr>
        <w:tc>
          <w:tcPr>
            <w:tcW w:w="100" w:type="dxa"/>
            <w:vAlign w:val="bottom"/>
            <w:shd w:val="clear" w:color="auto" w:fill="D9D9D6"/>
          </w:tcPr>
          <w:p>
            <w:pPr>
              <w:spacing w:after="0"/>
              <w:rPr>
                <w:sz w:val="24"/>
                <w:szCs w:val="24"/>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$2,374</w:t>
            </w:r>
          </w:p>
        </w:tc>
        <w:tc>
          <w:tcPr>
            <w:tcW w:w="90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$2,371</w:t>
            </w:r>
          </w:p>
        </w:tc>
        <w:tc>
          <w:tcPr>
            <w:tcW w:w="520" w:type="dxa"/>
            <w:vAlign w:val="bottom"/>
            <w:shd w:val="clear" w:color="auto" w:fill="D9D9D6"/>
          </w:tcPr>
          <w:p>
            <w:pPr>
              <w:spacing w:after="0"/>
              <w:rPr>
                <w:sz w:val="24"/>
                <w:szCs w:val="24"/>
                <w:color w:val="auto"/>
              </w:rPr>
            </w:pPr>
          </w:p>
        </w:tc>
        <w:tc>
          <w:tcPr>
            <w:tcW w:w="300" w:type="dxa"/>
            <w:vAlign w:val="bottom"/>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22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1,535</w:t>
            </w:r>
          </w:p>
        </w:tc>
        <w:tc>
          <w:tcPr>
            <w:tcW w:w="90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1,499</w:t>
            </w:r>
          </w:p>
        </w:tc>
        <w:tc>
          <w:tcPr>
            <w:tcW w:w="520" w:type="dxa"/>
            <w:vAlign w:val="bottom"/>
            <w:tcBorders>
              <w:bottom w:val="single" w:sz="8" w:color="auto"/>
            </w:tcBorders>
            <w:shd w:val="clear" w:color="auto" w:fill="D9D9D6"/>
          </w:tcPr>
          <w:p>
            <w:pPr>
              <w:spacing w:after="0"/>
              <w:rPr>
                <w:sz w:val="17"/>
                <w:szCs w:val="17"/>
                <w:color w:val="auto"/>
              </w:rPr>
            </w:pPr>
          </w:p>
        </w:tc>
        <w:tc>
          <w:tcPr>
            <w:tcW w:w="3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$838</w:t>
            </w:r>
          </w:p>
        </w:tc>
        <w:tc>
          <w:tcPr>
            <w:tcW w:w="90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$872</w:t>
            </w:r>
          </w:p>
        </w:tc>
        <w:tc>
          <w:tcPr>
            <w:tcW w:w="520" w:type="dxa"/>
            <w:vAlign w:val="bottom"/>
            <w:shd w:val="clear" w:color="auto" w:fill="D9D9D6"/>
          </w:tcPr>
          <w:p>
            <w:pPr>
              <w:spacing w:after="0"/>
              <w:rPr>
                <w:sz w:val="17"/>
                <w:szCs w:val="17"/>
                <w:color w:val="auto"/>
              </w:rPr>
            </w:pPr>
          </w:p>
        </w:tc>
        <w:tc>
          <w:tcPr>
            <w:tcW w:w="3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9"/>
              </w:rPr>
              <w:t>(3.9</w:t>
            </w:r>
          </w:p>
        </w:tc>
        <w:tc>
          <w:tcPr>
            <w:tcW w:w="22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60" w:type="dxa"/>
            <w:vAlign w:val="bottom"/>
            <w:tcBorders>
              <w:right w:val="single" w:sz="8" w:color="D9D9D6"/>
            </w:tcBorders>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2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was consistent with the prior year period, due to lower revenue at our domestic theme parks, driven by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guest attendance, offset by higher revenue at our international theme parks.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decreased, reflecting consistent revenue and higher operating expenses, including around $35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pre-opening costs in the quarter for the Epic Universe theme park in Orlando, which is scheduled to open on May 22,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 Headquarters &amp; Other Adjusted EBITDA loss in the fourth quarter was $189 million, compared to a loss of $337 million, including severance,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$804 million, compared to $933 million in the prior year period, and Adjusted EBITDA eliminations were a loss of $26 million, compared to a loss of $20 million in the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68580" cy="1739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399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4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54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60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7740" w:type="dxa"/>
            <w:vAlign w:val="bottom"/>
          </w:tcPr>
          <w:p>
            <w:pPr>
              <w:spacing w:after="0"/>
              <w:rPr>
                <w:sz w:val="14"/>
                <w:szCs w:val="14"/>
                <w:color w:val="auto"/>
              </w:rPr>
            </w:pPr>
          </w:p>
        </w:tc>
        <w:tc>
          <w:tcPr>
            <w:tcW w:w="74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 w:type="dxa"/>
            <w:vAlign w:val="bottom"/>
            <w:tcBorders>
              <w:bottom w:val="single" w:sz="8" w:color="D9D9D6"/>
            </w:tcBorders>
            <w:shd w:val="clear" w:color="auto" w:fill="D9D9D6"/>
          </w:tcPr>
          <w:p>
            <w:pPr>
              <w:spacing w:after="0"/>
              <w:rPr>
                <w:sz w:val="14"/>
                <w:szCs w:val="14"/>
                <w:color w:val="auto"/>
              </w:rPr>
            </w:pPr>
          </w:p>
        </w:tc>
        <w:tc>
          <w:tcPr>
            <w:tcW w:w="180" w:type="dxa"/>
            <w:vAlign w:val="bottom"/>
            <w:tcBorders>
              <w:bottom w:val="single" w:sz="8" w:color="D9D9D6"/>
            </w:tcBorders>
            <w:shd w:val="clear" w:color="auto" w:fill="D9D9D6"/>
          </w:tcPr>
          <w:p>
            <w:pPr>
              <w:spacing w:after="0"/>
              <w:rPr>
                <w:sz w:val="14"/>
                <w:szCs w:val="14"/>
                <w:color w:val="auto"/>
              </w:rPr>
            </w:pPr>
          </w:p>
        </w:tc>
        <w:tc>
          <w:tcPr>
            <w:tcW w:w="74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4th Quarter</w:t>
            </w:r>
          </w:p>
        </w:tc>
        <w:tc>
          <w:tcPr>
            <w:tcW w:w="140" w:type="dxa"/>
            <w:vAlign w:val="bottom"/>
            <w:tcBorders>
              <w:bottom w:val="single" w:sz="8" w:color="D9D9D6"/>
            </w:tcBorders>
            <w:gridSpan w:val="2"/>
            <w:shd w:val="clear" w:color="auto" w:fill="D9D9D6"/>
          </w:tcPr>
          <w:p>
            <w:pPr>
              <w:spacing w:after="0"/>
              <w:rPr>
                <w:sz w:val="14"/>
                <w:szCs w:val="14"/>
                <w:color w:val="auto"/>
              </w:rPr>
            </w:pPr>
          </w:p>
        </w:tc>
        <w:tc>
          <w:tcPr>
            <w:tcW w:w="600" w:type="dxa"/>
            <w:vAlign w:val="bottom"/>
            <w:tcBorders>
              <w:bottom w:val="single" w:sz="8" w:color="D9D9D6"/>
            </w:tcBorders>
            <w:shd w:val="clear" w:color="auto" w:fill="D9D9D6"/>
          </w:tcPr>
          <w:p>
            <w:pPr>
              <w:spacing w:after="0"/>
              <w:rPr>
                <w:sz w:val="14"/>
                <w:szCs w:val="14"/>
                <w:color w:val="auto"/>
              </w:rPr>
            </w:pPr>
          </w:p>
        </w:tc>
        <w:tc>
          <w:tcPr>
            <w:tcW w:w="320" w:type="dxa"/>
            <w:vAlign w:val="bottom"/>
            <w:tcBorders>
              <w:bottom w:val="single" w:sz="8" w:color="D9D9D6"/>
            </w:tcBorders>
            <w:shd w:val="clear" w:color="auto" w:fill="D9D9D6"/>
          </w:tcPr>
          <w:p>
            <w:pPr>
              <w:spacing w:after="0"/>
              <w:rPr>
                <w:sz w:val="14"/>
                <w:szCs w:val="14"/>
                <w:color w:val="auto"/>
              </w:rPr>
            </w:pPr>
          </w:p>
        </w:tc>
        <w:tc>
          <w:tcPr>
            <w:tcW w:w="200" w:type="dxa"/>
            <w:vAlign w:val="bottom"/>
            <w:tcBorders>
              <w:bottom w:val="single" w:sz="8" w:color="D9D9D6"/>
              <w:right w:val="single" w:sz="8" w:color="D9D9D6"/>
            </w:tcBorders>
            <w:shd w:val="clear" w:color="auto" w:fill="D9D9D6"/>
          </w:tcPr>
          <w:p>
            <w:pPr>
              <w:spacing w:after="0"/>
              <w:rPr>
                <w:sz w:val="14"/>
                <w:szCs w:val="14"/>
                <w:color w:val="auto"/>
              </w:rPr>
            </w:pPr>
          </w:p>
        </w:tc>
        <w:tc>
          <w:tcPr>
            <w:tcW w:w="120" w:type="dxa"/>
            <w:vAlign w:val="bottom"/>
            <w:tcBorders>
              <w:bottom w:val="single" w:sz="8" w:color="D9D9D6"/>
            </w:tcBorders>
            <w:shd w:val="clear" w:color="auto" w:fill="D9D9D6"/>
          </w:tcPr>
          <w:p>
            <w:pPr>
              <w:spacing w:after="0"/>
              <w:rPr>
                <w:sz w:val="14"/>
                <w:szCs w:val="14"/>
                <w:color w:val="auto"/>
              </w:rPr>
            </w:pPr>
          </w:p>
        </w:tc>
      </w:tr>
      <w:tr>
        <w:trPr>
          <w:trHeight w:val="183"/>
        </w:trPr>
        <w:tc>
          <w:tcPr>
            <w:tcW w:w="7740" w:type="dxa"/>
            <w:vAlign w:val="bottom"/>
          </w:tcPr>
          <w:p>
            <w:pPr>
              <w:spacing w:after="0"/>
              <w:rPr>
                <w:sz w:val="15"/>
                <w:szCs w:val="15"/>
                <w:color w:val="auto"/>
              </w:rPr>
            </w:pPr>
          </w:p>
        </w:tc>
        <w:tc>
          <w:tcPr>
            <w:tcW w:w="10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0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40" w:type="dxa"/>
            <w:vAlign w:val="bottom"/>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r>
      <w:tr>
        <w:trPr>
          <w:trHeight w:val="22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6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$784</w:t>
            </w:r>
          </w:p>
        </w:tc>
        <w:tc>
          <w:tcPr>
            <w:tcW w:w="20" w:type="dxa"/>
            <w:vAlign w:val="bottom"/>
            <w:shd w:val="clear" w:color="auto" w:fill="D9D9D6"/>
          </w:tcPr>
          <w:p>
            <w:pPr>
              <w:spacing w:after="0"/>
              <w:rPr>
                <w:sz w:val="17"/>
                <w:szCs w:val="17"/>
                <w:color w:val="auto"/>
              </w:rPr>
            </w:pPr>
          </w:p>
        </w:tc>
        <w:tc>
          <w:tcPr>
            <w:tcW w:w="10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$760</w:t>
            </w: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3.2</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D9D9D6"/>
          </w:tcPr>
          <w:p>
            <w:pPr>
              <w:spacing w:after="0"/>
              <w:rPr>
                <w:sz w:val="17"/>
                <w:szCs w:val="17"/>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1,268</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1,254</w:t>
            </w:r>
          </w:p>
        </w:tc>
        <w:tc>
          <w:tcPr>
            <w:tcW w:w="20" w:type="dxa"/>
            <w:vAlign w:val="bottom"/>
            <w:tcBorders>
              <w:bottom w:val="single" w:sz="8" w:color="auto"/>
            </w:tcBorders>
            <w:shd w:val="clear" w:color="auto" w:fill="D9D9D6"/>
          </w:tcPr>
          <w:p>
            <w:pPr>
              <w:spacing w:after="0"/>
              <w:rPr>
                <w:sz w:val="17"/>
                <w:szCs w:val="17"/>
                <w:color w:val="auto"/>
              </w:rPr>
            </w:pPr>
          </w:p>
        </w:tc>
        <w:tc>
          <w:tcPr>
            <w:tcW w:w="92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auto"/>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($484)</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($494)</w:t>
            </w:r>
          </w:p>
        </w:tc>
        <w:tc>
          <w:tcPr>
            <w:tcW w:w="20" w:type="dxa"/>
            <w:vAlign w:val="bottom"/>
            <w:shd w:val="clear" w:color="auto" w:fill="D9D9D6"/>
          </w:tcPr>
          <w:p>
            <w:pPr>
              <w:spacing w:after="0"/>
              <w:rPr>
                <w:sz w:val="17"/>
                <w:szCs w:val="17"/>
                <w:color w:val="auto"/>
              </w:rPr>
            </w:pPr>
          </w:p>
        </w:tc>
        <w:tc>
          <w:tcPr>
            <w:tcW w:w="9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b w:val="1"/>
                <w:bCs w:val="1"/>
                <w:color w:val="auto"/>
                <w:w w:val="79"/>
              </w:rPr>
              <w:t>%</w:t>
            </w:r>
          </w:p>
        </w:tc>
        <w:tc>
          <w:tcPr>
            <w:tcW w:w="120" w:type="dxa"/>
            <w:vAlign w:val="bottom"/>
          </w:tcPr>
          <w:p>
            <w:pPr>
              <w:spacing w:after="0"/>
              <w:rPr>
                <w:sz w:val="17"/>
                <w:szCs w:val="17"/>
                <w:color w:val="auto"/>
              </w:rPr>
            </w:pPr>
          </w:p>
        </w:tc>
      </w:tr>
      <w:tr>
        <w:trPr>
          <w:trHeight w:val="41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7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($1,411)</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($1,426)</w:t>
            </w:r>
          </w:p>
        </w:tc>
        <w:tc>
          <w:tcPr>
            <w:tcW w:w="20" w:type="dxa"/>
            <w:vAlign w:val="bottom"/>
            <w:shd w:val="clear" w:color="auto" w:fill="D9D9D6"/>
          </w:tcPr>
          <w:p>
            <w:pPr>
              <w:spacing w:after="0"/>
              <w:rPr>
                <w:sz w:val="17"/>
                <w:szCs w:val="17"/>
                <w:color w:val="auto"/>
              </w:rPr>
            </w:pPr>
          </w:p>
        </w:tc>
        <w:tc>
          <w:tcPr>
            <w:tcW w:w="112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7"/>
                <w:szCs w:val="17"/>
                <w:color w:val="auto"/>
              </w:rPr>
            </w:pPr>
          </w:p>
        </w:tc>
      </w:tr>
      <w:tr>
        <w:trPr>
          <w:trHeight w:val="198"/>
        </w:trPr>
        <w:tc>
          <w:tcPr>
            <w:tcW w:w="7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(1,369)</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(1,420)</w:t>
            </w:r>
          </w:p>
        </w:tc>
        <w:tc>
          <w:tcPr>
            <w:tcW w:w="20" w:type="dxa"/>
            <w:vAlign w:val="bottom"/>
            <w:tcBorders>
              <w:bottom w:val="single" w:sz="8" w:color="auto"/>
            </w:tcBorders>
            <w:shd w:val="clear" w:color="auto" w:fill="D9D9D6"/>
          </w:tcPr>
          <w:p>
            <w:pPr>
              <w:spacing w:after="0"/>
              <w:rPr>
                <w:sz w:val="17"/>
                <w:szCs w:val="17"/>
                <w:color w:val="auto"/>
              </w:rPr>
            </w:pPr>
          </w:p>
        </w:tc>
        <w:tc>
          <w:tcPr>
            <w:tcW w:w="112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($42)</w:t>
            </w:r>
          </w:p>
        </w:tc>
        <w:tc>
          <w:tcPr>
            <w:tcW w:w="20" w:type="dxa"/>
            <w:vAlign w:val="bottom"/>
            <w:shd w:val="clear" w:color="auto" w:fill="D9D9D6"/>
          </w:tcPr>
          <w:p>
            <w:pPr>
              <w:spacing w:after="0"/>
              <w:rPr>
                <w:sz w:val="17"/>
                <w:szCs w:val="17"/>
                <w:color w:val="auto"/>
              </w:rPr>
            </w:pPr>
          </w:p>
        </w:tc>
        <w:tc>
          <w:tcPr>
            <w:tcW w:w="104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($5)</w:t>
            </w:r>
          </w:p>
        </w:tc>
        <w:tc>
          <w:tcPr>
            <w:tcW w:w="20" w:type="dxa"/>
            <w:vAlign w:val="bottom"/>
            <w:shd w:val="clear" w:color="auto" w:fill="D9D9D6"/>
          </w:tcPr>
          <w:p>
            <w:pPr>
              <w:spacing w:after="0"/>
              <w:rPr>
                <w:sz w:val="17"/>
                <w:szCs w:val="17"/>
                <w:color w:val="auto"/>
              </w:rPr>
            </w:pPr>
          </w:p>
        </w:tc>
        <w:tc>
          <w:tcPr>
            <w:tcW w:w="600" w:type="dxa"/>
            <w:vAlign w:val="bottom"/>
            <w:shd w:val="clear" w:color="auto" w:fill="D9D9D6"/>
          </w:tcPr>
          <w:p>
            <w:pPr>
              <w:spacing w:after="0"/>
              <w:rPr>
                <w:sz w:val="17"/>
                <w:szCs w:val="17"/>
                <w:color w:val="auto"/>
              </w:rPr>
            </w:pPr>
          </w:p>
        </w:tc>
        <w:tc>
          <w:tcPr>
            <w:tcW w:w="520" w:type="dxa"/>
            <w:vAlign w:val="bottom"/>
            <w:tcBorders>
              <w:right w:val="single" w:sz="8" w:color="D9D9D6"/>
            </w:tcBorders>
            <w:gridSpan w:val="2"/>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5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170561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Corporate &amp; Other Adjusted EBITDA was relatively consistent with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consistent with the prior year period, and Adjusted EBITDA eliminations were a loss of $42 million compared to a loss of $5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spacing w:after="0" w:line="125"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7 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30, 2025,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January 30, 2025,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346075</wp:posOffset>
            </wp:positionV>
            <wp:extent cx="10287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22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$31,915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$31,253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$123,731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$121,572</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10,027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10,256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37,026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36,762</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2,144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8,073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10,918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10,943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40,533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39,190</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2,182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8,729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8,854</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26,922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100,434</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98,258</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4,993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4,484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23,297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23,314</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(1,069)</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(4,134)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(680)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3,574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4,043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18,673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20,478</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(2,796)</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4,684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15,877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15,107</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$4,778</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$16,192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$1.24</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$0.81</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$4.14</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3,842</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3,908</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372110</wp:posOffset>
            </wp:positionV>
            <wp:extent cx="10287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1148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$15,877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$15,107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14,802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14,336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1,288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464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Equity in net (income) losses of investees,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(902)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(758)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(4,611)</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w:t>
            </w:r>
          </w:p>
        </w:tc>
      </w:tr>
      <w:tr>
        <w:trPr>
          <w:trHeight w:val="304"/>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27,673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28,501</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(12,181)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(12,242)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(2,949)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771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Advance on sale of investment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8,610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(1,313)</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5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(15,670)</w:t>
            </w:r>
          </w:p>
        </w:tc>
        <w:tc>
          <w:tcPr>
            <w:tcW w:w="20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(7,161)</w:t>
            </w:r>
          </w:p>
        </w:tc>
      </w:tr>
      <w:tr>
        <w:trPr>
          <w:trHeight w:val="290"/>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6,268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6,052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(3,573)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(4,015)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Repayment of collateralized obligation</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(9,103)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(11,291)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(4,766)</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90"/>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(10,883)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(19,850)</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78"/>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1,095</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$7,377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346075</wp:posOffset>
            </wp:positionV>
            <wp:extent cx="1028700"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0259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$7,322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$6,215</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13,661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5,817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26,801</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12,541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12,920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8,647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62,548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59,686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58,209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25,599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27,867</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$266,211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$11,321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$12,437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3,507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10,679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13,284</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4,907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39,581</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40,198</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94,186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95,021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25,227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26,003</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20,942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20,122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85,560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82,703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477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86,038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83,226</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$266,211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-149225</wp:posOffset>
            </wp:positionV>
            <wp:extent cx="1028700" cy="403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403225"/>
                    </a:xfrm>
                    <a:prstGeom prst="rect">
                      <a:avLst/>
                    </a:prstGeom>
                    <a:noFill/>
                  </pic:spPr>
                </pic:pic>
              </a:graphicData>
            </a:graphic>
          </wp:anchor>
        </w:drawing>
      </w:r>
    </w:p>
    <w:p>
      <w:pPr>
        <w:spacing w:after="0" w:line="184" w:lineRule="exact"/>
        <w:rPr>
          <w:sz w:val="20"/>
          <w:szCs w:val="20"/>
          <w:color w:val="auto"/>
        </w:rPr>
      </w:pPr>
    </w:p>
    <w:p>
      <w:pPr>
        <w:ind w:right="3320"/>
        <w:spacing w:after="0" w:line="249" w:lineRule="auto"/>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883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9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19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6820" w:type="dxa"/>
            <w:vAlign w:val="bottom"/>
          </w:tcPr>
          <w:p>
            <w:pPr>
              <w:spacing w:after="0"/>
              <w:rPr>
                <w:sz w:val="16"/>
                <w:szCs w:val="16"/>
                <w:color w:val="auto"/>
              </w:rPr>
            </w:pPr>
          </w:p>
        </w:tc>
        <w:tc>
          <w:tcPr>
            <w:tcW w:w="19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9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82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6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$4,778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$3,260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$16,192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$15,388</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(1,111)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2,796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5,371</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1,069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4,134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4,087</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350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490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(1,252)</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Depreciation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2,182</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2,192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8,729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8,854</w:t>
            </w: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Amortization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1,651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6,072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5,482</w:t>
            </w:r>
          </w:p>
        </w:tc>
      </w:tr>
      <w:tr>
        <w:trPr>
          <w:trHeight w:val="205"/>
        </w:trPr>
        <w:tc>
          <w:tcPr>
            <w:tcW w:w="682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36"/>
        </w:trPr>
        <w:tc>
          <w:tcPr>
            <w:tcW w:w="68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$8,807</w:t>
            </w: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$38,069</w:t>
            </w: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$37,633</w:t>
            </w:r>
          </w:p>
        </w:tc>
      </w:tr>
    </w:tbl>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17780</wp:posOffset>
            </wp:positionV>
            <wp:extent cx="6883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68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$8,080</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$5,922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$27,673</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$28,501</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(3,914)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(12,181)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(12,242)</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(906)</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(2,949)</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w:t>
            </w:r>
          </w:p>
        </w:tc>
      </w:tr>
      <w:tr>
        <w:trPr>
          <w:trHeight w:val="237"/>
        </w:trPr>
        <w:tc>
          <w:tcPr>
            <w:tcW w:w="68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$3,260</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$12,543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$12,962</w:t>
            </w:r>
          </w:p>
        </w:tc>
      </w:tr>
    </w:tbl>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17780</wp:posOffset>
            </wp:positionV>
            <wp:extent cx="6883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62"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6800" w:type="dxa"/>
            <w:vAlign w:val="bottom"/>
          </w:tcPr>
          <w:p>
            <w:pPr>
              <w:spacing w:after="0"/>
              <w:rPr>
                <w:sz w:val="16"/>
                <w:szCs w:val="16"/>
                <w:color w:val="auto"/>
              </w:rPr>
            </w:pPr>
          </w:p>
        </w:tc>
        <w:tc>
          <w:tcPr>
            <w:tcW w:w="2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6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r>
      <w:tr>
        <w:trPr>
          <w:trHeight w:val="196"/>
        </w:trPr>
        <w:tc>
          <w:tcPr>
            <w:tcW w:w="68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$8,807</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$8,012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$38,069</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$37,633</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(3,914)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(12,181)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(12,242)</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(906)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(2,949)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(3,298)</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(1,154)</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(3,657)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(3,711)</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taxes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(1,108)</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(7,096)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(5,107)</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1,093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(1,559)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(2,055)</w:t>
            </w: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305</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1,288</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1,241</w:t>
            </w:r>
          </w:p>
        </w:tc>
      </w:tr>
      <w:tr>
        <w:trPr>
          <w:trHeight w:val="204"/>
        </w:trPr>
        <w:tc>
          <w:tcPr>
            <w:tcW w:w="68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627</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w:t>
            </w:r>
          </w:p>
        </w:tc>
      </w:tr>
      <w:tr>
        <w:trPr>
          <w:trHeight w:val="236"/>
        </w:trPr>
        <w:tc>
          <w:tcPr>
            <w:tcW w:w="68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$3,260</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$12,543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$12,962</w:t>
            </w:r>
          </w:p>
        </w:tc>
      </w:tr>
    </w:tbl>
    <w:p>
      <w:pPr>
        <w:spacing w:after="0" w:line="31" w:lineRule="exact"/>
        <w:rPr>
          <w:sz w:val="20"/>
          <w:szCs w:val="20"/>
          <w:color w:val="auto"/>
        </w:rPr>
      </w:pPr>
    </w:p>
    <w:p>
      <w:pPr>
        <w:jc w:val="both"/>
        <w:ind w:left="460" w:right="40" w:hanging="358"/>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4th quarter and full year 2024 Adjusted EBITDA exclude $7 million of other operating and administrative expenses associated with the proposed Spin-off of businesses within our Media segment, and $(25) and $(37) million of other operating and administrative expenses, respectively, related to our investment portfolio. 4th quarter and full year 2023 Adjusted EBITDA exclude $— and $(16) million of other operating and administrative expenses, respectively, related to our investment portfolio.</w:t>
      </w:r>
    </w:p>
    <w:p>
      <w:pPr>
        <w:spacing w:after="0" w:line="221" w:lineRule="exact"/>
        <w:rPr>
          <w:rFonts w:ascii="Arial" w:cs="Arial" w:eastAsia="Arial" w:hAnsi="Arial"/>
          <w:sz w:val="22"/>
          <w:szCs w:val="22"/>
          <w:color w:val="auto"/>
          <w:vertAlign w:val="superscript"/>
        </w:rPr>
      </w:pPr>
    </w:p>
    <w:p>
      <w:pPr>
        <w:ind w:left="460" w:right="80" w:hanging="358"/>
        <w:spacing w:after="0" w:line="202"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4th quarter and full year 2024 include adjustments of $7 million of other operating and administrative expenses associated with the proposed Spin-off of businesses within our Media segment and $(25) and $(37) million of other operating and administrative expenses, respectively, related to our investment portfolio, as these amounts are excluded from Adjusted EBITDA. 4th quarter and full year 2023 include adjustments of $— and $(16) million, respectively, of other operating and administrative expenses related to our investment portfolio,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40"/>
          </w:cols>
          <w:pgMar w:left="440" w:top="898" w:right="51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-174625</wp:posOffset>
            </wp:positionV>
            <wp:extent cx="102870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Twelve Months Ended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4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60" w:type="dxa"/>
            <w:vAlign w:val="bottom"/>
          </w:tcPr>
          <w:p>
            <w:pPr>
              <w:spacing w:after="0"/>
              <w:rPr>
                <w:sz w:val="15"/>
                <w:szCs w:val="15"/>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40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$3,260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$0.81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$16,192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$4.14</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$15,388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95"/>
        </w:trPr>
        <w:tc>
          <w:tcPr>
            <w:tcW w:w="4400" w:type="dxa"/>
            <w:vAlign w:val="bottom"/>
          </w:tcPr>
          <w:p>
            <w:pPr>
              <w:ind w:left="160"/>
              <w:spacing w:after="0"/>
              <w:rPr>
                <w:sz w:val="20"/>
                <w:szCs w:val="20"/>
                <w:color w:val="auto"/>
              </w:rPr>
            </w:pPr>
            <w:r>
              <w:rPr>
                <w:rFonts w:ascii="Arial" w:cs="Arial" w:eastAsia="Arial" w:hAnsi="Arial"/>
                <w:sz w:val="14"/>
                <w:szCs w:val="14"/>
                <w:b w:val="1"/>
                <w:bCs w:val="1"/>
                <w:color w:val="auto"/>
              </w:rPr>
              <w:t>shareholders</w:t>
            </w: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46.6 %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54.1 %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5.2 %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11.7 %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4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5"/>
        </w:trPr>
        <w:tc>
          <w:tcPr>
            <w:tcW w:w="440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tcPr>
          <w:p>
            <w:pPr>
              <w:ind w:left="120"/>
              <w:spacing w:after="0"/>
              <w:rPr>
                <w:sz w:val="20"/>
                <w:szCs w:val="20"/>
                <w:color w:val="auto"/>
              </w:rPr>
            </w:pPr>
            <w:r>
              <w:rPr>
                <w:rFonts w:ascii="Arial" w:cs="Arial" w:eastAsia="Arial" w:hAnsi="Arial"/>
                <w:sz w:val="14"/>
                <w:szCs w:val="14"/>
                <w:color w:val="auto"/>
              </w:rPr>
              <w:t xml:space="preserve">Tax benefit from internal corporate reorganization </w:t>
            </w:r>
            <w:r>
              <w:rPr>
                <w:rFonts w:ascii="Arial" w:cs="Arial" w:eastAsia="Arial" w:hAnsi="Arial"/>
                <w:sz w:val="18"/>
                <w:szCs w:val="18"/>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40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Costs related to proposed Spin-off </w:t>
            </w:r>
            <w:r>
              <w:rPr>
                <w:rFonts w:ascii="Arial" w:cs="Arial" w:eastAsia="Arial" w:hAnsi="Arial"/>
                <w:sz w:val="18"/>
                <w:szCs w:val="18"/>
                <w:color w:val="auto"/>
                <w:vertAlign w:val="superscript"/>
              </w:rPr>
              <w:t>(4)</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44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$0.96</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$16,937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8.3 %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13.9 %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2.7 %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9.0 %</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60" w:right="40" w:hanging="252"/>
        <w:spacing w:after="0" w:line="251"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center"/>
              <w:spacing w:after="0"/>
              <w:rPr>
                <w:sz w:val="20"/>
                <w:szCs w:val="20"/>
                <w:color w:val="auto"/>
              </w:rPr>
            </w:pPr>
            <w:r>
              <w:rPr>
                <w:rFonts w:ascii="Arial" w:cs="Arial" w:eastAsia="Arial" w:hAnsi="Arial"/>
                <w:sz w:val="13"/>
                <w:szCs w:val="13"/>
                <w:color w:val="auto"/>
                <w:w w:val="96"/>
              </w:rPr>
              <w:t>Twelve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center"/>
              <w:spacing w:after="0"/>
              <w:rPr>
                <w:sz w:val="20"/>
                <w:szCs w:val="20"/>
                <w:color w:val="auto"/>
              </w:rPr>
            </w:pPr>
            <w:r>
              <w:rPr>
                <w:rFonts w:ascii="Arial" w:cs="Arial" w:eastAsia="Arial" w:hAnsi="Arial"/>
                <w:sz w:val="13"/>
                <w:szCs w:val="13"/>
                <w:color w:val="auto"/>
                <w:w w:val="97"/>
              </w:rPr>
              <w:t>December 31,</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$2,747</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$610</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$2,104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$313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291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(378)</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729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(861)</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4th quarter and full year 2024 net income attributable to Comcast Corporation includes a $1.9 billion income tax benefit due to an internal corporate reorganization.</w:t>
      </w:r>
    </w:p>
    <w:p>
      <w:pPr>
        <w:spacing w:after="0" w:line="242" w:lineRule="exact"/>
        <w:rPr>
          <w:rFonts w:ascii="Arial" w:cs="Arial" w:eastAsia="Arial" w:hAnsi="Arial"/>
          <w:sz w:val="13"/>
          <w:szCs w:val="13"/>
          <w:color w:val="auto"/>
        </w:rPr>
      </w:pPr>
    </w:p>
    <w:p>
      <w:pPr>
        <w:ind w:left="260" w:right="36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4th quarter and full year 2024 net income attributable to Comcast Corporation includes $7 million of other operating and administrative expenses related to the proposed Spin-off of businesses within our Media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6089015</wp:posOffset>
            </wp:positionH>
            <wp:positionV relativeFrom="page">
              <wp:posOffset>560705</wp:posOffset>
            </wp:positionV>
            <wp:extent cx="121729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80060"/>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89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220" w:type="dxa"/>
            <w:vAlign w:val="bottom"/>
          </w:tcPr>
          <w:p>
            <w:pPr>
              <w:spacing w:after="0"/>
              <w:rPr>
                <w:sz w:val="24"/>
                <w:szCs w:val="24"/>
                <w:color w:val="auto"/>
              </w:rPr>
            </w:pPr>
          </w:p>
        </w:tc>
        <w:tc>
          <w:tcPr>
            <w:tcW w:w="340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42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236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December 31, 2023</w:t>
            </w:r>
          </w:p>
        </w:tc>
        <w:tc>
          <w:tcPr>
            <w:tcW w:w="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left="859"/>
              <w:spacing w:after="0"/>
              <w:rPr>
                <w:sz w:val="20"/>
                <w:szCs w:val="20"/>
                <w:color w:val="auto"/>
              </w:rPr>
            </w:pPr>
            <w:r>
              <w:rPr>
                <w:rFonts w:ascii="Arial" w:cs="Arial" w:eastAsia="Arial" w:hAnsi="Arial"/>
                <w:sz w:val="16"/>
                <w:szCs w:val="16"/>
                <w:b w:val="1"/>
                <w:bCs w:val="1"/>
                <w:color w:val="auto"/>
              </w:rPr>
              <w:t>December 31, 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rPr>
              <w:t>Effects of</w:t>
            </w:r>
          </w:p>
        </w:tc>
        <w:tc>
          <w:tcPr>
            <w:tcW w:w="104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rPr>
              <w:t>Effects of</w:t>
            </w:r>
          </w:p>
        </w:tc>
        <w:tc>
          <w:tcPr>
            <w:tcW w:w="94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2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w w:val="99"/>
              </w:rPr>
              <w:t>Foreign</w:t>
            </w:r>
          </w:p>
        </w:tc>
        <w:tc>
          <w:tcPr>
            <w:tcW w:w="1040" w:type="dxa"/>
            <w:vAlign w:val="bottom"/>
            <w:tcBorders>
              <w:right w:val="single" w:sz="8" w:color="auto"/>
            </w:tcBorders>
            <w:gridSpan w:val="2"/>
          </w:tcPr>
          <w:p>
            <w:pPr>
              <w:ind w:left="20"/>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color w:val="auto"/>
              </w:rPr>
              <w:t>As Reported</w:t>
            </w:r>
          </w:p>
        </w:tc>
        <w:tc>
          <w:tcPr>
            <w:tcW w:w="1260" w:type="dxa"/>
            <w:vAlign w:val="bottom"/>
            <w:gridSpan w:val="3"/>
          </w:tcPr>
          <w:p>
            <w:pPr>
              <w:jc w:val="center"/>
              <w:ind w:right="280"/>
              <w:spacing w:after="0" w:line="162" w:lineRule="exact"/>
              <w:rPr>
                <w:sz w:val="20"/>
                <w:szCs w:val="20"/>
                <w:color w:val="auto"/>
              </w:rPr>
            </w:pPr>
            <w:r>
              <w:rPr>
                <w:rFonts w:ascii="Arial" w:cs="Arial" w:eastAsia="Arial" w:hAnsi="Arial"/>
                <w:sz w:val="16"/>
                <w:szCs w:val="16"/>
                <w:color w:val="auto"/>
                <w:w w:val="99"/>
              </w:rPr>
              <w:t>Foreign</w:t>
            </w:r>
          </w:p>
        </w:tc>
        <w:tc>
          <w:tcPr>
            <w:tcW w:w="9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6"/>
                <w:szCs w:val="16"/>
                <w:color w:val="auto"/>
              </w:rPr>
              <w:t>Currency</w:t>
            </w:r>
          </w:p>
        </w:tc>
        <w:tc>
          <w:tcPr>
            <w:tcW w:w="10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6"/>
                <w:szCs w:val="16"/>
                <w:color w:val="auto"/>
              </w:rPr>
              <w:t>Currency</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22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$18,058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$18,160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$71,946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$72,301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9,256</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$20,418</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$20,521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$81,201</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$81,557</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$6,276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$6,297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$26,948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$27,008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5,291</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$7,579</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$7,600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$32,239</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$32,299</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40" w:type="dxa"/>
            <w:vAlign w:val="bottom"/>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6"/>
                <w:szCs w:val="16"/>
                <w:color w:val="auto"/>
              </w:rPr>
              <w:t>(10) bps</w:t>
            </w:r>
          </w:p>
        </w:tc>
        <w:tc>
          <w:tcPr>
            <w:tcW w:w="880" w:type="dxa"/>
            <w:vAlign w:val="bottom"/>
          </w:tcPr>
          <w:p>
            <w:pPr>
              <w:jc w:val="right"/>
              <w:spacing w:after="0"/>
              <w:rPr>
                <w:sz w:val="20"/>
                <w:szCs w:val="20"/>
                <w:color w:val="auto"/>
              </w:rPr>
            </w:pPr>
            <w:r>
              <w:rPr>
                <w:rFonts w:ascii="Arial" w:cs="Arial" w:eastAsia="Arial" w:hAnsi="Arial"/>
                <w:sz w:val="16"/>
                <w:szCs w:val="16"/>
                <w:color w:val="auto"/>
              </w:rPr>
              <w:t>34.7 %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37.5 %</w:t>
            </w:r>
          </w:p>
        </w:tc>
        <w:tc>
          <w:tcPr>
            <w:tcW w:w="12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6"/>
                <w:szCs w:val="16"/>
                <w:color w:val="auto"/>
              </w:rPr>
              <w:t>(10) bps</w:t>
            </w:r>
          </w:p>
        </w:tc>
        <w:tc>
          <w:tcPr>
            <w:tcW w:w="940" w:type="dxa"/>
            <w:vAlign w:val="bottom"/>
          </w:tcPr>
          <w:p>
            <w:pPr>
              <w:jc w:val="right"/>
              <w:spacing w:after="0"/>
              <w:rPr>
                <w:sz w:val="20"/>
                <w:szCs w:val="20"/>
                <w:color w:val="auto"/>
              </w:rPr>
            </w:pPr>
            <w:r>
              <w:rPr>
                <w:rFonts w:ascii="Arial" w:cs="Arial" w:eastAsia="Arial" w:hAnsi="Arial"/>
                <w:sz w:val="16"/>
                <w:szCs w:val="16"/>
                <w:color w:val="auto"/>
              </w:rPr>
              <w:t>37.4 %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55.2 %</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bps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57.2 %</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bps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57.2 %</w:t>
            </w:r>
          </w:p>
        </w:tc>
        <w:tc>
          <w:tcPr>
            <w:tcW w:w="0" w:type="dxa"/>
            <w:vAlign w:val="bottom"/>
          </w:tcPr>
          <w:p>
            <w:pPr>
              <w:spacing w:after="0"/>
              <w:rPr>
                <w:sz w:val="1"/>
                <w:szCs w:val="1"/>
                <w:color w:val="auto"/>
              </w:rPr>
            </w:pPr>
          </w:p>
        </w:tc>
      </w:tr>
      <w:tr>
        <w:trPr>
          <w:trHeight w:val="144"/>
        </w:trPr>
        <w:tc>
          <w:tcPr>
            <w:tcW w:w="4220" w:type="dxa"/>
            <w:vAlign w:val="bottom"/>
          </w:tcPr>
          <w:p>
            <w:pPr>
              <w:spacing w:after="0" w:line="144" w:lineRule="exact"/>
              <w:rPr>
                <w:sz w:val="20"/>
                <w:szCs w:val="20"/>
                <w:color w:val="auto"/>
              </w:rPr>
            </w:pPr>
            <w:r>
              <w:rPr>
                <w:rFonts w:ascii="Arial" w:cs="Arial" w:eastAsia="Arial" w:hAnsi="Arial"/>
                <w:sz w:val="16"/>
                <w:szCs w:val="16"/>
                <w:b w:val="1"/>
                <w:bCs w:val="1"/>
                <w:color w:val="auto"/>
              </w:rPr>
              <w:t>Total Connectivity &amp; Platforms Adjusted EBITDA</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37.1 %</w:t>
            </w:r>
          </w:p>
        </w:tc>
        <w:tc>
          <w:tcPr>
            <w:tcW w:w="100" w:type="dxa"/>
            <w:vAlign w:val="bottom"/>
          </w:tcPr>
          <w:p>
            <w:pPr>
              <w:spacing w:after="0"/>
              <w:rPr>
                <w:sz w:val="12"/>
                <w:szCs w:val="12"/>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(10) bps</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37.0 %</w:t>
            </w: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39.7 %</w:t>
            </w:r>
          </w:p>
        </w:tc>
        <w:tc>
          <w:tcPr>
            <w:tcW w:w="120" w:type="dxa"/>
            <w:vAlign w:val="bottom"/>
          </w:tcPr>
          <w:p>
            <w:pPr>
              <w:spacing w:after="0"/>
              <w:rPr>
                <w:sz w:val="12"/>
                <w:szCs w:val="12"/>
                <w:color w:val="auto"/>
              </w:rPr>
            </w:pPr>
          </w:p>
        </w:tc>
        <w:tc>
          <w:tcPr>
            <w:tcW w:w="126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rPr>
              <w:t>(10) bps</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39.6 %</w:t>
            </w:r>
          </w:p>
        </w:tc>
        <w:tc>
          <w:tcPr>
            <w:tcW w:w="0" w:type="dxa"/>
            <w:vAlign w:val="bottom"/>
          </w:tcPr>
          <w:p>
            <w:pPr>
              <w:spacing w:after="0"/>
              <w:rPr>
                <w:sz w:val="1"/>
                <w:szCs w:val="1"/>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6"/>
                <w:szCs w:val="16"/>
                <w:b w:val="1"/>
                <w:bCs w:val="1"/>
                <w:color w:val="auto"/>
              </w:rPr>
              <w:t>Margin</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220" w:type="dxa"/>
            <w:vAlign w:val="bottom"/>
          </w:tcPr>
          <w:p>
            <w:pPr>
              <w:spacing w:after="0"/>
              <w:rPr>
                <w:sz w:val="24"/>
                <w:szCs w:val="24"/>
                <w:color w:val="auto"/>
              </w:rPr>
            </w:pPr>
          </w:p>
        </w:tc>
        <w:tc>
          <w:tcPr>
            <w:tcW w:w="340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42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236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December 31, 2023</w:t>
            </w:r>
          </w:p>
        </w:tc>
        <w:tc>
          <w:tcPr>
            <w:tcW w:w="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left="859"/>
              <w:spacing w:after="0"/>
              <w:rPr>
                <w:sz w:val="20"/>
                <w:szCs w:val="20"/>
                <w:color w:val="auto"/>
              </w:rPr>
            </w:pPr>
            <w:r>
              <w:rPr>
                <w:rFonts w:ascii="Arial" w:cs="Arial" w:eastAsia="Arial" w:hAnsi="Arial"/>
                <w:sz w:val="16"/>
                <w:szCs w:val="16"/>
                <w:b w:val="1"/>
                <w:bCs w:val="1"/>
                <w:color w:val="auto"/>
              </w:rPr>
              <w:t>December 31, 2023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rPr>
              <w:t>Effects of</w:t>
            </w:r>
          </w:p>
        </w:tc>
        <w:tc>
          <w:tcPr>
            <w:tcW w:w="104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rPr>
              <w:t>Effects of</w:t>
            </w:r>
          </w:p>
        </w:tc>
        <w:tc>
          <w:tcPr>
            <w:tcW w:w="94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140" w:type="dxa"/>
            <w:vAlign w:val="bottom"/>
            <w:gridSpan w:val="2"/>
            <w:vMerge w:val="restart"/>
          </w:tcPr>
          <w:p>
            <w:pPr>
              <w:ind w:left="80"/>
              <w:spacing w:after="0"/>
              <w:rPr>
                <w:sz w:val="20"/>
                <w:szCs w:val="20"/>
                <w:color w:val="auto"/>
              </w:rPr>
            </w:pPr>
            <w:r>
              <w:rPr>
                <w:rFonts w:ascii="Arial" w:cs="Arial" w:eastAsia="Arial" w:hAnsi="Arial"/>
                <w:sz w:val="16"/>
                <w:szCs w:val="16"/>
                <w:color w:val="auto"/>
              </w:rPr>
              <w:t>As Reported</w:t>
            </w:r>
          </w:p>
        </w:tc>
        <w:tc>
          <w:tcPr>
            <w:tcW w:w="12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w w:val="99"/>
              </w:rPr>
              <w:t>Foreign</w:t>
            </w:r>
          </w:p>
        </w:tc>
        <w:tc>
          <w:tcPr>
            <w:tcW w:w="1040" w:type="dxa"/>
            <w:vAlign w:val="bottom"/>
            <w:tcBorders>
              <w:right w:val="single" w:sz="8" w:color="auto"/>
            </w:tcBorders>
            <w:gridSpan w:val="2"/>
          </w:tcPr>
          <w:p>
            <w:pPr>
              <w:ind w:left="20"/>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color w:val="auto"/>
              </w:rPr>
              <w:t>As Reported</w:t>
            </w:r>
          </w:p>
        </w:tc>
        <w:tc>
          <w:tcPr>
            <w:tcW w:w="1260" w:type="dxa"/>
            <w:vAlign w:val="bottom"/>
            <w:gridSpan w:val="3"/>
          </w:tcPr>
          <w:p>
            <w:pPr>
              <w:jc w:val="center"/>
              <w:ind w:right="280"/>
              <w:spacing w:after="0" w:line="162" w:lineRule="exact"/>
              <w:rPr>
                <w:sz w:val="20"/>
                <w:szCs w:val="20"/>
                <w:color w:val="auto"/>
              </w:rPr>
            </w:pPr>
            <w:r>
              <w:rPr>
                <w:rFonts w:ascii="Arial" w:cs="Arial" w:eastAsia="Arial" w:hAnsi="Arial"/>
                <w:sz w:val="16"/>
                <w:szCs w:val="16"/>
                <w:color w:val="auto"/>
                <w:w w:val="99"/>
              </w:rPr>
              <w:t>Foreign</w:t>
            </w:r>
          </w:p>
        </w:tc>
        <w:tc>
          <w:tcPr>
            <w:tcW w:w="94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2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6"/>
                <w:szCs w:val="16"/>
                <w:color w:val="auto"/>
              </w:rPr>
              <w:t>Currency</w:t>
            </w:r>
          </w:p>
        </w:tc>
        <w:tc>
          <w:tcPr>
            <w:tcW w:w="10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6"/>
                <w:szCs w:val="16"/>
                <w:color w:val="auto"/>
              </w:rPr>
              <w:t>Currency</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22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20"/>
              <w:spacing w:after="0"/>
              <w:rPr>
                <w:sz w:val="20"/>
                <w:szCs w:val="20"/>
                <w:color w:val="auto"/>
              </w:rPr>
            </w:pPr>
            <w:r>
              <w:rPr>
                <w:rFonts w:ascii="Arial" w:cs="Arial" w:eastAsia="Arial" w:hAnsi="Arial"/>
                <w:sz w:val="16"/>
                <w:szCs w:val="16"/>
                <w:color w:val="auto"/>
              </w:rPr>
              <w:t>Domestic broadband</w:t>
            </w:r>
          </w:p>
        </w:tc>
        <w:tc>
          <w:tcPr>
            <w:tcW w:w="1040" w:type="dxa"/>
            <w:vAlign w:val="bottom"/>
          </w:tcPr>
          <w:p>
            <w:pPr>
              <w:jc w:val="right"/>
              <w:spacing w:after="0"/>
              <w:rPr>
                <w:sz w:val="20"/>
                <w:szCs w:val="20"/>
                <w:color w:val="auto"/>
              </w:rPr>
            </w:pPr>
            <w:r>
              <w:rPr>
                <w:rFonts w:ascii="Arial" w:cs="Arial" w:eastAsia="Arial" w:hAnsi="Arial"/>
                <w:sz w:val="16"/>
                <w:szCs w:val="16"/>
                <w:color w:val="auto"/>
              </w:rPr>
              <w:t>$6,403</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$6,403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$25,489</w:t>
            </w:r>
          </w:p>
        </w:tc>
        <w:tc>
          <w:tcPr>
            <w:tcW w:w="12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$25,489</w:t>
            </w:r>
          </w:p>
        </w:tc>
        <w:tc>
          <w:tcPr>
            <w:tcW w:w="0" w:type="dxa"/>
            <w:vAlign w:val="bottom"/>
          </w:tcPr>
          <w:p>
            <w:pPr>
              <w:spacing w:after="0"/>
              <w:rPr>
                <w:sz w:val="1"/>
                <w:szCs w:val="1"/>
                <w:color w:val="auto"/>
              </w:rPr>
            </w:pPr>
          </w:p>
        </w:tc>
      </w:tr>
      <w:tr>
        <w:trPr>
          <w:trHeight w:val="216"/>
        </w:trPr>
        <w:tc>
          <w:tcPr>
            <w:tcW w:w="4220" w:type="dxa"/>
            <w:vAlign w:val="bottom"/>
          </w:tcPr>
          <w:p>
            <w:pPr>
              <w:ind w:left="320"/>
              <w:spacing w:after="0"/>
              <w:rPr>
                <w:sz w:val="20"/>
                <w:szCs w:val="20"/>
                <w:color w:val="auto"/>
              </w:rPr>
            </w:pPr>
            <w:r>
              <w:rPr>
                <w:rFonts w:ascii="Arial" w:cs="Arial" w:eastAsia="Arial" w:hAnsi="Arial"/>
                <w:sz w:val="16"/>
                <w:szCs w:val="16"/>
                <w:color w:val="auto"/>
              </w:rPr>
              <w:t>Domestic wireless</w:t>
            </w:r>
          </w:p>
        </w:tc>
        <w:tc>
          <w:tcPr>
            <w:tcW w:w="104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3,664</w:t>
            </w:r>
          </w:p>
        </w:tc>
        <w:tc>
          <w:tcPr>
            <w:tcW w:w="0" w:type="dxa"/>
            <w:vAlign w:val="bottom"/>
          </w:tcPr>
          <w:p>
            <w:pPr>
              <w:spacing w:after="0"/>
              <w:rPr>
                <w:sz w:val="1"/>
                <w:szCs w:val="1"/>
                <w:color w:val="auto"/>
              </w:rPr>
            </w:pPr>
          </w:p>
        </w:tc>
      </w:tr>
      <w:tr>
        <w:trPr>
          <w:trHeight w:val="216"/>
        </w:trPr>
        <w:tc>
          <w:tcPr>
            <w:tcW w:w="4220" w:type="dxa"/>
            <w:vAlign w:val="bottom"/>
          </w:tcPr>
          <w:p>
            <w:pPr>
              <w:ind w:left="320"/>
              <w:spacing w:after="0"/>
              <w:rPr>
                <w:sz w:val="20"/>
                <w:szCs w:val="20"/>
                <w:color w:val="auto"/>
              </w:rPr>
            </w:pPr>
            <w:r>
              <w:rPr>
                <w:rFonts w:ascii="Arial" w:cs="Arial" w:eastAsia="Arial" w:hAnsi="Arial"/>
                <w:sz w:val="16"/>
                <w:szCs w:val="16"/>
                <w:color w:val="auto"/>
              </w:rPr>
              <w:t>International connectivity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11"/>
        </w:trPr>
        <w:tc>
          <w:tcPr>
            <w:tcW w:w="4220" w:type="dxa"/>
            <w:vAlign w:val="bottom"/>
          </w:tcPr>
          <w:p>
            <w:pPr>
              <w:ind w:left="200"/>
              <w:spacing w:after="0"/>
              <w:rPr>
                <w:sz w:val="20"/>
                <w:szCs w:val="20"/>
                <w:color w:val="auto"/>
              </w:rPr>
            </w:pPr>
            <w:r>
              <w:rPr>
                <w:rFonts w:ascii="Arial" w:cs="Arial" w:eastAsia="Arial" w:hAnsi="Arial"/>
                <w:sz w:val="16"/>
                <w:szCs w:val="16"/>
                <w:color w:val="auto"/>
              </w:rPr>
              <w:t>Total residential connectivity</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$8,620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$8,656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$33,359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$33,472</w:t>
            </w:r>
          </w:p>
        </w:tc>
        <w:tc>
          <w:tcPr>
            <w:tcW w:w="0" w:type="dxa"/>
            <w:vAlign w:val="bottom"/>
          </w:tcPr>
          <w:p>
            <w:pPr>
              <w:spacing w:after="0"/>
              <w:rPr>
                <w:sz w:val="1"/>
                <w:szCs w:val="1"/>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Video</w:t>
            </w:r>
          </w:p>
        </w:tc>
        <w:tc>
          <w:tcPr>
            <w:tcW w:w="1040" w:type="dxa"/>
            <w:vAlign w:val="bottom"/>
          </w:tcPr>
          <w:p>
            <w:pPr>
              <w:jc w:val="right"/>
              <w:spacing w:after="0"/>
              <w:rPr>
                <w:sz w:val="20"/>
                <w:szCs w:val="20"/>
                <w:color w:val="auto"/>
              </w:rPr>
            </w:pPr>
            <w:r>
              <w:rPr>
                <w:rFonts w:ascii="Arial" w:cs="Arial" w:eastAsia="Arial" w:hAnsi="Arial"/>
                <w:sz w:val="16"/>
                <w:szCs w:val="16"/>
                <w:color w:val="auto"/>
              </w:rPr>
              <w:t>6,903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6,948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28,797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28,966</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Advertising</w:t>
            </w:r>
          </w:p>
        </w:tc>
        <w:tc>
          <w:tcPr>
            <w:tcW w:w="104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4,004</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5,859</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$18,058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$18,160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$71,946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$72,301</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Programming</w:t>
            </w:r>
          </w:p>
        </w:tc>
        <w:tc>
          <w:tcPr>
            <w:tcW w:w="1040" w:type="dxa"/>
            <w:vAlign w:val="bottom"/>
          </w:tcPr>
          <w:p>
            <w:pPr>
              <w:jc w:val="right"/>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$4,455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$18,067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$18,167</w:t>
            </w: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Arial" w:cs="Arial" w:eastAsia="Arial" w:hAnsi="Arial"/>
                <w:sz w:val="16"/>
                <w:szCs w:val="16"/>
                <w:color w:val="auto"/>
              </w:rPr>
              <w:t>Non-Programming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26,932</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27,126</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$11,782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$11,862</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$44,998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$45,293</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$6,276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$6,297</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$26,948</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$27,008</w:t>
            </w:r>
          </w:p>
        </w:tc>
        <w:tc>
          <w:tcPr>
            <w:tcW w:w="0" w:type="dxa"/>
            <w:vAlign w:val="bottom"/>
          </w:tcPr>
          <w:p>
            <w:pPr>
              <w:spacing w:after="0"/>
              <w:rPr>
                <w:sz w:val="1"/>
                <w:szCs w:val="1"/>
                <w:color w:val="auto"/>
              </w:rPr>
            </w:pPr>
          </w:p>
        </w:tc>
      </w:tr>
      <w:tr>
        <w:trPr>
          <w:trHeight w:val="217"/>
        </w:trPr>
        <w:tc>
          <w:tcPr>
            <w:tcW w:w="4220" w:type="dxa"/>
            <w:vAlign w:val="bottom"/>
          </w:tcPr>
          <w:p>
            <w:pPr>
              <w:ind w:left="200"/>
              <w:spacing w:after="0"/>
              <w:rPr>
                <w:sz w:val="20"/>
                <w:szCs w:val="20"/>
                <w:color w:val="auto"/>
              </w:rPr>
            </w:pPr>
            <w:r>
              <w:rPr>
                <w:rFonts w:ascii="Arial" w:cs="Arial" w:eastAsia="Arial" w:hAnsi="Arial"/>
                <w:sz w:val="16"/>
                <w:szCs w:val="16"/>
                <w:i w:val="1"/>
                <w:iCs w:val="1"/>
                <w:color w:val="auto"/>
              </w:rPr>
              <w:t>Adjusted EBITDA Margin</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34.8 %</w:t>
            </w:r>
          </w:p>
        </w:tc>
        <w:tc>
          <w:tcPr>
            <w:tcW w:w="10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(10) bps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34.7 %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37.5 %</w:t>
            </w:r>
          </w:p>
        </w:tc>
        <w:tc>
          <w:tcPr>
            <w:tcW w:w="12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(10) bps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37.4 %</w:t>
            </w:r>
          </w:p>
        </w:tc>
        <w:tc>
          <w:tcPr>
            <w:tcW w:w="0" w:type="dxa"/>
            <w:vAlign w:val="bottom"/>
          </w:tcPr>
          <w:p>
            <w:pPr>
              <w:spacing w:after="0"/>
              <w:rPr>
                <w:sz w:val="1"/>
                <w:szCs w:val="1"/>
                <w:color w:val="auto"/>
              </w:rPr>
            </w:pPr>
          </w:p>
        </w:tc>
      </w:tr>
      <w:tr>
        <w:trPr>
          <w:trHeight w:val="910"/>
        </w:trPr>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3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80" w:top="1006"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-174625</wp:posOffset>
            </wp:positionV>
            <wp:extent cx="1054100" cy="419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54100" cy="41973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Consolidated Adjusted EBITDA Excluding Severance and Other</w:t>
      </w:r>
      <w:r>
        <w:rPr>
          <w:rFonts w:ascii="Arial" w:cs="Arial" w:eastAsia="Arial" w:hAnsi="Arial"/>
          <w:sz w:val="24"/>
          <w:szCs w:val="24"/>
          <w:b w:val="1"/>
          <w:bCs w:val="1"/>
          <w:color w:val="828282"/>
          <w:vertAlign w:val="superscript"/>
        </w:rPr>
        <w:t>(1)</w:t>
      </w:r>
      <w:r>
        <w:rPr>
          <w:rFonts w:ascii="Arial" w:cs="Arial" w:eastAsia="Arial" w:hAnsi="Arial"/>
          <w:sz w:val="19"/>
          <w:szCs w:val="19"/>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580" w:type="dxa"/>
            <w:vAlign w:val="bottom"/>
          </w:tcPr>
          <w:p>
            <w:pPr>
              <w:spacing w:after="0"/>
              <w:rPr>
                <w:sz w:val="17"/>
                <w:szCs w:val="17"/>
                <w:color w:val="auto"/>
              </w:rPr>
            </w:pPr>
          </w:p>
        </w:tc>
        <w:tc>
          <w:tcPr>
            <w:tcW w:w="364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December 31, 2024</w:t>
            </w:r>
          </w:p>
        </w:tc>
      </w:tr>
      <w:tr>
        <w:trPr>
          <w:trHeight w:val="227"/>
        </w:trPr>
        <w:tc>
          <w:tcPr>
            <w:tcW w:w="7580" w:type="dxa"/>
            <w:vAlign w:val="bottom"/>
          </w:tcPr>
          <w:p>
            <w:pPr>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119"/>
              <w:spacing w:after="0" w:line="227"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(3)</w:t>
            </w:r>
          </w:p>
        </w:tc>
      </w:tr>
      <w:tr>
        <w:trPr>
          <w:trHeight w:val="280"/>
        </w:trPr>
        <w:tc>
          <w:tcPr>
            <w:tcW w:w="7580" w:type="dxa"/>
            <w:vAlign w:val="bottom"/>
          </w:tcPr>
          <w:p>
            <w:pPr>
              <w:spacing w:after="0"/>
              <w:rPr>
                <w:sz w:val="20"/>
                <w:szCs w:val="20"/>
                <w:color w:val="auto"/>
              </w:rPr>
            </w:pPr>
            <w:r>
              <w:rPr>
                <w:rFonts w:ascii="Arial" w:cs="Arial" w:eastAsia="Arial" w:hAnsi="Arial"/>
                <w:sz w:val="16"/>
                <w:szCs w:val="16"/>
                <w:color w:val="auto"/>
              </w:rPr>
              <w:t>Adjusted EBITDA</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$8,807</w:t>
            </w:r>
          </w:p>
        </w:tc>
        <w:tc>
          <w:tcPr>
            <w:tcW w:w="80" w:type="dxa"/>
            <w:vAlign w:val="bottom"/>
          </w:tcPr>
          <w:p>
            <w:pPr>
              <w:spacing w:after="0"/>
              <w:rPr>
                <w:sz w:val="24"/>
                <w:szCs w:val="24"/>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$8,012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9.9 %</w:t>
            </w:r>
          </w:p>
        </w:tc>
      </w:tr>
      <w:tr>
        <w:trPr>
          <w:trHeight w:val="281"/>
        </w:trPr>
        <w:tc>
          <w:tcPr>
            <w:tcW w:w="7580" w:type="dxa"/>
            <w:vAlign w:val="bottom"/>
          </w:tcPr>
          <w:p>
            <w:pPr>
              <w:spacing w:after="0"/>
              <w:rPr>
                <w:sz w:val="20"/>
                <w:szCs w:val="20"/>
                <w:color w:val="auto"/>
              </w:rPr>
            </w:pPr>
            <w:r>
              <w:rPr>
                <w:rFonts w:ascii="Arial" w:cs="Arial" w:eastAsia="Arial" w:hAnsi="Arial"/>
                <w:sz w:val="16"/>
                <w:szCs w:val="16"/>
                <w:color w:val="auto"/>
              </w:rPr>
              <w:t>Severance and Other</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441</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7580" w:type="dxa"/>
            <w:vAlign w:val="bottom"/>
          </w:tcPr>
          <w:p>
            <w:pPr>
              <w:spacing w:after="0" w:line="210" w:lineRule="exact"/>
              <w:rPr>
                <w:sz w:val="20"/>
                <w:szCs w:val="20"/>
                <w:color w:val="auto"/>
              </w:rPr>
            </w:pPr>
            <w:r>
              <w:rPr>
                <w:rFonts w:ascii="Arial" w:cs="Arial" w:eastAsia="Arial" w:hAnsi="Arial"/>
                <w:sz w:val="16"/>
                <w:szCs w:val="16"/>
                <w:color w:val="auto"/>
              </w:rPr>
              <w:t>Adjusted EBITDA excluding Severance and Other</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$9,248</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$8,538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8.3 %</w:t>
            </w:r>
          </w:p>
        </w:tc>
      </w:tr>
      <w:tr>
        <w:trPr>
          <w:trHeight w:val="21"/>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right="380"/>
        <w:spacing w:after="0" w:line="264" w:lineRule="auto"/>
        <w:rPr>
          <w:sz w:val="20"/>
          <w:szCs w:val="20"/>
          <w:color w:val="auto"/>
        </w:rPr>
      </w:pPr>
      <w:r>
        <w:rPr>
          <w:rFonts w:ascii="Arial" w:cs="Arial" w:eastAsia="Arial" w:hAnsi="Arial"/>
          <w:sz w:val="19"/>
          <w:szCs w:val="19"/>
          <w:b w:val="1"/>
          <w:bCs w:val="1"/>
          <w:color w:val="828282"/>
        </w:rPr>
        <w:t>Reconciliation of Connectivity &amp; Platforms Constant Currency Adjusted EBITDA and Adjusted EBITDA Margin Excluding Severance and Other</w:t>
      </w:r>
      <w:r>
        <w:rPr>
          <w:rFonts w:ascii="Arial" w:cs="Arial" w:eastAsia="Arial" w:hAnsi="Arial"/>
          <w:sz w:val="24"/>
          <w:szCs w:val="24"/>
          <w:b w:val="1"/>
          <w:bCs w:val="1"/>
          <w:color w:val="828282"/>
          <w:vertAlign w:val="superscript"/>
        </w:rPr>
        <w:t>(1)(2)</w:t>
      </w:r>
      <w:r>
        <w:rPr>
          <w:rFonts w:ascii="Arial" w:cs="Arial" w:eastAsia="Arial" w:hAnsi="Arial"/>
          <w:sz w:val="19"/>
          <w:szCs w:val="19"/>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0" w:type="dxa"/>
            <w:vAlign w:val="bottom"/>
          </w:tcPr>
          <w:p>
            <w:pPr>
              <w:spacing w:after="0"/>
              <w:rPr>
                <w:sz w:val="17"/>
                <w:szCs w:val="17"/>
                <w:color w:val="auto"/>
              </w:rPr>
            </w:pPr>
          </w:p>
        </w:tc>
        <w:tc>
          <w:tcPr>
            <w:tcW w:w="364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December 31, 2024</w:t>
            </w: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119"/>
              <w:spacing w:after="0" w:line="227"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49"/>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Total Connectivity &amp; Platforms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$7,842</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$7,579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6"/>
        </w:trPr>
        <w:tc>
          <w:tcPr>
            <w:tcW w:w="7600" w:type="dxa"/>
            <w:vAlign w:val="bottom"/>
          </w:tcPr>
          <w:p>
            <w:pPr>
              <w:ind w:left="140"/>
              <w:spacing w:after="0"/>
              <w:rPr>
                <w:sz w:val="20"/>
                <w:szCs w:val="20"/>
                <w:color w:val="auto"/>
              </w:rPr>
            </w:pPr>
            <w:r>
              <w:rPr>
                <w:rFonts w:ascii="Arial" w:cs="Arial" w:eastAsia="Arial" w:hAnsi="Arial"/>
                <w:sz w:val="16"/>
                <w:szCs w:val="16"/>
                <w:i w:val="1"/>
                <w:iCs w:val="1"/>
                <w:color w:val="auto"/>
              </w:rPr>
              <w:t>Adjusted EBITDA Margin</w:t>
            </w: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38.3 %</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37.1 %</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 bps</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Severance and Other</w:t>
            </w:r>
            <w:r>
              <w:rPr>
                <w:rFonts w:ascii="Arial" w:cs="Arial" w:eastAsia="Arial" w:hAnsi="Arial"/>
                <w:sz w:val="21"/>
                <w:szCs w:val="21"/>
                <w:color w:val="auto"/>
                <w:vertAlign w:val="superscript"/>
              </w:rPr>
              <w:t>(1)</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331</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422</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7600" w:type="dxa"/>
            <w:vAlign w:val="bottom"/>
          </w:tcPr>
          <w:p>
            <w:pPr>
              <w:ind w:left="20"/>
              <w:spacing w:after="0"/>
              <w:rPr>
                <w:sz w:val="20"/>
                <w:szCs w:val="20"/>
                <w:color w:val="auto"/>
              </w:rPr>
            </w:pPr>
            <w:r>
              <w:rPr>
                <w:rFonts w:ascii="Arial" w:cs="Arial" w:eastAsia="Arial" w:hAnsi="Arial"/>
                <w:sz w:val="16"/>
                <w:szCs w:val="16"/>
                <w:color w:val="auto"/>
              </w:rPr>
              <w:t>Effects of Foreign Currency</w:t>
            </w:r>
            <w:r>
              <w:rPr>
                <w:rFonts w:ascii="Arial" w:cs="Arial" w:eastAsia="Arial" w:hAnsi="Arial"/>
                <w:sz w:val="21"/>
                <w:szCs w:val="21"/>
                <w:color w:val="auto"/>
                <w:vertAlign w:val="superscript"/>
              </w:rPr>
              <w:t>(2)</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line="210" w:lineRule="exact"/>
              <w:rPr>
                <w:sz w:val="20"/>
                <w:szCs w:val="20"/>
                <w:color w:val="auto"/>
              </w:rPr>
            </w:pPr>
            <w:r>
              <w:rPr>
                <w:rFonts w:ascii="Arial" w:cs="Arial" w:eastAsia="Arial" w:hAnsi="Arial"/>
                <w:sz w:val="16"/>
                <w:szCs w:val="16"/>
                <w:color w:val="auto"/>
              </w:rPr>
              <w:t>Constant Currency Adjusted EBITDA excluding Severance and Other</w:t>
            </w:r>
            <w:r>
              <w:rPr>
                <w:rFonts w:ascii="Arial" w:cs="Arial" w:eastAsia="Arial" w:hAnsi="Arial"/>
                <w:sz w:val="21"/>
                <w:szCs w:val="21"/>
                <w:color w:val="auto"/>
                <w:vertAlign w:val="superscript"/>
              </w:rPr>
              <w:t>(1)(2)</w:t>
            </w: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$8,173</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$8,023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00"/>
              <w:spacing w:after="0"/>
              <w:rPr>
                <w:sz w:val="20"/>
                <w:szCs w:val="20"/>
                <w:color w:val="auto"/>
              </w:rPr>
            </w:pPr>
            <w:r>
              <w:rPr>
                <w:rFonts w:ascii="Arial" w:cs="Arial" w:eastAsia="Arial" w:hAnsi="Arial"/>
                <w:sz w:val="16"/>
                <w:szCs w:val="16"/>
                <w:i w:val="1"/>
                <w:iCs w:val="1"/>
                <w:color w:val="auto"/>
              </w:rPr>
              <w:t>Constant Currency Adjusted EBITDA Margin excluding Severance and Other</w:t>
            </w:r>
            <w:r>
              <w:rPr>
                <w:rFonts w:ascii="Arial" w:cs="Arial" w:eastAsia="Arial" w:hAnsi="Arial"/>
                <w:sz w:val="21"/>
                <w:szCs w:val="21"/>
                <w:i w:val="1"/>
                <w:iCs w:val="1"/>
                <w:color w:val="auto"/>
                <w:vertAlign w:val="superscript"/>
              </w:rPr>
              <w:t>(1)(2)</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80 bps</w:t>
            </w:r>
          </w:p>
        </w:tc>
        <w:tc>
          <w:tcPr>
            <w:tcW w:w="0" w:type="dxa"/>
            <w:vAlign w:val="bottom"/>
          </w:tcPr>
          <w:p>
            <w:pPr>
              <w:spacing w:after="0"/>
              <w:rPr>
                <w:sz w:val="1"/>
                <w:szCs w:val="1"/>
                <w:color w:val="auto"/>
              </w:rPr>
            </w:pPr>
          </w:p>
        </w:tc>
      </w:tr>
      <w:tr>
        <w:trPr>
          <w:trHeight w:val="263"/>
        </w:trPr>
        <w:tc>
          <w:tcPr>
            <w:tcW w:w="7600" w:type="dxa"/>
            <w:vAlign w:val="bottom"/>
            <w:vMerge w:val="continue"/>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39.9 %</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39.1 %</w:t>
            </w:r>
          </w:p>
        </w:tc>
        <w:tc>
          <w:tcPr>
            <w:tcW w:w="2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Residential Connectivity &amp; Platforms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$6,479</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$6,276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06"/>
        </w:trPr>
        <w:tc>
          <w:tcPr>
            <w:tcW w:w="7600" w:type="dxa"/>
            <w:vAlign w:val="bottom"/>
          </w:tcPr>
          <w:p>
            <w:pPr>
              <w:ind w:left="140"/>
              <w:spacing w:after="0"/>
              <w:rPr>
                <w:sz w:val="20"/>
                <w:szCs w:val="20"/>
                <w:color w:val="auto"/>
              </w:rPr>
            </w:pPr>
            <w:r>
              <w:rPr>
                <w:rFonts w:ascii="Arial" w:cs="Arial" w:eastAsia="Arial" w:hAnsi="Arial"/>
                <w:sz w:val="16"/>
                <w:szCs w:val="16"/>
                <w:i w:val="1"/>
                <w:iCs w:val="1"/>
                <w:color w:val="auto"/>
              </w:rPr>
              <w:t>Adjusted EBITDA Margin</w:t>
            </w: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36.0 %</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34.8 %</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 bps</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Severance and Other</w:t>
            </w:r>
            <w:r>
              <w:rPr>
                <w:rFonts w:ascii="Arial" w:cs="Arial" w:eastAsia="Arial" w:hAnsi="Arial"/>
                <w:sz w:val="21"/>
                <w:szCs w:val="21"/>
                <w:color w:val="auto"/>
                <w:vertAlign w:val="superscript"/>
              </w:rPr>
              <w:t>(1)</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291</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380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7600" w:type="dxa"/>
            <w:vAlign w:val="bottom"/>
          </w:tcPr>
          <w:p>
            <w:pPr>
              <w:ind w:left="20"/>
              <w:spacing w:after="0"/>
              <w:rPr>
                <w:sz w:val="20"/>
                <w:szCs w:val="20"/>
                <w:color w:val="auto"/>
              </w:rPr>
            </w:pPr>
            <w:r>
              <w:rPr>
                <w:rFonts w:ascii="Arial" w:cs="Arial" w:eastAsia="Arial" w:hAnsi="Arial"/>
                <w:sz w:val="16"/>
                <w:szCs w:val="16"/>
                <w:color w:val="auto"/>
              </w:rPr>
              <w:t>Effects of Foreign Currency</w:t>
            </w:r>
            <w:r>
              <w:rPr>
                <w:rFonts w:ascii="Arial" w:cs="Arial" w:eastAsia="Arial" w:hAnsi="Arial"/>
                <w:sz w:val="21"/>
                <w:szCs w:val="21"/>
                <w:color w:val="auto"/>
                <w:vertAlign w:val="superscript"/>
              </w:rPr>
              <w:t>(2)</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line="210" w:lineRule="exact"/>
              <w:rPr>
                <w:sz w:val="20"/>
                <w:szCs w:val="20"/>
                <w:color w:val="auto"/>
              </w:rPr>
            </w:pPr>
            <w:r>
              <w:rPr>
                <w:rFonts w:ascii="Arial" w:cs="Arial" w:eastAsia="Arial" w:hAnsi="Arial"/>
                <w:sz w:val="16"/>
                <w:szCs w:val="16"/>
                <w:color w:val="auto"/>
              </w:rPr>
              <w:t>Constant Currency Adjusted EBITDA excluding Severance and Other</w:t>
            </w:r>
            <w:r>
              <w:rPr>
                <w:rFonts w:ascii="Arial" w:cs="Arial" w:eastAsia="Arial" w:hAnsi="Arial"/>
                <w:sz w:val="21"/>
                <w:szCs w:val="21"/>
                <w:color w:val="auto"/>
                <w:vertAlign w:val="superscript"/>
              </w:rPr>
              <w:t>(1)(2)</w:t>
            </w: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$6,771</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$6,678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00"/>
              <w:spacing w:after="0"/>
              <w:rPr>
                <w:sz w:val="20"/>
                <w:szCs w:val="20"/>
                <w:color w:val="auto"/>
              </w:rPr>
            </w:pPr>
            <w:r>
              <w:rPr>
                <w:rFonts w:ascii="Arial" w:cs="Arial" w:eastAsia="Arial" w:hAnsi="Arial"/>
                <w:sz w:val="16"/>
                <w:szCs w:val="16"/>
                <w:i w:val="1"/>
                <w:iCs w:val="1"/>
                <w:color w:val="auto"/>
              </w:rPr>
              <w:t>Constant Currency Adjusted EBITDA Margin excluding Severance and Other</w:t>
            </w:r>
            <w:r>
              <w:rPr>
                <w:rFonts w:ascii="Arial" w:cs="Arial" w:eastAsia="Arial" w:hAnsi="Arial"/>
                <w:sz w:val="21"/>
                <w:szCs w:val="21"/>
                <w:i w:val="1"/>
                <w:iCs w:val="1"/>
                <w:color w:val="auto"/>
                <w:vertAlign w:val="superscript"/>
              </w:rPr>
              <w:t>(1)(2)</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80 bps</w:t>
            </w:r>
          </w:p>
        </w:tc>
        <w:tc>
          <w:tcPr>
            <w:tcW w:w="0" w:type="dxa"/>
            <w:vAlign w:val="bottom"/>
          </w:tcPr>
          <w:p>
            <w:pPr>
              <w:spacing w:after="0"/>
              <w:rPr>
                <w:sz w:val="1"/>
                <w:szCs w:val="1"/>
                <w:color w:val="auto"/>
              </w:rPr>
            </w:pPr>
          </w:p>
        </w:tc>
      </w:tr>
      <w:tr>
        <w:trPr>
          <w:trHeight w:val="263"/>
        </w:trPr>
        <w:tc>
          <w:tcPr>
            <w:tcW w:w="7600" w:type="dxa"/>
            <w:vAlign w:val="bottom"/>
            <w:vMerge w:val="continue"/>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37.6 %</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36.8 %</w:t>
            </w:r>
          </w:p>
        </w:tc>
        <w:tc>
          <w:tcPr>
            <w:tcW w:w="22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Business Services Connectivity</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$1,363</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$1,303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Arial" w:cs="Arial" w:eastAsia="Arial" w:hAnsi="Arial"/>
                <w:sz w:val="16"/>
                <w:szCs w:val="16"/>
                <w:i w:val="1"/>
                <w:iCs w:val="1"/>
                <w:color w:val="auto"/>
              </w:rPr>
              <w:t>Adjusted EBITDA Margin</w:t>
            </w: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55.7 %</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55.2 %</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39</w:t>
            </w:r>
          </w:p>
        </w:tc>
        <w:tc>
          <w:tcPr>
            <w:tcW w:w="8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7600" w:type="dxa"/>
            <w:vAlign w:val="bottom"/>
          </w:tcPr>
          <w:p>
            <w:pPr>
              <w:ind w:left="20"/>
              <w:spacing w:after="0"/>
              <w:rPr>
                <w:sz w:val="20"/>
                <w:szCs w:val="20"/>
                <w:color w:val="auto"/>
              </w:rPr>
            </w:pPr>
            <w:r>
              <w:rPr>
                <w:rFonts w:ascii="Arial" w:cs="Arial" w:eastAsia="Arial" w:hAnsi="Arial"/>
                <w:sz w:val="16"/>
                <w:szCs w:val="16"/>
                <w:color w:val="auto"/>
              </w:rPr>
              <w:t>Effects of Foreign Currency</w:t>
            </w:r>
            <w:r>
              <w:rPr>
                <w:rFonts w:ascii="Arial" w:cs="Arial" w:eastAsia="Arial" w:hAnsi="Arial"/>
                <w:sz w:val="21"/>
                <w:szCs w:val="21"/>
                <w:color w:val="auto"/>
                <w:vertAlign w:val="superscript"/>
              </w:rPr>
              <w:t>(2)</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line="210" w:lineRule="exact"/>
              <w:rPr>
                <w:sz w:val="20"/>
                <w:szCs w:val="20"/>
                <w:color w:val="auto"/>
              </w:rPr>
            </w:pPr>
            <w:r>
              <w:rPr>
                <w:rFonts w:ascii="Arial" w:cs="Arial" w:eastAsia="Arial" w:hAnsi="Arial"/>
                <w:sz w:val="16"/>
                <w:szCs w:val="16"/>
                <w:color w:val="auto"/>
              </w:rPr>
              <w:t>Constant Currency Adjusted EBITDA excluding Severance</w:t>
            </w:r>
            <w:r>
              <w:rPr>
                <w:rFonts w:ascii="Arial" w:cs="Arial" w:eastAsia="Arial" w:hAnsi="Arial"/>
                <w:sz w:val="21"/>
                <w:szCs w:val="21"/>
                <w:color w:val="auto"/>
                <w:vertAlign w:val="superscript"/>
              </w:rPr>
              <w:t>(2)</w:t>
            </w: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$1,402</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$1,345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00"/>
              <w:spacing w:after="0"/>
              <w:rPr>
                <w:sz w:val="20"/>
                <w:szCs w:val="20"/>
                <w:color w:val="auto"/>
              </w:rPr>
            </w:pPr>
            <w:r>
              <w:rPr>
                <w:rFonts w:ascii="Arial" w:cs="Arial" w:eastAsia="Arial" w:hAnsi="Arial"/>
                <w:sz w:val="16"/>
                <w:szCs w:val="16"/>
                <w:i w:val="1"/>
                <w:iCs w:val="1"/>
                <w:color w:val="auto"/>
              </w:rPr>
              <w:t>Constant Currency Adjusted EBITDA Margin excluding Severance</w:t>
            </w:r>
            <w:r>
              <w:rPr>
                <w:rFonts w:ascii="Arial" w:cs="Arial" w:eastAsia="Arial" w:hAnsi="Arial"/>
                <w:sz w:val="21"/>
                <w:szCs w:val="21"/>
                <w:i w:val="1"/>
                <w:iCs w:val="1"/>
                <w:color w:val="auto"/>
                <w:vertAlign w:val="superscript"/>
              </w:rPr>
              <w:t>(2)</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30 bps</w:t>
            </w:r>
          </w:p>
        </w:tc>
        <w:tc>
          <w:tcPr>
            <w:tcW w:w="0" w:type="dxa"/>
            <w:vAlign w:val="bottom"/>
          </w:tcPr>
          <w:p>
            <w:pPr>
              <w:spacing w:after="0"/>
              <w:rPr>
                <w:sz w:val="1"/>
                <w:szCs w:val="1"/>
                <w:color w:val="auto"/>
              </w:rPr>
            </w:pPr>
          </w:p>
        </w:tc>
      </w:tr>
      <w:tr>
        <w:trPr>
          <w:trHeight w:val="265"/>
        </w:trPr>
        <w:tc>
          <w:tcPr>
            <w:tcW w:w="7600" w:type="dxa"/>
            <w:vAlign w:val="bottom"/>
            <w:vMerge w:val="continue"/>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57.3 %</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57.0 %</w:t>
            </w:r>
          </w:p>
        </w:tc>
        <w:tc>
          <w:tcPr>
            <w:tcW w:w="220" w:type="dxa"/>
            <w:vAlign w:val="bottom"/>
          </w:tcPr>
          <w:p>
            <w:pPr>
              <w:spacing w:after="0"/>
              <w:rPr>
                <w:sz w:val="23"/>
                <w:szCs w:val="23"/>
                <w:color w:val="auto"/>
              </w:rPr>
            </w:pPr>
          </w:p>
        </w:tc>
        <w:tc>
          <w:tcPr>
            <w:tcW w:w="1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800" w:type="dxa"/>
            <w:vAlign w:val="bottom"/>
            <w:tcBorders>
              <w:bottom w:val="single" w:sz="8" w:color="004EA8"/>
            </w:tcBorders>
            <w:gridSpan w:val="3"/>
          </w:tcPr>
          <w:p>
            <w:pPr>
              <w:ind w:left="20"/>
              <w:spacing w:after="0"/>
              <w:rPr>
                <w:sz w:val="20"/>
                <w:szCs w:val="20"/>
                <w:color w:val="auto"/>
              </w:rPr>
            </w:pPr>
            <w:r>
              <w:rPr>
                <w:rFonts w:ascii="Arial" w:cs="Arial" w:eastAsia="Arial" w:hAnsi="Arial"/>
                <w:sz w:val="19"/>
                <w:szCs w:val="19"/>
                <w:b w:val="1"/>
                <w:bCs w:val="1"/>
                <w:color w:val="828282"/>
              </w:rPr>
              <w:t>Reconciliation of Content &amp; Experiences Adjusted EBITDA Excluding Severance (Unaudited)</w:t>
            </w:r>
          </w:p>
        </w:tc>
        <w:tc>
          <w:tcPr>
            <w:tcW w:w="1100" w:type="dxa"/>
            <w:vAlign w:val="bottom"/>
            <w:tcBorders>
              <w:bottom w:val="single" w:sz="8" w:color="004EA8"/>
            </w:tcBorders>
          </w:tcPr>
          <w:p>
            <w:pPr>
              <w:spacing w:after="0"/>
              <w:rPr>
                <w:sz w:val="24"/>
                <w:szCs w:val="24"/>
                <w:color w:val="auto"/>
              </w:rPr>
            </w:pPr>
          </w:p>
        </w:tc>
        <w:tc>
          <w:tcPr>
            <w:tcW w:w="220" w:type="dxa"/>
            <w:vAlign w:val="bottom"/>
            <w:tcBorders>
              <w:bottom w:val="single" w:sz="8" w:color="004EA8"/>
            </w:tcBorders>
          </w:tcPr>
          <w:p>
            <w:pPr>
              <w:spacing w:after="0"/>
              <w:rPr>
                <w:sz w:val="24"/>
                <w:szCs w:val="24"/>
                <w:color w:val="auto"/>
              </w:rPr>
            </w:pPr>
          </w:p>
        </w:tc>
        <w:tc>
          <w:tcPr>
            <w:tcW w:w="112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600" w:type="dxa"/>
            <w:vAlign w:val="bottom"/>
          </w:tcPr>
          <w:p>
            <w:pPr>
              <w:spacing w:after="0"/>
              <w:rPr>
                <w:sz w:val="24"/>
                <w:szCs w:val="24"/>
                <w:color w:val="auto"/>
              </w:rPr>
            </w:pPr>
          </w:p>
        </w:tc>
        <w:tc>
          <w:tcPr>
            <w:tcW w:w="364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Three Months Ended December 31, 2024</w:t>
            </w: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119"/>
              <w:spacing w:after="0" w:line="227"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49"/>
        </w:trPr>
        <w:tc>
          <w:tcPr>
            <w:tcW w:w="76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$1,491</w:t>
            </w:r>
          </w:p>
        </w:tc>
        <w:tc>
          <w:tcPr>
            <w:tcW w:w="80" w:type="dxa"/>
            <w:vAlign w:val="bottom"/>
          </w:tcPr>
          <w:p>
            <w:pPr>
              <w:spacing w:after="0"/>
              <w:rPr>
                <w:sz w:val="21"/>
                <w:szCs w:val="21"/>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$932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60.0 %</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101</w:t>
            </w:r>
          </w:p>
        </w:tc>
        <w:tc>
          <w:tcPr>
            <w:tcW w:w="8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6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Adjusted EBITDA excluding Severance</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$1,592</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54.2 %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2023 amount includes an out-of-period adjustment associated with contractual obligations in our advertising business.</w:t>
      </w:r>
    </w:p>
    <w:p>
      <w:pPr>
        <w:spacing w:after="0" w:line="120" w:lineRule="exact"/>
        <w:rPr>
          <w:rFonts w:ascii="Arial" w:cs="Arial" w:eastAsia="Arial" w:hAnsi="Arial"/>
          <w:sz w:val="13"/>
          <w:szCs w:val="13"/>
          <w:color w:val="auto"/>
        </w:rPr>
      </w:pPr>
    </w:p>
    <w:p>
      <w:pPr>
        <w:ind w:left="260" w:right="280" w:hanging="252"/>
        <w:spacing w:after="0" w:line="264"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2023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76" w:lineRule="exact"/>
        <w:rPr>
          <w:rFonts w:ascii="Arial" w:cs="Arial" w:eastAsia="Arial" w:hAnsi="Arial"/>
          <w:sz w:val="13"/>
          <w:szCs w:val="13"/>
          <w:color w:val="auto"/>
        </w:rPr>
      </w:pP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 percentages represent year/year growth rates. Change in Adjusted EBITDA margin is presented as year/year basis point changes.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966"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2025-01-30T06:12:04Z</dcterms:created>
  <dcterms:modified xsi:type="dcterms:W3CDTF">2025-01-30T06:12:04Z</dcterms:modified>
</cp:coreProperties>
</file>