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WASHINGTON, D.C. 20549</w:t>
      </w:r>
    </w:p>
    <w:p>
      <w:pPr>
        <w:ind w:left="4460"/>
        <w:spacing w:after="0"/>
        <w:rPr>
          <w:sz w:val="20"/>
          <w:szCs w:val="20"/>
          <w:color w:val="auto"/>
        </w:rPr>
      </w:pPr>
      <w:r>
        <w:rPr>
          <w:rFonts w:ascii="Arial" w:cs="Arial" w:eastAsia="Arial" w:hAnsi="Arial"/>
          <w:sz w:val="32"/>
          <w:szCs w:val="32"/>
          <w:color w:val="auto"/>
        </w:rPr>
        <w:t>_______________</w:t>
      </w:r>
    </w:p>
    <w:p>
      <w:pPr>
        <w:spacing w:after="0" w:line="32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380" w:lineRule="exact"/>
        <w:rPr>
          <w:sz w:val="24"/>
          <w:szCs w:val="24"/>
          <w:color w:val="auto"/>
        </w:rPr>
      </w:pPr>
    </w:p>
    <w:tbl>
      <w:tblPr>
        <w:tblLayout w:type="fixed"/>
        <w:tblInd w:w="720" w:type="dxa"/>
        <w:tblCellMar>
          <w:top w:w="0" w:type="dxa"/>
          <w:left w:w="0" w:type="dxa"/>
          <w:bottom w:w="0" w:type="dxa"/>
          <w:right w:w="0" w:type="dxa"/>
        </w:tblCellMar>
      </w:tblPr>
      <w:tr>
        <w:trPr>
          <w:trHeight w:val="297"/>
        </w:trPr>
        <w:tc>
          <w:tcPr>
            <w:tcW w:w="2440" w:type="dxa"/>
            <w:vAlign w:val="bottom"/>
          </w:tcPr>
          <w:p>
            <w:pPr>
              <w:spacing w:after="0"/>
              <w:rPr>
                <w:sz w:val="24"/>
                <w:szCs w:val="24"/>
                <w:color w:val="auto"/>
              </w:rPr>
            </w:pPr>
          </w:p>
        </w:tc>
        <w:tc>
          <w:tcPr>
            <w:tcW w:w="7380" w:type="dxa"/>
            <w:vAlign w:val="bottom"/>
          </w:tcPr>
          <w:p>
            <w:pPr>
              <w:jc w:val="center"/>
              <w:ind w:right="2187"/>
              <w:spacing w:after="0"/>
              <w:rPr>
                <w:sz w:val="20"/>
                <w:szCs w:val="20"/>
                <w:color w:val="auto"/>
              </w:rPr>
            </w:pPr>
            <w:r>
              <w:rPr>
                <w:rFonts w:ascii="Arial" w:cs="Arial" w:eastAsia="Arial" w:hAnsi="Arial"/>
                <w:sz w:val="25"/>
                <w:szCs w:val="25"/>
                <w:b w:val="1"/>
                <w:bCs w:val="1"/>
                <w:color w:val="auto"/>
              </w:rPr>
              <w:t>CURRENT REPORT</w:t>
            </w:r>
          </w:p>
        </w:tc>
      </w:tr>
      <w:tr>
        <w:trPr>
          <w:trHeight w:val="297"/>
        </w:trPr>
        <w:tc>
          <w:tcPr>
            <w:tcW w:w="2440" w:type="dxa"/>
            <w:vAlign w:val="bottom"/>
          </w:tcPr>
          <w:p>
            <w:pPr>
              <w:spacing w:after="0"/>
              <w:rPr>
                <w:sz w:val="24"/>
                <w:szCs w:val="24"/>
                <w:color w:val="auto"/>
              </w:rPr>
            </w:pPr>
          </w:p>
        </w:tc>
        <w:tc>
          <w:tcPr>
            <w:tcW w:w="7380" w:type="dxa"/>
            <w:vAlign w:val="bottom"/>
          </w:tcPr>
          <w:p>
            <w:pPr>
              <w:jc w:val="center"/>
              <w:ind w:right="2187"/>
              <w:spacing w:after="0"/>
              <w:rPr>
                <w:sz w:val="20"/>
                <w:szCs w:val="20"/>
                <w:color w:val="auto"/>
              </w:rPr>
            </w:pPr>
            <w:r>
              <w:rPr>
                <w:rFonts w:ascii="Arial" w:cs="Arial" w:eastAsia="Arial" w:hAnsi="Arial"/>
                <w:sz w:val="25"/>
                <w:szCs w:val="25"/>
                <w:b w:val="1"/>
                <w:bCs w:val="1"/>
                <w:color w:val="auto"/>
                <w:w w:val="90"/>
              </w:rPr>
              <w:t>Pursuant to Section 13 or 15(d) of the</w:t>
            </w:r>
          </w:p>
        </w:tc>
      </w:tr>
      <w:tr>
        <w:trPr>
          <w:trHeight w:val="329"/>
        </w:trPr>
        <w:tc>
          <w:tcPr>
            <w:tcW w:w="2440" w:type="dxa"/>
            <w:vAlign w:val="bottom"/>
          </w:tcPr>
          <w:p>
            <w:pPr>
              <w:spacing w:after="0"/>
              <w:rPr>
                <w:sz w:val="24"/>
                <w:szCs w:val="24"/>
                <w:color w:val="auto"/>
              </w:rPr>
            </w:pPr>
          </w:p>
        </w:tc>
        <w:tc>
          <w:tcPr>
            <w:tcW w:w="7380" w:type="dxa"/>
            <w:vAlign w:val="bottom"/>
          </w:tcPr>
          <w:p>
            <w:pPr>
              <w:jc w:val="center"/>
              <w:ind w:right="2167"/>
              <w:spacing w:after="0"/>
              <w:rPr>
                <w:sz w:val="20"/>
                <w:szCs w:val="20"/>
                <w:color w:val="auto"/>
              </w:rPr>
            </w:pPr>
            <w:r>
              <w:rPr>
                <w:rFonts w:ascii="Arial" w:cs="Arial" w:eastAsia="Arial" w:hAnsi="Arial"/>
                <w:sz w:val="25"/>
                <w:szCs w:val="25"/>
                <w:b w:val="1"/>
                <w:bCs w:val="1"/>
                <w:color w:val="auto"/>
                <w:w w:val="89"/>
              </w:rPr>
              <w:t>Securities Exchange Act of 1934</w:t>
            </w:r>
          </w:p>
        </w:tc>
      </w:tr>
      <w:tr>
        <w:trPr>
          <w:trHeight w:val="505"/>
        </w:trPr>
        <w:tc>
          <w:tcPr>
            <w:tcW w:w="2440" w:type="dxa"/>
            <w:vAlign w:val="bottom"/>
          </w:tcPr>
          <w:p>
            <w:pPr>
              <w:spacing w:after="0"/>
              <w:rPr>
                <w:sz w:val="24"/>
                <w:szCs w:val="24"/>
                <w:color w:val="auto"/>
              </w:rPr>
            </w:pPr>
          </w:p>
        </w:tc>
        <w:tc>
          <w:tcPr>
            <w:tcW w:w="7380" w:type="dxa"/>
            <w:vAlign w:val="bottom"/>
          </w:tcPr>
          <w:p>
            <w:pPr>
              <w:jc w:val="center"/>
              <w:ind w:right="2187"/>
              <w:spacing w:after="0"/>
              <w:rPr>
                <w:sz w:val="20"/>
                <w:szCs w:val="20"/>
                <w:color w:val="auto"/>
              </w:rPr>
            </w:pPr>
            <w:r>
              <w:rPr>
                <w:rFonts w:ascii="Arial" w:cs="Arial" w:eastAsia="Arial" w:hAnsi="Arial"/>
                <w:sz w:val="18"/>
                <w:szCs w:val="18"/>
                <w:color w:val="auto"/>
                <w:w w:val="91"/>
              </w:rPr>
              <w:t>Date of report (Date of earliest event reported): June 30, 2016</w:t>
            </w:r>
          </w:p>
        </w:tc>
      </w:tr>
      <w:tr>
        <w:trPr>
          <w:trHeight w:val="494"/>
        </w:trPr>
        <w:tc>
          <w:tcPr>
            <w:tcW w:w="2440" w:type="dxa"/>
            <w:vAlign w:val="bottom"/>
          </w:tcPr>
          <w:p>
            <w:pPr>
              <w:spacing w:after="0"/>
              <w:rPr>
                <w:sz w:val="24"/>
                <w:szCs w:val="24"/>
                <w:color w:val="auto"/>
              </w:rPr>
            </w:pPr>
          </w:p>
        </w:tc>
        <w:tc>
          <w:tcPr>
            <w:tcW w:w="7380" w:type="dxa"/>
            <w:vAlign w:val="bottom"/>
          </w:tcPr>
          <w:p>
            <w:pPr>
              <w:jc w:val="center"/>
              <w:ind w:right="2187"/>
              <w:spacing w:after="0"/>
              <w:rPr>
                <w:sz w:val="20"/>
                <w:szCs w:val="20"/>
                <w:color w:val="auto"/>
              </w:rPr>
            </w:pPr>
            <w:r>
              <w:rPr>
                <w:rFonts w:ascii="Arial" w:cs="Arial" w:eastAsia="Arial" w:hAnsi="Arial"/>
                <w:sz w:val="25"/>
                <w:szCs w:val="25"/>
                <w:b w:val="1"/>
                <w:bCs w:val="1"/>
                <w:color w:val="auto"/>
                <w:w w:val="91"/>
              </w:rPr>
              <w:t>Comcast Corporation</w:t>
            </w:r>
          </w:p>
        </w:tc>
      </w:tr>
      <w:tr>
        <w:trPr>
          <w:trHeight w:val="149"/>
        </w:trPr>
        <w:tc>
          <w:tcPr>
            <w:tcW w:w="2440" w:type="dxa"/>
            <w:vAlign w:val="bottom"/>
          </w:tcPr>
          <w:p>
            <w:pPr>
              <w:spacing w:after="0"/>
              <w:rPr>
                <w:sz w:val="12"/>
                <w:szCs w:val="12"/>
                <w:color w:val="auto"/>
              </w:rPr>
            </w:pPr>
          </w:p>
        </w:tc>
        <w:tc>
          <w:tcPr>
            <w:tcW w:w="7380" w:type="dxa"/>
            <w:vAlign w:val="bottom"/>
          </w:tcPr>
          <w:p>
            <w:pPr>
              <w:jc w:val="center"/>
              <w:ind w:right="2187"/>
              <w:spacing w:after="0" w:line="149"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440" w:type="dxa"/>
            <w:vAlign w:val="bottom"/>
          </w:tcPr>
          <w:p>
            <w:pPr>
              <w:spacing w:after="0"/>
              <w:rPr>
                <w:sz w:val="15"/>
                <w:szCs w:val="15"/>
                <w:color w:val="auto"/>
              </w:rPr>
            </w:pPr>
          </w:p>
        </w:tc>
        <w:tc>
          <w:tcPr>
            <w:tcW w:w="7380" w:type="dxa"/>
            <w:vAlign w:val="bottom"/>
          </w:tcPr>
          <w:p>
            <w:pPr>
              <w:jc w:val="center"/>
              <w:ind w:right="2187"/>
              <w:spacing w:after="0"/>
              <w:rPr>
                <w:sz w:val="20"/>
                <w:szCs w:val="20"/>
                <w:color w:val="auto"/>
              </w:rPr>
            </w:pPr>
            <w:r>
              <w:rPr>
                <w:rFonts w:ascii="Arial" w:cs="Arial" w:eastAsia="Arial" w:hAnsi="Arial"/>
                <w:sz w:val="14"/>
                <w:szCs w:val="14"/>
                <w:color w:val="auto"/>
                <w:w w:val="93"/>
              </w:rPr>
              <w:t>as Specified in its Charter)</w:t>
            </w:r>
          </w:p>
        </w:tc>
      </w:tr>
      <w:tr>
        <w:trPr>
          <w:trHeight w:val="398"/>
        </w:trPr>
        <w:tc>
          <w:tcPr>
            <w:tcW w:w="2440" w:type="dxa"/>
            <w:vAlign w:val="bottom"/>
          </w:tcPr>
          <w:p>
            <w:pPr>
              <w:spacing w:after="0"/>
              <w:rPr>
                <w:sz w:val="24"/>
                <w:szCs w:val="24"/>
                <w:color w:val="auto"/>
              </w:rPr>
            </w:pPr>
          </w:p>
        </w:tc>
        <w:tc>
          <w:tcPr>
            <w:tcW w:w="7380" w:type="dxa"/>
            <w:vAlign w:val="bottom"/>
          </w:tcPr>
          <w:p>
            <w:pPr>
              <w:jc w:val="center"/>
              <w:ind w:right="2147"/>
              <w:spacing w:after="0"/>
              <w:rPr>
                <w:sz w:val="20"/>
                <w:szCs w:val="20"/>
                <w:color w:val="auto"/>
              </w:rPr>
            </w:pPr>
            <w:r>
              <w:rPr>
                <w:rFonts w:ascii="Arial" w:cs="Arial" w:eastAsia="Arial" w:hAnsi="Arial"/>
                <w:sz w:val="18"/>
                <w:szCs w:val="18"/>
                <w:b w:val="1"/>
                <w:bCs w:val="1"/>
                <w:color w:val="auto"/>
                <w:w w:val="88"/>
              </w:rPr>
              <w:t>Pennsylvania</w:t>
            </w:r>
          </w:p>
        </w:tc>
      </w:tr>
      <w:tr>
        <w:trPr>
          <w:trHeight w:val="182"/>
        </w:trPr>
        <w:tc>
          <w:tcPr>
            <w:tcW w:w="2440" w:type="dxa"/>
            <w:vAlign w:val="bottom"/>
          </w:tcPr>
          <w:p>
            <w:pPr>
              <w:spacing w:after="0"/>
              <w:rPr>
                <w:sz w:val="15"/>
                <w:szCs w:val="15"/>
                <w:color w:val="auto"/>
              </w:rPr>
            </w:pPr>
          </w:p>
        </w:tc>
        <w:tc>
          <w:tcPr>
            <w:tcW w:w="7380" w:type="dxa"/>
            <w:vAlign w:val="bottom"/>
          </w:tcPr>
          <w:p>
            <w:pPr>
              <w:jc w:val="center"/>
              <w:ind w:right="2167"/>
              <w:spacing w:after="0"/>
              <w:rPr>
                <w:sz w:val="20"/>
                <w:szCs w:val="20"/>
                <w:color w:val="auto"/>
              </w:rPr>
            </w:pPr>
            <w:r>
              <w:rPr>
                <w:rFonts w:ascii="Arial" w:cs="Arial" w:eastAsia="Arial" w:hAnsi="Arial"/>
                <w:sz w:val="14"/>
                <w:szCs w:val="14"/>
                <w:color w:val="auto"/>
                <w:w w:val="95"/>
              </w:rPr>
              <w:t>(State or Other Jurisdiction of Incorporation)</w:t>
            </w:r>
          </w:p>
        </w:tc>
      </w:tr>
      <w:tr>
        <w:trPr>
          <w:trHeight w:val="466"/>
        </w:trPr>
        <w:tc>
          <w:tcPr>
            <w:tcW w:w="2440" w:type="dxa"/>
            <w:vAlign w:val="bottom"/>
          </w:tcPr>
          <w:p>
            <w:pPr>
              <w:jc w:val="center"/>
              <w:ind w:right="17"/>
              <w:spacing w:after="0"/>
              <w:rPr>
                <w:sz w:val="20"/>
                <w:szCs w:val="20"/>
                <w:color w:val="auto"/>
              </w:rPr>
            </w:pPr>
            <w:r>
              <w:rPr>
                <w:rFonts w:ascii="Arial" w:cs="Arial" w:eastAsia="Arial" w:hAnsi="Arial"/>
                <w:sz w:val="18"/>
                <w:szCs w:val="18"/>
                <w:b w:val="1"/>
                <w:bCs w:val="1"/>
                <w:color w:val="auto"/>
                <w:w w:val="90"/>
              </w:rPr>
              <w:t>001-32871</w:t>
            </w:r>
          </w:p>
        </w:tc>
        <w:tc>
          <w:tcPr>
            <w:tcW w:w="7380" w:type="dxa"/>
            <w:vAlign w:val="bottom"/>
          </w:tcPr>
          <w:p>
            <w:pPr>
              <w:jc w:val="center"/>
              <w:ind w:left="5287"/>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440" w:type="dxa"/>
            <w:vAlign w:val="bottom"/>
          </w:tcPr>
          <w:p>
            <w:pPr>
              <w:jc w:val="center"/>
              <w:ind w:right="17"/>
              <w:spacing w:after="0"/>
              <w:rPr>
                <w:sz w:val="20"/>
                <w:szCs w:val="20"/>
                <w:color w:val="auto"/>
              </w:rPr>
            </w:pPr>
            <w:r>
              <w:rPr>
                <w:rFonts w:ascii="Arial" w:cs="Arial" w:eastAsia="Arial" w:hAnsi="Arial"/>
                <w:sz w:val="14"/>
                <w:szCs w:val="14"/>
                <w:color w:val="auto"/>
                <w:w w:val="94"/>
              </w:rPr>
              <w:t>(Commission File Number)</w:t>
            </w:r>
          </w:p>
        </w:tc>
        <w:tc>
          <w:tcPr>
            <w:tcW w:w="7380" w:type="dxa"/>
            <w:vAlign w:val="bottom"/>
          </w:tcPr>
          <w:p>
            <w:pPr>
              <w:jc w:val="center"/>
              <w:ind w:left="5307"/>
              <w:spacing w:after="0"/>
              <w:rPr>
                <w:sz w:val="20"/>
                <w:szCs w:val="20"/>
                <w:color w:val="auto"/>
              </w:rPr>
            </w:pPr>
            <w:r>
              <w:rPr>
                <w:rFonts w:ascii="Arial" w:cs="Arial" w:eastAsia="Arial" w:hAnsi="Arial"/>
                <w:sz w:val="14"/>
                <w:szCs w:val="14"/>
                <w:color w:val="auto"/>
                <w:w w:val="97"/>
              </w:rPr>
              <w:t>(IRS Employer Identification No.)</w:t>
            </w:r>
          </w:p>
        </w:tc>
      </w:tr>
      <w:tr>
        <w:trPr>
          <w:trHeight w:val="466"/>
        </w:trPr>
        <w:tc>
          <w:tcPr>
            <w:tcW w:w="2440" w:type="dxa"/>
            <w:vAlign w:val="bottom"/>
          </w:tcPr>
          <w:p>
            <w:pPr>
              <w:jc w:val="center"/>
              <w:ind w:right="17"/>
              <w:spacing w:after="0"/>
              <w:rPr>
                <w:sz w:val="20"/>
                <w:szCs w:val="20"/>
                <w:color w:val="auto"/>
              </w:rPr>
            </w:pPr>
            <w:r>
              <w:rPr>
                <w:rFonts w:ascii="Arial" w:cs="Arial" w:eastAsia="Arial" w:hAnsi="Arial"/>
                <w:sz w:val="18"/>
                <w:szCs w:val="18"/>
                <w:b w:val="1"/>
                <w:bCs w:val="1"/>
                <w:color w:val="auto"/>
                <w:w w:val="90"/>
              </w:rPr>
              <w:t>One Comcast Center</w:t>
            </w:r>
          </w:p>
        </w:tc>
        <w:tc>
          <w:tcPr>
            <w:tcW w:w="7380" w:type="dxa"/>
            <w:vAlign w:val="bottom"/>
          </w:tcPr>
          <w:p>
            <w:pPr>
              <w:spacing w:after="0"/>
              <w:rPr>
                <w:sz w:val="24"/>
                <w:szCs w:val="24"/>
                <w:color w:val="auto"/>
              </w:rPr>
            </w:pPr>
          </w:p>
        </w:tc>
      </w:tr>
      <w:tr>
        <w:trPr>
          <w:trHeight w:val="216"/>
        </w:trPr>
        <w:tc>
          <w:tcPr>
            <w:tcW w:w="2440" w:type="dxa"/>
            <w:vAlign w:val="bottom"/>
          </w:tcPr>
          <w:p>
            <w:pPr>
              <w:jc w:val="center"/>
              <w:ind w:right="17"/>
              <w:spacing w:after="0"/>
              <w:rPr>
                <w:sz w:val="20"/>
                <w:szCs w:val="20"/>
                <w:color w:val="auto"/>
              </w:rPr>
            </w:pPr>
            <w:r>
              <w:rPr>
                <w:rFonts w:ascii="Arial" w:cs="Arial" w:eastAsia="Arial" w:hAnsi="Arial"/>
                <w:sz w:val="18"/>
                <w:szCs w:val="18"/>
                <w:b w:val="1"/>
                <w:bCs w:val="1"/>
                <w:color w:val="auto"/>
                <w:w w:val="92"/>
              </w:rPr>
              <w:t>Philadelphia, PA</w:t>
            </w:r>
          </w:p>
        </w:tc>
        <w:tc>
          <w:tcPr>
            <w:tcW w:w="7380" w:type="dxa"/>
            <w:vAlign w:val="bottom"/>
          </w:tcPr>
          <w:p>
            <w:pPr>
              <w:jc w:val="center"/>
              <w:ind w:left="5287"/>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440" w:type="dxa"/>
            <w:vAlign w:val="bottom"/>
          </w:tcPr>
          <w:p>
            <w:pPr>
              <w:jc w:val="center"/>
              <w:ind w:right="17"/>
              <w:spacing w:after="0"/>
              <w:rPr>
                <w:sz w:val="20"/>
                <w:szCs w:val="20"/>
                <w:color w:val="auto"/>
              </w:rPr>
            </w:pPr>
            <w:r>
              <w:rPr>
                <w:rFonts w:ascii="Arial" w:cs="Arial" w:eastAsia="Arial" w:hAnsi="Arial"/>
                <w:sz w:val="14"/>
                <w:szCs w:val="14"/>
                <w:color w:val="auto"/>
                <w:w w:val="95"/>
              </w:rPr>
              <w:t>(Address of Principal Executive Offices)</w:t>
            </w:r>
          </w:p>
        </w:tc>
        <w:tc>
          <w:tcPr>
            <w:tcW w:w="7380" w:type="dxa"/>
            <w:vAlign w:val="bottom"/>
          </w:tcPr>
          <w:p>
            <w:pPr>
              <w:jc w:val="center"/>
              <w:ind w:left="5287"/>
              <w:spacing w:after="0"/>
              <w:rPr>
                <w:sz w:val="20"/>
                <w:szCs w:val="20"/>
                <w:color w:val="auto"/>
              </w:rPr>
            </w:pPr>
            <w:r>
              <w:rPr>
                <w:rFonts w:ascii="Arial" w:cs="Arial" w:eastAsia="Arial" w:hAnsi="Arial"/>
                <w:sz w:val="14"/>
                <w:szCs w:val="14"/>
                <w:color w:val="auto"/>
                <w:w w:val="96"/>
              </w:rPr>
              <w:t>(Zip Code)</w:t>
            </w:r>
          </w:p>
        </w:tc>
      </w:tr>
      <w:tr>
        <w:trPr>
          <w:trHeight w:val="701"/>
        </w:trPr>
        <w:tc>
          <w:tcPr>
            <w:tcW w:w="2440" w:type="dxa"/>
            <w:vAlign w:val="bottom"/>
          </w:tcPr>
          <w:p>
            <w:pPr>
              <w:spacing w:after="0"/>
              <w:rPr>
                <w:sz w:val="24"/>
                <w:szCs w:val="24"/>
                <w:color w:val="auto"/>
              </w:rPr>
            </w:pPr>
          </w:p>
        </w:tc>
        <w:tc>
          <w:tcPr>
            <w:tcW w:w="7380" w:type="dxa"/>
            <w:vAlign w:val="bottom"/>
          </w:tcPr>
          <w:p>
            <w:pPr>
              <w:jc w:val="center"/>
              <w:ind w:right="2187"/>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(215) 286-1700</w:t>
            </w:r>
          </w:p>
        </w:tc>
      </w:tr>
      <w:tr>
        <w:trPr>
          <w:trHeight w:val="418"/>
        </w:trPr>
        <w:tc>
          <w:tcPr>
            <w:tcW w:w="2440" w:type="dxa"/>
            <w:vAlign w:val="bottom"/>
          </w:tcPr>
          <w:p>
            <w:pPr>
              <w:spacing w:after="0"/>
              <w:rPr>
                <w:sz w:val="24"/>
                <w:szCs w:val="24"/>
                <w:color w:val="auto"/>
              </w:rPr>
            </w:pPr>
          </w:p>
        </w:tc>
        <w:tc>
          <w:tcPr>
            <w:tcW w:w="7380" w:type="dxa"/>
            <w:vAlign w:val="bottom"/>
          </w:tcPr>
          <w:p>
            <w:pPr>
              <w:jc w:val="center"/>
              <w:ind w:right="2187"/>
              <w:spacing w:after="0"/>
              <w:rPr>
                <w:sz w:val="20"/>
                <w:szCs w:val="20"/>
                <w:color w:val="auto"/>
              </w:rPr>
            </w:pPr>
            <w:r>
              <w:rPr>
                <w:rFonts w:ascii="Arial" w:cs="Arial" w:eastAsia="Arial" w:hAnsi="Arial"/>
                <w:sz w:val="18"/>
                <w:szCs w:val="18"/>
                <w:color w:val="auto"/>
                <w:w w:val="90"/>
              </w:rPr>
              <w:t>(Former Name or Former Address, if Changed Since Last Report)</w:t>
            </w:r>
          </w:p>
        </w:tc>
      </w:tr>
      <w:tr>
        <w:trPr>
          <w:trHeight w:val="230"/>
        </w:trPr>
        <w:tc>
          <w:tcPr>
            <w:tcW w:w="2440" w:type="dxa"/>
            <w:vAlign w:val="bottom"/>
          </w:tcPr>
          <w:p>
            <w:pPr>
              <w:spacing w:after="0"/>
              <w:rPr>
                <w:sz w:val="20"/>
                <w:szCs w:val="20"/>
                <w:color w:val="auto"/>
              </w:rPr>
            </w:pPr>
          </w:p>
        </w:tc>
        <w:tc>
          <w:tcPr>
            <w:tcW w:w="7380" w:type="dxa"/>
            <w:vAlign w:val="bottom"/>
          </w:tcPr>
          <w:p>
            <w:pPr>
              <w:jc w:val="center"/>
              <w:ind w:right="2187"/>
              <w:spacing w:after="0"/>
              <w:rPr>
                <w:sz w:val="20"/>
                <w:szCs w:val="20"/>
                <w:color w:val="auto"/>
              </w:rPr>
            </w:pPr>
            <w:r>
              <w:rPr>
                <w:rFonts w:ascii="Arial" w:cs="Arial" w:eastAsia="Arial" w:hAnsi="Arial"/>
                <w:sz w:val="18"/>
                <w:szCs w:val="18"/>
                <w:color w:val="auto"/>
                <w:w w:val="99"/>
              </w:rPr>
              <w:t>–</w:t>
            </w:r>
          </w:p>
        </w:tc>
      </w:tr>
    </w:tbl>
    <w:p>
      <w:pPr>
        <w:spacing w:after="0" w:line="200" w:lineRule="exact"/>
        <w:rPr>
          <w:sz w:val="24"/>
          <w:szCs w:val="24"/>
          <w:color w:val="auto"/>
        </w:rPr>
      </w:pPr>
    </w:p>
    <w:p>
      <w:pPr>
        <w:spacing w:after="0" w:line="21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880"/>
          </w:cols>
          <w:pgMar w:left="240" w:top="630" w:right="779" w:bottom="1440" w:gutter="0" w:footer="0" w:header="0"/>
        </w:sectPr>
      </w:pPr>
    </w:p>
    <w:bookmarkStart w:id="1" w:name="page2"/>
    <w:bookmarkEnd w:id="1"/>
    <w:p>
      <w:pPr>
        <w:ind w:right="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30, 2016, the employment agreement of Mr. Brian L. Roberts, the Chairman and Chief Executive Officer of Comcast Corporation, was amended solely to extend its term to June 30, 2017.</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Amendment No. 16 to Employment Agreement with Brian L. Roberts</w:t>
      </w:r>
    </w:p>
    <w:p>
      <w:pPr>
        <w:sectPr>
          <w:pgSz w:w="11900" w:h="16838" w:orient="portrait"/>
          <w:cols w:equalWidth="0" w:num="1">
            <w:col w:w="11060"/>
          </w:cols>
          <w:pgMar w:left="240" w:top="472" w:right="5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6120" w:type="dxa"/>
            <w:vAlign w:val="bottom"/>
            <w:gridSpan w:val="2"/>
          </w:tcPr>
          <w:p>
            <w:pPr>
              <w:ind w:left="2480"/>
              <w:spacing w:after="0"/>
              <w:rPr>
                <w:sz w:val="20"/>
                <w:szCs w:val="20"/>
                <w:color w:val="auto"/>
              </w:rPr>
            </w:pPr>
            <w:r>
              <w:rPr>
                <w:rFonts w:ascii="Arial" w:cs="Arial" w:eastAsia="Arial" w:hAnsi="Arial"/>
                <w:sz w:val="18"/>
                <w:szCs w:val="18"/>
                <w:b w:val="1"/>
                <w:bCs w:val="1"/>
                <w:color w:val="auto"/>
              </w:rPr>
              <w:t>COMCAST CORPORATION</w:t>
            </w:r>
          </w:p>
        </w:tc>
        <w:tc>
          <w:tcPr>
            <w:tcW w:w="1240" w:type="dxa"/>
            <w:vAlign w:val="bottom"/>
          </w:tcPr>
          <w:p>
            <w:pPr>
              <w:spacing w:after="0"/>
              <w:rPr>
                <w:sz w:val="20"/>
                <w:szCs w:val="20"/>
                <w:color w:val="auto"/>
              </w:rPr>
            </w:pPr>
          </w:p>
        </w:tc>
      </w:tr>
      <w:tr>
        <w:trPr>
          <w:trHeight w:val="648"/>
        </w:trPr>
        <w:tc>
          <w:tcPr>
            <w:tcW w:w="4060" w:type="dxa"/>
            <w:vAlign w:val="bottom"/>
          </w:tcPr>
          <w:p>
            <w:pPr>
              <w:spacing w:after="0"/>
              <w:rPr>
                <w:sz w:val="20"/>
                <w:szCs w:val="20"/>
                <w:color w:val="auto"/>
              </w:rPr>
            </w:pPr>
            <w:r>
              <w:rPr>
                <w:rFonts w:ascii="Arial" w:cs="Arial" w:eastAsia="Arial" w:hAnsi="Arial"/>
                <w:sz w:val="18"/>
                <w:szCs w:val="18"/>
                <w:color w:val="auto"/>
              </w:rPr>
              <w:t>Date:  June 30, 2016</w:t>
            </w:r>
          </w:p>
        </w:tc>
        <w:tc>
          <w:tcPr>
            <w:tcW w:w="6120" w:type="dxa"/>
            <w:vAlign w:val="bottom"/>
            <w:gridSpan w:val="2"/>
          </w:tcPr>
          <w:p>
            <w:pPr>
              <w:ind w:left="2480"/>
              <w:spacing w:after="0"/>
              <w:rPr>
                <w:sz w:val="20"/>
                <w:szCs w:val="20"/>
                <w:color w:val="auto"/>
              </w:rPr>
            </w:pPr>
            <w:r>
              <w:rPr>
                <w:rFonts w:ascii="Arial" w:cs="Arial" w:eastAsia="Arial" w:hAnsi="Arial"/>
                <w:sz w:val="18"/>
                <w:szCs w:val="18"/>
                <w:color w:val="auto"/>
              </w:rPr>
              <w:t>By:  /s/ Arthur R. Block</w:t>
            </w:r>
          </w:p>
        </w:tc>
        <w:tc>
          <w:tcPr>
            <w:tcW w:w="1240" w:type="dxa"/>
            <w:vAlign w:val="bottom"/>
          </w:tcPr>
          <w:p>
            <w:pPr>
              <w:spacing w:after="0"/>
              <w:rPr>
                <w:sz w:val="24"/>
                <w:szCs w:val="24"/>
                <w:color w:val="auto"/>
              </w:rPr>
            </w:pPr>
          </w:p>
        </w:tc>
      </w:tr>
      <w:tr>
        <w:trPr>
          <w:trHeight w:val="195"/>
        </w:trPr>
        <w:tc>
          <w:tcPr>
            <w:tcW w:w="40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Arthur R. Block</w:t>
            </w:r>
          </w:p>
        </w:tc>
        <w:tc>
          <w:tcPr>
            <w:tcW w:w="124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89"/>
              </w:rPr>
              <w:t>Senior Vice President, General Counsel and</w:t>
            </w:r>
          </w:p>
        </w:tc>
        <w:tc>
          <w:tcPr>
            <w:tcW w:w="1240" w:type="dxa"/>
            <w:vAlign w:val="bottom"/>
          </w:tcPr>
          <w:p>
            <w:pPr>
              <w:spacing w:after="0"/>
              <w:rPr>
                <w:sz w:val="18"/>
                <w:szCs w:val="18"/>
                <w:color w:val="auto"/>
              </w:rPr>
            </w:pPr>
          </w:p>
        </w:tc>
      </w:tr>
      <w:tr>
        <w:trPr>
          <w:trHeight w:val="230"/>
        </w:trPr>
        <w:tc>
          <w:tcPr>
            <w:tcW w:w="40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Secretary</w:t>
            </w:r>
          </w:p>
        </w:tc>
        <w:tc>
          <w:tcPr>
            <w:tcW w:w="1240" w:type="dxa"/>
            <w:vAlign w:val="bottom"/>
          </w:tcPr>
          <w:p>
            <w:pPr>
              <w:spacing w:after="0"/>
              <w:rPr>
                <w:sz w:val="20"/>
                <w:szCs w:val="20"/>
                <w:color w:val="auto"/>
              </w:rPr>
            </w:pPr>
          </w:p>
        </w:tc>
      </w:tr>
      <w:tr>
        <w:trPr>
          <w:trHeight w:val="1999"/>
        </w:trPr>
        <w:tc>
          <w:tcPr>
            <w:tcW w:w="40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16 TO EMPLOYMENT AGREEMENT</w:t>
      </w:r>
    </w:p>
    <w:p>
      <w:pPr>
        <w:spacing w:after="0" w:line="233" w:lineRule="exact"/>
        <w:rPr>
          <w:sz w:val="20"/>
          <w:szCs w:val="20"/>
          <w:color w:val="auto"/>
        </w:rPr>
      </w:pPr>
    </w:p>
    <w:p>
      <w:pPr>
        <w:ind w:right="560" w:firstLine="1297"/>
        <w:spacing w:after="0"/>
        <w:rPr>
          <w:sz w:val="20"/>
          <w:szCs w:val="20"/>
          <w:color w:val="auto"/>
        </w:rPr>
      </w:pPr>
      <w:r>
        <w:rPr>
          <w:rFonts w:ascii="Arial" w:cs="Arial" w:eastAsia="Arial" w:hAnsi="Arial"/>
          <w:sz w:val="16"/>
          <w:szCs w:val="16"/>
          <w:color w:val="auto"/>
        </w:rPr>
        <w:t>This AMENDMENT NO. 16 TO EMPLOYMENT AGREEMENT is entered as of 5:00 p.m. on the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June, 2016, between COMCAST CORPORATION, a Pennsylvania corporation (together with its subsidiaries, the “Company”), and BRIAN L. ROBERTS (“Employee”).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WHEREAS, the parties entered into an Employment Agreement dated as of January 1, 2005, as amended (the “Agreement”), that sets forth the terms and conditions of Employee’s employment with the Company,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parties desire to amend the Agreement on the terms and conditions contained herein.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225" w:lineRule="exact"/>
        <w:rPr>
          <w:sz w:val="20"/>
          <w:szCs w:val="20"/>
          <w:color w:val="auto"/>
        </w:rPr>
      </w:pPr>
    </w:p>
    <w:p>
      <w:pPr>
        <w:ind w:left="1520" w:hanging="215"/>
        <w:spacing w:after="0"/>
        <w:tabs>
          <w:tab w:leader="none" w:pos="1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Subparagraph 2(ii) of the Agreement is hereby deleted and replaced in its entirety by the following: “(ii) June 30, 2017.”</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Except as modified hereby, the Agreement shall continue unmodified and in full force and effect.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WITNESS WHEREOF, the parties hereto have executed and delivered this Amendment No. 16 as of the time and date first-above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14605</wp:posOffset>
            </wp:positionV>
            <wp:extent cx="2084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19" w:lineRule="exact"/>
        <w:rPr>
          <w:sz w:val="20"/>
          <w:szCs w:val="20"/>
          <w:color w:val="auto"/>
        </w:rPr>
      </w:pPr>
    </w:p>
    <w:p>
      <w:pPr>
        <w:ind w:left="6280"/>
        <w:spacing w:after="0"/>
        <w:tabs>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14605</wp:posOffset>
            </wp:positionV>
            <wp:extent cx="2084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Brian L. Roberts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332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4" w:lineRule="exact"/>
        <w:rPr>
          <w:sz w:val="20"/>
          <w:szCs w:val="20"/>
          <w:color w:val="auto"/>
        </w:rPr>
      </w:pPr>
    </w:p>
    <w:p>
      <w:pPr>
        <w:ind w:left="6280"/>
        <w:spacing w:after="0"/>
        <w:tabs>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14605</wp:posOffset>
            </wp:positionV>
            <wp:extent cx="2084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84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675005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2019-12-07T15:21:10Z</dcterms:created>
  <dcterms:modified xsi:type="dcterms:W3CDTF">2019-12-07T15:21:10Z</dcterms:modified>
</cp:coreProperties>
</file>