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2776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42900"/>
                    </a:xfrm>
                    <a:prstGeom prst="rect">
                      <a:avLst/>
                    </a:prstGeom>
                    <a:noFill/>
                  </pic:spPr>
                </pic:pic>
              </a:graphicData>
            </a:graphic>
          </wp:anchor>
        </w:drawing>
        <w:t>Comcast Corporation</w:t>
      </w:r>
    </w:p>
    <w:p>
      <w:pPr>
        <w:spacing w:after="0" w:line="2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color w:val="auto"/>
        </w:rPr>
        <w:t>Philadelphia, PA 19102-2148</w:t>
      </w:r>
    </w:p>
    <w:p>
      <w:pPr>
        <w:spacing w:after="0" w:line="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color w:val="auto"/>
        </w:rPr>
        <w:t>215-665-1700 Tel</w:t>
      </w:r>
    </w:p>
    <w:p>
      <w:pPr>
        <w:spacing w:after="0" w:line="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color w:val="auto"/>
        </w:rPr>
        <w:t>215-981-7790 Fax</w:t>
      </w:r>
    </w:p>
    <w:p>
      <w:pPr>
        <w:spacing w:after="0" w:line="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color w:val="auto"/>
        </w:rPr>
        <w:t>www.comcast.com</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21, 2007</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Cheryl L. Grant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North East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Mail Stop 3720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7" w:lineRule="exact"/>
        <w:rPr>
          <w:sz w:val="24"/>
          <w:szCs w:val="24"/>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Comcast Corporation</w:t>
      </w:r>
    </w:p>
    <w:p>
      <w:pPr>
        <w:spacing w:after="0" w:line="2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Definitive Schedule 14A</w:t>
      </w:r>
    </w:p>
    <w:p>
      <w:pPr>
        <w:spacing w:after="0" w:line="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Filed March 29, 2007</w:t>
      </w:r>
    </w:p>
    <w:p>
      <w:pPr>
        <w:spacing w:after="0" w:line="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File No. 1-32871</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Grant:</w:t>
      </w:r>
    </w:p>
    <w:p>
      <w:pPr>
        <w:spacing w:after="0" w:line="169" w:lineRule="exact"/>
        <w:rPr>
          <w:sz w:val="24"/>
          <w:szCs w:val="24"/>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We are writing this letter to respond to the comment letter of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dated August 21, 2007 with respect to the Definitive Proxy Statement filed by Comcast Corporation on March 29, 2007. For your convenience, we have reproduced the Staff’s comment preceding each response. Please let us know if you have any questions or if we can provide additional information or otherwise be of assistance in expediting the review process.</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One: Election of Directors, page 9</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Our Board and Its Committees, page 11</w:t>
      </w:r>
    </w:p>
    <w:p>
      <w:pPr>
        <w:spacing w:after="0" w:line="88" w:lineRule="exact"/>
        <w:rPr>
          <w:sz w:val="24"/>
          <w:szCs w:val="24"/>
          <w:color w:val="auto"/>
        </w:rPr>
      </w:pPr>
    </w:p>
    <w:p>
      <w:pPr>
        <w:ind w:left="460" w:hanging="452"/>
        <w:spacing w:after="0" w:line="27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on page 13 regarding the governance and directors nominating committee. Please disclose the “additional information required by [y]our by-laws” that a shareholder must provide you in order to nominate a director candidate. See Item 407(c)(2) of Regulation S-K.</w:t>
      </w:r>
    </w:p>
    <w:p>
      <w:pPr>
        <w:spacing w:after="0" w:line="35" w:lineRule="exact"/>
        <w:rPr>
          <w:rFonts w:ascii="Times New Roman" w:cs="Times New Roman" w:eastAsia="Times New Roman" w:hAnsi="Times New Roman"/>
          <w:sz w:val="18"/>
          <w:szCs w:val="18"/>
          <w:color w:val="auto"/>
        </w:rPr>
      </w:pPr>
    </w:p>
    <w:p>
      <w:pPr>
        <w:ind w:left="460" w:right="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disclose in future filings such “additional information required by our by-laws” that a shareholder must provide us in order to nominate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candidate.</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Party Transaction Policy and Certain Transactions, page 15</w:t>
      </w:r>
    </w:p>
    <w:p>
      <w:pPr>
        <w:spacing w:after="0" w:line="88" w:lineRule="exact"/>
        <w:rPr>
          <w:sz w:val="24"/>
          <w:szCs w:val="24"/>
          <w:color w:val="auto"/>
        </w:rPr>
      </w:pPr>
    </w:p>
    <w:p>
      <w:pPr>
        <w:ind w:left="460" w:right="340" w:hanging="452"/>
        <w:spacing w:after="0" w:line="277"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state whether your related party transaction policy and procedures are in writing, and, if not, how the policy and procedures are evidenced. See Item 404(b)(1)(iv) of Regulation S-K.</w:t>
      </w:r>
    </w:p>
    <w:p>
      <w:pPr>
        <w:spacing w:after="0" w:line="35" w:lineRule="exact"/>
        <w:rPr>
          <w:rFonts w:ascii="Times New Roman" w:cs="Times New Roman" w:eastAsia="Times New Roman" w:hAnsi="Times New Roman"/>
          <w:sz w:val="18"/>
          <w:szCs w:val="18"/>
          <w:color w:val="auto"/>
        </w:rPr>
      </w:pPr>
    </w:p>
    <w:p>
      <w:pPr>
        <w:ind w:left="460" w:right="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Our related party transaction policy and procedures are included in our Code of Ethics and Business Conduct, which is available on our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website. We will state this in future filings.</w:t>
      </w:r>
    </w:p>
    <w:p>
      <w:pPr>
        <w:spacing w:after="0" w:line="156" w:lineRule="exact"/>
        <w:rPr>
          <w:rFonts w:ascii="Times New Roman" w:cs="Times New Roman" w:eastAsia="Times New Roman" w:hAnsi="Times New Roman"/>
          <w:sz w:val="18"/>
          <w:szCs w:val="18"/>
          <w:color w:val="auto"/>
        </w:rPr>
      </w:pPr>
    </w:p>
    <w:p>
      <w:pPr>
        <w:ind w:left="460" w:right="380" w:hanging="452"/>
        <w:spacing w:after="0" w:line="334" w:lineRule="auto"/>
        <w:tabs>
          <w:tab w:leader="none" w:pos="4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Specify the type of “business services” for which you paid Tyco International Ltd. during the fiscal year, to the extent you are required to continue to describe such a related party transaction with Tyco International in your next proxy statement or annual report. See Item 404(a)(6) of Regulation S-K.</w:t>
      </w:r>
    </w:p>
    <w:p>
      <w:pPr>
        <w:spacing w:after="0" w:line="1" w:lineRule="exact"/>
        <w:rPr>
          <w:rFonts w:ascii="Times New Roman" w:cs="Times New Roman" w:eastAsia="Times New Roman" w:hAnsi="Times New Roman"/>
          <w:sz w:val="16"/>
          <w:szCs w:val="16"/>
          <w:color w:val="auto"/>
        </w:rPr>
      </w:pPr>
    </w:p>
    <w:p>
      <w:pPr>
        <w:ind w:left="460" w:right="260"/>
        <w:spacing w:after="0" w:line="34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Response: </w:t>
      </w:r>
      <w:r>
        <w:rPr>
          <w:rFonts w:ascii="Times New Roman" w:cs="Times New Roman" w:eastAsia="Times New Roman" w:hAnsi="Times New Roman"/>
          <w:sz w:val="16"/>
          <w:szCs w:val="16"/>
          <w:color w:val="auto"/>
        </w:rPr>
        <w:t>We will provide more specificity as to the type of “business services” for which we paid Tyco International Ltd. during the fiscal year,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we are required to continue to describe such a related party transaction with Tyco International in our next proxy statement or annual report.</w:t>
      </w:r>
    </w:p>
    <w:p>
      <w:pPr>
        <w:sectPr>
          <w:pgSz w:w="11900" w:h="16838" w:orient="portrait"/>
          <w:cols w:equalWidth="0" w:num="1">
            <w:col w:w="11400"/>
          </w:cols>
          <w:pgMar w:left="240" w:top="773" w:right="259" w:bottom="1440" w:gutter="0" w:footer="0" w:header="0"/>
        </w:sectPr>
      </w:pPr>
    </w:p>
    <w:bookmarkStart w:id="1" w:name="page2"/>
    <w:bookmarkEnd w:id="1"/>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42900"/>
                    </a:xfrm>
                    <a:prstGeom prst="rect">
                      <a:avLst/>
                    </a:prstGeom>
                    <a:noFill/>
                  </pic:spPr>
                </pic:pic>
              </a:graphicData>
            </a:graphic>
          </wp:anchor>
        </w:drawing>
        <w:t>Comcast Corporation</w:t>
      </w:r>
    </w:p>
    <w:p>
      <w:pPr>
        <w:spacing w:after="0" w:line="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Philadelphia, PA 19102-2148</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215-665-1700 Tel</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215-981-7790 Fax</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www.comcast.com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Compensation, page 29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Discussion and Analysis, page 2</w:t>
      </w:r>
      <w:r>
        <w:rPr>
          <w:rFonts w:ascii="Times New Roman" w:cs="Times New Roman" w:eastAsia="Times New Roman" w:hAnsi="Times New Roman"/>
          <w:sz w:val="18"/>
          <w:szCs w:val="18"/>
          <w:color w:val="auto"/>
        </w:rPr>
        <w:t>9</w:t>
      </w:r>
    </w:p>
    <w:p>
      <w:pPr>
        <w:spacing w:after="0" w:line="88" w:lineRule="exact"/>
        <w:rPr>
          <w:sz w:val="20"/>
          <w:szCs w:val="20"/>
          <w:color w:val="auto"/>
        </w:rPr>
      </w:pPr>
    </w:p>
    <w:p>
      <w:pPr>
        <w:ind w:left="460" w:right="160" w:hanging="452"/>
        <w:spacing w:after="0" w:line="293"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Throughout your compensation discussion and analysis and as to each compensation element, please provide an analysis of how you arrived at and why you paid each of the particular levels and forms of compensation for the last fiscal year. For example, on page 30, you state that the committee assessed each named executive officer’s length of service, individual performance and contributions, responsibilities and role, management and performance, etc. Likewise, on page 32, you state that, in determining base salary, the committee considered job responsibilities and performance, seniority, peer group compensation information, etc. You make similar statements as to long-term equity compensation. In your compensation discussion and analysis, analyze how the committee’s consideration of these factors and the others mentioned resulted in the amounts each officer earned for each compensation element.</w:t>
      </w:r>
    </w:p>
    <w:p>
      <w:pPr>
        <w:spacing w:after="0" w:line="29" w:lineRule="exact"/>
        <w:rPr>
          <w:rFonts w:ascii="Times New Roman" w:cs="Times New Roman" w:eastAsia="Times New Roman" w:hAnsi="Times New Roman"/>
          <w:sz w:val="16"/>
          <w:szCs w:val="16"/>
          <w:color w:val="auto"/>
        </w:rPr>
      </w:pPr>
    </w:p>
    <w:p>
      <w:pPr>
        <w:ind w:left="4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determining compensation levels, the committee’s processes do not conform to a mathematical or other formula in which the stated factors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interrelationship are quantified and weighted (either in general or as to each named executive officer). Rather, the process is subjective, involving the exercise of discretion and judgment. In this process, the result can be clearly stated, but there is no step-by-step analysis as to how it is reached, and to ascribe particular significance to any of the factors involved in its determination would be inaccurate. In future filings, we will ensure that, to the extent such factors and processes can be articulated, that they are described in material detail.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Competitive Market Data, page 30</w:t>
      </w:r>
    </w:p>
    <w:p>
      <w:pPr>
        <w:spacing w:after="0" w:line="88" w:lineRule="exact"/>
        <w:rPr>
          <w:sz w:val="20"/>
          <w:szCs w:val="20"/>
          <w:color w:val="auto"/>
        </w:rPr>
      </w:pPr>
    </w:p>
    <w:p>
      <w:pPr>
        <w:ind w:left="460" w:right="40" w:hanging="452"/>
        <w:spacing w:after="0" w:line="264"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 that investors may understand the kind of benchmarking information you used in determining annual executive compensation, ensure that you have identified each company that you considered for purposes of benchmarking the elements of the named executive officers’ compensation. See Item 402(b)(2) (xiv) of Regulation S-K.</w:t>
      </w:r>
    </w:p>
    <w:p>
      <w:pPr>
        <w:spacing w:after="0" w:line="46" w:lineRule="exact"/>
        <w:rPr>
          <w:sz w:val="20"/>
          <w:szCs w:val="20"/>
          <w:color w:val="auto"/>
        </w:rPr>
      </w:pPr>
    </w:p>
    <w:p>
      <w:pPr>
        <w:ind w:left="460" w:right="14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ensure in future filings that investors are informed of each company that we considered for purposes of benchmarking the elements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named executive officers’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Elements and Mix of Our Compensation Program, page 31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Bonus Incentive Compensation, page 32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Based Incentive Compensation, page 33</w:t>
      </w:r>
    </w:p>
    <w:p>
      <w:pPr>
        <w:spacing w:after="0" w:line="88" w:lineRule="exact"/>
        <w:rPr>
          <w:sz w:val="20"/>
          <w:szCs w:val="20"/>
          <w:color w:val="auto"/>
        </w:rPr>
      </w:pPr>
    </w:p>
    <w:p>
      <w:pPr>
        <w:ind w:left="460" w:right="200" w:hanging="452"/>
        <w:spacing w:after="0" w:line="259"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Discuss whether discretion can be or has been exercised by the board or compensation committee either to award compensation absent attainment of the relevant performance goal(s) or to reduce or increase the size of any award or payout. Identify any particular exercise of discretion, and state whether it applied to one or more specified named executive officers or to all compensation subject to the relevant performance goal(s). See Item 402(b)(2)(vi) of Regulation S-K.</w:t>
      </w:r>
    </w:p>
    <w:p>
      <w:pPr>
        <w:spacing w:after="0" w:line="5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 xml:space="preserve">Response: </w:t>
      </w:r>
      <w:r>
        <w:rPr>
          <w:rFonts w:ascii="Times New Roman" w:cs="Times New Roman" w:eastAsia="Times New Roman" w:hAnsi="Times New Roman"/>
          <w:sz w:val="16"/>
          <w:szCs w:val="16"/>
          <w:color w:val="auto"/>
        </w:rPr>
        <w:t>We will clarify in future filings any such discretionary power of the board or compensation committee, and will disclose any exercise thereof.</w:t>
      </w:r>
    </w:p>
    <w:p>
      <w:pPr>
        <w:spacing w:after="0" w:line="234" w:lineRule="exact"/>
        <w:rPr>
          <w:rFonts w:ascii="Times New Roman" w:cs="Times New Roman" w:eastAsia="Times New Roman" w:hAnsi="Times New Roman"/>
          <w:sz w:val="18"/>
          <w:szCs w:val="18"/>
          <w:color w:val="auto"/>
        </w:rPr>
      </w:pPr>
    </w:p>
    <w:p>
      <w:pPr>
        <w:ind w:left="460" w:right="160" w:hanging="452"/>
        <w:spacing w:after="0" w:line="259"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explain why the target bonuses disclosed on page 32 for Brian Roberts and Stephen Burke are significantly higher than those for the other named executive officers. Currently, it is not apparent as to what circumstance led to this difference, which also is reflected in their employment agreements, and whether this difference signifies a material difference in your policy or decision-making regarding their particular compensation. See Section II.B.1 of Securities Act Release No. 8732A.</w:t>
      </w:r>
    </w:p>
    <w:p>
      <w:pPr>
        <w:spacing w:after="0" w:line="51" w:lineRule="exact"/>
        <w:rPr>
          <w:rFonts w:ascii="Times New Roman" w:cs="Times New Roman" w:eastAsia="Times New Roman" w:hAnsi="Times New Roman"/>
          <w:sz w:val="18"/>
          <w:szCs w:val="18"/>
          <w:color w:val="auto"/>
        </w:rPr>
      </w:pPr>
    </w:p>
    <w:p>
      <w:pPr>
        <w:ind w:left="460" w:right="2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general, as described in our proxy statement, each named executive officer’s compensation is determined in accordance with our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arrangements, based on all factors considered relevant to that officer by the committee at the time and under the circumstances. While levels generally increase with increased responsibility within the company’s management structure, other considerations as described apply as well. The difference in target bonuses noted above does not signify a material difference in the policies or decision-making regarding compensation for Messrs. Roberts and Burke.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814" w:right="259" w:bottom="1440" w:gutter="0" w:footer="0" w:header="0"/>
        </w:sectPr>
      </w:pPr>
    </w:p>
    <w:bookmarkStart w:id="2" w:name="page3"/>
    <w:bookmarkEnd w:id="2"/>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42900"/>
                    </a:xfrm>
                    <a:prstGeom prst="rect">
                      <a:avLst/>
                    </a:prstGeom>
                    <a:noFill/>
                  </pic:spPr>
                </pic:pic>
              </a:graphicData>
            </a:graphic>
          </wp:anchor>
        </w:drawing>
        <w:t>Comcast Corporation</w:t>
      </w:r>
    </w:p>
    <w:p>
      <w:pPr>
        <w:spacing w:after="0" w:line="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Philadelphia, PA 19102-2148</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215-665-1700 Tel</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215-981-7790 Fax</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www.comcast.com</w:t>
      </w:r>
    </w:p>
    <w:p>
      <w:pPr>
        <w:spacing w:after="0" w:line="159" w:lineRule="exact"/>
        <w:rPr>
          <w:sz w:val="20"/>
          <w:szCs w:val="20"/>
          <w:color w:val="auto"/>
        </w:rPr>
      </w:pPr>
    </w:p>
    <w:p>
      <w:pPr>
        <w:ind w:left="460" w:right="100"/>
        <w:spacing w:after="0" w:line="258" w:lineRule="auto"/>
        <w:rPr>
          <w:sz w:val="20"/>
          <w:szCs w:val="20"/>
          <w:color w:val="auto"/>
        </w:rPr>
      </w:pPr>
      <w:r>
        <w:rPr>
          <w:rFonts w:ascii="Times New Roman" w:cs="Times New Roman" w:eastAsia="Times New Roman" w:hAnsi="Times New Roman"/>
          <w:sz w:val="18"/>
          <w:szCs w:val="18"/>
          <w:color w:val="auto"/>
        </w:rPr>
        <w:t>There is no causal relationship between the bonuses of any named executive officers, such as, for example, between those of Mr. Roberts or Mr. Burke, on the one hand, and another named executive officer on the other, making it impossible to explain “why” one amount bears any relationship to another or “why” one amount may exceed another by any particular amount. Within this context, we will clarify in future filings how the target bonuses of each named executive officer are determined.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page 34</w:t>
      </w:r>
    </w:p>
    <w:p>
      <w:pPr>
        <w:spacing w:after="0" w:line="88" w:lineRule="exact"/>
        <w:rPr>
          <w:sz w:val="20"/>
          <w:szCs w:val="20"/>
          <w:color w:val="auto"/>
        </w:rPr>
      </w:pPr>
    </w:p>
    <w:p>
      <w:pPr>
        <w:ind w:left="460" w:right="100" w:hanging="452"/>
        <w:spacing w:after="0" w:line="302" w:lineRule="auto"/>
        <w:tabs>
          <w:tab w:leader="none" w:pos="4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non-qualified deferred compensation table on page 48 shows that you made contributions in and as of the end of 2006 to Brian Roberts in the amount of $2.1 million and that he deferred $1.25 million of his $2.5 million base salary. Please discuss whether there is a relationship between the level of your contribution and the amount of compensation the named executive officer has deferred. Discuss whether this circumstance reflects a material difference in how the committee determines the amounts contributed to the different named executive officers under the deferred compensation plan</w:t>
      </w:r>
      <w:r>
        <w:rPr>
          <w:rFonts w:ascii="Times New Roman" w:cs="Times New Roman" w:eastAsia="Times New Roman" w:hAnsi="Times New Roman"/>
          <w:sz w:val="16"/>
          <w:szCs w:val="16"/>
          <w:color w:val="auto"/>
        </w:rPr>
        <w:t>.</w:t>
      </w:r>
    </w:p>
    <w:p>
      <w:pPr>
        <w:spacing w:after="0" w:line="19" w:lineRule="exact"/>
        <w:rPr>
          <w:rFonts w:ascii="Times New Roman" w:cs="Times New Roman" w:eastAsia="Times New Roman" w:hAnsi="Times New Roman"/>
          <w:sz w:val="16"/>
          <w:szCs w:val="16"/>
          <w:color w:val="auto"/>
        </w:rPr>
      </w:pPr>
    </w:p>
    <w:p>
      <w:pPr>
        <w:ind w:left="460" w:right="24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clarify in future filings that there is no relationship between the level of our contribution to each named executive officer’s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account and the amount of compensation that such named executive officer has elected to defer. The amount that each individual elects to defer is his or her own decision.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in Connection with a Change in Control, page 34</w:t>
      </w:r>
    </w:p>
    <w:p>
      <w:pPr>
        <w:spacing w:after="0" w:line="88" w:lineRule="exact"/>
        <w:rPr>
          <w:sz w:val="20"/>
          <w:szCs w:val="20"/>
          <w:color w:val="auto"/>
        </w:rPr>
      </w:pPr>
    </w:p>
    <w:p>
      <w:pPr>
        <w:ind w:left="460" w:hanging="452"/>
        <w:spacing w:after="0" w:line="26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state on page 34 that “[y]our Board will determine whether it is appropriate to accelerate the vesting of stock options and/or RSUs, as applicable, or provide other benefits in connection with a change in control.” Describe whether the board has any guiding principles or factors that it will consider under such circumstances, what those principles or factors are, and whether they differ for each named executive officer.</w:t>
      </w:r>
    </w:p>
    <w:p>
      <w:pPr>
        <w:spacing w:after="0" w:line="46" w:lineRule="exact"/>
        <w:rPr>
          <w:rFonts w:ascii="Times New Roman" w:cs="Times New Roman" w:eastAsia="Times New Roman" w:hAnsi="Times New Roman"/>
          <w:sz w:val="18"/>
          <w:szCs w:val="18"/>
          <w:color w:val="auto"/>
        </w:rPr>
      </w:pPr>
    </w:p>
    <w:p>
      <w:pPr>
        <w:ind w:left="460" w:right="34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describe in future filings the requested information regarding any guiding principles or factors the board may decide to use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propriety of accelerating the vesting of stock options and/or RSUs, or providing other benefits, in connection with a change in control. There are no such principles or factors at this time.</w:t>
      </w:r>
    </w:p>
    <w:p>
      <w:pPr>
        <w:spacing w:after="0" w:line="167" w:lineRule="exact"/>
        <w:rPr>
          <w:rFonts w:ascii="Times New Roman" w:cs="Times New Roman" w:eastAsia="Times New Roman" w:hAnsi="Times New Roman"/>
          <w:sz w:val="18"/>
          <w:szCs w:val="18"/>
          <w:color w:val="auto"/>
        </w:rPr>
      </w:pPr>
    </w:p>
    <w:p>
      <w:pPr>
        <w:ind w:left="460" w:right="260" w:hanging="452"/>
        <w:spacing w:after="0" w:line="27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Discuss how your termination payment arrangements fit into your overall compensation objectives and affected the decisions you made regarding other compensation elements. Also, provide analysis explaining why you structured the terms and payout levels of these arrangements as you did.</w:t>
      </w:r>
    </w:p>
    <w:p>
      <w:pPr>
        <w:spacing w:after="0" w:line="35" w:lineRule="exact"/>
        <w:rPr>
          <w:rFonts w:ascii="Times New Roman" w:cs="Times New Roman" w:eastAsia="Times New Roman" w:hAnsi="Times New Roman"/>
          <w:sz w:val="18"/>
          <w:szCs w:val="18"/>
          <w:color w:val="auto"/>
        </w:rPr>
      </w:pPr>
    </w:p>
    <w:p>
      <w:pPr>
        <w:ind w:left="460" w:right="100"/>
        <w:spacing w:after="0" w:line="3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 xml:space="preserve">Response: </w:t>
      </w:r>
      <w:r>
        <w:rPr>
          <w:rFonts w:ascii="Times New Roman" w:cs="Times New Roman" w:eastAsia="Times New Roman" w:hAnsi="Times New Roman"/>
          <w:sz w:val="16"/>
          <w:szCs w:val="16"/>
          <w:color w:val="auto"/>
        </w:rPr>
        <w:t>We note that, in general, termination payment arrangements are not a significant factor in our determination of current compensation elements.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However, in future filings we will provide further description of the rationale for establishing and structuring our termination payment arrangements.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Compensation Table for 2006, page 38</w:t>
      </w:r>
    </w:p>
    <w:p>
      <w:pPr>
        <w:spacing w:after="0" w:line="88" w:lineRule="exact"/>
        <w:rPr>
          <w:sz w:val="20"/>
          <w:szCs w:val="20"/>
          <w:color w:val="auto"/>
        </w:rPr>
      </w:pPr>
    </w:p>
    <w:p>
      <w:pPr>
        <w:ind w:left="460" w:right="40" w:hanging="452"/>
        <w:spacing w:after="0" w:line="26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all assumptions made in the valuation of awards in column (e) of the summary compensation table by reference to a discussion of those assumptions in your financial statements, footnotes to the financial statements, or discussion in management’s discussion and analysis. See Instruction 1 to Item 402(c)(2)(v) and (vi) of Regulation S-K.</w:t>
      </w:r>
    </w:p>
    <w:p>
      <w:pPr>
        <w:spacing w:after="0" w:line="4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provide in future filings a cross reference to the appropriate footnote of our audited financial statements.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814" w:right="259" w:bottom="1440" w:gutter="0" w:footer="0" w:header="0"/>
        </w:sectPr>
      </w:pPr>
    </w:p>
    <w:bookmarkStart w:id="3" w:name="page4"/>
    <w:bookmarkEnd w:id="3"/>
    <w:p>
      <w:pPr>
        <w:ind w:left="8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7762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42900"/>
                    </a:xfrm>
                    <a:prstGeom prst="rect">
                      <a:avLst/>
                    </a:prstGeom>
                    <a:noFill/>
                  </pic:spPr>
                </pic:pic>
              </a:graphicData>
            </a:graphic>
          </wp:anchor>
        </w:drawing>
        <w:t>Comcast Corporation</w:t>
      </w:r>
    </w:p>
    <w:p>
      <w:pPr>
        <w:spacing w:after="0" w:line="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1500 Market Street</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Philadelphia, PA 19102-2148</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215-665-1700 Tel</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215-981-7790 Fax</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www.comcast.com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Potential Payments upon Termination or Change in Control, page 51</w:t>
      </w:r>
    </w:p>
    <w:p>
      <w:pPr>
        <w:spacing w:after="0" w:line="88" w:lineRule="exact"/>
        <w:rPr>
          <w:sz w:val="20"/>
          <w:szCs w:val="20"/>
          <w:color w:val="auto"/>
        </w:rPr>
      </w:pPr>
    </w:p>
    <w:p>
      <w:pPr>
        <w:ind w:left="460" w:hanging="452"/>
        <w:spacing w:after="0" w:line="27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 assist shareholders in recognizing the extent of the potential payments, consider presenting the different kinds and amounts of estimated payments and benefits to the named executive officers in a table or tables</w:t>
      </w:r>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consider in future filings whether presenting this information in a tabular format would present it in a clearer manner.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for 2006, page 57</w:t>
      </w:r>
    </w:p>
    <w:p>
      <w:pPr>
        <w:spacing w:after="0" w:line="88" w:lineRule="exact"/>
        <w:rPr>
          <w:sz w:val="20"/>
          <w:szCs w:val="20"/>
          <w:color w:val="auto"/>
        </w:rPr>
      </w:pPr>
    </w:p>
    <w:p>
      <w:pPr>
        <w:ind w:left="460" w:hanging="452"/>
        <w:spacing w:after="0" w:line="26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all assumptions made in the valuation of awards in column (c) of the director compensation table by reference to a discussion of those assumptions in your financial statements, footnotes to the financial statements, or discussion in management’s discussion and analysis. See Instruction to Item 402(k) of Regulation S-K, which refers to Instruction 1 to Item 402(c)(2)(v) and (vi)</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comply in future filings with the above referenced Instruction.</w:t>
      </w:r>
    </w:p>
    <w:p>
      <w:pPr>
        <w:spacing w:after="0" w:line="211" w:lineRule="exact"/>
        <w:rPr>
          <w:rFonts w:ascii="Times New Roman" w:cs="Times New Roman" w:eastAsia="Times New Roman" w:hAnsi="Times New Roman"/>
          <w:sz w:val="18"/>
          <w:szCs w:val="18"/>
          <w:color w:val="auto"/>
        </w:rPr>
      </w:pPr>
    </w:p>
    <w:p>
      <w:pPr>
        <w:ind w:left="460" w:right="460" w:hanging="452"/>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each director, disclose by footnote to column (c) of the director compensation table the grant date fair value of each equity award computed in accordance with FAS 123R. See Instruction to Item 402(k)(2)(iii) and (iv) of Regulation S-K.</w:t>
      </w:r>
    </w:p>
    <w:p>
      <w:pPr>
        <w:spacing w:after="0" w:line="35" w:lineRule="exact"/>
        <w:rPr>
          <w:rFonts w:ascii="Times New Roman" w:cs="Times New Roman" w:eastAsia="Times New Roman" w:hAnsi="Times New Roman"/>
          <w:sz w:val="18"/>
          <w:szCs w:val="18"/>
          <w:color w:val="auto"/>
        </w:rPr>
      </w:pPr>
    </w:p>
    <w:p>
      <w:pPr>
        <w:ind w:left="460" w:right="1100"/>
        <w:spacing w:after="0" w:line="3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will disclose in future filings the grant date fair values of each equity award in compliance with the referenced instruction.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our responses to the Staff’s comments, I acknowledge, on behalf of Comcast Corporation, that:</w:t>
      </w:r>
    </w:p>
    <w:p>
      <w:pPr>
        <w:spacing w:after="0" w:line="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 is responsible for the adequacy and accuracy of the disclosures in its filings;</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Corporation may not assert staff comments as a defense in any proceeding initiated by the Commission or any person under the federal securities laws of the United States.</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hope the foregoing responses fully address the Staff’s concerns. Please do not hesitate to call me at (215) 981-7564 with any questions you may have with respect to the foregoing.</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199" w:lineRule="exact"/>
        <w:rPr>
          <w:sz w:val="20"/>
          <w:szCs w:val="20"/>
          <w:color w:val="auto"/>
        </w:rPr>
      </w:pPr>
    </w:p>
    <w:p>
      <w:pPr>
        <w:ind w:left="460" w:right="5860" w:hanging="452"/>
        <w:spacing w:after="0" w:line="275" w:lineRule="auto"/>
        <w:tabs>
          <w:tab w:leader="none" w:pos="4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L. Roberts, Chairman of the Board and Chief Executive Officer Kyoko Takahashi Lin, Esq., Davis Polk &amp; Wardwell</w:t>
      </w:r>
    </w:p>
    <w:p>
      <w:pPr>
        <w:spacing w:after="0" w:line="1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20"/>
      </w:cols>
      <w:pgMar w:left="240" w:top="81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8"/>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decimal"/>
      <w:start w:val="13"/>
    </w:lvl>
    <w:lvl w:ilvl="1">
      <w:lvlJc w:val="left"/>
      <w:lvlText w:val="•"/>
      <w:numFmt w:val="bullet"/>
      <w:start w:val="1"/>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2019-12-15T07:00:51Z</dcterms:created>
  <dcterms:modified xsi:type="dcterms:W3CDTF">2019-12-15T07:00:51Z</dcterms:modified>
</cp:coreProperties>
</file>