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FORM 11-K</w:t>
      </w:r>
    </w:p>
    <w:p>
      <w:pPr>
        <w:spacing w:after="0" w:line="210"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ANNUAL REPORT</w:t>
      </w:r>
    </w:p>
    <w:p>
      <w:pPr>
        <w:spacing w:after="0" w:line="210" w:lineRule="exact"/>
        <w:rPr>
          <w:sz w:val="24"/>
          <w:szCs w:val="24"/>
          <w:color w:val="auto"/>
        </w:rPr>
      </w:pPr>
    </w:p>
    <w:p>
      <w:pPr>
        <w:jc w:val="right"/>
        <w:ind w:right="4339"/>
        <w:spacing w:after="0"/>
        <w:rPr>
          <w:sz w:val="20"/>
          <w:szCs w:val="20"/>
          <w:color w:val="auto"/>
        </w:rPr>
      </w:pPr>
      <w:r>
        <w:rPr>
          <w:rFonts w:ascii="Courier New" w:cs="Courier New" w:eastAsia="Courier New" w:hAnsi="Courier New"/>
          <w:sz w:val="17"/>
          <w:szCs w:val="17"/>
          <w:color w:val="auto"/>
        </w:rPr>
        <w:t>Pursuant to Section 15(d) of the</w:t>
      </w:r>
    </w:p>
    <w:p>
      <w:pPr>
        <w:spacing w:after="0" w:line="9" w:lineRule="exact"/>
        <w:rPr>
          <w:sz w:val="24"/>
          <w:szCs w:val="24"/>
          <w:color w:val="auto"/>
        </w:rPr>
      </w:pPr>
    </w:p>
    <w:p>
      <w:pPr>
        <w:jc w:val="right"/>
        <w:ind w:right="4339"/>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spacing w:after="0" w:line="212"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10" w:lineRule="exact"/>
        <w:rPr>
          <w:sz w:val="24"/>
          <w:szCs w:val="24"/>
          <w:color w:val="auto"/>
        </w:rPr>
      </w:pPr>
    </w:p>
    <w:p>
      <w:pPr>
        <w:ind w:left="1360" w:hanging="934"/>
        <w:spacing w:after="0"/>
        <w:tabs>
          <w:tab w:leader="none" w:pos="13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15(d) OF THE SECURITIES</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w:t>
      </w:r>
    </w:p>
    <w:p>
      <w:pPr>
        <w:spacing w:after="0" w:line="8" w:lineRule="exact"/>
        <w:rPr>
          <w:rFonts w:ascii="Courier New" w:cs="Courier New" w:eastAsia="Courier New" w:hAnsi="Courier New"/>
          <w:sz w:val="17"/>
          <w:szCs w:val="17"/>
          <w:color w:val="auto"/>
        </w:rPr>
      </w:pPr>
    </w:p>
    <w:p>
      <w:pPr>
        <w:ind w:left="1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 fiscal year ended December 31, 2003.</w:t>
      </w:r>
    </w:p>
    <w:p>
      <w:pPr>
        <w:spacing w:after="0" w:line="210"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TRANSITION REPORT PURSUANT TO SECTION 15(d) OF THE</w:t>
      </w:r>
    </w:p>
    <w:p>
      <w:pPr>
        <w:spacing w:after="0" w:line="9" w:lineRule="exact"/>
        <w:rPr>
          <w:sz w:val="24"/>
          <w:szCs w:val="24"/>
          <w:color w:val="auto"/>
        </w:rPr>
      </w:pPr>
    </w:p>
    <w:p>
      <w:pPr>
        <w:ind w:left="1360" w:hanging="1038"/>
        <w:spacing w:after="0"/>
        <w:tabs>
          <w:tab w:leader="none" w:pos="13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w:t>
      </w:r>
    </w:p>
    <w:p>
      <w:pPr>
        <w:spacing w:after="0" w:line="8" w:lineRule="exact"/>
        <w:rPr>
          <w:rFonts w:ascii="Courier New" w:cs="Courier New" w:eastAsia="Courier New" w:hAnsi="Courier New"/>
          <w:sz w:val="17"/>
          <w:szCs w:val="17"/>
          <w:color w:val="auto"/>
        </w:rPr>
      </w:pPr>
    </w:p>
    <w:p>
      <w:pPr>
        <w:ind w:left="1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 transition period from _________ to ________</w:t>
      </w:r>
    </w:p>
    <w:p>
      <w:pPr>
        <w:spacing w:after="0" w:line="210"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Commission file number 000-50093</w:t>
      </w:r>
    </w:p>
    <w:p>
      <w:pPr>
        <w:spacing w:after="0" w:line="9"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840" w:right="2359" w:firstLine="1047"/>
        <w:spacing w:after="0" w:line="257" w:lineRule="auto"/>
        <w:rPr>
          <w:sz w:val="20"/>
          <w:szCs w:val="20"/>
          <w:color w:val="auto"/>
        </w:rPr>
      </w:pPr>
      <w:r>
        <w:rPr>
          <w:rFonts w:ascii="Courier New" w:cs="Courier New" w:eastAsia="Courier New" w:hAnsi="Courier New"/>
          <w:sz w:val="17"/>
          <w:szCs w:val="17"/>
          <w:color w:val="auto"/>
        </w:rPr>
        <w:t>A. Full title of the plan and the address of the plan, if different from that of the issuer named below:</w:t>
      </w:r>
    </w:p>
    <w:p>
      <w:pPr>
        <w:spacing w:after="0" w:line="192"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THE COMCAST CORPORATION RETIREMENT-INVESTMENT PLAN</w:t>
      </w:r>
    </w:p>
    <w:p>
      <w:pPr>
        <w:spacing w:after="0" w:line="210" w:lineRule="exact"/>
        <w:rPr>
          <w:sz w:val="24"/>
          <w:szCs w:val="24"/>
          <w:color w:val="auto"/>
        </w:rPr>
      </w:pPr>
    </w:p>
    <w:p>
      <w:pPr>
        <w:ind w:left="840" w:right="1939" w:firstLine="1047"/>
        <w:spacing w:after="0" w:line="257" w:lineRule="auto"/>
        <w:rPr>
          <w:sz w:val="20"/>
          <w:szCs w:val="20"/>
          <w:color w:val="auto"/>
        </w:rPr>
      </w:pPr>
      <w:r>
        <w:rPr>
          <w:rFonts w:ascii="Courier New" w:cs="Courier New" w:eastAsia="Courier New" w:hAnsi="Courier New"/>
          <w:sz w:val="17"/>
          <w:szCs w:val="17"/>
          <w:color w:val="auto"/>
        </w:rPr>
        <w:t>B. Name of issuer of the securities held pursuant to the plan and the address of its principal executive office:</w:t>
      </w:r>
    </w:p>
    <w:p>
      <w:pPr>
        <w:spacing w:after="0" w:line="192"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1500 Market Street</w:t>
      </w:r>
    </w:p>
    <w:p>
      <w:pPr>
        <w:spacing w:after="0" w:line="9"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COMCAST CORPORATION RETIREMENT-</w:t>
      </w:r>
    </w:p>
    <w:p>
      <w:pPr>
        <w:spacing w:after="0" w:line="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INVESTMENT PLAN</w:t>
      </w:r>
    </w:p>
    <w:p>
      <w:pPr>
        <w:spacing w:after="0" w:line="210" w:lineRule="exact"/>
        <w:rPr>
          <w:sz w:val="24"/>
          <w:szCs w:val="24"/>
          <w:color w:val="auto"/>
        </w:rPr>
      </w:pPr>
    </w:p>
    <w:p>
      <w:pPr>
        <w:ind w:left="2000" w:right="2559"/>
        <w:spacing w:after="0" w:line="253" w:lineRule="auto"/>
        <w:rPr>
          <w:sz w:val="20"/>
          <w:szCs w:val="20"/>
          <w:color w:val="auto"/>
        </w:rPr>
      </w:pPr>
      <w:r>
        <w:rPr>
          <w:rFonts w:ascii="Courier New" w:cs="Courier New" w:eastAsia="Courier New" w:hAnsi="Courier New"/>
          <w:sz w:val="17"/>
          <w:szCs w:val="17"/>
          <w:color w:val="auto"/>
        </w:rPr>
        <w:t>Financial Statements as of December 31, 2003 and 2002 and for the Year Ended December 31, 2003; Supplemental Schedule as of December 31, 2003; and Report of Independent Registered Public Accounting Firm</w:t>
      </w:r>
    </w:p>
    <w:p>
      <w:pPr>
        <w:sectPr>
          <w:pgSz w:w="11900" w:h="16838" w:orient="portrait"/>
          <w:cols w:equalWidth="0" w:num="1">
            <w:col w:w="10219"/>
          </w:cols>
          <w:pgMar w:left="240" w:top="2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604"/>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REPORT OF INDEPENDENT</w:t>
            </w:r>
          </w:p>
        </w:tc>
        <w:tc>
          <w:tcPr>
            <w:tcW w:w="7000" w:type="dxa"/>
            <w:vAlign w:val="bottom"/>
          </w:tcPr>
          <w:p>
            <w:pPr>
              <w:spacing w:after="0"/>
              <w:rPr>
                <w:sz w:val="20"/>
                <w:szCs w:val="20"/>
                <w:color w:val="auto"/>
              </w:rPr>
            </w:pPr>
            <w:r>
              <w:rPr>
                <w:rFonts w:ascii="Courier New" w:cs="Courier New" w:eastAsia="Courier New" w:hAnsi="Courier New"/>
                <w:sz w:val="17"/>
                <w:szCs w:val="17"/>
                <w:color w:val="auto"/>
              </w:rPr>
              <w:t>REGISTERED PUBLIC ACCOUNTING FIRM</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w:t>
            </w:r>
          </w:p>
        </w:tc>
      </w:tr>
      <w:tr>
        <w:trPr>
          <w:trHeight w:val="403"/>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FINANCIAL STATEMENTS:</w:t>
            </w:r>
          </w:p>
        </w:tc>
        <w:tc>
          <w:tcPr>
            <w:tcW w:w="7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Statement of</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Net</w:t>
            </w:r>
          </w:p>
        </w:tc>
        <w:tc>
          <w:tcPr>
            <w:tcW w:w="7000" w:type="dxa"/>
            <w:vAlign w:val="bottom"/>
          </w:tcPr>
          <w:p>
            <w:pPr>
              <w:spacing w:after="0"/>
              <w:rPr>
                <w:sz w:val="20"/>
                <w:szCs w:val="20"/>
                <w:color w:val="auto"/>
              </w:rPr>
            </w:pPr>
            <w:r>
              <w:rPr>
                <w:rFonts w:ascii="Courier New" w:cs="Courier New" w:eastAsia="Courier New" w:hAnsi="Courier New"/>
                <w:sz w:val="17"/>
                <w:szCs w:val="17"/>
                <w:color w:val="auto"/>
              </w:rPr>
              <w:t>Assets Available for Benefits as of December 31, 2003 and 2002</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w:t>
            </w:r>
          </w:p>
        </w:tc>
      </w:tr>
      <w:tr>
        <w:trPr>
          <w:trHeight w:val="40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Statement of</w:t>
            </w:r>
          </w:p>
        </w:tc>
        <w:tc>
          <w:tcPr>
            <w:tcW w:w="7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Changes in Net Assets Available for Benefits for the Year Ended</w:t>
            </w:r>
          </w:p>
        </w:tc>
        <w:tc>
          <w:tcPr>
            <w:tcW w:w="1060" w:type="dxa"/>
            <w:vAlign w:val="bottom"/>
          </w:tcPr>
          <w:p>
            <w:pPr>
              <w:spacing w:after="0"/>
              <w:rPr>
                <w:sz w:val="24"/>
                <w:szCs w:val="24"/>
                <w:color w:val="auto"/>
              </w:rPr>
            </w:pPr>
          </w:p>
        </w:tc>
      </w:tr>
      <w:tr>
        <w:trPr>
          <w:trHeight w:val="201"/>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7000" w:type="dxa"/>
            <w:vAlign w:val="bottom"/>
          </w:tcPr>
          <w:p>
            <w:pPr>
              <w:spacing w:after="0"/>
              <w:rPr>
                <w:sz w:val="20"/>
                <w:szCs w:val="20"/>
                <w:color w:val="auto"/>
              </w:rPr>
            </w:pPr>
            <w:r>
              <w:rPr>
                <w:rFonts w:ascii="Courier New" w:cs="Courier New" w:eastAsia="Courier New" w:hAnsi="Courier New"/>
                <w:sz w:val="17"/>
                <w:szCs w:val="17"/>
                <w:color w:val="auto"/>
              </w:rPr>
              <w:t>2003</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w:t>
            </w:r>
          </w:p>
        </w:tc>
      </w:tr>
      <w:tr>
        <w:trPr>
          <w:trHeight w:val="403"/>
        </w:trPr>
        <w:tc>
          <w:tcPr>
            <w:tcW w:w="9320" w:type="dxa"/>
            <w:vAlign w:val="bottom"/>
            <w:gridSpan w:val="3"/>
          </w:tcPr>
          <w:p>
            <w:pPr>
              <w:ind w:left="540"/>
              <w:spacing w:after="0"/>
              <w:rPr>
                <w:sz w:val="20"/>
                <w:szCs w:val="20"/>
                <w:color w:val="auto"/>
              </w:rPr>
            </w:pPr>
            <w:r>
              <w:rPr>
                <w:rFonts w:ascii="Courier New" w:cs="Courier New" w:eastAsia="Courier New" w:hAnsi="Courier New"/>
                <w:sz w:val="17"/>
                <w:szCs w:val="17"/>
                <w:color w:val="auto"/>
              </w:rPr>
              <w:t>Notes to Financial Statements</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w:t>
            </w:r>
          </w:p>
        </w:tc>
      </w:tr>
      <w:tr>
        <w:trPr>
          <w:trHeight w:val="403"/>
        </w:trPr>
        <w:tc>
          <w:tcPr>
            <w:tcW w:w="2320" w:type="dxa"/>
            <w:vAlign w:val="bottom"/>
            <w:gridSpan w:val="2"/>
          </w:tcPr>
          <w:p>
            <w:pPr>
              <w:spacing w:after="0"/>
              <w:rPr>
                <w:sz w:val="20"/>
                <w:szCs w:val="20"/>
                <w:color w:val="auto"/>
              </w:rPr>
            </w:pPr>
            <w:r>
              <w:rPr>
                <w:rFonts w:ascii="Courier New" w:cs="Courier New" w:eastAsia="Courier New" w:hAnsi="Courier New"/>
                <w:sz w:val="17"/>
                <w:szCs w:val="17"/>
                <w:color w:val="auto"/>
              </w:rPr>
              <w:t>SUPPLEMENTAL SCHEDULE:</w:t>
            </w:r>
          </w:p>
        </w:tc>
        <w:tc>
          <w:tcPr>
            <w:tcW w:w="7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Schedule H -</w:t>
            </w:r>
          </w:p>
        </w:tc>
        <w:tc>
          <w:tcPr>
            <w:tcW w:w="7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Line 4i - Schedule of Assets Held for Investment Purposes as of</w:t>
            </w:r>
          </w:p>
        </w:tc>
        <w:tc>
          <w:tcPr>
            <w:tcW w:w="1060" w:type="dxa"/>
            <w:vAlign w:val="bottom"/>
          </w:tcPr>
          <w:p>
            <w:pPr>
              <w:spacing w:after="0"/>
              <w:rPr>
                <w:sz w:val="24"/>
                <w:szCs w:val="24"/>
                <w:color w:val="auto"/>
              </w:rPr>
            </w:pPr>
          </w:p>
        </w:tc>
      </w:tr>
      <w:tr>
        <w:trPr>
          <w:trHeight w:val="201"/>
        </w:trPr>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December</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31,</w:t>
            </w:r>
          </w:p>
        </w:tc>
        <w:tc>
          <w:tcPr>
            <w:tcW w:w="7000" w:type="dxa"/>
            <w:vAlign w:val="bottom"/>
          </w:tcPr>
          <w:p>
            <w:pPr>
              <w:spacing w:after="0"/>
              <w:rPr>
                <w:sz w:val="20"/>
                <w:szCs w:val="20"/>
                <w:color w:val="auto"/>
              </w:rPr>
            </w:pPr>
            <w:r>
              <w:rPr>
                <w:rFonts w:ascii="Courier New" w:cs="Courier New" w:eastAsia="Courier New" w:hAnsi="Courier New"/>
                <w:sz w:val="17"/>
                <w:szCs w:val="17"/>
                <w:color w:val="auto"/>
              </w:rPr>
              <w:t>2003</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9-10</w:t>
            </w:r>
          </w:p>
        </w:tc>
      </w:tr>
      <w:tr>
        <w:trPr>
          <w:trHeight w:val="403"/>
        </w:trPr>
        <w:tc>
          <w:tcPr>
            <w:tcW w:w="9320" w:type="dxa"/>
            <w:vAlign w:val="bottom"/>
            <w:gridSpan w:val="3"/>
          </w:tcPr>
          <w:p>
            <w:pPr>
              <w:spacing w:after="0"/>
              <w:rPr>
                <w:sz w:val="20"/>
                <w:szCs w:val="20"/>
                <w:color w:val="auto"/>
              </w:rPr>
            </w:pPr>
            <w:r>
              <w:rPr>
                <w:rFonts w:ascii="Courier New" w:cs="Courier New" w:eastAsia="Courier New" w:hAnsi="Courier New"/>
                <w:sz w:val="17"/>
                <w:szCs w:val="17"/>
                <w:color w:val="auto"/>
              </w:rPr>
              <w:t>CONSENT OF INDEPENDENT REGISTERED PUBLIC ACCOUNTING FIRM</w:t>
            </w: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w:t>
            </w:r>
          </w:p>
        </w:tc>
      </w:tr>
      <w:tr>
        <w:trPr>
          <w:trHeight w:val="403"/>
        </w:trPr>
        <w:tc>
          <w:tcPr>
            <w:tcW w:w="184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4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w:t>
            </w:r>
          </w:p>
        </w:tc>
      </w:tr>
    </w:tbl>
    <w:p>
      <w:pPr>
        <w:sectPr>
          <w:pgSz w:w="11900" w:h="16838" w:orient="portrait"/>
          <w:cols w:equalWidth="0" w:num="1">
            <w:col w:w="10380"/>
          </w:cols>
          <w:pgMar w:left="240" w:top="1323" w:right="1279" w:bottom="1440" w:gutter="0" w:footer="0" w:header="0"/>
        </w:sectPr>
      </w:pPr>
    </w:p>
    <w:bookmarkStart w:id="2" w:name="page3"/>
    <w:bookmarkEnd w:id="2"/>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We have audited the accompanying statement of net assets available for benefits of the Comcast Corporation Retirement-Investment Plan (the "Plan") as of December 31, 2003 and 2002, and the related statement of changes in net assets available for benefits for the year ended December 31, 2003. These financial statements are the responsibility of the Plan's management. Our responsibility is to express an opinion on these financial statements based on our audits.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conducted our audits in accordance with the standards of the Public Company Accounting Oversight Board (United States).Those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 our opinion, such financial statements present fairly, in all material respects, the net assets available for benefits of the Plan as of December 31, 2003 and 2002, and the related changes in net assets available for benefits for the year ended December 31, 2003 in conformity with accounting principles generally accepted in the United States of America.</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Our audits were performed for the purpose of forming an opinion on the basic financial statements taken as a whole. The supplemental schedule of Assets Held for Investment Purposes as of December 31, 2003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Such supplemental schedule has been subjected to the auditing procedures applied in our audit of the basic 2003 financial statements and, in our opinion, is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NET ASSETS AVAILABLE FOR BENEFITS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31, 2003 AND 2002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(Thousands of Dollars)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2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4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2003</w:t>
            </w:r>
          </w:p>
        </w:tc>
        <w:tc>
          <w:tcPr>
            <w:tcW w:w="46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2002</w:t>
            </w:r>
          </w:p>
        </w:tc>
      </w:tr>
      <w:tr>
        <w:trPr>
          <w:trHeight w:val="201"/>
        </w:trPr>
        <w:tc>
          <w:tcPr>
            <w:tcW w:w="4560" w:type="dxa"/>
            <w:vAlign w:val="bottom"/>
          </w:tcPr>
          <w:p>
            <w:pPr>
              <w:spacing w:after="0"/>
              <w:rPr>
                <w:sz w:val="17"/>
                <w:szCs w:val="17"/>
                <w:color w:val="auto"/>
              </w:rPr>
            </w:pP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5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4560" w:type="dxa"/>
            <w:vAlign w:val="bottom"/>
          </w:tcPr>
          <w:p>
            <w:pPr>
              <w:ind w:left="320"/>
              <w:spacing w:after="0"/>
              <w:rPr>
                <w:sz w:val="20"/>
                <w:szCs w:val="20"/>
                <w:color w:val="auto"/>
              </w:rPr>
            </w:pPr>
            <w:r>
              <w:rPr>
                <w:rFonts w:ascii="Courier New" w:cs="Courier New" w:eastAsia="Courier New" w:hAnsi="Courier New"/>
                <w:sz w:val="17"/>
                <w:szCs w:val="17"/>
                <w:color w:val="auto"/>
              </w:rPr>
              <w:t>Cash</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903</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201"/>
        </w:trPr>
        <w:tc>
          <w:tcPr>
            <w:tcW w:w="4560" w:type="dxa"/>
            <w:vAlign w:val="bottom"/>
          </w:tcPr>
          <w:p>
            <w:pPr>
              <w:ind w:left="320"/>
              <w:spacing w:after="0"/>
              <w:rPr>
                <w:sz w:val="20"/>
                <w:szCs w:val="20"/>
                <w:color w:val="auto"/>
              </w:rPr>
            </w:pPr>
            <w:r>
              <w:rPr>
                <w:rFonts w:ascii="Courier New" w:cs="Courier New" w:eastAsia="Courier New" w:hAnsi="Courier New"/>
                <w:sz w:val="17"/>
                <w:szCs w:val="17"/>
                <w:color w:val="auto"/>
              </w:rPr>
              <w:t>Contributions receivable</w:t>
            </w:r>
          </w:p>
        </w:tc>
        <w:tc>
          <w:tcPr>
            <w:tcW w:w="360" w:type="dxa"/>
            <w:vAlign w:val="bottom"/>
          </w:tcPr>
          <w:p>
            <w:pPr>
              <w:spacing w:after="0"/>
              <w:rPr>
                <w:sz w:val="17"/>
                <w:szCs w:val="17"/>
                <w:color w:val="auto"/>
              </w:rPr>
            </w:pPr>
          </w:p>
        </w:tc>
        <w:tc>
          <w:tcPr>
            <w:tcW w:w="12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8,260</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2,034</w:t>
            </w:r>
          </w:p>
        </w:tc>
      </w:tr>
      <w:tr>
        <w:trPr>
          <w:trHeight w:val="201"/>
        </w:trPr>
        <w:tc>
          <w:tcPr>
            <w:tcW w:w="4560" w:type="dxa"/>
            <w:vAlign w:val="bottom"/>
          </w:tcPr>
          <w:p>
            <w:pPr>
              <w:ind w:left="320"/>
              <w:spacing w:after="0"/>
              <w:rPr>
                <w:sz w:val="20"/>
                <w:szCs w:val="20"/>
                <w:color w:val="auto"/>
              </w:rPr>
            </w:pPr>
            <w:r>
              <w:rPr>
                <w:rFonts w:ascii="Courier New" w:cs="Courier New" w:eastAsia="Courier New" w:hAnsi="Courier New"/>
                <w:sz w:val="17"/>
                <w:szCs w:val="17"/>
                <w:color w:val="auto"/>
              </w:rPr>
              <w:t>Investments, at fair or contract value</w:t>
            </w:r>
          </w:p>
        </w:tc>
        <w:tc>
          <w:tcPr>
            <w:tcW w:w="360" w:type="dxa"/>
            <w:vAlign w:val="bottom"/>
          </w:tcPr>
          <w:p>
            <w:pPr>
              <w:spacing w:after="0"/>
              <w:rPr>
                <w:sz w:val="17"/>
                <w:szCs w:val="17"/>
                <w:color w:val="auto"/>
              </w:rPr>
            </w:pPr>
          </w:p>
        </w:tc>
        <w:tc>
          <w:tcPr>
            <w:tcW w:w="12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1,447,430</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299,692</w:t>
            </w:r>
          </w:p>
        </w:tc>
      </w:tr>
      <w:tr>
        <w:trPr>
          <w:trHeight w:val="201"/>
        </w:trPr>
        <w:tc>
          <w:tcPr>
            <w:tcW w:w="4560" w:type="dxa"/>
            <w:vAlign w:val="bottom"/>
          </w:tcPr>
          <w:p>
            <w:pPr>
              <w:ind w:left="320"/>
              <w:spacing w:after="0"/>
              <w:rPr>
                <w:sz w:val="20"/>
                <w:szCs w:val="20"/>
                <w:color w:val="auto"/>
              </w:rPr>
            </w:pPr>
            <w:r>
              <w:rPr>
                <w:rFonts w:ascii="Courier New" w:cs="Courier New" w:eastAsia="Courier New" w:hAnsi="Courier New"/>
                <w:sz w:val="17"/>
                <w:szCs w:val="17"/>
                <w:color w:val="auto"/>
              </w:rPr>
              <w:t>Loans receivable from participants</w:t>
            </w:r>
          </w:p>
        </w:tc>
        <w:tc>
          <w:tcPr>
            <w:tcW w:w="360" w:type="dxa"/>
            <w:vAlign w:val="bottom"/>
          </w:tcPr>
          <w:p>
            <w:pPr>
              <w:spacing w:after="0"/>
              <w:rPr>
                <w:sz w:val="17"/>
                <w:szCs w:val="17"/>
                <w:color w:val="auto"/>
              </w:rPr>
            </w:pPr>
          </w:p>
        </w:tc>
        <w:tc>
          <w:tcPr>
            <w:tcW w:w="12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50,518</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12,220</w:t>
            </w:r>
          </w:p>
        </w:tc>
      </w:tr>
      <w:tr>
        <w:trPr>
          <w:trHeight w:val="201"/>
        </w:trPr>
        <w:tc>
          <w:tcPr>
            <w:tcW w:w="4560" w:type="dxa"/>
            <w:vAlign w:val="bottom"/>
          </w:tcPr>
          <w:p>
            <w:pPr>
              <w:spacing w:after="0"/>
              <w:rPr>
                <w:sz w:val="17"/>
                <w:szCs w:val="17"/>
                <w:color w:val="auto"/>
              </w:rPr>
            </w:pP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56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w:t>
            </w: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$1,507,111</w:t>
            </w:r>
          </w:p>
        </w:tc>
        <w:tc>
          <w:tcPr>
            <w:tcW w:w="4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313,999</w:t>
            </w:r>
          </w:p>
        </w:tc>
      </w:tr>
      <w:tr>
        <w:trPr>
          <w:trHeight w:val="201"/>
        </w:trPr>
        <w:tc>
          <w:tcPr>
            <w:tcW w:w="4560" w:type="dxa"/>
            <w:vAlign w:val="bottom"/>
          </w:tcPr>
          <w:p>
            <w:pPr>
              <w:spacing w:after="0"/>
              <w:rPr>
                <w:sz w:val="17"/>
                <w:szCs w:val="17"/>
                <w:color w:val="auto"/>
              </w:rPr>
            </w:pPr>
          </w:p>
        </w:tc>
        <w:tc>
          <w:tcPr>
            <w:tcW w:w="158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ENDED DECEMBER 31, 2003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(Thousands of Dollars)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Year Ended</w:t>
            </w:r>
          </w:p>
        </w:tc>
      </w:tr>
      <w:tr>
        <w:trPr>
          <w:trHeight w:val="201"/>
        </w:trPr>
        <w:tc>
          <w:tcPr>
            <w:tcW w:w="5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2003</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ADDITIONS TO NET ASSETS ATTRIBUTED TO:</w:t>
            </w:r>
          </w:p>
        </w:tc>
        <w:tc>
          <w:tcPr>
            <w:tcW w:w="152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Investments:</w:t>
            </w:r>
          </w:p>
        </w:tc>
        <w:tc>
          <w:tcPr>
            <w:tcW w:w="1520" w:type="dxa"/>
            <w:vAlign w:val="bottom"/>
          </w:tcPr>
          <w:p>
            <w:pPr>
              <w:spacing w:after="0"/>
              <w:rPr>
                <w:sz w:val="17"/>
                <w:szCs w:val="17"/>
                <w:color w:val="auto"/>
              </w:rPr>
            </w:pP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Net realized and unrealized appreciation</w:t>
            </w:r>
          </w:p>
        </w:tc>
        <w:tc>
          <w:tcPr>
            <w:tcW w:w="1520" w:type="dxa"/>
            <w:vAlign w:val="bottom"/>
          </w:tcPr>
          <w:p>
            <w:pPr>
              <w:spacing w:after="0"/>
              <w:rPr>
                <w:sz w:val="17"/>
                <w:szCs w:val="17"/>
                <w:color w:val="auto"/>
              </w:rPr>
            </w:pPr>
          </w:p>
        </w:tc>
      </w:tr>
      <w:tr>
        <w:trPr>
          <w:trHeight w:val="201"/>
        </w:trPr>
        <w:tc>
          <w:tcPr>
            <w:tcW w:w="5400" w:type="dxa"/>
            <w:vAlign w:val="bottom"/>
          </w:tcPr>
          <w:p>
            <w:pPr>
              <w:ind w:left="740"/>
              <w:spacing w:after="0"/>
              <w:rPr>
                <w:sz w:val="20"/>
                <w:szCs w:val="20"/>
                <w:color w:val="auto"/>
              </w:rPr>
            </w:pPr>
            <w:r>
              <w:rPr>
                <w:rFonts w:ascii="Courier New" w:cs="Courier New" w:eastAsia="Courier New" w:hAnsi="Courier New"/>
                <w:sz w:val="17"/>
                <w:szCs w:val="17"/>
                <w:color w:val="auto"/>
              </w:rPr>
              <w:t>in fair value of investments</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144,829</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Interest and dividends</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22,288</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167,117</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Contributions:</w:t>
            </w:r>
          </w:p>
        </w:tc>
        <w:tc>
          <w:tcPr>
            <w:tcW w:w="1520" w:type="dxa"/>
            <w:vAlign w:val="bottom"/>
          </w:tcPr>
          <w:p>
            <w:pPr>
              <w:spacing w:after="0"/>
              <w:rPr>
                <w:sz w:val="17"/>
                <w:szCs w:val="17"/>
                <w:color w:val="auto"/>
              </w:rPr>
            </w:pP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Employee</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81,801</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Employer</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58,218</w:t>
            </w:r>
          </w:p>
        </w:tc>
      </w:tr>
      <w:tr>
        <w:trPr>
          <w:trHeight w:val="201"/>
        </w:trPr>
        <w:tc>
          <w:tcPr>
            <w:tcW w:w="5400" w:type="dxa"/>
            <w:vAlign w:val="bottom"/>
          </w:tcPr>
          <w:p>
            <w:pPr>
              <w:ind w:left="540"/>
              <w:spacing w:after="0"/>
              <w:rPr>
                <w:sz w:val="20"/>
                <w:szCs w:val="20"/>
                <w:color w:val="auto"/>
              </w:rPr>
            </w:pPr>
            <w:r>
              <w:rPr>
                <w:rFonts w:ascii="Courier New" w:cs="Courier New" w:eastAsia="Courier New" w:hAnsi="Courier New"/>
                <w:sz w:val="17"/>
                <w:szCs w:val="17"/>
                <w:color w:val="auto"/>
              </w:rPr>
              <w:t>Rollovers from merged plans (Notes 1 and 4)</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971,365</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1,111,384</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4"/>
                <w:szCs w:val="24"/>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1,278,501</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DEDUCTIONS FROM NET ASSETS ATTRIBUTED TO:</w:t>
            </w:r>
          </w:p>
        </w:tc>
        <w:tc>
          <w:tcPr>
            <w:tcW w:w="152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Benefits paid to participants or beneficiaries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(85,389)</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(85,389)</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increase</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1,193,112</w:t>
            </w:r>
          </w:p>
        </w:tc>
      </w:tr>
      <w:tr>
        <w:trPr>
          <w:trHeight w:val="40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ASSETS AVAILABLE FOR BENEFITS:</w:t>
            </w:r>
          </w:p>
        </w:tc>
        <w:tc>
          <w:tcPr>
            <w:tcW w:w="1520" w:type="dxa"/>
            <w:vAlign w:val="bottom"/>
          </w:tcPr>
          <w:p>
            <w:pPr>
              <w:spacing w:after="0"/>
              <w:rPr>
                <w:sz w:val="24"/>
                <w:szCs w:val="24"/>
                <w:color w:val="auto"/>
              </w:rPr>
            </w:pP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Beginning of year</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313,999</w:t>
            </w:r>
          </w:p>
        </w:tc>
      </w:tr>
      <w:tr>
        <w:trPr>
          <w:trHeight w:val="201"/>
        </w:trPr>
        <w:tc>
          <w:tcPr>
            <w:tcW w:w="5400" w:type="dxa"/>
            <w:vAlign w:val="bottom"/>
          </w:tcPr>
          <w:p>
            <w:pPr>
              <w:spacing w:after="0"/>
              <w:rPr>
                <w:sz w:val="17"/>
                <w:szCs w:val="17"/>
                <w:color w:val="auto"/>
              </w:rPr>
            </w:pP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End of year</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$ 1,507,111</w:t>
            </w:r>
          </w:p>
        </w:tc>
      </w:tr>
    </w:tbl>
    <w:p>
      <w:pPr>
        <w:spacing w:after="0" w:line="4"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financial statements.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1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ENDED DECEMBER 31, 2003 and 2002</w:t>
      </w:r>
    </w:p>
    <w:p>
      <w:pPr>
        <w:spacing w:after="0" w:line="9" w:lineRule="exact"/>
        <w:rPr>
          <w:sz w:val="20"/>
          <w:szCs w:val="20"/>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 PLAN DESCRIPTION</w:t>
      </w:r>
    </w:p>
    <w:p>
      <w:pPr>
        <w:spacing w:after="0" w:line="210"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General</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Effective November 18, 2002 Comcast Corporation became the Plan Administrator ("Comcast," the "Company" or the "Plan Administrator"). Prior to November 18, 2002, Comcast Holdings Corporation ("Comcast Holdings") was the Plan Administrator (see Note 7). Generally, all costs associated with administering the plan are paid by the Plan Administrator.</w:t>
      </w:r>
    </w:p>
    <w:p>
      <w:pPr>
        <w:spacing w:after="0" w:line="201"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97"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Prior to January 1, 2003 employees generally became eligible for participation in the Plan upon completion of three months of service, as defined in the Plan, and participated in allocations of employer matching contributions under the Plan after completion of one year of service. Effective January 1, 2003, the Plan was amended such that full- time employees become eligible to participate in the Plan after completion of six months of service and part-time employees become eligible to participate in the Plan after one year and completion of 1,000 hours of service. Also, effective January 1, 2003, the Plan was amended to reduce the service requirement for full-time employees to become eligible for Company matching contributions from one year to six months except for certain collectively bargained employees.</w:t>
      </w:r>
    </w:p>
    <w:p>
      <w:pPr>
        <w:spacing w:after="0" w:line="201"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Prior to July 1, 2003, each eligible employee was able to direct the Company to make contributions to the Plan of any whole percentage from 1% through 17% of their eligible compensation, subject to certain limits imposed by the Code. Effective July 1, 2003, the Plan was amended to increase the maximum amount of eligible compensation that may be deferred from 17% to 50%, subject to certain limits imposed by the Code.</w:t>
      </w:r>
    </w:p>
    <w:p>
      <w:pPr>
        <w:spacing w:after="0" w:line="197"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Effective January 1, 2003, the Plan was amended to increase the employer matching contribution rate so that the Company matches 100% of the participant's contribution up to 6% of the participant's eligible compensation for such payroll period except for certain collectively bargained employees.</w:t>
      </w:r>
    </w:p>
    <w:p>
      <w:pPr>
        <w:spacing w:after="0" w:line="197"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197"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197"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w:t>
      </w:r>
    </w:p>
    <w:p>
      <w:pPr>
        <w:sectPr>
          <w:pgSz w:w="11900" w:h="16838" w:orient="portrait"/>
          <w:cols w:equalWidth="0" w:num="1">
            <w:col w:w="10219"/>
          </w:cols>
          <w:pgMar w:left="240" w:top="1122" w:right="1440" w:bottom="0" w:gutter="0" w:footer="0" w:header="0"/>
        </w:sectPr>
      </w:pPr>
    </w:p>
    <w:bookmarkStart w:id="6" w:name="page7"/>
    <w:bookmarkEnd w:id="6"/>
    <w:p>
      <w:pPr>
        <w:jc w:val="both"/>
        <w:ind w:right="1839"/>
        <w:spacing w:after="0" w:line="254" w:lineRule="auto"/>
        <w:rPr>
          <w:sz w:val="20"/>
          <w:szCs w:val="20"/>
          <w:color w:val="auto"/>
        </w:rPr>
      </w:pPr>
      <w:r>
        <w:rPr>
          <w:rFonts w:ascii="Courier New" w:cs="Courier New" w:eastAsia="Courier New" w:hAnsi="Courier New"/>
          <w:sz w:val="17"/>
          <w:szCs w:val="17"/>
          <w:color w:val="auto"/>
        </w:rPr>
        <w:t>Plan year bears to the eligible compensation for all such participants for the Plan year. Forfeitures for the year ended December 31, 2003 amounted to $58,720.</w:t>
      </w:r>
    </w:p>
    <w:p>
      <w:pPr>
        <w:spacing w:after="0" w:line="194"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579"/>
          </w:cols>
          <w:pgMar w:left="880" w:top="14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ENDED DECEMBER 31, 2003 and 2002 (Continued)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any combination of the foregoing or a rollover into another qualified plan. On October 28, 2002, the Plan was amended to eliminate annuity forms of payment, effective February 28, 2003.</w:t>
      </w:r>
    </w:p>
    <w:p>
      <w:pPr>
        <w:spacing w:after="0" w:line="201"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9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Rollovers of Assets from Merged Plans</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On February 26, 2003, the Compensation Committee of the Board of Directors of the Company resolved to merge the Comcast Cable Communications Holdings, Inc. Long Term Savings Plan ("CCCHI Plan") with and into the Plan (the "Merger"). Effective July 1, 2003, the assets and liabilities of the CCCHI Plan became assets and liabilities of the Plan. The transfer is included in the accompanying statement of changes in net assets available for benefits in "Rollovers from merged plans" and approximated $931.1 million.</w:t>
      </w:r>
    </w:p>
    <w:p>
      <w:pPr>
        <w:spacing w:after="0" w:line="39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Removal and Appointment of Trustee</w:t>
      </w:r>
    </w:p>
    <w:p>
      <w:pPr>
        <w:spacing w:after="0" w:line="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left="640" w:right="1839"/>
        <w:spacing w:after="0" w:line="252" w:lineRule="auto"/>
        <w:rPr>
          <w:sz w:val="20"/>
          <w:szCs w:val="20"/>
          <w:color w:val="auto"/>
        </w:rPr>
      </w:pPr>
      <w:r>
        <w:rPr>
          <w:rFonts w:ascii="Courier New" w:cs="Courier New" w:eastAsia="Courier New" w:hAnsi="Courier New"/>
          <w:sz w:val="17"/>
          <w:szCs w:val="17"/>
          <w:color w:val="auto"/>
        </w:rPr>
        <w:t>Effective July 1, 2003, Putnam Fiduciary Trust Company was removed as Trustee of the Plan and Fidelity Management Trust Company was appointed Trustee of the Plan. Concurrent with the change in Trustee, several mutual funds previously provided as investment options under the Plan were eliminated and several new mutual funds with similar investment strategies were added.</w:t>
      </w:r>
    </w:p>
    <w:p>
      <w:pPr>
        <w:spacing w:after="0" w:line="197" w:lineRule="exact"/>
        <w:rPr>
          <w:sz w:val="20"/>
          <w:szCs w:val="20"/>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w:t>
      </w:r>
    </w:p>
    <w:p>
      <w:pPr>
        <w:spacing w:after="0" w:line="210" w:lineRule="exact"/>
        <w:rPr>
          <w:rFonts w:ascii="Courier New" w:cs="Courier New" w:eastAsia="Courier New" w:hAnsi="Courier New"/>
          <w:sz w:val="17"/>
          <w:szCs w:val="17"/>
          <w:color w:val="auto"/>
        </w:rPr>
      </w:pPr>
    </w:p>
    <w:p>
      <w:pPr>
        <w:jc w:val="both"/>
        <w:ind w:left="64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financial statements of the Plan are presented using the accrual basis of accounting. Contributions receivable represent amounts due to the Plan relating to December 26, 2003 participant and employer matching contributions not remitted to the Plan until subsequent to year-end. Investments in mutual funds, the AT&amp;T Stock Fund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w:t>
      </w:r>
    </w:p>
    <w:p>
      <w:pPr>
        <w:spacing w:after="0" w:line="201" w:lineRule="exact"/>
        <w:rPr>
          <w:rFonts w:ascii="Courier New" w:cs="Courier New" w:eastAsia="Courier New" w:hAnsi="Courier New"/>
          <w:sz w:val="17"/>
          <w:szCs w:val="17"/>
          <w:color w:val="auto"/>
        </w:rPr>
      </w:pPr>
    </w:p>
    <w:p>
      <w:pPr>
        <w:jc w:val="both"/>
        <w:ind w:left="640"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196" w:lineRule="exact"/>
        <w:rPr>
          <w:rFonts w:ascii="Courier New" w:cs="Courier New" w:eastAsia="Courier New" w:hAnsi="Courier New"/>
          <w:sz w:val="17"/>
          <w:szCs w:val="17"/>
          <w:color w:val="auto"/>
        </w:rPr>
      </w:pPr>
    </w:p>
    <w:p>
      <w:pPr>
        <w:ind w:left="6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preparation  of financial  statements in conformity  with  accounting</w:t>
      </w:r>
    </w:p>
    <w:p>
      <w:pPr>
        <w:sectPr>
          <w:pgSz w:w="11900" w:h="16838" w:orient="portrait"/>
          <w:cols w:equalWidth="0" w:num="1">
            <w:col w:w="10219"/>
          </w:cols>
          <w:pgMar w:left="240" w:top="921" w:right="1440" w:bottom="0" w:gutter="0" w:footer="0" w:header="0"/>
        </w:sectPr>
      </w:pPr>
    </w:p>
    <w:bookmarkStart w:id="8" w:name="page9"/>
    <w:bookmarkEnd w:id="8"/>
    <w:p>
      <w:pPr>
        <w:jc w:val="both"/>
        <w:ind w:right="1839"/>
        <w:spacing w:after="0" w:line="253" w:lineRule="auto"/>
        <w:rPr>
          <w:sz w:val="20"/>
          <w:szCs w:val="20"/>
          <w:color w:val="auto"/>
        </w:rPr>
      </w:pPr>
      <w:r>
        <w:rPr>
          <w:rFonts w:ascii="Courier New" w:cs="Courier New" w:eastAsia="Courier New" w:hAnsi="Courier New"/>
          <w:sz w:val="17"/>
          <w:szCs w:val="17"/>
          <w:color w:val="auto"/>
        </w:rPr>
        <w:t>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95"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579"/>
          </w:cols>
          <w:pgMar w:left="880" w:top="14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ENDED DECEMBER 31, 2003 and 2002 (Continued)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INVESTMENTS</w:t>
      </w:r>
    </w:p>
    <w:p>
      <w:pPr>
        <w:spacing w:after="0" w:line="210" w:lineRule="exact"/>
        <w:rPr>
          <w:sz w:val="20"/>
          <w:szCs w:val="20"/>
          <w:color w:val="auto"/>
        </w:rPr>
      </w:pPr>
    </w:p>
    <w:p>
      <w:pPr>
        <w:jc w:val="both"/>
        <w:ind w:left="640" w:right="1839"/>
        <w:spacing w:after="0" w:line="254" w:lineRule="auto"/>
        <w:rPr>
          <w:sz w:val="20"/>
          <w:szCs w:val="20"/>
          <w:color w:val="auto"/>
        </w:rPr>
      </w:pPr>
      <w:r>
        <w:rPr>
          <w:rFonts w:ascii="Courier New" w:cs="Courier New" w:eastAsia="Courier New" w:hAnsi="Courier New"/>
          <w:sz w:val="17"/>
          <w:szCs w:val="17"/>
          <w:color w:val="auto"/>
        </w:rPr>
        <w:t>The Plan's investments are held by a trust fund and are presented in the following table (dollars in thousands, units/shares rounded to nearest whole unit or share).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20" w:type="dxa"/>
            <w:vAlign w:val="bottom"/>
            <w:gridSpan w:val="2"/>
          </w:tcPr>
          <w:p>
            <w:pPr>
              <w:jc w:val="right"/>
              <w:ind w:right="953"/>
              <w:spacing w:after="0"/>
              <w:rPr>
                <w:sz w:val="20"/>
                <w:szCs w:val="20"/>
                <w:color w:val="auto"/>
              </w:rPr>
            </w:pPr>
            <w:r>
              <w:rPr>
                <w:rFonts w:ascii="Courier New" w:cs="Courier New" w:eastAsia="Courier New" w:hAnsi="Courier New"/>
                <w:sz w:val="17"/>
                <w:szCs w:val="17"/>
                <w:color w:val="auto"/>
              </w:rPr>
              <w:t>December 31, 2003</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4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Number</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88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5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Units/Shares</w:t>
            </w:r>
          </w:p>
        </w:tc>
        <w:tc>
          <w:tcPr>
            <w:tcW w:w="18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Amount</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5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1320" w:type="dxa"/>
            <w:vAlign w:val="bottom"/>
          </w:tcPr>
          <w:p>
            <w:pPr>
              <w:spacing w:after="0"/>
              <w:rPr>
                <w:sz w:val="20"/>
                <w:szCs w:val="20"/>
                <w:color w:val="auto"/>
              </w:rPr>
            </w:pPr>
            <w:r>
              <w:rPr>
                <w:rFonts w:ascii="Courier New" w:cs="Courier New" w:eastAsia="Courier New" w:hAnsi="Courier New"/>
                <w:sz w:val="17"/>
                <w:szCs w:val="17"/>
                <w:color w:val="auto"/>
              </w:rPr>
              <w:t>Mutual Funds</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(at fair value)</w:t>
            </w: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Ariel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744,852</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$33,608</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Dodge and Cox Balanced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901,603</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65,853</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Blue Chip Growth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3,905,384</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154,770*</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Brokeragelink</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3,662,169</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3,662</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Diversified International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2,428,392</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58,573</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Freedom 2010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1,392,631</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18,132</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Freedom 2020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3,197,244</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41,628</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Freedom 2030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2,539,055</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32,881</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Freedom 2040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977,963</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7,393</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Freedom Income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173,331</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1,922</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Small Cap Stock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2,720,886</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46,527</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Fidelity</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US Bond Index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1,510,709</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16,905</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Pimco Total Return Institutional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2,456,841</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26,313</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Spartan International Index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63,740</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1,738</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Spartan US Equity Index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3,221,656</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126,965*</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Templeton World Fund, Class A</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776,094</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13,093</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Vanguard</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SM Cap Index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716,036</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16,182</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Vanguard</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Total Stock Market Index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271,705</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7,062</w:t>
            </w:r>
          </w:p>
        </w:tc>
      </w:tr>
      <w:tr>
        <w:trPr>
          <w:trHeight w:val="403"/>
        </w:trPr>
        <w:tc>
          <w:tcPr>
            <w:tcW w:w="1320" w:type="dxa"/>
            <w:vAlign w:val="bottom"/>
          </w:tcPr>
          <w:p>
            <w:pPr>
              <w:ind w:left="420"/>
              <w:spacing w:after="0"/>
              <w:rPr>
                <w:sz w:val="20"/>
                <w:szCs w:val="20"/>
                <w:color w:val="auto"/>
              </w:rPr>
            </w:pPr>
            <w:r>
              <w:rPr>
                <w:rFonts w:ascii="Courier New" w:cs="Courier New" w:eastAsia="Courier New" w:hAnsi="Courier New"/>
                <w:sz w:val="17"/>
                <w:szCs w:val="17"/>
                <w:color w:val="auto"/>
              </w:rPr>
              <w:t>Vanguard</w:t>
            </w:r>
          </w:p>
        </w:tc>
        <w:tc>
          <w:tcPr>
            <w:tcW w:w="3600" w:type="dxa"/>
            <w:vAlign w:val="bottom"/>
          </w:tcPr>
          <w:p>
            <w:pPr>
              <w:ind w:left="40"/>
              <w:spacing w:after="0"/>
              <w:rPr>
                <w:sz w:val="20"/>
                <w:szCs w:val="20"/>
                <w:color w:val="auto"/>
              </w:rPr>
            </w:pPr>
            <w:r>
              <w:rPr>
                <w:rFonts w:ascii="Courier New" w:cs="Courier New" w:eastAsia="Courier New" w:hAnsi="Courier New"/>
                <w:sz w:val="17"/>
                <w:szCs w:val="17"/>
                <w:color w:val="auto"/>
              </w:rPr>
              <w:t>Windsor II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1,098,879</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51,669</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724,876</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920" w:type="dxa"/>
            <w:vAlign w:val="bottom"/>
            <w:gridSpan w:val="2"/>
          </w:tcPr>
          <w:p>
            <w:pPr>
              <w:spacing w:after="0"/>
              <w:rPr>
                <w:sz w:val="20"/>
                <w:szCs w:val="20"/>
                <w:color w:val="auto"/>
              </w:rPr>
            </w:pPr>
            <w:r>
              <w:rPr>
                <w:rFonts w:ascii="Courier New" w:cs="Courier New" w:eastAsia="Courier New" w:hAnsi="Courier New"/>
                <w:sz w:val="17"/>
                <w:szCs w:val="17"/>
                <w:color w:val="auto"/>
              </w:rPr>
              <w:t>AT&amp;T Stock Fund</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1,818,547</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36,917</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920" w:type="dxa"/>
            <w:vAlign w:val="bottom"/>
            <w:gridSpan w:val="2"/>
          </w:tcPr>
          <w:p>
            <w:pPr>
              <w:spacing w:after="0"/>
              <w:rPr>
                <w:sz w:val="20"/>
                <w:szCs w:val="20"/>
                <w:color w:val="auto"/>
              </w:rPr>
            </w:pPr>
            <w:r>
              <w:rPr>
                <w:rFonts w:ascii="Courier New" w:cs="Courier New" w:eastAsia="Courier New" w:hAnsi="Courier New"/>
                <w:sz w:val="17"/>
                <w:szCs w:val="17"/>
                <w:color w:val="auto"/>
              </w:rPr>
              <w:t>Comcast Corporation Stock Fund (at fair value)</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Class A Common Stock</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5,095,742</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167,089*</w:t>
            </w:r>
          </w:p>
        </w:tc>
      </w:tr>
      <w:tr>
        <w:trPr>
          <w:trHeight w:val="403"/>
        </w:trPr>
        <w:tc>
          <w:tcPr>
            <w:tcW w:w="49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Class A Special Common Stock</w:t>
            </w:r>
          </w:p>
        </w:tc>
        <w:tc>
          <w:tcPr>
            <w:tcW w:w="14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2,781,533</w:t>
            </w:r>
          </w:p>
        </w:tc>
        <w:tc>
          <w:tcPr>
            <w:tcW w:w="104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87,034*</w:t>
            </w:r>
          </w:p>
        </w:tc>
      </w:tr>
      <w:tr>
        <w:trPr>
          <w:trHeight w:val="201"/>
        </w:trPr>
        <w:tc>
          <w:tcPr>
            <w:tcW w:w="13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921"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254,123</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604"/>
        </w:trPr>
        <w:tc>
          <w:tcPr>
            <w:tcW w:w="492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3"/>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Fidelity Stable Value Fund</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10,453,878</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10,454</w:t>
            </w:r>
          </w:p>
        </w:tc>
      </w:tr>
      <w:tr>
        <w:trPr>
          <w:trHeight w:val="403"/>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Putnam Stable Value Fund</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47,072,624</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47,073</w:t>
            </w:r>
          </w:p>
        </w:tc>
      </w:tr>
      <w:tr>
        <w:trPr>
          <w:trHeight w:val="403"/>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Other Investment Contracts</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373,987,558</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373,987*</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431,514</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$1,447,430</w:t>
            </w:r>
          </w:p>
        </w:tc>
      </w:tr>
      <w:tr>
        <w:trPr>
          <w:trHeight w:val="201"/>
        </w:trPr>
        <w:tc>
          <w:tcPr>
            <w:tcW w:w="4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42" w:right="1440" w:bottom="1440" w:gutter="0" w:footer="0" w:header="0"/>
        </w:sectPr>
      </w:pPr>
    </w:p>
    <w:bookmarkStart w:id="11" w:name="page12"/>
    <w:bookmarkEnd w:id="11"/>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ENDED DECEMBER 31, 2003 and 2002 (Continued)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40" w:type="dxa"/>
            <w:vAlign w:val="bottom"/>
            <w:gridSpan w:val="2"/>
          </w:tcPr>
          <w:p>
            <w:pPr>
              <w:jc w:val="right"/>
              <w:ind w:right="1173"/>
              <w:spacing w:after="0"/>
              <w:rPr>
                <w:sz w:val="20"/>
                <w:szCs w:val="20"/>
                <w:color w:val="auto"/>
              </w:rPr>
            </w:pPr>
            <w:r>
              <w:rPr>
                <w:rFonts w:ascii="Courier New" w:cs="Courier New" w:eastAsia="Courier New" w:hAnsi="Courier New"/>
                <w:sz w:val="17"/>
                <w:szCs w:val="17"/>
                <w:color w:val="auto"/>
              </w:rPr>
              <w:t>December 31, 2002</w:t>
            </w:r>
          </w:p>
        </w:tc>
      </w:tr>
      <w:tr>
        <w:trPr>
          <w:trHeight w:val="201"/>
        </w:trPr>
        <w:tc>
          <w:tcPr>
            <w:tcW w:w="5240" w:type="dxa"/>
            <w:vAlign w:val="bottom"/>
          </w:tcPr>
          <w:p>
            <w:pPr>
              <w:spacing w:after="0"/>
              <w:rPr>
                <w:sz w:val="17"/>
                <w:szCs w:val="17"/>
                <w:color w:val="auto"/>
              </w:rPr>
            </w:pPr>
          </w:p>
        </w:tc>
        <w:tc>
          <w:tcPr>
            <w:tcW w:w="48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2780" w:type="dxa"/>
            <w:vAlign w:val="bottom"/>
            <w:gridSpan w:val="2"/>
          </w:tcPr>
          <w:p>
            <w:pPr>
              <w:ind w:left="840"/>
              <w:spacing w:after="0"/>
              <w:rPr>
                <w:sz w:val="20"/>
                <w:szCs w:val="20"/>
                <w:color w:val="auto"/>
              </w:rPr>
            </w:pPr>
            <w:r>
              <w:rPr>
                <w:rFonts w:ascii="Courier New" w:cs="Courier New" w:eastAsia="Courier New" w:hAnsi="Courier New"/>
                <w:sz w:val="17"/>
                <w:szCs w:val="17"/>
                <w:color w:val="auto"/>
              </w:rPr>
              <w:t>Number of</w:t>
            </w:r>
          </w:p>
        </w:tc>
        <w:tc>
          <w:tcPr>
            <w:tcW w:w="2040" w:type="dxa"/>
            <w:vAlign w:val="bottom"/>
          </w:tcPr>
          <w:p>
            <w:pPr>
              <w:spacing w:after="0"/>
              <w:rPr>
                <w:sz w:val="17"/>
                <w:szCs w:val="17"/>
                <w:color w:val="auto"/>
              </w:rPr>
            </w:pPr>
          </w:p>
        </w:tc>
      </w:tr>
      <w:tr>
        <w:trPr>
          <w:trHeight w:val="201"/>
        </w:trPr>
        <w:tc>
          <w:tcPr>
            <w:tcW w:w="5240" w:type="dxa"/>
            <w:vAlign w:val="bottom"/>
          </w:tcPr>
          <w:p>
            <w:pPr>
              <w:spacing w:after="0"/>
              <w:rPr>
                <w:sz w:val="17"/>
                <w:szCs w:val="17"/>
                <w:color w:val="auto"/>
              </w:rPr>
            </w:pPr>
          </w:p>
        </w:tc>
        <w:tc>
          <w:tcPr>
            <w:tcW w:w="278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Units/Shares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Amount</w:t>
            </w:r>
          </w:p>
        </w:tc>
      </w:tr>
      <w:tr>
        <w:trPr>
          <w:trHeight w:val="201"/>
        </w:trPr>
        <w:tc>
          <w:tcPr>
            <w:tcW w:w="5240" w:type="dxa"/>
            <w:vAlign w:val="bottom"/>
          </w:tcPr>
          <w:p>
            <w:pPr>
              <w:spacing w:after="0"/>
              <w:rPr>
                <w:sz w:val="17"/>
                <w:szCs w:val="17"/>
                <w:color w:val="auto"/>
              </w:rPr>
            </w:pPr>
          </w:p>
        </w:tc>
        <w:tc>
          <w:tcPr>
            <w:tcW w:w="278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20"/>
                <w:szCs w:val="20"/>
                <w:color w:val="auto"/>
              </w:rPr>
            </w:pPr>
            <w:r>
              <w:rPr>
                <w:rFonts w:ascii="Courier New" w:cs="Courier New" w:eastAsia="Courier New" w:hAnsi="Courier New"/>
                <w:sz w:val="17"/>
                <w:szCs w:val="17"/>
                <w:color w:val="auto"/>
              </w:rPr>
              <w:t>Mutual Funds (at fair value)</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Ariel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38,007</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1,339</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Dodge and Cox Balanced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718,694</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43,661</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Harbor Capital Appreciation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265,340</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5,362</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Pimco Total Return Institutional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388,826</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4,149</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Putnam International Growth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867,061</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14,324</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Putnam Investors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3,164,264</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28,194</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Putnam New Opportunities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510,851</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14,907</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Putnam S&amp;P 500 Index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926,450</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20,048</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Vanguard Windsor II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833,888</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17,345</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149,329</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20"/>
                <w:szCs w:val="20"/>
                <w:color w:val="auto"/>
              </w:rPr>
            </w:pPr>
            <w:r>
              <w:rPr>
                <w:rFonts w:ascii="Courier New" w:cs="Courier New" w:eastAsia="Courier New" w:hAnsi="Courier New"/>
                <w:sz w:val="17"/>
                <w:szCs w:val="17"/>
                <w:color w:val="auto"/>
              </w:rPr>
              <w:t>Comcast Corporation Stock Fund (at fair value)</w:t>
            </w: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Class A Common Stock</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113,752</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2,681</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Class A Special Common Stock</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3,260,388</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73,652</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76,333</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604"/>
        </w:trPr>
        <w:tc>
          <w:tcPr>
            <w:tcW w:w="524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Other investment contracts</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5,671,416</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5,672</w:t>
            </w:r>
          </w:p>
        </w:tc>
      </w:tr>
      <w:tr>
        <w:trPr>
          <w:trHeight w:val="403"/>
        </w:trPr>
        <w:tc>
          <w:tcPr>
            <w:tcW w:w="5240" w:type="dxa"/>
            <w:vAlign w:val="bottom"/>
          </w:tcPr>
          <w:p>
            <w:pPr>
              <w:ind w:left="420"/>
              <w:spacing w:after="0"/>
              <w:rPr>
                <w:sz w:val="20"/>
                <w:szCs w:val="20"/>
                <w:color w:val="auto"/>
              </w:rPr>
            </w:pPr>
            <w:r>
              <w:rPr>
                <w:rFonts w:ascii="Courier New" w:cs="Courier New" w:eastAsia="Courier New" w:hAnsi="Courier New"/>
                <w:sz w:val="17"/>
                <w:szCs w:val="17"/>
                <w:color w:val="auto"/>
              </w:rPr>
              <w:t>The Putnam Stable Value Fund</w:t>
            </w:r>
          </w:p>
        </w:tc>
        <w:tc>
          <w:tcPr>
            <w:tcW w:w="1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68,358,333</w:t>
            </w:r>
          </w:p>
        </w:tc>
        <w:tc>
          <w:tcPr>
            <w:tcW w:w="1100" w:type="dxa"/>
            <w:vAlign w:val="bottom"/>
          </w:tcPr>
          <w:p>
            <w:pPr>
              <w:spacing w:after="0"/>
              <w:rPr>
                <w:sz w:val="20"/>
                <w:szCs w:val="20"/>
                <w:color w:val="auto"/>
              </w:rPr>
            </w:pPr>
            <w:r>
              <w:rPr>
                <w:rFonts w:ascii="Courier New" w:cs="Courier New" w:eastAsia="Courier New" w:hAnsi="Courier New"/>
                <w:sz w:val="17"/>
                <w:szCs w:val="17"/>
                <w:color w:val="auto"/>
              </w:rPr>
              <w:t>units</w:t>
            </w: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68,358</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5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74,030</w:t>
            </w:r>
          </w:p>
        </w:tc>
      </w:tr>
    </w:tbl>
    <w:p>
      <w:pPr>
        <w:spacing w:after="0" w:line="4" w:lineRule="exact"/>
        <w:rPr>
          <w:sz w:val="20"/>
          <w:szCs w:val="20"/>
          <w:color w:val="auto"/>
        </w:rPr>
      </w:pPr>
    </w:p>
    <w:p>
      <w:pPr>
        <w:ind w:left="85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8900"/>
        <w:spacing w:after="0"/>
        <w:rPr>
          <w:sz w:val="20"/>
          <w:szCs w:val="20"/>
          <w:color w:val="auto"/>
        </w:rPr>
      </w:pPr>
      <w:r>
        <w:rPr>
          <w:rFonts w:ascii="Courier New" w:cs="Courier New" w:eastAsia="Courier New" w:hAnsi="Courier New"/>
          <w:sz w:val="17"/>
          <w:szCs w:val="17"/>
          <w:color w:val="auto"/>
        </w:rPr>
        <w:t>$299,692</w:t>
      </w:r>
    </w:p>
    <w:p>
      <w:pPr>
        <w:spacing w:after="0" w:line="9" w:lineRule="exact"/>
        <w:rPr>
          <w:sz w:val="20"/>
          <w:szCs w:val="20"/>
          <w:color w:val="auto"/>
        </w:rPr>
      </w:pPr>
    </w:p>
    <w:p>
      <w:pPr>
        <w:ind w:left="85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Represents greater than 5% of the Plan's net assets at December 31,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640" w:right="1839"/>
        <w:spacing w:after="0" w:line="254" w:lineRule="auto"/>
        <w:rPr>
          <w:sz w:val="20"/>
          <w:szCs w:val="20"/>
          <w:color w:val="auto"/>
        </w:rPr>
      </w:pPr>
      <w:r>
        <w:rPr>
          <w:rFonts w:ascii="Courier New" w:cs="Courier New" w:eastAsia="Courier New" w:hAnsi="Courier New"/>
          <w:sz w:val="17"/>
          <w:szCs w:val="17"/>
          <w:color w:val="auto"/>
        </w:rPr>
        <w:t>During 2003, the Plan's investments (including gains and losses on investments bought and sold, as well as held during the year) appreciated in value as follows (in thousands):</w:t>
      </w:r>
    </w:p>
    <w:p>
      <w:pPr>
        <w:spacing w:after="0" w:line="194"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680" w:type="dxa"/>
            <w:vAlign w:val="bottom"/>
          </w:tcPr>
          <w:p>
            <w:pPr>
              <w:spacing w:after="0"/>
              <w:rPr>
                <w:sz w:val="20"/>
                <w:szCs w:val="20"/>
                <w:color w:val="auto"/>
              </w:rPr>
            </w:pPr>
            <w:r>
              <w:rPr>
                <w:rFonts w:ascii="Courier New" w:cs="Courier New" w:eastAsia="Courier New" w:hAnsi="Courier New"/>
                <w:sz w:val="17"/>
                <w:szCs w:val="17"/>
                <w:color w:val="auto"/>
              </w:rPr>
              <w:t>Mutual</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Funds</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$100,453</w:t>
            </w:r>
          </w:p>
        </w:tc>
      </w:tr>
      <w:tr>
        <w:trPr>
          <w:trHeight w:val="201"/>
        </w:trPr>
        <w:tc>
          <w:tcPr>
            <w:tcW w:w="680" w:type="dxa"/>
            <w:vAlign w:val="bottom"/>
          </w:tcPr>
          <w:p>
            <w:pPr>
              <w:spacing w:after="0"/>
              <w:rPr>
                <w:sz w:val="20"/>
                <w:szCs w:val="20"/>
                <w:color w:val="auto"/>
              </w:rPr>
            </w:pPr>
            <w:r>
              <w:rPr>
                <w:rFonts w:ascii="Courier New" w:cs="Courier New" w:eastAsia="Courier New" w:hAnsi="Courier New"/>
                <w:sz w:val="17"/>
                <w:szCs w:val="17"/>
                <w:color w:val="auto"/>
              </w:rPr>
              <w:t>Common</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Stock</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44,376</w:t>
            </w:r>
          </w:p>
        </w:tc>
      </w:tr>
    </w:tbl>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$144,829</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left="640" w:right="1839"/>
        <w:spacing w:after="0" w:line="253" w:lineRule="auto"/>
        <w:rPr>
          <w:sz w:val="20"/>
          <w:szCs w:val="20"/>
          <w:color w:val="auto"/>
        </w:rPr>
      </w:pPr>
      <w:r>
        <w:rPr>
          <w:rFonts w:ascii="Courier New" w:cs="Courier New" w:eastAsia="Courier New" w:hAnsi="Courier New"/>
          <w:sz w:val="17"/>
          <w:szCs w:val="17"/>
          <w:color w:val="auto"/>
        </w:rPr>
        <w:t>The fair value of assets included in the Comcast Stable Value Fund was $437,345,000 and $74,200,000 as of December 31, 2003 and 2002, respectively. The average yield of investment contracts held as of December 31, 2003 and 2002 was 4.27% and 4.82%, respectively. The average</w:t>
      </w:r>
    </w:p>
    <w:p>
      <w:pPr>
        <w:sectPr>
          <w:pgSz w:w="11900" w:h="16838" w:orient="portrait"/>
          <w:cols w:equalWidth="0" w:num="1">
            <w:col w:w="10219"/>
          </w:cols>
          <w:pgMar w:left="240" w:top="1440" w:right="1440" w:bottom="0" w:gutter="0" w:footer="0" w:header="0"/>
        </w:sectPr>
      </w:pPr>
    </w:p>
    <w:bookmarkStart w:id="12" w:name="page13"/>
    <w:bookmarkEnd w:id="12"/>
    <w:p>
      <w:pPr>
        <w:ind w:left="633" w:right="1839"/>
        <w:spacing w:after="0" w:line="257" w:lineRule="auto"/>
        <w:rPr>
          <w:sz w:val="20"/>
          <w:szCs w:val="20"/>
          <w:color w:val="auto"/>
        </w:rPr>
      </w:pPr>
      <w:r>
        <w:rPr>
          <w:rFonts w:ascii="Courier New" w:cs="Courier New" w:eastAsia="Courier New" w:hAnsi="Courier New"/>
          <w:sz w:val="17"/>
          <w:szCs w:val="17"/>
          <w:color w:val="auto"/>
        </w:rPr>
        <w:t>yield on investment contracts for the year ended December 31, 2003 was 4.04%.</w:t>
      </w:r>
    </w:p>
    <w:p>
      <w:pPr>
        <w:spacing w:after="0" w:line="192" w:lineRule="exact"/>
        <w:rPr>
          <w:sz w:val="20"/>
          <w:szCs w:val="20"/>
          <w:color w:val="auto"/>
        </w:rPr>
      </w:pPr>
    </w:p>
    <w:p>
      <w:pPr>
        <w:ind w:left="633" w:hanging="633"/>
        <w:spacing w:after="0"/>
        <w:tabs>
          <w:tab w:leader="none" w:pos="63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PARTICIPANT LOANS AND HARDSHIP WITHDRAWALS</w:t>
      </w:r>
    </w:p>
    <w:p>
      <w:pPr>
        <w:spacing w:after="0" w:line="210" w:lineRule="exact"/>
        <w:rPr>
          <w:rFonts w:ascii="Courier New" w:cs="Courier New" w:eastAsia="Courier New" w:hAnsi="Courier New"/>
          <w:sz w:val="17"/>
          <w:szCs w:val="17"/>
          <w:color w:val="auto"/>
        </w:rPr>
      </w:pPr>
    </w:p>
    <w:p>
      <w:pPr>
        <w:jc w:val="both"/>
        <w:ind w:left="63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on the date the loan application is approved. In connection with the Merger, outstanding participant loans of the CCCHI Plan totaling approximately $40.3 million were transferred into the Plan and are included in "Rollovers from merged</w:t>
      </w:r>
    </w:p>
    <w:p>
      <w:pPr>
        <w:spacing w:after="0" w:line="202"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2"/>
          </w:cols>
          <w:pgMar w:left="247" w:top="14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FINANCIAL STATEMENTS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ENDED DECEMBER 31, 2003 and 2002 (Continued)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plans" on the statement of changes in net assets available for benefits (see Note 1). Principal and interest are paid through payroll deductions or participant initiated payments. Interest rates ranged from 4.25% to 11.50% and 5.25% to 11% for the years ended December 31, 2003 and 2002, respectively. Maturities on active outstanding loans ranged from 2004 to 2024 and 2002 to 2026 for the year ended December 31, 2003 and 2002, respectively. Loan transactions are treated as a transfer from (to) the investment fund to (from) the participant loan fund.</w:t>
      </w:r>
    </w:p>
    <w:p>
      <w:pPr>
        <w:spacing w:after="0" w:line="201" w:lineRule="exact"/>
        <w:rPr>
          <w:sz w:val="20"/>
          <w:szCs w:val="20"/>
          <w:color w:val="auto"/>
        </w:rPr>
      </w:pPr>
    </w:p>
    <w:p>
      <w:pPr>
        <w:jc w:val="both"/>
        <w:ind w:left="640" w:right="1839"/>
        <w:spacing w:after="0" w:line="253" w:lineRule="auto"/>
        <w:rPr>
          <w:sz w:val="20"/>
          <w:szCs w:val="20"/>
          <w:color w:val="auto"/>
        </w:rPr>
      </w:pPr>
      <w:r>
        <w:rPr>
          <w:rFonts w:ascii="Courier New" w:cs="Courier New" w:eastAsia="Courier New" w:hAnsi="Courier New"/>
          <w:sz w:val="17"/>
          <w:szCs w:val="17"/>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195"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01" w:lineRule="exact"/>
        <w:rPr>
          <w:sz w:val="20"/>
          <w:szCs w:val="20"/>
          <w:color w:val="auto"/>
        </w:rPr>
      </w:pPr>
    </w:p>
    <w:p>
      <w:pPr>
        <w:ind w:left="640" w:hanging="633"/>
        <w:spacing w:after="0"/>
        <w:tabs>
          <w:tab w:leader="none" w:pos="6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210" w:lineRule="exact"/>
        <w:rPr>
          <w:rFonts w:ascii="Courier New" w:cs="Courier New" w:eastAsia="Courier New" w:hAnsi="Courier New"/>
          <w:sz w:val="17"/>
          <w:szCs w:val="17"/>
          <w:color w:val="auto"/>
        </w:rPr>
      </w:pPr>
    </w:p>
    <w:p>
      <w:pPr>
        <w:jc w:val="both"/>
        <w:ind w:left="64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95" w:lineRule="exact"/>
        <w:rPr>
          <w:rFonts w:ascii="Courier New" w:cs="Courier New" w:eastAsia="Courier New" w:hAnsi="Courier New"/>
          <w:sz w:val="17"/>
          <w:szCs w:val="17"/>
          <w:color w:val="auto"/>
        </w:rPr>
      </w:pPr>
    </w:p>
    <w:p>
      <w:pPr>
        <w:ind w:left="640" w:hanging="633"/>
        <w:spacing w:after="0"/>
        <w:tabs>
          <w:tab w:leader="none" w:pos="6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FEDERAL TAX CONSIDERATIONS</w:t>
      </w:r>
    </w:p>
    <w:p>
      <w:pPr>
        <w:spacing w:after="0" w:line="210" w:lineRule="exact"/>
        <w:rPr>
          <w:rFonts w:ascii="Courier New" w:cs="Courier New" w:eastAsia="Courier New" w:hAnsi="Courier New"/>
          <w:sz w:val="17"/>
          <w:szCs w:val="17"/>
          <w:color w:val="auto"/>
        </w:rPr>
      </w:pPr>
    </w:p>
    <w:p>
      <w:pPr>
        <w:jc w:val="both"/>
        <w:ind w:left="640" w:right="1839" w:hanging="318"/>
        <w:spacing w:after="0" w:line="251" w:lineRule="auto"/>
        <w:tabs>
          <w:tab w:leader="none" w:pos="6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 1). A request for an updated determination letter, which considers the 2002 amendments, was filed with the IRS on February 27, 2002. On March 14, 2003, the Plan received a favorable determination letter with respect to the Company's request indicating that the form of the Plan as amended and restated, effective January 1, 1997 satisfies the applicable requirements of the Code and the form of the related trust satisfies the applicable requirements for exemption from federal income tax under the Code. On September 10, 2003 a request for an updated determination letter, which considers the 2003 amendments, was filed with the IRS. The company believes that the Plan continues to comply in form and operation with the applicable requirements of the Code. Therefore, the company believes that the Plan was qualified and the related trust was tax-exempt as of December 31, 2003. Therefore, no provision for income taxes has been included in the Plan's financial statements.</w:t>
      </w:r>
    </w:p>
    <w:p>
      <w:pPr>
        <w:spacing w:after="0" w:line="201" w:lineRule="exact"/>
        <w:rPr>
          <w:rFonts w:ascii="Courier New" w:cs="Courier New" w:eastAsia="Courier New" w:hAnsi="Courier New"/>
          <w:sz w:val="17"/>
          <w:szCs w:val="17"/>
          <w:color w:val="auto"/>
        </w:rPr>
      </w:pPr>
    </w:p>
    <w:p>
      <w:pPr>
        <w:jc w:val="both"/>
        <w:ind w:left="640" w:right="1839" w:hanging="318"/>
        <w:spacing w:after="0" w:line="253" w:lineRule="auto"/>
        <w:tabs>
          <w:tab w:leader="none" w:pos="6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195" w:lineRule="exact"/>
        <w:rPr>
          <w:rFonts w:ascii="Courier New" w:cs="Courier New" w:eastAsia="Courier New" w:hAnsi="Courier New"/>
          <w:sz w:val="17"/>
          <w:szCs w:val="17"/>
          <w:color w:val="auto"/>
        </w:rPr>
      </w:pPr>
    </w:p>
    <w:p>
      <w:pPr>
        <w:ind w:left="320" w:hanging="313"/>
        <w:spacing w:after="0"/>
        <w:tabs>
          <w:tab w:leader="none" w:pos="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BROADBAND</w:t>
      </w:r>
    </w:p>
    <w:p>
      <w:pPr>
        <w:spacing w:after="0" w:line="210" w:lineRule="exact"/>
        <w:rPr>
          <w:sz w:val="20"/>
          <w:szCs w:val="20"/>
          <w:color w:val="auto"/>
        </w:rPr>
      </w:pPr>
    </w:p>
    <w:p>
      <w:pPr>
        <w:jc w:val="both"/>
        <w:ind w:left="640" w:right="1839"/>
        <w:spacing w:after="0" w:line="251" w:lineRule="auto"/>
        <w:rPr>
          <w:sz w:val="20"/>
          <w:szCs w:val="20"/>
          <w:color w:val="auto"/>
        </w:rPr>
      </w:pPr>
      <w:r>
        <w:rPr>
          <w:rFonts w:ascii="Courier New" w:cs="Courier New" w:eastAsia="Courier New" w:hAnsi="Courier New"/>
          <w:sz w:val="17"/>
          <w:szCs w:val="17"/>
          <w:color w:val="auto"/>
        </w:rPr>
        <w:t>On November 18, 2002, the Company completed the acquisition of AT&amp;T Corp.'s broadband division ("Broadband") which resulted in the combination of Comcast Holdings and Broadband. Concurrent with the closing of the Broadband acquisition, shareholders of Comcast Holdings received shares of Comcast common stock in exchange for corresponding shares of Comcast Holdings common stock based on an exchange ratio of 1 to 1 (the "Reorganization"). Upon completion of the Broadband acquisition and the Reorganization, Comcast Holdings and Broadband are wholly owned subsidiaries of Comcast, with Comcast Holdings as the predecessor to Comcast.</w:t>
      </w:r>
    </w:p>
    <w:p>
      <w:pPr>
        <w:sectPr>
          <w:pgSz w:w="11900" w:h="16838" w:orient="portrait"/>
          <w:cols w:equalWidth="0" w:num="1">
            <w:col w:w="10219"/>
          </w:cols>
          <w:pgMar w:left="240" w:top="921" w:right="1440" w:bottom="0" w:gutter="0" w:footer="0" w:header="0"/>
        </w:sectPr>
      </w:pPr>
    </w:p>
    <w:bookmarkStart w:id="14" w:name="page15"/>
    <w:bookmarkEnd w:id="14"/>
    <w:p>
      <w:pPr>
        <w:ind w:left="2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746" w:right="1440" w:bottom="1440" w:gutter="0" w:footer="0" w:header="0"/>
        </w:sectPr>
      </w:pPr>
    </w:p>
    <w:bookmarkStart w:id="15" w:name="page16"/>
    <w:bookmarkEnd w:id="15"/>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4180"/>
        <w:spacing w:after="0" w:line="251" w:lineRule="auto"/>
        <w:rPr>
          <w:sz w:val="20"/>
          <w:szCs w:val="20"/>
          <w:color w:val="auto"/>
        </w:rPr>
      </w:pPr>
      <w:r>
        <w:rPr>
          <w:rFonts w:ascii="Courier New" w:cs="Courier New" w:eastAsia="Courier New" w:hAnsi="Courier New"/>
          <w:sz w:val="17"/>
          <w:szCs w:val="17"/>
          <w:color w:val="auto"/>
        </w:rPr>
        <w:t>SCHEDULE H - LINE 4i - SCHEDULE OF ASSETS HELD FOR INVESTMENT PURPOSES DECEMBER 31, 2003</w:t>
      </w: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ind w:left="720"/>
              <w:spacing w:after="0"/>
              <w:rPr>
                <w:sz w:val="20"/>
                <w:szCs w:val="20"/>
                <w:color w:val="auto"/>
              </w:rPr>
            </w:pPr>
            <w:r>
              <w:rPr>
                <w:rFonts w:ascii="Courier New" w:cs="Courier New" w:eastAsia="Courier New" w:hAnsi="Courier New"/>
                <w:sz w:val="17"/>
                <w:szCs w:val="17"/>
                <w:color w:val="auto"/>
              </w:rPr>
              <w:t>FEIN #27-0000798</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ind w:left="720"/>
              <w:spacing w:after="0"/>
              <w:rPr>
                <w:sz w:val="20"/>
                <w:szCs w:val="20"/>
                <w:color w:val="auto"/>
              </w:rPr>
            </w:pPr>
            <w:r>
              <w:rPr>
                <w:rFonts w:ascii="Courier New" w:cs="Courier New" w:eastAsia="Courier New" w:hAnsi="Courier New"/>
                <w:sz w:val="17"/>
                <w:szCs w:val="17"/>
                <w:color w:val="auto"/>
              </w:rPr>
              <w:t>PLAN #001</w:t>
            </w:r>
          </w:p>
        </w:tc>
      </w:tr>
      <w:tr>
        <w:trPr>
          <w:trHeight w:val="604"/>
        </w:trPr>
        <w:tc>
          <w:tcPr>
            <w:tcW w:w="6240" w:type="dxa"/>
            <w:vAlign w:val="bottom"/>
          </w:tcPr>
          <w:p>
            <w:pPr>
              <w:spacing w:after="0"/>
              <w:rPr>
                <w:sz w:val="24"/>
                <w:szCs w:val="24"/>
                <w:color w:val="auto"/>
              </w:rPr>
            </w:pPr>
          </w:p>
        </w:tc>
        <w:tc>
          <w:tcPr>
            <w:tcW w:w="27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Description of</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Investment,</w:t>
            </w:r>
          </w:p>
        </w:tc>
      </w:tr>
      <w:tr>
        <w:trPr>
          <w:trHeight w:val="201"/>
        </w:trPr>
        <w:tc>
          <w:tcPr>
            <w:tcW w:w="6240" w:type="dxa"/>
            <w:vAlign w:val="bottom"/>
          </w:tcPr>
          <w:p>
            <w:pPr>
              <w:spacing w:after="0"/>
              <w:rPr>
                <w:sz w:val="17"/>
                <w:szCs w:val="17"/>
                <w:color w:val="auto"/>
              </w:rPr>
            </w:pPr>
          </w:p>
        </w:tc>
        <w:tc>
          <w:tcPr>
            <w:tcW w:w="5280" w:type="dxa"/>
            <w:vAlign w:val="bottom"/>
            <w:gridSpan w:val="3"/>
          </w:tcPr>
          <w:p>
            <w:pPr>
              <w:ind w:left="1300"/>
              <w:spacing w:after="0"/>
              <w:rPr>
                <w:sz w:val="20"/>
                <w:szCs w:val="20"/>
                <w:color w:val="auto"/>
              </w:rPr>
            </w:pPr>
            <w:r>
              <w:rPr>
                <w:rFonts w:ascii="Courier New" w:cs="Courier New" w:eastAsia="Courier New" w:hAnsi="Courier New"/>
                <w:sz w:val="17"/>
                <w:szCs w:val="17"/>
                <w:color w:val="auto"/>
              </w:rPr>
              <w:t>Including Maturity Date,</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Identity of Issue, Borrower, Lessor</w:t>
            </w:r>
          </w:p>
        </w:tc>
        <w:tc>
          <w:tcPr>
            <w:tcW w:w="2100" w:type="dxa"/>
            <w:vAlign w:val="bottom"/>
          </w:tcPr>
          <w:p>
            <w:pPr>
              <w:ind w:left="1300"/>
              <w:spacing w:after="0"/>
              <w:rPr>
                <w:sz w:val="20"/>
                <w:szCs w:val="20"/>
                <w:color w:val="auto"/>
              </w:rPr>
            </w:pPr>
            <w:r>
              <w:rPr>
                <w:rFonts w:ascii="Courier New" w:cs="Courier New" w:eastAsia="Courier New" w:hAnsi="Courier New"/>
                <w:sz w:val="17"/>
                <w:szCs w:val="17"/>
                <w:color w:val="auto"/>
              </w:rPr>
              <w:t>Rate of</w:t>
            </w:r>
          </w:p>
        </w:tc>
        <w:tc>
          <w:tcPr>
            <w:tcW w:w="3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Interest, Par or</w:t>
            </w:r>
          </w:p>
        </w:tc>
      </w:tr>
      <w:tr>
        <w:trPr>
          <w:trHeight w:val="201"/>
        </w:trPr>
        <w:tc>
          <w:tcPr>
            <w:tcW w:w="6240" w:type="dxa"/>
            <w:vAlign w:val="bottom"/>
          </w:tcPr>
          <w:p>
            <w:pPr>
              <w:ind w:left="2000"/>
              <w:spacing w:after="0"/>
              <w:rPr>
                <w:sz w:val="20"/>
                <w:szCs w:val="20"/>
                <w:color w:val="auto"/>
              </w:rPr>
            </w:pPr>
            <w:r>
              <w:rPr>
                <w:rFonts w:ascii="Courier New" w:cs="Courier New" w:eastAsia="Courier New" w:hAnsi="Courier New"/>
                <w:sz w:val="17"/>
                <w:szCs w:val="17"/>
                <w:color w:val="auto"/>
              </w:rPr>
              <w:t>or Similar Party</w:t>
            </w:r>
          </w:p>
        </w:tc>
        <w:tc>
          <w:tcPr>
            <w:tcW w:w="27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Maturity</w:t>
            </w:r>
          </w:p>
        </w:tc>
        <w:tc>
          <w:tcPr>
            <w:tcW w:w="2500" w:type="dxa"/>
            <w:vAlign w:val="bottom"/>
          </w:tcPr>
          <w:p>
            <w:pPr>
              <w:spacing w:after="0"/>
              <w:rPr>
                <w:sz w:val="20"/>
                <w:szCs w:val="20"/>
                <w:color w:val="auto"/>
              </w:rPr>
            </w:pPr>
            <w:r>
              <w:rPr>
                <w:rFonts w:ascii="Courier New" w:cs="Courier New" w:eastAsia="Courier New" w:hAnsi="Courier New"/>
                <w:sz w:val="17"/>
                <w:szCs w:val="17"/>
                <w:color w:val="auto"/>
              </w:rPr>
              <w:t>Value</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Fair or</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ind w:left="720"/>
              <w:spacing w:after="0"/>
              <w:rPr>
                <w:sz w:val="20"/>
                <w:szCs w:val="20"/>
                <w:color w:val="auto"/>
              </w:rPr>
            </w:pPr>
            <w:r>
              <w:rPr>
                <w:rFonts w:ascii="Courier New" w:cs="Courier New" w:eastAsia="Courier New" w:hAnsi="Courier New"/>
                <w:sz w:val="17"/>
                <w:szCs w:val="17"/>
                <w:color w:val="auto"/>
              </w:rPr>
              <w:t>Current Value</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in thousands)</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Mutual Funds (at fair value)</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Ariel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744,852</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$33,608</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Dodge and Cox Balanced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901,603</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65,853</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Blue Chip Growth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3,905,384</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154,770</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Brokeragelink</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3,662,169</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3,662</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Diversified International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2,428,392</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58,573</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Freedom 2010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1,392,631</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18,132</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Freedom 2020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3,197,244</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41,628</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Freedom 2030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2,539,055</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32,881</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Freedom 2040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977,963</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7,393</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Freedom Income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173,331</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1,922</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Small Cap Stock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2,720,886</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46,527</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Fidelity US Bond Index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1,510,709</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16,905</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Pimco Total Return Institutional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2,456,841</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26,313</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Spartan International Index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63,740</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1,738</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Spartan US Equity Index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3,221,656</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126,965</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Templeton World Fund, Class A</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776,094</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13,093</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Vanguard SM Cap Index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716,036</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16,182</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Vanguard Total Stock Market Index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271,705</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7,062</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Vanguard Windsor II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1,098,879</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51,669</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724,876</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AT&amp;T Stock Fund</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1,818,547</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36,917</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Comcast Corporation Stock Fund (at fair value)*</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Class A Common Stock</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5,095,742</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167,089</w:t>
            </w:r>
          </w:p>
        </w:tc>
      </w:tr>
      <w:tr>
        <w:trPr>
          <w:trHeight w:val="201"/>
        </w:trPr>
        <w:tc>
          <w:tcPr>
            <w:tcW w:w="6240" w:type="dxa"/>
            <w:vAlign w:val="bottom"/>
          </w:tcPr>
          <w:p>
            <w:pPr>
              <w:ind w:left="420"/>
              <w:spacing w:after="0"/>
              <w:rPr>
                <w:sz w:val="20"/>
                <w:szCs w:val="20"/>
                <w:color w:val="auto"/>
              </w:rPr>
            </w:pPr>
            <w:r>
              <w:rPr>
                <w:rFonts w:ascii="Courier New" w:cs="Courier New" w:eastAsia="Courier New" w:hAnsi="Courier New"/>
                <w:sz w:val="17"/>
                <w:szCs w:val="17"/>
                <w:color w:val="auto"/>
              </w:rPr>
              <w:t>Class A Special Common Stock</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2,781,533</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shares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87,034</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254,123</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3"/>
        </w:trPr>
        <w:tc>
          <w:tcPr>
            <w:tcW w:w="6240" w:type="dxa"/>
            <w:vAlign w:val="bottom"/>
          </w:tcPr>
          <w:p>
            <w:pPr>
              <w:spacing w:after="0"/>
              <w:rPr>
                <w:sz w:val="20"/>
                <w:szCs w:val="20"/>
                <w:color w:val="auto"/>
              </w:rPr>
            </w:pPr>
            <w:r>
              <w:rPr>
                <w:rFonts w:ascii="Courier New" w:cs="Courier New" w:eastAsia="Courier New" w:hAnsi="Courier New"/>
                <w:sz w:val="17"/>
                <w:szCs w:val="17"/>
                <w:color w:val="auto"/>
              </w:rPr>
              <w:t>Comcast Stable Value Fund (at contract value)</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Fidelity Stable Value Fund; 1.00%</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10,453,878</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10,454</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Putnam Stable Value Fund; 4.22%</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47,072,624</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47,073</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57,527</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320"/>
              <w:spacing w:after="0"/>
              <w:rPr>
                <w:sz w:val="20"/>
                <w:szCs w:val="20"/>
                <w:color w:val="auto"/>
              </w:rPr>
            </w:pPr>
            <w:r>
              <w:rPr>
                <w:rFonts w:ascii="Courier New" w:cs="Courier New" w:eastAsia="Courier New" w:hAnsi="Courier New"/>
                <w:sz w:val="17"/>
                <w:szCs w:val="17"/>
                <w:color w:val="auto"/>
              </w:rPr>
              <w:t>Traditional Investment Contracts</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Travelers Life &amp; Annuity; 03/01/07 Maturity;</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4.22%</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3,779,035</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3,779</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Business Men's Assurance Company; 08/31/04</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Maturity; 7.14%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1,857,841</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1,858</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Canada Life Insurance 06/01/07 Maturity; 4.84%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3,268,187</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3,268</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John Hancock Life Insurance Company; 03/01/06</w:t>
            </w:r>
          </w:p>
        </w:tc>
        <w:tc>
          <w:tcPr>
            <w:tcW w:w="2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Maturity; 5.64%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1,467,359</w:t>
            </w:r>
          </w:p>
        </w:tc>
        <w:tc>
          <w:tcPr>
            <w:tcW w:w="68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25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1,467</w:t>
            </w:r>
          </w:p>
        </w:tc>
      </w:tr>
      <w:tr>
        <w:trPr>
          <w:trHeight w:val="604"/>
        </w:trPr>
        <w:tc>
          <w:tcPr>
            <w:tcW w:w="6240" w:type="dxa"/>
            <w:vAlign w:val="bottom"/>
          </w:tcPr>
          <w:p>
            <w:pPr>
              <w:ind w:left="4100"/>
              <w:spacing w:after="0"/>
              <w:rPr>
                <w:sz w:val="20"/>
                <w:szCs w:val="20"/>
                <w:color w:val="auto"/>
              </w:rPr>
            </w:pPr>
            <w:r>
              <w:rPr>
                <w:rFonts w:ascii="Courier New" w:cs="Courier New" w:eastAsia="Courier New" w:hAnsi="Courier New"/>
                <w:sz w:val="17"/>
                <w:szCs w:val="17"/>
                <w:color w:val="auto"/>
              </w:rPr>
              <w:t>-9-</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520"/>
          </w:cols>
          <w:pgMar w:left="240" w:top="1440" w:right="139" w:bottom="5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4180"/>
        <w:spacing w:after="0" w:line="251" w:lineRule="auto"/>
        <w:rPr>
          <w:sz w:val="20"/>
          <w:szCs w:val="20"/>
          <w:color w:val="auto"/>
        </w:rPr>
      </w:pPr>
      <w:r>
        <w:rPr>
          <w:rFonts w:ascii="Courier New" w:cs="Courier New" w:eastAsia="Courier New" w:hAnsi="Courier New"/>
          <w:sz w:val="17"/>
          <w:szCs w:val="17"/>
          <w:color w:val="auto"/>
        </w:rPr>
        <w:t>SCHEDULE H - LINE 4i - SCHEDULE OF ASSETS HELD FOR INVESTMENT PURPOSES DECEMBER 31, 2003</w:t>
      </w: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7"/>
                <w:szCs w:val="17"/>
                <w:color w:val="auto"/>
              </w:rPr>
              <w:t>FEIN #27-0000798</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7"/>
                <w:szCs w:val="17"/>
                <w:color w:val="auto"/>
              </w:rPr>
              <w:t>PLAN #001</w:t>
            </w:r>
          </w:p>
        </w:tc>
      </w:tr>
      <w:tr>
        <w:trPr>
          <w:trHeight w:val="604"/>
        </w:trPr>
        <w:tc>
          <w:tcPr>
            <w:tcW w:w="6240" w:type="dxa"/>
            <w:vAlign w:val="bottom"/>
          </w:tcPr>
          <w:p>
            <w:pPr>
              <w:spacing w:after="0"/>
              <w:rPr>
                <w:sz w:val="24"/>
                <w:szCs w:val="24"/>
                <w:color w:val="auto"/>
              </w:rPr>
            </w:pPr>
          </w:p>
        </w:tc>
        <w:tc>
          <w:tcPr>
            <w:tcW w:w="5280" w:type="dxa"/>
            <w:vAlign w:val="bottom"/>
            <w:gridSpan w:val="3"/>
          </w:tcPr>
          <w:p>
            <w:pPr>
              <w:jc w:val="center"/>
              <w:ind w:right="73"/>
              <w:spacing w:after="0"/>
              <w:rPr>
                <w:sz w:val="20"/>
                <w:szCs w:val="20"/>
                <w:color w:val="auto"/>
              </w:rPr>
            </w:pPr>
            <w:r>
              <w:rPr>
                <w:rFonts w:ascii="Courier New" w:cs="Courier New" w:eastAsia="Courier New" w:hAnsi="Courier New"/>
                <w:sz w:val="17"/>
                <w:szCs w:val="17"/>
                <w:color w:val="auto"/>
              </w:rPr>
              <w:t>Description of Investment,</w:t>
            </w:r>
          </w:p>
        </w:tc>
      </w:tr>
      <w:tr>
        <w:trPr>
          <w:trHeight w:val="201"/>
        </w:trPr>
        <w:tc>
          <w:tcPr>
            <w:tcW w:w="6240" w:type="dxa"/>
            <w:vAlign w:val="bottom"/>
          </w:tcPr>
          <w:p>
            <w:pPr>
              <w:spacing w:after="0"/>
              <w:rPr>
                <w:sz w:val="17"/>
                <w:szCs w:val="17"/>
                <w:color w:val="auto"/>
              </w:rPr>
            </w:pPr>
          </w:p>
        </w:tc>
        <w:tc>
          <w:tcPr>
            <w:tcW w:w="5280" w:type="dxa"/>
            <w:vAlign w:val="bottom"/>
            <w:gridSpan w:val="3"/>
          </w:tcPr>
          <w:p>
            <w:pPr>
              <w:jc w:val="center"/>
              <w:ind w:right="73"/>
              <w:spacing w:after="0"/>
              <w:rPr>
                <w:sz w:val="20"/>
                <w:szCs w:val="20"/>
                <w:color w:val="auto"/>
              </w:rPr>
            </w:pPr>
            <w:r>
              <w:rPr>
                <w:rFonts w:ascii="Courier New" w:cs="Courier New" w:eastAsia="Courier New" w:hAnsi="Courier New"/>
                <w:sz w:val="17"/>
                <w:szCs w:val="17"/>
                <w:color w:val="auto"/>
              </w:rPr>
              <w:t>Including Maturity Date,</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Identity of Issue, Borrower, Lessor</w:t>
            </w:r>
          </w:p>
        </w:tc>
        <w:tc>
          <w:tcPr>
            <w:tcW w:w="5280" w:type="dxa"/>
            <w:vAlign w:val="bottom"/>
            <w:gridSpan w:val="3"/>
          </w:tcPr>
          <w:p>
            <w:pPr>
              <w:jc w:val="center"/>
              <w:ind w:right="73"/>
              <w:spacing w:after="0"/>
              <w:rPr>
                <w:sz w:val="20"/>
                <w:szCs w:val="20"/>
                <w:color w:val="auto"/>
              </w:rPr>
            </w:pPr>
            <w:r>
              <w:rPr>
                <w:rFonts w:ascii="Courier New" w:cs="Courier New" w:eastAsia="Courier New" w:hAnsi="Courier New"/>
                <w:sz w:val="17"/>
                <w:szCs w:val="17"/>
                <w:color w:val="auto"/>
              </w:rPr>
              <w:t>Rate of Interest, Par or</w:t>
            </w:r>
          </w:p>
        </w:tc>
      </w:tr>
      <w:tr>
        <w:trPr>
          <w:trHeight w:val="201"/>
        </w:trPr>
        <w:tc>
          <w:tcPr>
            <w:tcW w:w="6240" w:type="dxa"/>
            <w:vAlign w:val="bottom"/>
          </w:tcPr>
          <w:p>
            <w:pPr>
              <w:ind w:left="2000"/>
              <w:spacing w:after="0"/>
              <w:rPr>
                <w:sz w:val="20"/>
                <w:szCs w:val="20"/>
                <w:color w:val="auto"/>
              </w:rPr>
            </w:pPr>
            <w:r>
              <w:rPr>
                <w:rFonts w:ascii="Courier New" w:cs="Courier New" w:eastAsia="Courier New" w:hAnsi="Courier New"/>
                <w:sz w:val="17"/>
                <w:szCs w:val="17"/>
                <w:color w:val="auto"/>
              </w:rPr>
              <w:t>or Similar Party</w:t>
            </w:r>
          </w:p>
        </w:tc>
        <w:tc>
          <w:tcPr>
            <w:tcW w:w="3360" w:type="dxa"/>
            <w:vAlign w:val="bottom"/>
            <w:gridSpan w:val="2"/>
          </w:tcPr>
          <w:p>
            <w:pPr>
              <w:jc w:val="center"/>
              <w:ind w:left="1693"/>
              <w:spacing w:after="0"/>
              <w:rPr>
                <w:sz w:val="20"/>
                <w:szCs w:val="20"/>
                <w:color w:val="auto"/>
              </w:rPr>
            </w:pPr>
            <w:r>
              <w:rPr>
                <w:rFonts w:ascii="Courier New" w:cs="Courier New" w:eastAsia="Courier New" w:hAnsi="Courier New"/>
                <w:sz w:val="17"/>
                <w:szCs w:val="17"/>
                <w:color w:val="auto"/>
              </w:rPr>
              <w:t>Maturity Value</w:t>
            </w:r>
          </w:p>
        </w:tc>
        <w:tc>
          <w:tcPr>
            <w:tcW w:w="1920" w:type="dxa"/>
            <w:vAlign w:val="bottom"/>
          </w:tcPr>
          <w:p>
            <w:pPr>
              <w:spacing w:after="0"/>
              <w:rPr>
                <w:sz w:val="17"/>
                <w:szCs w:val="17"/>
                <w:color w:val="auto"/>
              </w:rPr>
            </w:pP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Fair or</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ind w:left="140"/>
              <w:spacing w:after="0"/>
              <w:rPr>
                <w:sz w:val="20"/>
                <w:szCs w:val="20"/>
                <w:color w:val="auto"/>
              </w:rPr>
            </w:pPr>
            <w:r>
              <w:rPr>
                <w:rFonts w:ascii="Courier New" w:cs="Courier New" w:eastAsia="Courier New" w:hAnsi="Courier New"/>
                <w:sz w:val="17"/>
                <w:szCs w:val="17"/>
                <w:color w:val="auto"/>
              </w:rPr>
              <w:t>Current Value</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in thousands)</w:t>
            </w:r>
          </w:p>
        </w:tc>
      </w:tr>
      <w:tr>
        <w:trPr>
          <w:trHeight w:val="806"/>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John Hancock Life Insurance Company; 04/01/05</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Maturity; 5.54%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3,090,785</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3,091</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Principal Life Insurance Company; 07/01/04</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1260"/>
              <w:spacing w:after="0"/>
              <w:rPr>
                <w:sz w:val="20"/>
                <w:szCs w:val="20"/>
                <w:color w:val="auto"/>
              </w:rPr>
            </w:pPr>
            <w:r>
              <w:rPr>
                <w:rFonts w:ascii="Courier New" w:cs="Courier New" w:eastAsia="Courier New" w:hAnsi="Courier New"/>
                <w:sz w:val="17"/>
                <w:szCs w:val="17"/>
                <w:color w:val="auto"/>
              </w:rPr>
              <w:t>Maturity; 5.82%</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1,811,812</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1,812</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Protective Life Insurance Company; 11/01/04</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Maturity; 7.07%</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1,575,841</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1,576</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Protective Life Insurance Company; 05/02/05</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Maturity; 5.58%</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1,879,040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1,879</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Prudential Financial; 11/12/04 Maturity; 6.99%</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2,692,930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2,693</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Prudential Financial; 08/01/07 Maturity; 4.48%</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3,171,245</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3,171</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AIG SunAmerica; 06/30/04 Maturity; 6.88%</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1,377,483</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1,377</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25,971</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Security-Backed Investment Contracts</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Bank of America; 4.24%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87,004,000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87,004</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JPMorgan Chase Bank; 4.24%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87,004,000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87,004</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Rabobank Netherland; 4.24%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87,004,000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87,004</w:t>
            </w:r>
          </w:p>
        </w:tc>
      </w:tr>
      <w:tr>
        <w:trPr>
          <w:trHeight w:val="201"/>
        </w:trPr>
        <w:tc>
          <w:tcPr>
            <w:tcW w:w="6240" w:type="dxa"/>
            <w:vAlign w:val="bottom"/>
          </w:tcPr>
          <w:p>
            <w:pPr>
              <w:ind w:left="960"/>
              <w:spacing w:after="0"/>
              <w:rPr>
                <w:sz w:val="20"/>
                <w:szCs w:val="20"/>
                <w:color w:val="auto"/>
              </w:rPr>
            </w:pPr>
            <w:r>
              <w:rPr>
                <w:rFonts w:ascii="Courier New" w:cs="Courier New" w:eastAsia="Courier New" w:hAnsi="Courier New"/>
                <w:sz w:val="17"/>
                <w:szCs w:val="17"/>
                <w:color w:val="auto"/>
              </w:rPr>
              <w:t>State Street Bank &amp; Trust Company; 4.24%</w:t>
            </w:r>
          </w:p>
        </w:tc>
        <w:tc>
          <w:tcPr>
            <w:tcW w:w="2100" w:type="dxa"/>
            <w:vAlign w:val="bottom"/>
          </w:tcPr>
          <w:p>
            <w:pPr>
              <w:jc w:val="right"/>
              <w:spacing w:after="0"/>
              <w:rPr>
                <w:sz w:val="20"/>
                <w:szCs w:val="20"/>
                <w:color w:val="auto"/>
              </w:rPr>
            </w:pPr>
            <w:r>
              <w:rPr>
                <w:rFonts w:ascii="Courier New" w:cs="Courier New" w:eastAsia="Courier New" w:hAnsi="Courier New"/>
                <w:sz w:val="17"/>
                <w:szCs w:val="17"/>
                <w:color w:val="auto"/>
              </w:rPr>
              <w:t>87,004,000</w:t>
            </w:r>
          </w:p>
        </w:tc>
        <w:tc>
          <w:tcPr>
            <w:tcW w:w="1260" w:type="dxa"/>
            <w:vAlign w:val="bottom"/>
          </w:tcPr>
          <w:p>
            <w:pPr>
              <w:ind w:left="40"/>
              <w:spacing w:after="0"/>
              <w:rPr>
                <w:sz w:val="20"/>
                <w:szCs w:val="20"/>
                <w:color w:val="auto"/>
              </w:rPr>
            </w:pPr>
            <w:r>
              <w:rPr>
                <w:rFonts w:ascii="Courier New" w:cs="Courier New" w:eastAsia="Courier New" w:hAnsi="Courier New"/>
                <w:sz w:val="17"/>
                <w:szCs w:val="17"/>
                <w:color w:val="auto"/>
              </w:rPr>
              <w:t>units</w:t>
            </w: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87,004</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348,016</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431,514</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1"/>
        </w:trPr>
        <w:tc>
          <w:tcPr>
            <w:tcW w:w="6240" w:type="dxa"/>
            <w:vAlign w:val="bottom"/>
          </w:tcPr>
          <w:p>
            <w:pPr>
              <w:spacing w:after="0"/>
              <w:rPr>
                <w:sz w:val="20"/>
                <w:szCs w:val="20"/>
                <w:color w:val="auto"/>
              </w:rPr>
            </w:pPr>
            <w:r>
              <w:rPr>
                <w:rFonts w:ascii="Courier New" w:cs="Courier New" w:eastAsia="Courier New" w:hAnsi="Courier New"/>
                <w:sz w:val="17"/>
                <w:szCs w:val="17"/>
                <w:color w:val="auto"/>
              </w:rPr>
              <w:t>Participant Loan Fund (at cost, which approximates</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fair value) (interest rates from 4.25% to 11.50%;</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1"/>
        </w:trPr>
        <w:tc>
          <w:tcPr>
            <w:tcW w:w="6240" w:type="dxa"/>
            <w:vAlign w:val="bottom"/>
          </w:tcPr>
          <w:p>
            <w:pPr>
              <w:ind w:left="540"/>
              <w:spacing w:after="0"/>
              <w:rPr>
                <w:sz w:val="20"/>
                <w:szCs w:val="20"/>
                <w:color w:val="auto"/>
              </w:rPr>
            </w:pPr>
            <w:r>
              <w:rPr>
                <w:rFonts w:ascii="Courier New" w:cs="Courier New" w:eastAsia="Courier New" w:hAnsi="Courier New"/>
                <w:sz w:val="17"/>
                <w:szCs w:val="17"/>
                <w:color w:val="auto"/>
              </w:rPr>
              <w:t>maturities from 2004 to 2024)</w:t>
            </w: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50,518</w:t>
            </w:r>
          </w:p>
        </w:tc>
      </w:tr>
      <w:tr>
        <w:trPr>
          <w:trHeight w:val="201"/>
        </w:trPr>
        <w:tc>
          <w:tcPr>
            <w:tcW w:w="6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left="10280"/>
        <w:spacing w:after="0"/>
        <w:rPr>
          <w:sz w:val="20"/>
          <w:szCs w:val="20"/>
          <w:color w:val="auto"/>
        </w:rPr>
      </w:pPr>
      <w:r>
        <w:rPr>
          <w:rFonts w:ascii="Courier New" w:cs="Courier New" w:eastAsia="Courier New" w:hAnsi="Courier New"/>
          <w:sz w:val="17"/>
          <w:szCs w:val="17"/>
          <w:color w:val="auto"/>
        </w:rPr>
        <w:t>$1,497,948</w:t>
      </w:r>
    </w:p>
    <w:p>
      <w:pPr>
        <w:spacing w:after="0" w:line="9" w:lineRule="exact"/>
        <w:rPr>
          <w:sz w:val="20"/>
          <w:szCs w:val="20"/>
          <w:color w:val="auto"/>
        </w:rPr>
      </w:pPr>
    </w:p>
    <w:p>
      <w:pPr>
        <w:ind w:left="96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Represents a party-in-interest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1520"/>
          </w:cols>
          <w:pgMar w:left="240" w:top="1440" w:right="139" w:bottom="1440" w:gutter="0" w:footer="0" w:header="0"/>
        </w:sectPr>
      </w:pPr>
    </w:p>
    <w:bookmarkStart w:id="18" w:name="page19"/>
    <w:bookmarkEnd w:id="18"/>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210" w:lineRule="exact"/>
        <w:rPr>
          <w:sz w:val="20"/>
          <w:szCs w:val="20"/>
          <w:color w:val="auto"/>
        </w:rPr>
      </w:pPr>
    </w:p>
    <w:p>
      <w:pPr>
        <w:jc w:val="both"/>
        <w:ind w:right="1839"/>
        <w:spacing w:after="0" w:line="253" w:lineRule="auto"/>
        <w:rPr>
          <w:sz w:val="20"/>
          <w:szCs w:val="20"/>
          <w:color w:val="auto"/>
        </w:rPr>
      </w:pPr>
      <w:r>
        <w:rPr>
          <w:rFonts w:ascii="Courier New" w:cs="Courier New" w:eastAsia="Courier New" w:hAnsi="Courier New"/>
          <w:sz w:val="17"/>
          <w:szCs w:val="17"/>
          <w:color w:val="auto"/>
        </w:rPr>
        <w:t>We consent to the incorporation by reference in Registration Statement No. 333-101295 of Comcast Corporation on Form S-8 of our report dated June 23, 2004 appearing in this Annual Report on Form 11-K of the Comcast Corporation Retirement-Investment Plan for the year ended December 31, 2003.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40" w:right="1440" w:bottom="1440" w:gutter="0" w:footer="0" w:header="0"/>
        </w:sectPr>
      </w:pPr>
    </w:p>
    <w:bookmarkStart w:id="19" w:name="page20"/>
    <w:bookmarkEnd w:id="19"/>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THE COMCAST CORPORATION</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RETIREMENT-INVESTMENT PLAN</w:t>
      </w:r>
    </w:p>
    <w:p>
      <w:pPr>
        <w:sectPr>
          <w:pgSz w:w="11900" w:h="16838" w:orient="portrait"/>
          <w:cols w:equalWidth="0" w:num="1">
            <w:col w:w="10219"/>
          </w:cols>
          <w:pgMar w:left="240" w:top="92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Administrator</w:t>
      </w:r>
    </w:p>
    <w:p>
      <w:pPr>
        <w:spacing w:after="0" w:line="200" w:lineRule="exact"/>
        <w:rPr>
          <w:sz w:val="20"/>
          <w:szCs w:val="20"/>
          <w:color w:val="auto"/>
        </w:rPr>
      </w:pPr>
    </w:p>
    <w:p>
      <w:pPr>
        <w:sectPr>
          <w:pgSz w:w="11900" w:h="16838" w:orient="portrait"/>
          <w:cols w:equalWidth="0" w:num="2">
            <w:col w:w="5040" w:space="200"/>
            <w:col w:w="4979"/>
          </w:cols>
          <w:pgMar w:left="240" w:top="921" w:right="1440" w:bottom="1440" w:gutter="0" w:footer="0" w:header="0"/>
          <w:type w:val="continuous"/>
        </w:sectPr>
      </w:pPr>
    </w:p>
    <w:p>
      <w:pPr>
        <w:spacing w:after="0" w:line="21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June 28, 2004</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J. Salva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J. Salva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Vice President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Controller</w:t>
      </w:r>
    </w:p>
    <w:p>
      <w:pPr>
        <w:spacing w:after="0" w:line="200" w:lineRule="exact"/>
        <w:rPr>
          <w:sz w:val="20"/>
          <w:szCs w:val="20"/>
          <w:color w:val="auto"/>
        </w:rPr>
      </w:pPr>
    </w:p>
    <w:p>
      <w:pPr>
        <w:sectPr>
          <w:pgSz w:w="11900" w:h="16838" w:orient="portrait"/>
          <w:cols w:equalWidth="0" w:num="3">
            <w:col w:w="4000" w:space="720"/>
            <w:col w:w="320" w:space="200"/>
            <w:col w:w="4979"/>
          </w:cols>
          <w:pgMar w:left="240" w:top="9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21" w:right="1440" w:bottom="1440" w:gutter="0" w:footer="0" w:header="0"/>
          <w:type w:val="continuous"/>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2019-12-12T03:12:39Z</dcterms:created>
  <dcterms:modified xsi:type="dcterms:W3CDTF">2019-12-12T03:12:39Z</dcterms:modified>
</cp:coreProperties>
</file>