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245745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720" w:type="dxa"/>
        <w:tblCellMar>
          <w:top w:w="0" w:type="dxa"/>
          <w:left w:w="0" w:type="dxa"/>
          <w:bottom w:w="0" w:type="dxa"/>
          <w:right w:w="0" w:type="dxa"/>
        </w:tblCellMar>
      </w:tblPr>
      <w:tr>
        <w:trPr>
          <w:trHeight w:val="421"/>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32"/>
                <w:szCs w:val="32"/>
                <w:b w:val="1"/>
                <w:bCs w:val="1"/>
                <w:color w:val="auto"/>
              </w:rPr>
              <w:t>FORM 8-K</w:t>
            </w: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29"/>
                <w:szCs w:val="29"/>
                <w:b w:val="1"/>
                <w:bCs w:val="1"/>
                <w:color w:val="auto"/>
                <w:w w:val="99"/>
              </w:rPr>
              <w:t>CURRENT REPORT</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4"/>
                <w:szCs w:val="24"/>
                <w:color w:val="auto"/>
              </w:rPr>
            </w:pPr>
          </w:p>
        </w:tc>
        <w:tc>
          <w:tcPr>
            <w:tcW w:w="7360" w:type="dxa"/>
            <w:vAlign w:val="bottom"/>
          </w:tcPr>
          <w:p>
            <w:pPr>
              <w:jc w:val="center"/>
              <w:ind w:right="2203"/>
              <w:spacing w:after="0"/>
              <w:rPr>
                <w:sz w:val="20"/>
                <w:szCs w:val="20"/>
                <w:color w:val="auto"/>
              </w:rPr>
            </w:pPr>
            <w:r>
              <w:rPr>
                <w:rFonts w:ascii="Arial" w:cs="Arial" w:eastAsia="Arial" w:hAnsi="Arial"/>
                <w:sz w:val="29"/>
                <w:szCs w:val="29"/>
                <w:b w:val="1"/>
                <w:bCs w:val="1"/>
                <w:color w:val="auto"/>
                <w:w w:val="90"/>
              </w:rPr>
              <w:t>Pursuant To Section 13 Or 15(d) of</w:t>
            </w:r>
          </w:p>
        </w:tc>
        <w:tc>
          <w:tcPr>
            <w:tcW w:w="0" w:type="dxa"/>
            <w:vAlign w:val="bottom"/>
          </w:tcPr>
          <w:p>
            <w:pPr>
              <w:spacing w:after="0"/>
              <w:rPr>
                <w:sz w:val="1"/>
                <w:szCs w:val="1"/>
                <w:color w:val="auto"/>
              </w:rPr>
            </w:pPr>
          </w:p>
        </w:tc>
      </w:tr>
      <w:tr>
        <w:trPr>
          <w:trHeight w:val="375"/>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29"/>
                <w:szCs w:val="29"/>
                <w:b w:val="1"/>
                <w:bCs w:val="1"/>
                <w:color w:val="auto"/>
                <w:w w:val="88"/>
              </w:rPr>
              <w:t>The Securities Exchange Act of 1934</w:t>
            </w:r>
          </w:p>
        </w:tc>
        <w:tc>
          <w:tcPr>
            <w:tcW w:w="0" w:type="dxa"/>
            <w:vAlign w:val="bottom"/>
          </w:tcPr>
          <w:p>
            <w:pPr>
              <w:spacing w:after="0"/>
              <w:rPr>
                <w:sz w:val="1"/>
                <w:szCs w:val="1"/>
                <w:color w:val="auto"/>
              </w:rPr>
            </w:pPr>
          </w:p>
        </w:tc>
      </w:tr>
      <w:tr>
        <w:trPr>
          <w:trHeight w:val="454"/>
        </w:trPr>
        <w:tc>
          <w:tcPr>
            <w:tcW w:w="2460" w:type="dxa"/>
            <w:vAlign w:val="bottom"/>
          </w:tcPr>
          <w:p>
            <w:pPr>
              <w:spacing w:after="0"/>
              <w:rPr>
                <w:sz w:val="24"/>
                <w:szCs w:val="24"/>
                <w:color w:val="auto"/>
              </w:rPr>
            </w:pPr>
          </w:p>
        </w:tc>
        <w:tc>
          <w:tcPr>
            <w:tcW w:w="7360" w:type="dxa"/>
            <w:vAlign w:val="bottom"/>
          </w:tcPr>
          <w:p>
            <w:pPr>
              <w:jc w:val="center"/>
              <w:ind w:right="2203"/>
              <w:spacing w:after="0"/>
              <w:rPr>
                <w:sz w:val="20"/>
                <w:szCs w:val="20"/>
                <w:color w:val="auto"/>
              </w:rPr>
            </w:pPr>
            <w:r>
              <w:rPr>
                <w:rFonts w:ascii="Arial" w:cs="Arial" w:eastAsia="Arial" w:hAnsi="Arial"/>
                <w:sz w:val="18"/>
                <w:szCs w:val="18"/>
                <w:color w:val="auto"/>
                <w:w w:val="91"/>
              </w:rPr>
              <w:t>Date of report (Date of earliest event reported): February 18, 2009</w:t>
            </w:r>
          </w:p>
        </w:tc>
        <w:tc>
          <w:tcPr>
            <w:tcW w:w="0" w:type="dxa"/>
            <w:vAlign w:val="bottom"/>
          </w:tcPr>
          <w:p>
            <w:pPr>
              <w:spacing w:after="0"/>
              <w:rPr>
                <w:sz w:val="1"/>
                <w:szCs w:val="1"/>
                <w:color w:val="auto"/>
              </w:rPr>
            </w:pPr>
          </w:p>
        </w:tc>
      </w:tr>
      <w:tr>
        <w:trPr>
          <w:trHeight w:val="562"/>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29"/>
                <w:szCs w:val="29"/>
                <w:b w:val="1"/>
                <w:bCs w:val="1"/>
                <w:color w:val="auto"/>
                <w:w w:val="90"/>
              </w:rPr>
              <w:t>Comcast Corporation</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7360" w:type="dxa"/>
            <w:vAlign w:val="bottom"/>
          </w:tcPr>
          <w:p>
            <w:pPr>
              <w:jc w:val="center"/>
              <w:ind w:right="2203"/>
              <w:spacing w:after="0" w:line="149" w:lineRule="exact"/>
              <w:rPr>
                <w:sz w:val="20"/>
                <w:szCs w:val="20"/>
                <w:color w:val="auto"/>
              </w:rPr>
            </w:pPr>
            <w:r>
              <w:rPr>
                <w:rFonts w:ascii="Arial" w:cs="Arial" w:eastAsia="Arial" w:hAnsi="Arial"/>
                <w:sz w:val="14"/>
                <w:szCs w:val="14"/>
                <w:color w:val="auto"/>
                <w:w w:val="93"/>
              </w:rPr>
              <w:t>(Exact Name of Registrant</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7360" w:type="dxa"/>
            <w:vAlign w:val="bottom"/>
          </w:tcPr>
          <w:p>
            <w:pPr>
              <w:jc w:val="center"/>
              <w:ind w:right="2183"/>
              <w:spacing w:after="0"/>
              <w:rPr>
                <w:sz w:val="20"/>
                <w:szCs w:val="20"/>
                <w:color w:val="auto"/>
              </w:rPr>
            </w:pPr>
            <w:r>
              <w:rPr>
                <w:rFonts w:ascii="Arial" w:cs="Arial" w:eastAsia="Arial" w:hAnsi="Arial"/>
                <w:sz w:val="14"/>
                <w:szCs w:val="14"/>
                <w:color w:val="auto"/>
                <w:w w:val="92"/>
              </w:rPr>
              <w:t>as Specified in Charter)</w:t>
            </w:r>
          </w:p>
        </w:tc>
        <w:tc>
          <w:tcPr>
            <w:tcW w:w="0" w:type="dxa"/>
            <w:vAlign w:val="bottom"/>
          </w:tcPr>
          <w:p>
            <w:pPr>
              <w:spacing w:after="0"/>
              <w:rPr>
                <w:sz w:val="1"/>
                <w:szCs w:val="1"/>
                <w:color w:val="auto"/>
              </w:rPr>
            </w:pPr>
          </w:p>
        </w:tc>
      </w:tr>
      <w:tr>
        <w:trPr>
          <w:trHeight w:val="358"/>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14"/>
                <w:szCs w:val="14"/>
                <w:b w:val="1"/>
                <w:bCs w:val="1"/>
                <w:color w:val="auto"/>
                <w:w w:val="89"/>
              </w:rPr>
              <w:t>Pennsylvania</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7360" w:type="dxa"/>
            <w:vAlign w:val="bottom"/>
          </w:tcPr>
          <w:p>
            <w:pPr>
              <w:jc w:val="center"/>
              <w:ind w:right="2183"/>
              <w:spacing w:after="0"/>
              <w:rPr>
                <w:sz w:val="20"/>
                <w:szCs w:val="20"/>
                <w:color w:val="auto"/>
              </w:rPr>
            </w:pPr>
            <w:r>
              <w:rPr>
                <w:rFonts w:ascii="Arial" w:cs="Arial" w:eastAsia="Arial" w:hAnsi="Arial"/>
                <w:sz w:val="14"/>
                <w:szCs w:val="14"/>
                <w:color w:val="auto"/>
                <w:w w:val="95"/>
              </w:rPr>
              <w:t>(State or Other Jurisdiction of Incorporation)</w:t>
            </w:r>
          </w:p>
        </w:tc>
        <w:tc>
          <w:tcPr>
            <w:tcW w:w="0" w:type="dxa"/>
            <w:vAlign w:val="bottom"/>
          </w:tcPr>
          <w:p>
            <w:pPr>
              <w:spacing w:after="0"/>
              <w:rPr>
                <w:sz w:val="1"/>
                <w:szCs w:val="1"/>
                <w:color w:val="auto"/>
              </w:rPr>
            </w:pPr>
          </w:p>
        </w:tc>
      </w:tr>
      <w:tr>
        <w:trPr>
          <w:trHeight w:val="263"/>
        </w:trPr>
        <w:tc>
          <w:tcPr>
            <w:tcW w:w="24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001-32871</w:t>
            </w:r>
          </w:p>
        </w:tc>
        <w:tc>
          <w:tcPr>
            <w:tcW w:w="7360" w:type="dxa"/>
            <w:vAlign w:val="bottom"/>
          </w:tcPr>
          <w:p>
            <w:pPr>
              <w:jc w:val="center"/>
              <w:ind w:left="5283"/>
              <w:spacing w:after="0"/>
              <w:rPr>
                <w:sz w:val="20"/>
                <w:szCs w:val="20"/>
                <w:color w:val="auto"/>
              </w:rPr>
            </w:pPr>
            <w:r>
              <w:rPr>
                <w:rFonts w:ascii="Arial" w:cs="Arial" w:eastAsia="Arial" w:hAnsi="Arial"/>
                <w:sz w:val="14"/>
                <w:szCs w:val="14"/>
                <w:b w:val="1"/>
                <w:bCs w:val="1"/>
                <w:color w:val="auto"/>
                <w:w w:val="93"/>
              </w:rPr>
              <w:t>27-0000798</w:t>
            </w:r>
          </w:p>
        </w:tc>
        <w:tc>
          <w:tcPr>
            <w:tcW w:w="0" w:type="dxa"/>
            <w:vAlign w:val="bottom"/>
          </w:tcPr>
          <w:p>
            <w:pPr>
              <w:spacing w:after="0"/>
              <w:rPr>
                <w:sz w:val="1"/>
                <w:szCs w:val="1"/>
                <w:color w:val="auto"/>
              </w:rPr>
            </w:pPr>
          </w:p>
        </w:tc>
      </w:tr>
      <w:tr>
        <w:trPr>
          <w:trHeight w:val="182"/>
        </w:trPr>
        <w:tc>
          <w:tcPr>
            <w:tcW w:w="2460" w:type="dxa"/>
            <w:vAlign w:val="bottom"/>
          </w:tcPr>
          <w:p>
            <w:pPr>
              <w:jc w:val="center"/>
              <w:ind w:right="48"/>
              <w:spacing w:after="0"/>
              <w:rPr>
                <w:sz w:val="20"/>
                <w:szCs w:val="20"/>
                <w:color w:val="auto"/>
              </w:rPr>
            </w:pPr>
            <w:r>
              <w:rPr>
                <w:rFonts w:ascii="Arial" w:cs="Arial" w:eastAsia="Arial" w:hAnsi="Arial"/>
                <w:sz w:val="14"/>
                <w:szCs w:val="14"/>
                <w:color w:val="auto"/>
                <w:w w:val="94"/>
              </w:rPr>
              <w:t>(Commission File Number)</w:t>
            </w:r>
          </w:p>
        </w:tc>
        <w:tc>
          <w:tcPr>
            <w:tcW w:w="7360" w:type="dxa"/>
            <w:vAlign w:val="bottom"/>
          </w:tcPr>
          <w:p>
            <w:pPr>
              <w:jc w:val="center"/>
              <w:ind w:left="5283"/>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59"/>
        </w:trPr>
        <w:tc>
          <w:tcPr>
            <w:tcW w:w="24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One Comcast Center</w:t>
            </w:r>
          </w:p>
        </w:tc>
        <w:tc>
          <w:tcPr>
            <w:tcW w:w="7360" w:type="dxa"/>
            <w:vAlign w:val="bottom"/>
            <w:vMerge w:val="restart"/>
          </w:tcPr>
          <w:p>
            <w:pPr>
              <w:jc w:val="center"/>
              <w:ind w:left="5283"/>
              <w:spacing w:after="0"/>
              <w:rPr>
                <w:sz w:val="20"/>
                <w:szCs w:val="20"/>
                <w:color w:val="auto"/>
              </w:rPr>
            </w:pPr>
            <w:r>
              <w:rPr>
                <w:rFonts w:ascii="Arial" w:cs="Arial" w:eastAsia="Arial" w:hAnsi="Arial"/>
                <w:sz w:val="14"/>
                <w:szCs w:val="14"/>
                <w:b w:val="1"/>
                <w:bCs w:val="1"/>
                <w:color w:val="auto"/>
                <w:w w:val="93"/>
              </w:rPr>
              <w:t>19103-2838</w:t>
            </w:r>
          </w:p>
        </w:tc>
        <w:tc>
          <w:tcPr>
            <w:tcW w:w="0" w:type="dxa"/>
            <w:vAlign w:val="bottom"/>
          </w:tcPr>
          <w:p>
            <w:pPr>
              <w:spacing w:after="0"/>
              <w:rPr>
                <w:sz w:val="1"/>
                <w:szCs w:val="1"/>
                <w:color w:val="auto"/>
              </w:rPr>
            </w:pPr>
          </w:p>
        </w:tc>
      </w:tr>
      <w:tr>
        <w:trPr>
          <w:trHeight w:val="153"/>
        </w:trPr>
        <w:tc>
          <w:tcPr>
            <w:tcW w:w="24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Philadelphia, PA</w:t>
            </w:r>
          </w:p>
        </w:tc>
        <w:tc>
          <w:tcPr>
            <w:tcW w:w="7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60" w:type="dxa"/>
            <w:vAlign w:val="bottom"/>
          </w:tcPr>
          <w:p>
            <w:pPr>
              <w:jc w:val="center"/>
              <w:ind w:right="48"/>
              <w:spacing w:after="0"/>
              <w:rPr>
                <w:sz w:val="20"/>
                <w:szCs w:val="20"/>
                <w:color w:val="auto"/>
              </w:rPr>
            </w:pPr>
            <w:r>
              <w:rPr>
                <w:rFonts w:ascii="Arial" w:cs="Arial" w:eastAsia="Arial" w:hAnsi="Arial"/>
                <w:sz w:val="14"/>
                <w:szCs w:val="14"/>
                <w:color w:val="auto"/>
                <w:w w:val="95"/>
              </w:rPr>
              <w:t>(Address of Principal Executive Offices)</w:t>
            </w:r>
          </w:p>
        </w:tc>
        <w:tc>
          <w:tcPr>
            <w:tcW w:w="7360" w:type="dxa"/>
            <w:vAlign w:val="bottom"/>
          </w:tcPr>
          <w:p>
            <w:pPr>
              <w:jc w:val="center"/>
              <w:ind w:left="526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635"/>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(215) 286-1700</w:t>
            </w:r>
          </w:p>
        </w:tc>
        <w:tc>
          <w:tcPr>
            <w:tcW w:w="0" w:type="dxa"/>
            <w:vAlign w:val="bottom"/>
          </w:tcPr>
          <w:p>
            <w:pPr>
              <w:spacing w:after="0"/>
              <w:rPr>
                <w:sz w:val="1"/>
                <w:szCs w:val="1"/>
                <w:color w:val="auto"/>
              </w:rPr>
            </w:pPr>
          </w:p>
        </w:tc>
      </w:tr>
      <w:tr>
        <w:trPr>
          <w:trHeight w:val="392"/>
        </w:trPr>
        <w:tc>
          <w:tcPr>
            <w:tcW w:w="2460" w:type="dxa"/>
            <w:vAlign w:val="bottom"/>
          </w:tcPr>
          <w:p>
            <w:pPr>
              <w:spacing w:after="0"/>
              <w:rPr>
                <w:sz w:val="24"/>
                <w:szCs w:val="24"/>
                <w:color w:val="auto"/>
              </w:rPr>
            </w:pPr>
          </w:p>
        </w:tc>
        <w:tc>
          <w:tcPr>
            <w:tcW w:w="7360" w:type="dxa"/>
            <w:vAlign w:val="bottom"/>
          </w:tcPr>
          <w:p>
            <w:pPr>
              <w:jc w:val="center"/>
              <w:ind w:right="2183"/>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firstLine="162"/>
        <w:spacing w:after="0" w:line="25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14a-12(b) under the Exchange Act (17 CFR 240.14a-12(b))</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83" w:right="3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On February 18, 2009, Comcast Corporation (“Comcast”) issued a press release reporting the results of its operations for the three and twelve months ended December 31, 2008.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Item 9.01. Exhibits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320" w:type="dxa"/>
            <w:vAlign w:val="bottom"/>
          </w:tcPr>
          <w:p>
            <w:pPr>
              <w:spacing w:after="0"/>
              <w:rPr>
                <w:sz w:val="24"/>
                <w:szCs w:val="2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01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Number</w:t>
            </w:r>
          </w:p>
        </w:tc>
        <w:tc>
          <w:tcPr>
            <w:tcW w:w="10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2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460" w:type="dxa"/>
            <w:vAlign w:val="bottom"/>
          </w:tcPr>
          <w:p>
            <w:pPr>
              <w:spacing w:after="0"/>
              <w:rPr>
                <w:sz w:val="23"/>
                <w:szCs w:val="23"/>
                <w:color w:val="auto"/>
              </w:rPr>
            </w:pPr>
          </w:p>
        </w:tc>
        <w:tc>
          <w:tcPr>
            <w:tcW w:w="10140" w:type="dxa"/>
            <w:vAlign w:val="bottom"/>
            <w:gridSpan w:val="3"/>
          </w:tcPr>
          <w:p>
            <w:pPr>
              <w:ind w:left="120"/>
              <w:spacing w:after="0"/>
              <w:rPr>
                <w:sz w:val="20"/>
                <w:szCs w:val="20"/>
                <w:color w:val="auto"/>
              </w:rPr>
            </w:pPr>
            <w:r>
              <w:rPr>
                <w:rFonts w:ascii="Arial" w:cs="Arial" w:eastAsia="Arial" w:hAnsi="Arial"/>
                <w:sz w:val="14"/>
                <w:szCs w:val="14"/>
                <w:color w:val="auto"/>
              </w:rPr>
              <w:t>Comcast Corporation press release dated February 18, 2009.</w:t>
            </w:r>
          </w:p>
        </w:tc>
        <w:tc>
          <w:tcPr>
            <w:tcW w:w="0" w:type="dxa"/>
            <w:vAlign w:val="bottom"/>
          </w:tcPr>
          <w:p>
            <w:pPr>
              <w:spacing w:after="0"/>
              <w:rPr>
                <w:sz w:val="1"/>
                <w:szCs w:val="1"/>
                <w:color w:val="auto"/>
              </w:rPr>
            </w:pPr>
          </w:p>
        </w:tc>
      </w:tr>
      <w:tr>
        <w:trPr>
          <w:trHeight w:val="182"/>
        </w:trPr>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w w:val="95"/>
              </w:rPr>
              <w:t>99.2</w:t>
            </w:r>
          </w:p>
        </w:tc>
        <w:tc>
          <w:tcPr>
            <w:tcW w:w="460" w:type="dxa"/>
            <w:vAlign w:val="bottom"/>
          </w:tcPr>
          <w:p>
            <w:pPr>
              <w:spacing w:after="0"/>
              <w:rPr>
                <w:sz w:val="15"/>
                <w:szCs w:val="15"/>
                <w:color w:val="auto"/>
              </w:rPr>
            </w:pPr>
          </w:p>
        </w:tc>
        <w:tc>
          <w:tcPr>
            <w:tcW w:w="10140" w:type="dxa"/>
            <w:vAlign w:val="bottom"/>
            <w:gridSpan w:val="3"/>
          </w:tcPr>
          <w:p>
            <w:pPr>
              <w:ind w:left="120"/>
              <w:spacing w:after="0"/>
              <w:rPr>
                <w:sz w:val="20"/>
                <w:szCs w:val="20"/>
                <w:color w:val="auto"/>
              </w:rPr>
            </w:pPr>
            <w:r>
              <w:rPr>
                <w:rFonts w:ascii="Arial" w:cs="Arial" w:eastAsia="Arial" w:hAnsi="Arial"/>
                <w:sz w:val="14"/>
                <w:szCs w:val="14"/>
                <w:color w:val="auto"/>
              </w:rPr>
              <w:t>Explanation of Non-GAAP and Other Financial Measures.</w:t>
            </w:r>
          </w:p>
        </w:tc>
        <w:tc>
          <w:tcPr>
            <w:tcW w:w="0" w:type="dxa"/>
            <w:vAlign w:val="bottom"/>
          </w:tcPr>
          <w:p>
            <w:pPr>
              <w:spacing w:after="0"/>
              <w:rPr>
                <w:sz w:val="1"/>
                <w:szCs w:val="1"/>
                <w:color w:val="auto"/>
              </w:rPr>
            </w:pPr>
          </w:p>
        </w:tc>
      </w:tr>
      <w:tr>
        <w:trPr>
          <w:trHeight w:val="346"/>
        </w:trPr>
        <w:tc>
          <w:tcPr>
            <w:tcW w:w="3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COMCAST CORPORATION</w:t>
      </w:r>
    </w:p>
    <w:p>
      <w:pPr>
        <w:spacing w:after="0" w:line="109" w:lineRule="exact"/>
        <w:rPr>
          <w:sz w:val="20"/>
          <w:szCs w:val="20"/>
          <w:color w:val="auto"/>
        </w:rPr>
      </w:pPr>
    </w:p>
    <w:p>
      <w:pPr>
        <w:spacing w:after="0"/>
        <w:tabs>
          <w:tab w:leader="none" w:pos="560" w:val="left"/>
          <w:tab w:leader="none" w:pos="6620" w:val="left"/>
          <w:tab w:leader="none" w:pos="70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18, 2009</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9"/>
          <w:szCs w:val="19"/>
          <w:color w:val="auto"/>
          <w:vertAlign w:val="superscript"/>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-12065</wp:posOffset>
            </wp:positionV>
            <wp:extent cx="27527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ind w:left="7080"/>
        <w:spacing w:after="0" w:line="221" w:lineRule="auto"/>
        <w:rPr>
          <w:sz w:val="20"/>
          <w:szCs w:val="20"/>
          <w:color w:val="auto"/>
        </w:rPr>
      </w:pPr>
      <w:r>
        <w:rPr>
          <w:rFonts w:ascii="Arial" w:cs="Arial" w:eastAsia="Arial" w:hAnsi="Arial"/>
          <w:sz w:val="14"/>
          <w:szCs w:val="14"/>
          <w:color w:val="auto"/>
        </w:rPr>
        <w:t>Lawrence J. Salva</w:t>
      </w:r>
    </w:p>
    <w:p>
      <w:pPr>
        <w:ind w:left="7080"/>
        <w:spacing w:after="0" w:line="221" w:lineRule="auto"/>
        <w:rPr>
          <w:sz w:val="20"/>
          <w:szCs w:val="20"/>
          <w:color w:val="auto"/>
        </w:rPr>
      </w:pPr>
      <w:r>
        <w:rPr>
          <w:rFonts w:ascii="Arial" w:cs="Arial" w:eastAsia="Arial" w:hAnsi="Arial"/>
          <w:sz w:val="14"/>
          <w:szCs w:val="14"/>
          <w:color w:val="auto"/>
        </w:rPr>
        <w:t>Senior Vice President, Chief Accounting Officer</w:t>
      </w:r>
    </w:p>
    <w:p>
      <w:pPr>
        <w:ind w:left="7080"/>
        <w:spacing w:after="0" w:line="222" w:lineRule="auto"/>
        <w:rPr>
          <w:sz w:val="20"/>
          <w:szCs w:val="20"/>
          <w:color w:val="auto"/>
        </w:rPr>
      </w:pPr>
      <w:r>
        <w:rPr>
          <w:rFonts w:ascii="Arial" w:cs="Arial" w:eastAsia="Arial" w:hAnsi="Arial"/>
          <w:sz w:val="14"/>
          <w:szCs w:val="14"/>
          <w:color w:val="auto"/>
        </w:rPr>
        <w:t>and Controller</w:t>
      </w:r>
    </w:p>
    <w:p>
      <w:pPr>
        <w:ind w:left="7080"/>
        <w:spacing w:after="0"/>
        <w:rPr>
          <w:sz w:val="20"/>
          <w:szCs w:val="20"/>
          <w:color w:val="auto"/>
        </w:rPr>
      </w:pPr>
      <w:r>
        <w:rPr>
          <w:rFonts w:ascii="Arial" w:cs="Arial" w:eastAsia="Arial" w:hAnsi="Arial"/>
          <w:sz w:val="14"/>
          <w:szCs w:val="14"/>
          <w:color w:val="auto"/>
        </w:rPr>
        <w:t>(Principal Accounting Officer)</w:t>
      </w:r>
    </w:p>
    <w:p>
      <w:pPr>
        <w:sectPr>
          <w:pgSz w:w="11900" w:h="16838" w:orient="portrait"/>
          <w:cols w:equalWidth="0" w:num="1">
            <w:col w:w="10640"/>
          </w:cols>
          <w:pgMar w:left="240" w:top="603"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165735</wp:posOffset>
            </wp:positionV>
            <wp:extent cx="161226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auto"/>
        </w:rPr>
        <w:t>PRESS RELEASE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Contacts:</w:t>
            </w:r>
          </w:p>
        </w:tc>
        <w:tc>
          <w:tcPr>
            <w:tcW w:w="3300" w:type="dxa"/>
            <w:vAlign w:val="bottom"/>
          </w:tcPr>
          <w:p>
            <w:pPr>
              <w:spacing w:after="0"/>
              <w:rPr>
                <w:sz w:val="14"/>
                <w:szCs w:val="14"/>
                <w:color w:val="auto"/>
              </w:rPr>
            </w:pPr>
          </w:p>
        </w:tc>
        <w:tc>
          <w:tcPr>
            <w:tcW w:w="3460" w:type="dxa"/>
            <w:vAlign w:val="bottom"/>
          </w:tcPr>
          <w:p>
            <w:pPr>
              <w:ind w:left="1840"/>
              <w:spacing w:after="0"/>
              <w:rPr>
                <w:sz w:val="20"/>
                <w:szCs w:val="20"/>
                <w:color w:val="auto"/>
              </w:rPr>
            </w:pPr>
            <w:r>
              <w:rPr>
                <w:rFonts w:ascii="Arial" w:cs="Arial" w:eastAsia="Arial" w:hAnsi="Arial"/>
                <w:sz w:val="14"/>
                <w:szCs w:val="14"/>
                <w:b w:val="1"/>
                <w:bCs w:val="1"/>
                <w:color w:val="auto"/>
              </w:rPr>
              <w:t>Press Contacts:</w:t>
            </w:r>
          </w:p>
        </w:tc>
        <w:tc>
          <w:tcPr>
            <w:tcW w:w="1560" w:type="dxa"/>
            <w:vAlign w:val="bottom"/>
          </w:tcPr>
          <w:p>
            <w:pPr>
              <w:spacing w:after="0"/>
              <w:rPr>
                <w:sz w:val="14"/>
                <w:szCs w:val="14"/>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Marlene S. Dooner</w:t>
            </w:r>
          </w:p>
        </w:tc>
        <w:tc>
          <w:tcPr>
            <w:tcW w:w="3300" w:type="dxa"/>
            <w:vAlign w:val="bottom"/>
          </w:tcPr>
          <w:p>
            <w:pPr>
              <w:jc w:val="right"/>
              <w:ind w:right="1768"/>
              <w:spacing w:after="0" w:line="149" w:lineRule="exact"/>
              <w:rPr>
                <w:sz w:val="20"/>
                <w:szCs w:val="20"/>
                <w:color w:val="auto"/>
              </w:rPr>
            </w:pPr>
            <w:r>
              <w:rPr>
                <w:rFonts w:ascii="Arial" w:cs="Arial" w:eastAsia="Arial" w:hAnsi="Arial"/>
                <w:sz w:val="14"/>
                <w:szCs w:val="14"/>
                <w:color w:val="auto"/>
              </w:rPr>
              <w:t>(215) 286-7392</w:t>
            </w:r>
          </w:p>
        </w:tc>
        <w:tc>
          <w:tcPr>
            <w:tcW w:w="3460" w:type="dxa"/>
            <w:vAlign w:val="bottom"/>
          </w:tcPr>
          <w:p>
            <w:pPr>
              <w:ind w:left="1840"/>
              <w:spacing w:after="0" w:line="149" w:lineRule="exact"/>
              <w:rPr>
                <w:sz w:val="20"/>
                <w:szCs w:val="20"/>
                <w:color w:val="auto"/>
              </w:rPr>
            </w:pPr>
            <w:r>
              <w:rPr>
                <w:rFonts w:ascii="Arial" w:cs="Arial" w:eastAsia="Arial" w:hAnsi="Arial"/>
                <w:sz w:val="14"/>
                <w:szCs w:val="14"/>
                <w:color w:val="auto"/>
              </w:rPr>
              <w:t>D’Arcy Rudnay</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(215) 286-8582</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Jane B. Kearns</w:t>
            </w:r>
          </w:p>
        </w:tc>
        <w:tc>
          <w:tcPr>
            <w:tcW w:w="3300" w:type="dxa"/>
            <w:vAlign w:val="bottom"/>
          </w:tcPr>
          <w:p>
            <w:pPr>
              <w:jc w:val="right"/>
              <w:ind w:right="1768"/>
              <w:spacing w:after="0" w:line="149" w:lineRule="exact"/>
              <w:rPr>
                <w:sz w:val="20"/>
                <w:szCs w:val="20"/>
                <w:color w:val="auto"/>
              </w:rPr>
            </w:pPr>
            <w:r>
              <w:rPr>
                <w:rFonts w:ascii="Arial" w:cs="Arial" w:eastAsia="Arial" w:hAnsi="Arial"/>
                <w:sz w:val="14"/>
                <w:szCs w:val="14"/>
                <w:color w:val="auto"/>
              </w:rPr>
              <w:t>(215) 286-4794</w:t>
            </w:r>
          </w:p>
        </w:tc>
        <w:tc>
          <w:tcPr>
            <w:tcW w:w="3460" w:type="dxa"/>
            <w:vAlign w:val="bottom"/>
          </w:tcPr>
          <w:p>
            <w:pPr>
              <w:ind w:left="1840"/>
              <w:spacing w:after="0" w:line="149" w:lineRule="exact"/>
              <w:rPr>
                <w:sz w:val="20"/>
                <w:szCs w:val="20"/>
                <w:color w:val="auto"/>
              </w:rPr>
            </w:pPr>
            <w:r>
              <w:rPr>
                <w:rFonts w:ascii="Arial" w:cs="Arial" w:eastAsia="Arial" w:hAnsi="Arial"/>
                <w:sz w:val="14"/>
                <w:szCs w:val="14"/>
                <w:color w:val="auto"/>
              </w:rPr>
              <w:t>John Demming</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(215) 286-8011</w:t>
            </w:r>
          </w:p>
        </w:tc>
      </w:tr>
      <w:tr>
        <w:trPr>
          <w:trHeight w:val="182"/>
        </w:trPr>
        <w:tc>
          <w:tcPr>
            <w:tcW w:w="1720" w:type="dxa"/>
            <w:vAlign w:val="bottom"/>
          </w:tcPr>
          <w:p>
            <w:pPr>
              <w:spacing w:after="0"/>
              <w:rPr>
                <w:sz w:val="20"/>
                <w:szCs w:val="20"/>
                <w:color w:val="auto"/>
              </w:rPr>
            </w:pPr>
            <w:r>
              <w:rPr>
                <w:rFonts w:ascii="Arial" w:cs="Arial" w:eastAsia="Arial" w:hAnsi="Arial"/>
                <w:sz w:val="14"/>
                <w:szCs w:val="14"/>
                <w:color w:val="auto"/>
              </w:rPr>
              <w:t>Michael A. Kelman</w:t>
            </w:r>
          </w:p>
        </w:tc>
        <w:tc>
          <w:tcPr>
            <w:tcW w:w="3300" w:type="dxa"/>
            <w:vAlign w:val="bottom"/>
          </w:tcPr>
          <w:p>
            <w:pPr>
              <w:jc w:val="right"/>
              <w:ind w:right="1768"/>
              <w:spacing w:after="0"/>
              <w:rPr>
                <w:sz w:val="20"/>
                <w:szCs w:val="20"/>
                <w:color w:val="auto"/>
              </w:rPr>
            </w:pPr>
            <w:r>
              <w:rPr>
                <w:rFonts w:ascii="Arial" w:cs="Arial" w:eastAsia="Arial" w:hAnsi="Arial"/>
                <w:sz w:val="14"/>
                <w:szCs w:val="14"/>
                <w:color w:val="auto"/>
              </w:rPr>
              <w:t>(215) 286-3035</w:t>
            </w:r>
          </w:p>
        </w:tc>
        <w:tc>
          <w:tcPr>
            <w:tcW w:w="346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REPORTS FOURTH QUARTER AND YEAR END RESULTS</w:t>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2008 Consolidated Revenue Increased 11%; Pro Forma Growth of 8%</w:t>
      </w:r>
    </w:p>
    <w:p>
      <w:pPr>
        <w:spacing w:after="0" w:line="230" w:lineRule="exact"/>
        <w:rPr>
          <w:rFonts w:ascii="Arial" w:cs="Arial" w:eastAsia="Arial" w:hAnsi="Arial"/>
          <w:sz w:val="14"/>
          <w:szCs w:val="14"/>
          <w:color w:val="auto"/>
        </w:rPr>
      </w:pPr>
    </w:p>
    <w:p>
      <w:pPr>
        <w:ind w:left="340" w:right="7600" w:hanging="332"/>
        <w:spacing w:after="0" w:line="259"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2008 Consolidated Operating Cash Flow Increased 11%; Pro Forma Growth of 8%</w:t>
      </w:r>
    </w:p>
    <w:p>
      <w:pPr>
        <w:spacing w:after="0" w:line="192" w:lineRule="exact"/>
        <w:rPr>
          <w:rFonts w:ascii="Arial" w:cs="Arial" w:eastAsia="Arial" w:hAnsi="Arial"/>
          <w:sz w:val="14"/>
          <w:szCs w:val="14"/>
          <w:color w:val="auto"/>
        </w:rPr>
      </w:pPr>
    </w:p>
    <w:p>
      <w:pPr>
        <w:ind w:left="340" w:right="7800" w:hanging="332"/>
        <w:spacing w:after="0" w:line="259"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2008 Consolidated Operating Income Increased 21%; Pro Forma Growth of 17%</w:t>
      </w:r>
    </w:p>
    <w:p>
      <w:pPr>
        <w:spacing w:after="0" w:line="192"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2008 EPS of $0.86; 2008 Adjusted EPS of $0.91 Increased 23%</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2008 Free Cash Flow Increased 56% to $3.7 Billion</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Comcast Increases Quarterly Dividend 8% — Planned at $0.27 Annually</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 February 18, 2009 …Comcast Corporation (NASDAQ: CMCSA, CMCSK) today reported results for the quarter and year ended December 31, 2008.</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Brian L. Roberts, Chairman and Chief Executive Officer of Comcast Corporation, said, “I am very pleased with our results and how we executed in 2008. Despite a very difficult economic environment, we met or exceeded all of our financial targets, demonstrating the strength of our subscription businesses. We also made progress in our key strategic initiatives, including improving the customer experience, deploying wideband in approximately 25% of our footprint, and beginning the process of going ‘All-Digital’.</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For 2009, our goal is to continue to deliver growth even in this challenging environment and we remain focused on Free Cash Flow generation. In fact, as a result of our confidence in the Free Cash Flow capability of our business, today we are announcing an 8% increase in our dividend. We will also continue to invest to support long-term growth and extend our competitive advantage while strengthening our financial profile. We believe this approach and our focus on improving the customer experience will continue to drive shareholder value.”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Results</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increased 11% in 2008 to $34.3 billion, while</w:t>
      </w:r>
      <w:r>
        <w:rPr>
          <w:rFonts w:ascii="Arial" w:cs="Arial" w:eastAsia="Arial" w:hAnsi="Arial"/>
          <w:sz w:val="13"/>
          <w:szCs w:val="13"/>
          <w:b w:val="1"/>
          <w:bCs w:val="1"/>
          <w:i w:val="1"/>
          <w:iCs w:val="1"/>
          <w:color w:val="auto"/>
        </w:rPr>
        <w:t xml:space="preserve"> Operating Cash Flow </w:t>
      </w:r>
      <w:r>
        <w:rPr>
          <w:rFonts w:ascii="Arial" w:cs="Arial" w:eastAsia="Arial" w:hAnsi="Arial"/>
          <w:sz w:val="13"/>
          <w:szCs w:val="13"/>
          <w:color w:val="auto"/>
        </w:rPr>
        <w:t>increased 11% to $13.1 billion and</w:t>
      </w:r>
      <w:r>
        <w:rPr>
          <w:rFonts w:ascii="Arial" w:cs="Arial" w:eastAsia="Arial" w:hAnsi="Arial"/>
          <w:sz w:val="13"/>
          <w:szCs w:val="13"/>
          <w:b w:val="1"/>
          <w:bCs w:val="1"/>
          <w:i w:val="1"/>
          <w:iCs w:val="1"/>
          <w:color w:val="auto"/>
        </w:rPr>
        <w:t xml:space="preserve"> Operating Income </w:t>
      </w:r>
      <w:r>
        <w:rPr>
          <w:rFonts w:ascii="Arial" w:cs="Arial" w:eastAsia="Arial" w:hAnsi="Arial"/>
          <w:sz w:val="13"/>
          <w:szCs w:val="13"/>
          <w:color w:val="auto"/>
        </w:rPr>
        <w:t>increased 21% to $6.7 billion. This growth was due to solid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results at Comcast Cable and in the Programming segment, as well as the positive impact of cable acquisitions and the dissolution of the Insight Midwest Partnership. On a pro forma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basis</w:t>
      </w:r>
      <w:r>
        <w:rPr>
          <w:rFonts w:ascii="Arial" w:cs="Arial" w:eastAsia="Arial" w:hAnsi="Arial"/>
          <w:sz w:val="20"/>
          <w:szCs w:val="20"/>
          <w:color w:val="auto"/>
          <w:vertAlign w:val="superscript"/>
        </w:rPr>
        <w:t>1</w:t>
      </w:r>
      <w:r>
        <w:rPr>
          <w:rFonts w:ascii="Arial" w:cs="Arial" w:eastAsia="Arial" w:hAnsi="Arial"/>
          <w:sz w:val="14"/>
          <w:szCs w:val="14"/>
          <w:color w:val="auto"/>
        </w:rPr>
        <w:t>, Consolidated Revenue increased 8% and Consolidated Operating Cash Flow increased 8%.</w:t>
      </w:r>
    </w:p>
    <w:p>
      <w:pPr>
        <w:spacing w:after="0" w:line="165" w:lineRule="exact"/>
        <w:rPr>
          <w:sz w:val="20"/>
          <w:szCs w:val="20"/>
          <w:color w:val="auto"/>
        </w:rPr>
      </w:pPr>
    </w:p>
    <w:p>
      <w:pPr>
        <w:ind w:right="560"/>
        <w:spacing w:after="0" w:line="253" w:lineRule="auto"/>
        <w:rPr>
          <w:sz w:val="20"/>
          <w:szCs w:val="20"/>
          <w:color w:val="auto"/>
        </w:rPr>
      </w:pPr>
      <w:r>
        <w:rPr>
          <w:rFonts w:ascii="Arial" w:cs="Arial" w:eastAsia="Arial" w:hAnsi="Arial"/>
          <w:sz w:val="14"/>
          <w:szCs w:val="14"/>
          <w:color w:val="auto"/>
        </w:rPr>
        <w:t>For the quarter ended December 31, 2008, revenue increased 9% to $8.8 billion, Operating Cash Flow increased 9% to $3.4 billion, and Operating Income increased 20% to $1.8 billion, all compared to the same time period in 2007. On a pro forma basis, revenue increased 7% and Operating Cash Flow increased 7%.</w:t>
      </w:r>
    </w:p>
    <w:p>
      <w:pPr>
        <w:spacing w:after="0" w:line="201" w:lineRule="exact"/>
        <w:rPr>
          <w:sz w:val="20"/>
          <w:szCs w:val="20"/>
          <w:color w:val="auto"/>
        </w:rPr>
      </w:pPr>
    </w:p>
    <w:p>
      <w:pPr>
        <w:ind w:right="860"/>
        <w:spacing w:after="0" w:line="253" w:lineRule="auto"/>
        <w:rPr>
          <w:sz w:val="20"/>
          <w:szCs w:val="20"/>
          <w:color w:val="auto"/>
        </w:rPr>
      </w:pPr>
      <w:r>
        <w:rPr>
          <w:rFonts w:ascii="Arial" w:cs="Arial" w:eastAsia="Arial" w:hAnsi="Arial"/>
          <w:sz w:val="14"/>
          <w:szCs w:val="14"/>
          <w:i w:val="1"/>
          <w:iCs w:val="1"/>
          <w:color w:val="auto"/>
        </w:rPr>
        <w:t>For additional detail on revenue and operating expenses, customer metrics, and capital expenditures,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 in millions)</w:t>
            </w:r>
          </w:p>
        </w:tc>
        <w:tc>
          <w:tcPr>
            <w:tcW w:w="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20"/>
                <w:szCs w:val="20"/>
                <w:b w:val="1"/>
                <w:bCs w:val="1"/>
                <w:color w:val="auto"/>
                <w:vertAlign w:val="superscript"/>
              </w:rPr>
              <w:t>th</w:t>
            </w:r>
            <w:r>
              <w:rPr>
                <w:rFonts w:ascii="Arial" w:cs="Arial" w:eastAsia="Arial" w:hAnsi="Arial"/>
                <w:sz w:val="14"/>
                <w:szCs w:val="14"/>
                <w:b w:val="1"/>
                <w:bCs w:val="1"/>
                <w:color w:val="auto"/>
              </w:rPr>
              <w:t xml:space="preserve"> Quarter</w:t>
            </w:r>
          </w:p>
        </w:tc>
        <w:tc>
          <w:tcPr>
            <w:tcW w:w="2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Full Year</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Revenue</w:t>
            </w:r>
          </w:p>
        </w:tc>
        <w:tc>
          <w:tcPr>
            <w:tcW w:w="78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Growth</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10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Growth</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Cable</w:t>
            </w:r>
          </w:p>
        </w:tc>
        <w:tc>
          <w:tcPr>
            <w:tcW w:w="146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7,758</w:t>
            </w:r>
          </w:p>
        </w:tc>
        <w:tc>
          <w:tcPr>
            <w:tcW w:w="74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8,296</w:t>
            </w: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30,120</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32,443</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Programming</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350</w:t>
            </w:r>
          </w:p>
        </w:tc>
        <w:tc>
          <w:tcPr>
            <w:tcW w:w="82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1,314</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1,426</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Corporate &amp; Other</w:t>
            </w: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Total Consolidated Revenue</w:t>
            </w:r>
          </w:p>
        </w:tc>
        <w:tc>
          <w:tcPr>
            <w:tcW w:w="1460" w:type="dxa"/>
            <w:vAlign w:val="bottom"/>
            <w:gridSpan w:val="2"/>
          </w:tcPr>
          <w:p>
            <w:pPr>
              <w:jc w:val="right"/>
              <w:ind w:right="528"/>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8,195</w:t>
            </w:r>
          </w:p>
        </w:tc>
        <w:tc>
          <w:tcPr>
            <w:tcW w:w="740" w:type="dxa"/>
            <w:vAlign w:val="bottom"/>
            <w:gridSpan w:val="2"/>
          </w:tcPr>
          <w:p>
            <w:pPr>
              <w:jc w:val="right"/>
              <w:ind w:right="528"/>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8,765</w:t>
            </w:r>
          </w:p>
        </w:tc>
        <w:tc>
          <w:tcPr>
            <w:tcW w:w="82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7%</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31,710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34,256</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Pro Forma Operating Cash Flow (OCF)</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Cable</w:t>
            </w:r>
          </w:p>
        </w:tc>
        <w:tc>
          <w:tcPr>
            <w:tcW w:w="146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3,196</w:t>
            </w:r>
          </w:p>
        </w:tc>
        <w:tc>
          <w:tcPr>
            <w:tcW w:w="74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3,415</w:t>
            </w: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12,246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13,170</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Programming</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82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220" w:type="dxa"/>
            <w:vAlign w:val="bottom"/>
          </w:tcPr>
          <w:p>
            <w:pPr>
              <w:spacing w:after="0"/>
              <w:rPr>
                <w:sz w:val="12"/>
                <w:szCs w:val="12"/>
                <w:color w:val="auto"/>
              </w:rPr>
            </w:pP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Corporate &amp; Other</w:t>
            </w: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8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4"/>
                <w:szCs w:val="14"/>
                <w:b w:val="1"/>
                <w:bCs w:val="1"/>
                <w:color w:val="auto"/>
              </w:rPr>
              <w:t>Total Consolidated OCF</w:t>
            </w:r>
          </w:p>
        </w:tc>
        <w:tc>
          <w:tcPr>
            <w:tcW w:w="146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3,154</w:t>
            </w:r>
          </w:p>
        </w:tc>
        <w:tc>
          <w:tcPr>
            <w:tcW w:w="74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3,370</w:t>
            </w:r>
          </w:p>
        </w:tc>
        <w:tc>
          <w:tcPr>
            <w:tcW w:w="8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12,109</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13,132</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 xml:space="preserve">Earnings per Share (EPS) </w:t>
      </w:r>
      <w:r>
        <w:rPr>
          <w:rFonts w:ascii="Arial" w:cs="Arial" w:eastAsia="Arial" w:hAnsi="Arial"/>
          <w:sz w:val="14"/>
          <w:szCs w:val="14"/>
          <w:color w:val="auto"/>
        </w:rPr>
        <w:t>for 2008 was $0.86 compared to $0.83 in 2007, which includes a $600 million pretax impairment of the Clearwire investment in 2008, favorable income tax adjustments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in 2008 and gains from the dissolution of cable partnerships in 2007 and 2008. Excluding these items, </w:t>
      </w:r>
      <w:r>
        <w:rPr>
          <w:rFonts w:ascii="Arial" w:cs="Arial" w:eastAsia="Arial" w:hAnsi="Arial"/>
          <w:sz w:val="14"/>
          <w:szCs w:val="14"/>
          <w:b w:val="1"/>
          <w:bCs w:val="1"/>
          <w:color w:val="auto"/>
        </w:rPr>
        <w:t>Adjusted Earnings per Share</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increased 23% to $0.91.</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Earnings per Share for the quarter ended December 31, 2008 was $0.14 compared to $0.20 in the same time period in 2007; Adjusted Earnings per Share increased 35% to $0.27 in the fourth quarter.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4</w:t>
            </w:r>
            <w:r>
              <w:rPr>
                <w:rFonts w:ascii="Arial" w:cs="Arial" w:eastAsia="Arial" w:hAnsi="Arial"/>
                <w:sz w:val="20"/>
                <w:szCs w:val="20"/>
                <w:b w:val="1"/>
                <w:bCs w:val="1"/>
                <w:color w:val="auto"/>
                <w:w w:val="93"/>
                <w:vertAlign w:val="superscript"/>
              </w:rPr>
              <w:t>th</w:t>
            </w:r>
            <w:r>
              <w:rPr>
                <w:rFonts w:ascii="Arial" w:cs="Arial" w:eastAsia="Arial" w:hAnsi="Arial"/>
                <w:sz w:val="14"/>
                <w:szCs w:val="14"/>
                <w:b w:val="1"/>
                <w:bCs w:val="1"/>
                <w:color w:val="auto"/>
                <w:w w:val="93"/>
              </w:rPr>
              <w:t xml:space="preserve"> Quarter</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Full Year</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Growth</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Growth</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Share</w:t>
            </w:r>
          </w:p>
        </w:tc>
        <w:tc>
          <w:tcPr>
            <w:tcW w:w="14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0.20</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0.14</w:t>
            </w: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0.86</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Adjustments, net of tax:</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Gains from dissolution of cable partnerships</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(0.05)</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00"/>
              <w:spacing w:after="0" w:line="149" w:lineRule="exact"/>
              <w:rPr>
                <w:sz w:val="20"/>
                <w:szCs w:val="20"/>
                <w:color w:val="auto"/>
              </w:rPr>
            </w:pPr>
            <w:r>
              <w:rPr>
                <w:rFonts w:ascii="Arial" w:cs="Arial" w:eastAsia="Arial" w:hAnsi="Arial"/>
                <w:sz w:val="14"/>
                <w:szCs w:val="14"/>
                <w:color w:val="auto"/>
              </w:rPr>
              <w:t>Favorable income tax adjustments</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the Clearwire investment</w:t>
            </w:r>
          </w:p>
        </w:tc>
        <w:tc>
          <w:tcPr>
            <w:tcW w:w="6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b w:val="1"/>
                <w:bCs w:val="1"/>
                <w:color w:val="auto"/>
              </w:rPr>
              <w:t>Adjusted Earnings per Share</w:t>
            </w:r>
          </w:p>
        </w:tc>
        <w:tc>
          <w:tcPr>
            <w:tcW w:w="14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0.20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0.27</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0.74</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0.91</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b w:val="1"/>
          <w:bCs w:val="1"/>
          <w:i w:val="1"/>
          <w:iCs w:val="1"/>
          <w:color w:val="auto"/>
        </w:rPr>
        <w:t xml:space="preserve">Free Cash Flow </w:t>
      </w:r>
      <w:r>
        <w:rPr>
          <w:rFonts w:ascii="Arial" w:cs="Arial" w:eastAsia="Arial" w:hAnsi="Arial"/>
          <w:sz w:val="14"/>
          <w:szCs w:val="14"/>
          <w:color w:val="auto"/>
        </w:rPr>
        <w:t>(without the tax benefit from the 2008 Economic Stimulus package) totaled $3.7 billion in 2008 as compared to $2.3 billion in 2007, a 56% increase. The increase in Free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Flow (FCF) was due primarily to growth in Consolidated Operating Cash Flow and lower capital expenditures. During 2008, consolidated capital expenditures decreased 7% from the prior year to $5.7 billion, or 16.8% of total revenue, reflecting lower spending for residential services at Comcast Cable.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gridSpan w:val="2"/>
          </w:tcPr>
          <w:p>
            <w:pPr>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6"/>
              </w:rPr>
              <w:t>4</w:t>
            </w:r>
            <w:r>
              <w:rPr>
                <w:rFonts w:ascii="Arial" w:cs="Arial" w:eastAsia="Arial" w:hAnsi="Arial"/>
                <w:sz w:val="20"/>
                <w:szCs w:val="20"/>
                <w:b w:val="1"/>
                <w:bCs w:val="1"/>
                <w:color w:val="auto"/>
                <w:w w:val="96"/>
                <w:vertAlign w:val="superscript"/>
              </w:rPr>
              <w:t>th</w:t>
            </w:r>
            <w:r>
              <w:rPr>
                <w:rFonts w:ascii="Arial" w:cs="Arial" w:eastAsia="Arial" w:hAnsi="Arial"/>
                <w:sz w:val="14"/>
                <w:szCs w:val="14"/>
                <w:b w:val="1"/>
                <w:bCs w:val="1"/>
                <w:color w:val="auto"/>
                <w:w w:val="96"/>
              </w:rPr>
              <w:t xml:space="preserve"> Quarter</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Full Year</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Growth</w:t>
            </w:r>
          </w:p>
        </w:tc>
        <w:tc>
          <w:tcPr>
            <w:tcW w:w="2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100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Growth</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2,684</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2,858</w:t>
            </w:r>
          </w:p>
        </w:tc>
        <w:tc>
          <w:tcPr>
            <w:tcW w:w="7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10,231</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(1,713)</w:t>
            </w:r>
          </w:p>
        </w:tc>
        <w:tc>
          <w:tcPr>
            <w:tcW w:w="7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(6,158)</w:t>
            </w:r>
          </w:p>
        </w:tc>
        <w:tc>
          <w:tcPr>
            <w:tcW w:w="14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(5,750)</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Capitalized Software</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w:t>
            </w:r>
          </w:p>
        </w:tc>
        <w:tc>
          <w:tcPr>
            <w:tcW w:w="7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Cash Paid for Other Intangible Assets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7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14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for Payment of Tax on Nonoperating Items</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7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FCF (Including 2008 Economic Stimulus Package)</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1,008</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981</w:t>
            </w:r>
          </w:p>
        </w:tc>
        <w:tc>
          <w:tcPr>
            <w:tcW w:w="7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4,257</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 Economic Stimulus Package</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w:t>
            </w:r>
          </w:p>
        </w:tc>
        <w:tc>
          <w:tcPr>
            <w:tcW w:w="7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864</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(14%)</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2,342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3,657</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Economic Stimulus package.</w:t>
      </w: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Pro Forma Cable Segment Results</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4"/>
          <w:szCs w:val="14"/>
          <w:b w:val="1"/>
          <w:bCs w:val="1"/>
          <w:i w:val="1"/>
          <w:iCs w:val="1"/>
          <w:color w:val="auto"/>
        </w:rPr>
        <w:t xml:space="preserve">Revenue </w:t>
      </w:r>
      <w:r>
        <w:rPr>
          <w:rFonts w:ascii="Arial" w:cs="Arial" w:eastAsia="Arial" w:hAnsi="Arial"/>
          <w:sz w:val="14"/>
          <w:szCs w:val="14"/>
          <w:color w:val="auto"/>
        </w:rPr>
        <w:t>from the Cable segment increased 8% to $32.4 billion for 2008 as compared to $30.1 billion in 2007, reflecting the adoption of digital and advanced video services, rate increases,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continued growth in high-speed Internet (HSI) and Comcast Digital Voice (CDV) penetration and strong growth in Business Services, partially offset by video customer losses and lower advertising revenue. The monthly average total revenue per video customer increased 9% from $101 to $110, reflecting an increasing number of customers taking multiple products. As of December 31, 2008, 23% of customers were three-product customers as compared to 16% at the end of 2007.</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Operating Cash Flow </w:t>
      </w:r>
      <w:r>
        <w:rPr>
          <w:rFonts w:ascii="Arial" w:cs="Arial" w:eastAsia="Arial" w:hAnsi="Arial"/>
          <w:sz w:val="13"/>
          <w:szCs w:val="13"/>
          <w:color w:val="auto"/>
        </w:rPr>
        <w:t>grew 8% to $13.2 billion in 2008 from $12.2 billion in 2007. Operating Cash Flow margin was 40.6% in 2008 compared to 40.7% in 2007, reflecting operating efficiencies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CDV and HSI, offset by continued increases in video programming expenses and additional investments in Business Services. Comcast continues to focus on controlling operating expenses; however, the company incurred expenses related to a divisional restructuring and employee reductions, as well as the impact from two major hurricanes on Comcast systems in the southern U.S. Excluding the impact of the hurricanes, which was $39 million, and $126 million of severance-related charges, Operating Cash Flow grew 9% in 2008.</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For the quarter ended December 31, 2008, revenue from the Cable segment increased 7% to $8.3 billion and Operating Cash Flow increased 7% to $3.4 billion, a margin of 41.2%. Excluding the impact of the hurricanes and severance-related charges, which were $19 million and $63 million, respectively, Operating Cash Flow grew 9% in the fourth quarter of 2008.</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Customers. </w:t>
      </w:r>
      <w:r>
        <w:rPr>
          <w:rFonts w:ascii="Arial" w:cs="Arial" w:eastAsia="Arial" w:hAnsi="Arial"/>
          <w:sz w:val="14"/>
          <w:szCs w:val="14"/>
          <w:color w:val="auto"/>
        </w:rPr>
        <w:t>As of December 31, 2008, Comcast’s video, high-speed Internet and voice customers totaled 45.6 million, reflecting 2.6 million net additions during 2008.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Customers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Net Adds</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20" w:type="dxa"/>
            <w:vAlign w:val="bottom"/>
          </w:tcPr>
          <w:p>
            <w:pPr>
              <w:spacing w:after="0"/>
              <w:rPr>
                <w:sz w:val="13"/>
                <w:szCs w:val="13"/>
                <w:color w:val="auto"/>
              </w:rPr>
            </w:pP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YE2007</w:t>
            </w: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YE2008</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Growth</w:t>
            </w:r>
          </w:p>
        </w:tc>
        <w:tc>
          <w:tcPr>
            <w:tcW w:w="100" w:type="dxa"/>
            <w:vAlign w:val="bottom"/>
          </w:tcPr>
          <w:p>
            <w:pPr>
              <w:spacing w:after="0"/>
              <w:rPr>
                <w:sz w:val="13"/>
                <w:szCs w:val="13"/>
                <w:color w:val="auto"/>
              </w:rPr>
            </w:pPr>
          </w:p>
        </w:tc>
        <w:tc>
          <w:tcPr>
            <w:tcW w:w="16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4Q2008</w:t>
            </w:r>
          </w:p>
        </w:tc>
        <w:tc>
          <w:tcPr>
            <w:tcW w:w="84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r>
      <w:tr>
        <w:trPr>
          <w:trHeight w:val="149"/>
        </w:trPr>
        <w:tc>
          <w:tcPr>
            <w:tcW w:w="49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Video Customers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24,758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24,182</w:t>
            </w:r>
          </w:p>
        </w:tc>
        <w:tc>
          <w:tcPr>
            <w:tcW w:w="10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(233)</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(575)</w:t>
            </w:r>
          </w:p>
        </w:tc>
      </w:tr>
      <w:tr>
        <w:trPr>
          <w:trHeight w:val="243"/>
        </w:trPr>
        <w:tc>
          <w:tcPr>
            <w:tcW w:w="4920" w:type="dxa"/>
            <w:vAlign w:val="bottom"/>
          </w:tcPr>
          <w:p>
            <w:pPr>
              <w:spacing w:after="0"/>
              <w:rPr>
                <w:sz w:val="20"/>
                <w:szCs w:val="20"/>
                <w:color w:val="auto"/>
              </w:rPr>
            </w:pPr>
            <w:r>
              <w:rPr>
                <w:rFonts w:ascii="Arial" w:cs="Arial" w:eastAsia="Arial" w:hAnsi="Arial"/>
                <w:sz w:val="14"/>
                <w:szCs w:val="14"/>
                <w:color w:val="auto"/>
              </w:rPr>
              <w:t>High-Speed Internet Customers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13,593</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14,929</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10%</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184</w:t>
            </w:r>
          </w:p>
        </w:tc>
        <w:tc>
          <w:tcPr>
            <w:tcW w:w="3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1,336</w:t>
            </w: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Comcast Digital Voice Customers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6,470</w:t>
            </w:r>
          </w:p>
        </w:tc>
        <w:tc>
          <w:tcPr>
            <w:tcW w:w="10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344</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2,021</w:t>
            </w:r>
          </w:p>
        </w:tc>
      </w:tr>
      <w:tr>
        <w:trPr>
          <w:trHeight w:val="250"/>
        </w:trPr>
        <w:tc>
          <w:tcPr>
            <w:tcW w:w="4920" w:type="dxa"/>
            <w:vAlign w:val="bottom"/>
          </w:tcPr>
          <w:p>
            <w:pPr>
              <w:spacing w:after="0"/>
              <w:rPr>
                <w:sz w:val="20"/>
                <w:szCs w:val="20"/>
                <w:color w:val="auto"/>
              </w:rPr>
            </w:pPr>
            <w:r>
              <w:rPr>
                <w:rFonts w:ascii="Arial" w:cs="Arial" w:eastAsia="Arial" w:hAnsi="Arial"/>
                <w:sz w:val="14"/>
                <w:szCs w:val="14"/>
                <w:color w:val="auto"/>
              </w:rPr>
              <w:t>Circuit-Switched Voice Customers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176</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3</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Combined Video, HSI and Voice Customers</w:t>
            </w:r>
          </w:p>
        </w:tc>
        <w:tc>
          <w:tcPr>
            <w:tcW w:w="1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42,976</w:t>
            </w:r>
          </w:p>
        </w:tc>
        <w:tc>
          <w:tcPr>
            <w:tcW w:w="13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45,584</w:t>
            </w:r>
          </w:p>
        </w:tc>
        <w:tc>
          <w:tcPr>
            <w:tcW w:w="10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1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w:t>
            </w: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00" w:type="dxa"/>
            <w:vAlign w:val="bottom"/>
            <w:shd w:val="clear" w:color="auto" w:fill="CCEEFF"/>
          </w:tcPr>
          <w:p>
            <w:pPr>
              <w:spacing w:after="0"/>
              <w:rPr>
                <w:sz w:val="21"/>
                <w:szCs w:val="2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4"/>
                <w:szCs w:val="14"/>
                <w:color w:val="auto"/>
              </w:rPr>
              <w:t>Digital Video Customers</w:t>
            </w: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15,527</w:t>
            </w:r>
          </w:p>
        </w:tc>
        <w:tc>
          <w:tcPr>
            <w:tcW w:w="1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17,004</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247</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Total Revenue Generating Units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58,502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62,588</w:t>
            </w:r>
          </w:p>
        </w:tc>
        <w:tc>
          <w:tcPr>
            <w:tcW w:w="10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537</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Programming Segment Results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Comcast's Programming segment consists of national programming networks E! Entertainment Television, Style Network, Golf Channel, VERSUS, and G4.</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The Programming segment reported 2008 revenue of $1.4 billion, a 9% increase from 2007, reflecting higher distribution and advertising revenue, and strong international revenue growth.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Operating Cash Flow increased 26% to $362 million in 2008, reflecting strong revenue growth and relatively stable production, programming and marketing expenses.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For the fourth quarter of 2008, Comcast’s Programming segment reported revenue of $350 million compared to $348 million in the fourth quarter of 2007. Operating Cash Flow increased to $55 million, an increase of 10% from the same period last year.</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Other</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Corporate and Other includes corporate overhead, Comcast Interactive Media (CIM), Comcast-Spectacor, and other operations and eliminations between Comcast's businesses. In 2008, Comcast reported Corporate and Other revenue of $387 million, a 41% increase over last year, reflecting strong results at CIM and Comcast-Spectacor. The Operating Cash Flow loss for the year was $400 million compared to a loss of $423 million in 2007.</w:t>
      </w:r>
    </w:p>
    <w:p>
      <w:pPr>
        <w:spacing w:after="0" w:line="210"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For the quarter ended December 31, 2008, Corporate and Other revenue increased to $119 million from the $89 million reported in 2007. The Operating Cash Flow loss for the fourth quarter of 2008 was $100 million compared to a loss of $91 million in the fourth quarter of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Share Repurchase and Dividend</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During 2008, Comcast repurchased 140.9 million of its common shares for $2.8 billion, reducing the number of total shares outstanding by 4.7%. As of December 31, 2008, Comcast had approximately $4.1 billion of availability remaining under its share repurchase authorization. As previously disclosed, due to difficult economic conditions and instability in the capital markets, it is unlikely that the company will complete its share repurchase authorization by the end of 2009 as previously planned.</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During 2008, Comcast paid three cash dividends totaling $547 million. On January 28, 2009, Comcast paid a quarterly cash dividend of $180 million.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Comcast’s Board of Directors has declared a quarterly cash dividend of $0.0675 a share on the company’s common stock, payable on April 29, 2009 to shareholders of record as of the close of business on April 8, 2009. The planned annual dividend of $0.27 per share is an 8% increase from the company’s previous dividend.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235" w:lineRule="exact"/>
        <w:rPr>
          <w:sz w:val="20"/>
          <w:szCs w:val="20"/>
          <w:color w:val="auto"/>
        </w:rPr>
      </w:pPr>
    </w:p>
    <w:p>
      <w:pPr>
        <w:jc w:val="both"/>
        <w:ind w:left="240" w:hanging="232"/>
        <w:spacing w:after="0" w:line="231"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 forma results adjust for certain cable segment acquisitions and dispositions, including the acquisitions of Comcast SportsNet Bay Area/Comcast SportsNet New England (June 2007), the cable system acquired from Patriot Media (August 2007), and the dissolution of the Insight Midwest Partnership (January 2008). Consolidated and cable pro forma results are presented as if the transactions noted above were effective on January 1, 2007. The net impact of these transactions increased the number of video customers by 765,000. Please refer to Table 4-A for a reconciliation of pro forma financial data. Pro forma customer data also includes 7,000 video customers acquired through an acquisition in November 2008. The impact of this acquisition on segment operating results was not material.</w:t>
      </w:r>
    </w:p>
    <w:p>
      <w:pPr>
        <w:spacing w:after="0" w:line="211" w:lineRule="exact"/>
        <w:rPr>
          <w:sz w:val="20"/>
          <w:szCs w:val="20"/>
          <w:color w:val="auto"/>
        </w:rPr>
      </w:pPr>
    </w:p>
    <w:p>
      <w:pPr>
        <w:jc w:val="both"/>
        <w:ind w:left="240" w:hanging="232"/>
        <w:spacing w:after="0" w:line="238"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Earnings per Share are adjusted for gains, net of tax, related to the dissolution of the Texas/Kansas City Cable Partnership in 2007; and in 2008, the dissolution of the Insight Midwest Partnership, gains related to the settlement of an uncertain tax position of an acquired entity, certain state tax law changes, and the impairment of the Clearwire investment. Please refer to Table 4-B for a reconciliation of adjusted net income and earnings per share. Earnings per share amounts are presented on a diluted basis.</w:t>
      </w:r>
    </w:p>
    <w:p>
      <w:pPr>
        <w:spacing w:after="0" w:line="115"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Minor Differences may exist due to rounding.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Information</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Comcast Corporation will host a conference call with the financial community today, February 18, 2009 at 8:30 a.m. Eastern Time (ET). The conference call will be broadcast live on Comcast’s Investor Relations website at www.cmcsa.com or www.cmcsk.com. A recording of the call will be available on the Investor Relations website starting at 12:30 p.m. ET on February 18, 2009. Those parties interested in participating via telephone should dial (800) 263-8495 with the conference ID number 80065727. A telephone replay will begin immediately following the call until Thursday, February 19, 2009 at midnight ET. To access the rebroadcast, please dial (800) 642-1687 and enter passcode number 80065727. To automatically receive Comcast financial news by email, please visit www.cmcsa.com or www.cmcsk.com and subscribe to email alerts.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 Concerning Forward-Looking Statements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All percentages are calculated based on actual amounts. Minor differences may exist due to rounding.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About Comcast Corporation</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Comcast Corporation (Nasdaq: CMCSA, CMCSK) (</w:t>
      </w:r>
      <w:r>
        <w:rPr>
          <w:rFonts w:ascii="Arial" w:cs="Arial" w:eastAsia="Arial" w:hAnsi="Arial"/>
          <w:sz w:val="14"/>
          <w:szCs w:val="14"/>
          <w:u w:val="single" w:color="auto"/>
          <w:color w:val="0000FF"/>
        </w:rPr>
        <w:t>http://www.comcast.com</w:t>
      </w:r>
      <w:r>
        <w:rPr>
          <w:rFonts w:ascii="Arial" w:cs="Arial" w:eastAsia="Arial" w:hAnsi="Arial"/>
          <w:sz w:val="14"/>
          <w:szCs w:val="14"/>
          <w:color w:val="auto"/>
        </w:rPr>
        <w:t>) is the nation's leading provider of entertainment, information and communications products and services. With 24.2 million cable customers, 14.9 million high-speed Internet customers, and 6.5 million Comcast Digital Voice customers, Comcast is principally involved in the development, management and operation of cable systems and in the delivery of programming content.</w:t>
      </w:r>
    </w:p>
    <w:p>
      <w:pPr>
        <w:spacing w:after="0" w:line="210" w:lineRule="exact"/>
        <w:rPr>
          <w:sz w:val="20"/>
          <w:szCs w:val="20"/>
          <w:color w:val="auto"/>
        </w:rPr>
      </w:pPr>
    </w:p>
    <w:p>
      <w:pPr>
        <w:ind w:right="100"/>
        <w:spacing w:after="0" w:line="227" w:lineRule="auto"/>
        <w:rPr>
          <w:sz w:val="20"/>
          <w:szCs w:val="20"/>
          <w:color w:val="auto"/>
        </w:rPr>
      </w:pPr>
      <w:r>
        <w:rPr>
          <w:rFonts w:ascii="Arial" w:cs="Arial" w:eastAsia="Arial" w:hAnsi="Arial"/>
          <w:sz w:val="14"/>
          <w:szCs w:val="14"/>
          <w:color w:val="auto"/>
        </w:rPr>
        <w:t>Comcast's content networks and investments include E! Entertainment Television, Style Network, Golf Channel, VERSUS, G4, PBS KIDS Sprout, TV One, ten Comcast SportsNet networks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5791835</wp:posOffset>
            </wp:positionH>
            <wp:positionV relativeFrom="page">
              <wp:posOffset>243205</wp:posOffset>
            </wp:positionV>
            <wp:extent cx="161226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t>TABLE 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 of Operations (Unaudited)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9"/>
        </w:trPr>
        <w:tc>
          <w:tcPr>
            <w:tcW w:w="5600" w:type="dxa"/>
            <w:vAlign w:val="bottom"/>
          </w:tcPr>
          <w:p>
            <w:pPr>
              <w:spacing w:after="0" w:line="149" w:lineRule="exact"/>
              <w:rPr>
                <w:sz w:val="20"/>
                <w:szCs w:val="20"/>
                <w:color w:val="auto"/>
              </w:rPr>
            </w:pPr>
            <w:r>
              <w:rPr>
                <w:rFonts w:ascii="Arial" w:cs="Arial" w:eastAsia="Arial" w:hAnsi="Arial"/>
                <w:sz w:val="14"/>
                <w:szCs w:val="14"/>
                <w:color w:val="auto"/>
              </w:rPr>
              <w:t>(in millions, except per share data)</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5"/>
          </w:tcPr>
          <w:p>
            <w:pPr>
              <w:jc w:val="right"/>
              <w:ind w:right="29"/>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right"/>
              <w:ind w:right="9"/>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8,014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8,765</w:t>
            </w:r>
          </w:p>
        </w:tc>
        <w:tc>
          <w:tcPr>
            <w:tcW w:w="2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30,895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34,256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4"/>
                <w:szCs w:val="14"/>
                <w:color w:val="auto"/>
              </w:rPr>
              <w:t>Operating expenses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3,158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3,431</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12,169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13,472</w:t>
            </w:r>
          </w:p>
        </w:tc>
        <w:tc>
          <w:tcPr>
            <w:tcW w:w="0" w:type="dxa"/>
            <w:vAlign w:val="bottom"/>
          </w:tcPr>
          <w:p>
            <w:pPr>
              <w:spacing w:after="0"/>
              <w:rPr>
                <w:sz w:val="1"/>
                <w:szCs w:val="1"/>
                <w:color w:val="auto"/>
              </w:rPr>
            </w:pPr>
          </w:p>
        </w:tc>
      </w:tr>
      <w:tr>
        <w:trPr>
          <w:trHeight w:val="178"/>
        </w:trPr>
        <w:tc>
          <w:tcPr>
            <w:tcW w:w="560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1,964</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6,940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7,652</w:t>
            </w:r>
          </w:p>
        </w:tc>
        <w:tc>
          <w:tcPr>
            <w:tcW w:w="0" w:type="dxa"/>
            <w:vAlign w:val="bottom"/>
          </w:tcPr>
          <w:p>
            <w:pPr>
              <w:spacing w:after="0"/>
              <w:rPr>
                <w:sz w:val="1"/>
                <w:szCs w:val="1"/>
                <w:color w:val="auto"/>
              </w:rPr>
            </w:pPr>
          </w:p>
        </w:tc>
      </w:tr>
      <w:tr>
        <w:trPr>
          <w:trHeight w:val="156"/>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Operating cash flow</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4,932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5,395</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21,124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3,082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3,370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13,132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1,364</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5,107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5,457</w:t>
            </w:r>
          </w:p>
        </w:tc>
        <w:tc>
          <w:tcPr>
            <w:tcW w:w="0" w:type="dxa"/>
            <w:vAlign w:val="bottom"/>
          </w:tcPr>
          <w:p>
            <w:pPr>
              <w:spacing w:after="0"/>
              <w:rPr>
                <w:sz w:val="1"/>
                <w:szCs w:val="1"/>
                <w:color w:val="auto"/>
              </w:rPr>
            </w:pPr>
          </w:p>
        </w:tc>
      </w:tr>
      <w:tr>
        <w:trPr>
          <w:trHeight w:val="178"/>
        </w:trPr>
        <w:tc>
          <w:tcPr>
            <w:tcW w:w="5600" w:type="dxa"/>
            <w:vAlign w:val="bottom"/>
          </w:tcPr>
          <w:p>
            <w:pPr>
              <w:ind w:left="180"/>
              <w:spacing w:after="0"/>
              <w:rPr>
                <w:sz w:val="20"/>
                <w:szCs w:val="20"/>
                <w:color w:val="auto"/>
              </w:rPr>
            </w:pPr>
            <w:r>
              <w:rPr>
                <w:rFonts w:ascii="Arial" w:cs="Arial" w:eastAsia="Arial" w:hAnsi="Arial"/>
                <w:sz w:val="14"/>
                <w:szCs w:val="14"/>
                <w:color w:val="auto"/>
              </w:rPr>
              <w:t>Amortization expense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943</w:t>
            </w:r>
          </w:p>
        </w:tc>
        <w:tc>
          <w:tcPr>
            <w:tcW w:w="0" w:type="dxa"/>
            <w:vAlign w:val="bottom"/>
          </w:tcPr>
          <w:p>
            <w:pPr>
              <w:spacing w:after="0"/>
              <w:rPr>
                <w:sz w:val="1"/>
                <w:szCs w:val="1"/>
                <w:color w:val="auto"/>
              </w:rPr>
            </w:pPr>
          </w:p>
        </w:tc>
      </w:tr>
      <w:tr>
        <w:trPr>
          <w:trHeight w:val="156"/>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1,624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1,613</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6,400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1,757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5,578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600" w:type="dxa"/>
            <w:vAlign w:val="bottom"/>
          </w:tcPr>
          <w:p>
            <w:pPr>
              <w:spacing w:after="0"/>
              <w:rPr>
                <w:sz w:val="20"/>
                <w:szCs w:val="20"/>
                <w:color w:val="auto"/>
              </w:rPr>
            </w:pPr>
            <w:r>
              <w:rPr>
                <w:rFonts w:ascii="Arial" w:cs="Arial" w:eastAsia="Arial" w:hAnsi="Arial"/>
                <w:sz w:val="14"/>
                <w:szCs w:val="14"/>
                <w:color w:val="auto"/>
              </w:rPr>
              <w:t>Other income (expense)</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(599)</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(2,439)</w:t>
            </w:r>
          </w:p>
        </w:tc>
        <w:tc>
          <w:tcPr>
            <w:tcW w:w="0" w:type="dxa"/>
            <w:vAlign w:val="bottom"/>
          </w:tcPr>
          <w:p>
            <w:pPr>
              <w:spacing w:after="0"/>
              <w:rPr>
                <w:sz w:val="1"/>
                <w:szCs w:val="1"/>
                <w:color w:val="auto"/>
              </w:rPr>
            </w:pPr>
          </w:p>
        </w:tc>
      </w:tr>
      <w:tr>
        <w:trPr>
          <w:trHeight w:val="145"/>
        </w:trPr>
        <w:tc>
          <w:tcPr>
            <w:tcW w:w="5600" w:type="dxa"/>
            <w:vAlign w:val="bottom"/>
          </w:tcPr>
          <w:p>
            <w:pPr>
              <w:ind w:left="180"/>
              <w:spacing w:after="0" w:line="145" w:lineRule="exact"/>
              <w:rPr>
                <w:sz w:val="20"/>
                <w:szCs w:val="20"/>
                <w:color w:val="auto"/>
              </w:rPr>
            </w:pPr>
            <w:r>
              <w:rPr>
                <w:rFonts w:ascii="Arial" w:cs="Arial" w:eastAsia="Arial" w:hAnsi="Arial"/>
                <w:sz w:val="14"/>
                <w:szCs w:val="14"/>
                <w:color w:val="auto"/>
              </w:rPr>
              <w:t>Interest expense</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(2,289)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ind w:left="180"/>
              <w:spacing w:after="0" w:line="149" w:lineRule="exact"/>
              <w:rPr>
                <w:sz w:val="20"/>
                <w:szCs w:val="20"/>
                <w:color w:val="auto"/>
              </w:rPr>
            </w:pPr>
            <w:r>
              <w:rPr>
                <w:rFonts w:ascii="Arial" w:cs="Arial" w:eastAsia="Arial" w:hAnsi="Arial"/>
                <w:sz w:val="14"/>
                <w:szCs w:val="14"/>
                <w:color w:val="auto"/>
              </w:rPr>
              <w:t>Investment income (loss), net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5600" w:type="dxa"/>
            <w:vAlign w:val="bottom"/>
          </w:tcPr>
          <w:p>
            <w:pPr>
              <w:ind w:left="180"/>
              <w:spacing w:after="0" w:line="149" w:lineRule="exact"/>
              <w:rPr>
                <w:sz w:val="20"/>
                <w:szCs w:val="20"/>
                <w:color w:val="auto"/>
              </w:rPr>
            </w:pPr>
            <w:r>
              <w:rPr>
                <w:rFonts w:ascii="Arial" w:cs="Arial" w:eastAsia="Arial" w:hAnsi="Arial"/>
                <w:sz w:val="14"/>
                <w:szCs w:val="14"/>
                <w:color w:val="auto"/>
              </w:rPr>
              <w:t>Equity in net (losses) income of affiliates, net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78"/>
        </w:trPr>
        <w:tc>
          <w:tcPr>
            <w:tcW w:w="5600" w:type="dxa"/>
            <w:vAlign w:val="bottom"/>
          </w:tcPr>
          <w:p>
            <w:pPr>
              <w:ind w:left="180"/>
              <w:spacing w:after="0"/>
              <w:rPr>
                <w:sz w:val="20"/>
                <w:szCs w:val="20"/>
                <w:color w:val="auto"/>
              </w:rPr>
            </w:pPr>
            <w:r>
              <w:rPr>
                <w:rFonts w:ascii="Arial" w:cs="Arial" w:eastAsia="Arial" w:hAnsi="Arial"/>
                <w:sz w:val="14"/>
                <w:szCs w:val="14"/>
                <w:color w:val="auto"/>
              </w:rPr>
              <w:t>Other income (expense)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(580)</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56"/>
        </w:trPr>
        <w:tc>
          <w:tcPr>
            <w:tcW w:w="5600" w:type="dxa"/>
            <w:vAlign w:val="bottom"/>
            <w:vMerge w:val="restart"/>
          </w:tcPr>
          <w:p>
            <w:pPr>
              <w:spacing w:after="0"/>
              <w:rPr>
                <w:sz w:val="20"/>
                <w:szCs w:val="20"/>
                <w:color w:val="auto"/>
              </w:rPr>
            </w:pPr>
            <w:r>
              <w:rPr>
                <w:rFonts w:ascii="Arial" w:cs="Arial" w:eastAsia="Arial" w:hAnsi="Arial"/>
                <w:sz w:val="14"/>
                <w:szCs w:val="14"/>
                <w:color w:val="auto"/>
              </w:rPr>
              <w:t>Income before income taxes and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(462)</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(1,176)</w:t>
            </w: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(2,674)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6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4,058</w:t>
            </w:r>
          </w:p>
        </w:tc>
        <w:tc>
          <w:tcPr>
            <w:tcW w:w="0" w:type="dxa"/>
            <w:vAlign w:val="bottom"/>
          </w:tcPr>
          <w:p>
            <w:pPr>
              <w:spacing w:after="0"/>
              <w:rPr>
                <w:sz w:val="1"/>
                <w:szCs w:val="1"/>
                <w:color w:val="auto"/>
              </w:rPr>
            </w:pPr>
          </w:p>
        </w:tc>
      </w:tr>
      <w:tr>
        <w:trPr>
          <w:trHeight w:val="182"/>
        </w:trPr>
        <w:tc>
          <w:tcPr>
            <w:tcW w:w="5600" w:type="dxa"/>
            <w:vAlign w:val="bottom"/>
          </w:tcPr>
          <w:p>
            <w:pPr>
              <w:ind w:left="180"/>
              <w:spacing w:after="0"/>
              <w:rPr>
                <w:sz w:val="20"/>
                <w:szCs w:val="20"/>
                <w:color w:val="auto"/>
              </w:rPr>
            </w:pPr>
            <w:r>
              <w:rPr>
                <w:rFonts w:ascii="Arial" w:cs="Arial" w:eastAsia="Arial" w:hAnsi="Arial"/>
                <w:sz w:val="14"/>
                <w:szCs w:val="14"/>
                <w:color w:val="auto"/>
              </w:rPr>
              <w:t>minority interest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4,349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0"/>
                <w:szCs w:val="20"/>
                <w:color w:val="auto"/>
              </w:rPr>
            </w:pPr>
            <w:r>
              <w:rPr>
                <w:rFonts w:ascii="Arial" w:cs="Arial" w:eastAsia="Arial" w:hAnsi="Arial"/>
                <w:sz w:val="14"/>
                <w:szCs w:val="14"/>
                <w:color w:val="auto"/>
              </w:rPr>
              <w:t>Income tax expense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(169)</w:t>
            </w:r>
          </w:p>
        </w:tc>
        <w:tc>
          <w:tcPr>
            <w:tcW w:w="2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(1,533)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5600" w:type="dxa"/>
            <w:vAlign w:val="bottom"/>
          </w:tcPr>
          <w:p>
            <w:pPr>
              <w:spacing w:after="0"/>
              <w:rPr>
                <w:sz w:val="20"/>
                <w:szCs w:val="20"/>
                <w:color w:val="auto"/>
              </w:rPr>
            </w:pPr>
            <w:r>
              <w:rPr>
                <w:rFonts w:ascii="Arial" w:cs="Arial" w:eastAsia="Arial" w:hAnsi="Arial"/>
                <w:sz w:val="14"/>
                <w:szCs w:val="14"/>
                <w:color w:val="auto"/>
              </w:rPr>
              <w:t>Income before minority interest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2,549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2,525</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0"/>
                <w:szCs w:val="20"/>
                <w:color w:val="auto"/>
              </w:rPr>
            </w:pPr>
            <w:r>
              <w:rPr>
                <w:rFonts w:ascii="Arial" w:cs="Arial" w:eastAsia="Arial" w:hAnsi="Arial"/>
                <w:sz w:val="14"/>
                <w:szCs w:val="14"/>
                <w:color w:val="auto"/>
              </w:rPr>
              <w:t>Minority interest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720" w:type="dxa"/>
            <w:vAlign w:val="bottom"/>
            <w:gridSpan w:val="3"/>
          </w:tcPr>
          <w:p>
            <w:pPr>
              <w:jc w:val="right"/>
              <w:ind w:right="15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4"/>
                <w:szCs w:val="24"/>
                <w:color w:val="auto"/>
              </w:rPr>
            </w:pPr>
          </w:p>
        </w:tc>
        <w:tc>
          <w:tcPr>
            <w:tcW w:w="46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412</w:t>
            </w:r>
          </w:p>
        </w:tc>
        <w:tc>
          <w:tcPr>
            <w:tcW w:w="2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2,587</w:t>
            </w:r>
          </w:p>
        </w:tc>
        <w:tc>
          <w:tcPr>
            <w:tcW w:w="44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2,547</w:t>
            </w: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5600" w:type="dxa"/>
            <w:vAlign w:val="bottom"/>
            <w:vMerge w:val="continue"/>
          </w:tcPr>
          <w:p>
            <w:pPr>
              <w:spacing w:after="0"/>
              <w:rPr>
                <w:sz w:val="24"/>
                <w:szCs w:val="24"/>
                <w:color w:val="auto"/>
              </w:rPr>
            </w:pPr>
          </w:p>
        </w:tc>
        <w:tc>
          <w:tcPr>
            <w:tcW w:w="720" w:type="dxa"/>
            <w:vAlign w:val="bottom"/>
            <w:gridSpan w:val="3"/>
          </w:tcPr>
          <w:p>
            <w:pPr>
              <w:spacing w:after="0"/>
              <w:rPr>
                <w:sz w:val="24"/>
                <w:szCs w:val="24"/>
                <w:color w:val="auto"/>
              </w:rPr>
            </w:pPr>
          </w:p>
        </w:tc>
        <w:tc>
          <w:tcPr>
            <w:tcW w:w="9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0.20</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0.14</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earnings per common share </w:t>
            </w:r>
            <w:r>
              <w:rPr>
                <w:rFonts w:ascii="Arial" w:cs="Arial" w:eastAsia="Arial" w:hAnsi="Arial"/>
                <w:sz w:val="20"/>
                <w:szCs w:val="20"/>
                <w:b w:val="1"/>
                <w:bCs w:val="1"/>
                <w:color w:val="auto"/>
                <w:vertAlign w:val="superscript"/>
              </w:rPr>
              <w:t>(1)</w:t>
            </w:r>
          </w:p>
        </w:tc>
        <w:tc>
          <w:tcPr>
            <w:tcW w:w="5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720" w:type="dxa"/>
            <w:vAlign w:val="bottom"/>
            <w:gridSpan w:val="3"/>
          </w:tcPr>
          <w:p>
            <w:pPr>
              <w:jc w:val="right"/>
              <w:ind w:right="15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5"/>
                <w:szCs w:val="15"/>
                <w:color w:val="auto"/>
              </w:rPr>
            </w:pPr>
          </w:p>
        </w:tc>
        <w:tc>
          <w:tcPr>
            <w:tcW w:w="46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0.27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0.74</w:t>
            </w:r>
          </w:p>
        </w:tc>
        <w:tc>
          <w:tcPr>
            <w:tcW w:w="44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0.91</w:t>
            </w: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Dividends declared per common share</w:t>
            </w: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720" w:type="dxa"/>
            <w:vAlign w:val="bottom"/>
            <w:gridSpan w:val="3"/>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9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440" w:type="dxa"/>
            <w:vAlign w:val="bottom"/>
            <w:gridSpan w:val="2"/>
          </w:tcPr>
          <w:p>
            <w:pPr>
              <w:spacing w:after="0"/>
              <w:rPr>
                <w:sz w:val="12"/>
                <w:szCs w:val="12"/>
                <w:color w:val="auto"/>
              </w:rPr>
            </w:pPr>
          </w:p>
        </w:tc>
        <w:tc>
          <w:tcPr>
            <w:tcW w:w="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0.0625</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0.2500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600" w:type="dxa"/>
            <w:vAlign w:val="bottom"/>
          </w:tcPr>
          <w:p>
            <w:pPr>
              <w:spacing w:after="0"/>
              <w:rPr>
                <w:sz w:val="20"/>
                <w:szCs w:val="20"/>
                <w:color w:val="auto"/>
              </w:rPr>
            </w:pPr>
            <w:r>
              <w:rPr>
                <w:rFonts w:ascii="Arial" w:cs="Arial" w:eastAsia="Arial" w:hAnsi="Arial"/>
                <w:sz w:val="14"/>
                <w:szCs w:val="14"/>
                <w:color w:val="auto"/>
              </w:rPr>
              <w:t>Diluted weighted-average number of common shares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3,078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2,888</w:t>
            </w: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3,129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2,952</w:t>
            </w: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4"/>
                <w:szCs w:val="14"/>
                <w:color w:val="auto"/>
                <w:w w:val="94"/>
              </w:rPr>
              <w:t>(1) Please refer to Table 4-B for a reconciliation of adjusted net income and earnings per share.</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1"/>
        </w:trPr>
        <w:tc>
          <w:tcPr>
            <w:tcW w:w="5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600" w:type="dxa"/>
            <w:vAlign w:val="bottom"/>
          </w:tcPr>
          <w:p>
            <w:pPr>
              <w:spacing w:after="0"/>
              <w:rPr>
                <w:sz w:val="24"/>
                <w:szCs w:val="24"/>
                <w:color w:val="auto"/>
              </w:rPr>
            </w:pP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5791835</wp:posOffset>
            </wp:positionH>
            <wp:positionV relativeFrom="page">
              <wp:posOffset>397510</wp:posOffset>
            </wp:positionV>
            <wp:extent cx="1612265"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t>TABLE 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 (Unaudited)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color w:val="auto"/>
              </w:rPr>
              <w:t>(in millions)</w:t>
            </w: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6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1,195</w:t>
            </w:r>
          </w:p>
        </w:tc>
        <w:tc>
          <w:tcPr>
            <w:tcW w:w="0" w:type="dxa"/>
            <w:vAlign w:val="bottom"/>
          </w:tcPr>
          <w:p>
            <w:pPr>
              <w:spacing w:after="0"/>
              <w:rPr>
                <w:sz w:val="1"/>
                <w:szCs w:val="1"/>
                <w:color w:val="auto"/>
              </w:rPr>
            </w:pPr>
          </w:p>
        </w:tc>
      </w:tr>
      <w:tr>
        <w:trPr>
          <w:trHeight w:val="145"/>
        </w:trPr>
        <w:tc>
          <w:tcPr>
            <w:tcW w:w="4860" w:type="dxa"/>
            <w:vAlign w:val="bottom"/>
          </w:tcPr>
          <w:p>
            <w:pPr>
              <w:ind w:left="300"/>
              <w:spacing w:after="0" w:line="145" w:lineRule="exact"/>
              <w:rPr>
                <w:sz w:val="20"/>
                <w:szCs w:val="20"/>
                <w:color w:val="auto"/>
              </w:rPr>
            </w:pPr>
            <w:r>
              <w:rPr>
                <w:rFonts w:ascii="Arial" w:cs="Arial" w:eastAsia="Arial" w:hAnsi="Arial"/>
                <w:sz w:val="14"/>
                <w:szCs w:val="14"/>
                <w:color w:val="auto"/>
              </w:rPr>
              <w:t>Cash and cash equivalents</w:t>
            </w:r>
          </w:p>
        </w:tc>
        <w:tc>
          <w:tcPr>
            <w:tcW w:w="4080" w:type="dxa"/>
            <w:vAlign w:val="bottom"/>
            <w:gridSpan w:val="2"/>
          </w:tcPr>
          <w:p>
            <w:pPr>
              <w:jc w:val="right"/>
              <w:ind w:right="9"/>
              <w:spacing w:after="0" w:line="14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5" w:lineRule="exact"/>
              <w:rPr>
                <w:sz w:val="20"/>
                <w:szCs w:val="20"/>
                <w:color w:val="auto"/>
              </w:rPr>
            </w:pPr>
            <w:r>
              <w:rPr>
                <w:rFonts w:ascii="Arial" w:cs="Arial" w:eastAsia="Arial" w:hAnsi="Arial"/>
                <w:sz w:val="14"/>
                <w:szCs w:val="14"/>
                <w:color w:val="auto"/>
              </w:rPr>
              <w:t>963</w:t>
            </w:r>
          </w:p>
        </w:tc>
        <w:tc>
          <w:tcPr>
            <w:tcW w:w="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300"/>
              <w:spacing w:after="0" w:line="149" w:lineRule="exact"/>
              <w:rPr>
                <w:sz w:val="20"/>
                <w:szCs w:val="20"/>
                <w:color w:val="auto"/>
              </w:rPr>
            </w:pPr>
            <w:r>
              <w:rPr>
                <w:rFonts w:ascii="Arial" w:cs="Arial" w:eastAsia="Arial" w:hAnsi="Arial"/>
                <w:sz w:val="14"/>
                <w:szCs w:val="14"/>
                <w:color w:val="auto"/>
              </w:rPr>
              <w:t>Investments</w:t>
            </w: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1,626</w:t>
            </w:r>
          </w:p>
        </w:tc>
        <w:tc>
          <w:tcPr>
            <w:tcW w:w="0" w:type="dxa"/>
            <w:vAlign w:val="bottom"/>
          </w:tcPr>
          <w:p>
            <w:pPr>
              <w:spacing w:after="0"/>
              <w:rPr>
                <w:sz w:val="1"/>
                <w:szCs w:val="1"/>
                <w:color w:val="auto"/>
              </w:rPr>
            </w:pPr>
          </w:p>
        </w:tc>
      </w:tr>
      <w:tr>
        <w:trPr>
          <w:trHeight w:val="178"/>
        </w:trPr>
        <w:tc>
          <w:tcPr>
            <w:tcW w:w="4860" w:type="dxa"/>
            <w:vAlign w:val="bottom"/>
          </w:tcPr>
          <w:p>
            <w:pPr>
              <w:ind w:left="300"/>
              <w:spacing w:after="0"/>
              <w:rPr>
                <w:sz w:val="20"/>
                <w:szCs w:val="20"/>
                <w:color w:val="auto"/>
              </w:rPr>
            </w:pPr>
            <w:r>
              <w:rPr>
                <w:rFonts w:ascii="Arial" w:cs="Arial" w:eastAsia="Arial" w:hAnsi="Arial"/>
                <w:sz w:val="14"/>
                <w:szCs w:val="14"/>
                <w:color w:val="auto"/>
              </w:rPr>
              <w:t>Other current assets</w:t>
            </w: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836</w:t>
            </w:r>
          </w:p>
        </w:tc>
        <w:tc>
          <w:tcPr>
            <w:tcW w:w="0" w:type="dxa"/>
            <w:vAlign w:val="bottom"/>
          </w:tcPr>
          <w:p>
            <w:pPr>
              <w:spacing w:after="0"/>
              <w:rPr>
                <w:sz w:val="1"/>
                <w:szCs w:val="1"/>
                <w:color w:val="auto"/>
              </w:rPr>
            </w:pPr>
          </w:p>
        </w:tc>
      </w:tr>
      <w:tr>
        <w:trPr>
          <w:trHeight w:val="156"/>
        </w:trPr>
        <w:tc>
          <w:tcPr>
            <w:tcW w:w="4860" w:type="dxa"/>
            <w:vAlign w:val="bottom"/>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3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3,667</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3,716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860" w:type="dxa"/>
            <w:vAlign w:val="bottom"/>
          </w:tcPr>
          <w:p>
            <w:pPr>
              <w:ind w:left="80"/>
              <w:spacing w:after="0"/>
              <w:rPr>
                <w:sz w:val="20"/>
                <w:szCs w:val="20"/>
                <w:color w:val="auto"/>
              </w:rPr>
            </w:pPr>
            <w:r>
              <w:rPr>
                <w:rFonts w:ascii="Arial" w:cs="Arial" w:eastAsia="Arial" w:hAnsi="Arial"/>
                <w:sz w:val="14"/>
                <w:szCs w:val="14"/>
                <w:color w:val="auto"/>
              </w:rPr>
              <w:t>Investments</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7,963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4,783</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23,624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24,444</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Franchise rights</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58,077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59,449</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Goodwill</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14,705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14,889</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Other intangible assets, net</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4,739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4,558</w:t>
            </w:r>
          </w:p>
        </w:tc>
        <w:tc>
          <w:tcPr>
            <w:tcW w:w="0" w:type="dxa"/>
            <w:vAlign w:val="bottom"/>
          </w:tcPr>
          <w:p>
            <w:pPr>
              <w:spacing w:after="0"/>
              <w:rPr>
                <w:sz w:val="1"/>
                <w:szCs w:val="1"/>
                <w:color w:val="auto"/>
              </w:rPr>
            </w:pPr>
          </w:p>
        </w:tc>
      </w:tr>
      <w:tr>
        <w:trPr>
          <w:trHeight w:val="289"/>
        </w:trPr>
        <w:tc>
          <w:tcPr>
            <w:tcW w:w="4860" w:type="dxa"/>
            <w:vAlign w:val="bottom"/>
          </w:tcPr>
          <w:p>
            <w:pPr>
              <w:ind w:left="80"/>
              <w:spacing w:after="0"/>
              <w:rPr>
                <w:sz w:val="20"/>
                <w:szCs w:val="20"/>
                <w:color w:val="auto"/>
              </w:rPr>
            </w:pPr>
            <w:r>
              <w:rPr>
                <w:rFonts w:ascii="Arial" w:cs="Arial" w:eastAsia="Arial" w:hAnsi="Arial"/>
                <w:sz w:val="14"/>
                <w:szCs w:val="14"/>
                <w:color w:val="auto"/>
              </w:rPr>
              <w:t>Other noncurrent assets, net</w:t>
            </w:r>
          </w:p>
        </w:tc>
        <w:tc>
          <w:tcPr>
            <w:tcW w:w="3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40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113,417</w:t>
            </w: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113,017</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860" w:type="dxa"/>
            <w:vAlign w:val="bottom"/>
            <w:vMerge w:val="continue"/>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3,393</w:t>
            </w:r>
          </w:p>
        </w:tc>
        <w:tc>
          <w:tcPr>
            <w:tcW w:w="0" w:type="dxa"/>
            <w:vAlign w:val="bottom"/>
          </w:tcPr>
          <w:p>
            <w:pPr>
              <w:spacing w:after="0"/>
              <w:rPr>
                <w:sz w:val="1"/>
                <w:szCs w:val="1"/>
                <w:color w:val="auto"/>
              </w:rPr>
            </w:pPr>
          </w:p>
        </w:tc>
      </w:tr>
      <w:tr>
        <w:trPr>
          <w:trHeight w:val="145"/>
        </w:trPr>
        <w:tc>
          <w:tcPr>
            <w:tcW w:w="4860" w:type="dxa"/>
            <w:vAlign w:val="bottom"/>
          </w:tcPr>
          <w:p>
            <w:pPr>
              <w:ind w:left="280"/>
              <w:spacing w:after="0" w:line="145" w:lineRule="exact"/>
              <w:rPr>
                <w:sz w:val="20"/>
                <w:szCs w:val="20"/>
                <w:color w:val="auto"/>
              </w:rPr>
            </w:pPr>
            <w:r>
              <w:rPr>
                <w:rFonts w:ascii="Arial" w:cs="Arial" w:eastAsia="Arial" w:hAnsi="Arial"/>
                <w:sz w:val="14"/>
                <w:szCs w:val="14"/>
                <w:color w:val="auto"/>
              </w:rPr>
              <w:t>Accounts payable and accrued expenses related to trade creditors</w:t>
            </w:r>
          </w:p>
        </w:tc>
        <w:tc>
          <w:tcPr>
            <w:tcW w:w="4080" w:type="dxa"/>
            <w:vAlign w:val="bottom"/>
            <w:gridSpan w:val="2"/>
          </w:tcPr>
          <w:p>
            <w:pPr>
              <w:jc w:val="right"/>
              <w:ind w:right="9"/>
              <w:spacing w:after="0" w:line="14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3,336</w:t>
            </w:r>
          </w:p>
        </w:tc>
        <w:tc>
          <w:tcPr>
            <w:tcW w:w="3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3,268</w:t>
            </w:r>
          </w:p>
        </w:tc>
        <w:tc>
          <w:tcPr>
            <w:tcW w:w="0" w:type="dxa"/>
            <w:vAlign w:val="bottom"/>
          </w:tcPr>
          <w:p>
            <w:pPr>
              <w:spacing w:after="0"/>
              <w:rPr>
                <w:sz w:val="1"/>
                <w:szCs w:val="1"/>
                <w:color w:val="auto"/>
              </w:rPr>
            </w:pPr>
          </w:p>
        </w:tc>
      </w:tr>
      <w:tr>
        <w:trPr>
          <w:trHeight w:val="178"/>
        </w:trPr>
        <w:tc>
          <w:tcPr>
            <w:tcW w:w="486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1,495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2,278</w:t>
            </w:r>
          </w:p>
        </w:tc>
        <w:tc>
          <w:tcPr>
            <w:tcW w:w="0" w:type="dxa"/>
            <w:vAlign w:val="bottom"/>
          </w:tcPr>
          <w:p>
            <w:pPr>
              <w:spacing w:after="0"/>
              <w:rPr>
                <w:sz w:val="1"/>
                <w:szCs w:val="1"/>
                <w:color w:val="auto"/>
              </w:rPr>
            </w:pPr>
          </w:p>
        </w:tc>
      </w:tr>
      <w:tr>
        <w:trPr>
          <w:trHeight w:val="156"/>
        </w:trPr>
        <w:tc>
          <w:tcPr>
            <w:tcW w:w="4860" w:type="dxa"/>
            <w:vAlign w:val="bottom"/>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3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7,952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8,939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860" w:type="dxa"/>
            <w:vAlign w:val="bottom"/>
          </w:tcPr>
          <w:p>
            <w:pPr>
              <w:ind w:left="80"/>
              <w:spacing w:after="0"/>
              <w:rPr>
                <w:sz w:val="20"/>
                <w:szCs w:val="20"/>
                <w:color w:val="auto"/>
              </w:rPr>
            </w:pPr>
            <w:r>
              <w:rPr>
                <w:rFonts w:ascii="Arial" w:cs="Arial" w:eastAsia="Arial" w:hAnsi="Arial"/>
                <w:sz w:val="14"/>
                <w:szCs w:val="14"/>
                <w:color w:val="auto"/>
              </w:rPr>
              <w:t>Long-term debt, less current portion</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29,828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30,178</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Deferred income taxes</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26,880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26,982</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Other noncurrent liabilities</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7,167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6,171</w:t>
            </w:r>
          </w:p>
        </w:tc>
        <w:tc>
          <w:tcPr>
            <w:tcW w:w="0" w:type="dxa"/>
            <w:vAlign w:val="bottom"/>
          </w:tcPr>
          <w:p>
            <w:pPr>
              <w:spacing w:after="0"/>
              <w:rPr>
                <w:sz w:val="1"/>
                <w:szCs w:val="1"/>
                <w:color w:val="auto"/>
              </w:rPr>
            </w:pPr>
          </w:p>
        </w:tc>
      </w:tr>
      <w:tr>
        <w:trPr>
          <w:trHeight w:val="297"/>
        </w:trPr>
        <w:tc>
          <w:tcPr>
            <w:tcW w:w="4860" w:type="dxa"/>
            <w:vAlign w:val="bottom"/>
          </w:tcPr>
          <w:p>
            <w:pPr>
              <w:ind w:left="80"/>
              <w:spacing w:after="0"/>
              <w:rPr>
                <w:sz w:val="20"/>
                <w:szCs w:val="20"/>
                <w:color w:val="auto"/>
              </w:rPr>
            </w:pPr>
            <w:r>
              <w:rPr>
                <w:rFonts w:ascii="Arial" w:cs="Arial" w:eastAsia="Arial" w:hAnsi="Arial"/>
                <w:sz w:val="14"/>
                <w:szCs w:val="14"/>
                <w:color w:val="auto"/>
              </w:rPr>
              <w:t>Minority interest</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289"/>
        </w:trPr>
        <w:tc>
          <w:tcPr>
            <w:tcW w:w="4860" w:type="dxa"/>
            <w:vAlign w:val="bottom"/>
          </w:tcPr>
          <w:p>
            <w:pPr>
              <w:ind w:left="80"/>
              <w:spacing w:after="0"/>
              <w:rPr>
                <w:sz w:val="20"/>
                <w:szCs w:val="20"/>
                <w:color w:val="auto"/>
              </w:rPr>
            </w:pPr>
            <w:r>
              <w:rPr>
                <w:rFonts w:ascii="Arial" w:cs="Arial" w:eastAsia="Arial" w:hAnsi="Arial"/>
                <w:sz w:val="14"/>
                <w:szCs w:val="14"/>
                <w:color w:val="auto"/>
              </w:rPr>
              <w:t>Stockholders' equity</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41,340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40,450</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113,017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960" w:type="dxa"/>
            <w:vAlign w:val="bottom"/>
            <w:vMerge w:val="restart"/>
          </w:tcPr>
          <w:p>
            <w:pPr>
              <w:jc w:val="right"/>
              <w:ind w:right="300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48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6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5791835</wp:posOffset>
            </wp:positionH>
            <wp:positionV relativeFrom="page">
              <wp:posOffset>397510</wp:posOffset>
            </wp:positionV>
            <wp:extent cx="1612265"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Cash Flows (Unaudited)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Arial" w:cs="Arial" w:eastAsia="Arial" w:hAnsi="Arial"/>
                <w:sz w:val="14"/>
                <w:szCs w:val="14"/>
                <w:color w:val="auto"/>
              </w:rPr>
              <w:t>(in millions)</w:t>
            </w: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December 31,</w:t>
            </w:r>
          </w:p>
        </w:tc>
        <w:tc>
          <w:tcPr>
            <w:tcW w:w="7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2,547</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3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2,587</w:t>
            </w:r>
          </w:p>
        </w:tc>
        <w:tc>
          <w:tcPr>
            <w:tcW w:w="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5,457</w:t>
            </w:r>
          </w:p>
        </w:tc>
        <w:tc>
          <w:tcPr>
            <w:tcW w:w="0" w:type="dxa"/>
            <w:vAlign w:val="bottom"/>
          </w:tcPr>
          <w:p>
            <w:pPr>
              <w:spacing w:after="0"/>
              <w:rPr>
                <w:sz w:val="1"/>
                <w:szCs w:val="1"/>
                <w:color w:val="auto"/>
              </w:rPr>
            </w:pPr>
          </w:p>
        </w:tc>
      </w:tr>
      <w:tr>
        <w:trPr>
          <w:trHeight w:val="145"/>
        </w:trPr>
        <w:tc>
          <w:tcPr>
            <w:tcW w:w="5480" w:type="dxa"/>
            <w:vAlign w:val="bottom"/>
          </w:tcPr>
          <w:p>
            <w:pPr>
              <w:ind w:left="340"/>
              <w:spacing w:after="0" w:line="145" w:lineRule="exact"/>
              <w:rPr>
                <w:sz w:val="20"/>
                <w:szCs w:val="20"/>
                <w:color w:val="auto"/>
              </w:rPr>
            </w:pPr>
            <w:r>
              <w:rPr>
                <w:rFonts w:ascii="Arial" w:cs="Arial" w:eastAsia="Arial" w:hAnsi="Arial"/>
                <w:sz w:val="14"/>
                <w:szCs w:val="14"/>
                <w:color w:val="auto"/>
              </w:rPr>
              <w:t>Depreciation</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5,107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Amortization</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943</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Share-based compensation</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Noncash interest expense (income), net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Equity in net losses (income) of affiliates, net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(938)</w:t>
            </w: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321</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Noncash contribution expense</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Minority interest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53"/>
        </w:trPr>
        <w:tc>
          <w:tcPr>
            <w:tcW w:w="5480" w:type="dxa"/>
            <w:vAlign w:val="bottom"/>
          </w:tcPr>
          <w:p>
            <w:pPr>
              <w:ind w:left="340"/>
              <w:spacing w:after="0" w:line="153" w:lineRule="exact"/>
              <w:rPr>
                <w:sz w:val="20"/>
                <w:szCs w:val="20"/>
                <w:color w:val="auto"/>
              </w:rPr>
            </w:pPr>
            <w:r>
              <w:rPr>
                <w:rFonts w:ascii="Arial" w:cs="Arial" w:eastAsia="Arial" w:hAnsi="Arial"/>
                <w:sz w:val="14"/>
                <w:szCs w:val="14"/>
                <w:color w:val="auto"/>
              </w:rPr>
              <w:t>Deferred income taxes</w:t>
            </w: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247</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495</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w w:val="96"/>
              </w:rPr>
              <w:t>Changes in operating assets and liabilities, net of effects of acquisitions and divestitures: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5"/>
        </w:trPr>
        <w:tc>
          <w:tcPr>
            <w:tcW w:w="5480" w:type="dxa"/>
            <w:vAlign w:val="bottom"/>
          </w:tcPr>
          <w:p>
            <w:pPr>
              <w:ind w:left="340"/>
              <w:spacing w:after="0" w:line="145" w:lineRule="exact"/>
              <w:rPr>
                <w:sz w:val="20"/>
                <w:szCs w:val="20"/>
                <w:color w:val="auto"/>
              </w:rPr>
            </w:pPr>
            <w:r>
              <w:rPr>
                <w:rFonts w:ascii="Arial" w:cs="Arial" w:eastAsia="Arial" w:hAnsi="Arial"/>
                <w:sz w:val="14"/>
                <w:szCs w:val="14"/>
                <w:color w:val="auto"/>
              </w:rPr>
              <w:t>Change in accounts receivable, net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(100)</w:t>
            </w: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34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78"/>
        </w:trPr>
        <w:tc>
          <w:tcPr>
            <w:tcW w:w="5480" w:type="dxa"/>
            <w:vAlign w:val="bottom"/>
          </w:tcPr>
          <w:p>
            <w:pPr>
              <w:ind w:left="340"/>
              <w:spacing w:after="0"/>
              <w:rPr>
                <w:sz w:val="20"/>
                <w:szCs w:val="20"/>
                <w:color w:val="auto"/>
              </w:rPr>
            </w:pPr>
            <w:r>
              <w:rPr>
                <w:rFonts w:ascii="Arial" w:cs="Arial" w:eastAsia="Arial" w:hAnsi="Arial"/>
                <w:sz w:val="14"/>
                <w:szCs w:val="14"/>
                <w:color w:val="auto"/>
              </w:rPr>
              <w:t>Change in other operating assets and liabilities</w:t>
            </w: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(352)</w:t>
            </w:r>
          </w:p>
        </w:tc>
        <w:tc>
          <w:tcPr>
            <w:tcW w:w="3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304"/>
        </w:trPr>
        <w:tc>
          <w:tcPr>
            <w:tcW w:w="548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2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8,189</w:t>
            </w: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3,535</w:t>
            </w:r>
          </w:p>
        </w:tc>
        <w:tc>
          <w:tcPr>
            <w:tcW w:w="0" w:type="dxa"/>
            <w:vAlign w:val="bottom"/>
          </w:tcPr>
          <w:p>
            <w:pPr>
              <w:spacing w:after="0"/>
              <w:rPr>
                <w:sz w:val="1"/>
                <w:szCs w:val="1"/>
                <w:color w:val="auto"/>
              </w:rPr>
            </w:pPr>
          </w:p>
        </w:tc>
      </w:tr>
      <w:tr>
        <w:trPr>
          <w:trHeight w:val="145"/>
        </w:trPr>
        <w:tc>
          <w:tcPr>
            <w:tcW w:w="5480" w:type="dxa"/>
            <w:vAlign w:val="bottom"/>
          </w:tcPr>
          <w:p>
            <w:pPr>
              <w:ind w:left="180"/>
              <w:spacing w:after="0" w:line="145" w:lineRule="exact"/>
              <w:rPr>
                <w:sz w:val="20"/>
                <w:szCs w:val="20"/>
                <w:color w:val="auto"/>
              </w:rPr>
            </w:pPr>
            <w:r>
              <w:rPr>
                <w:rFonts w:ascii="Arial" w:cs="Arial" w:eastAsia="Arial" w:hAnsi="Arial"/>
                <w:sz w:val="14"/>
                <w:szCs w:val="14"/>
                <w:color w:val="auto"/>
              </w:rPr>
              <w:t>Proceeds from borrowings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3,713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Retirements and repayments of debt</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(1,401)</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(2,610)</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Repurchases of common stock</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(3,102)</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(2,800)</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Dividends paid</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(547)</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Issuances of common stock</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71"/>
        </w:trPr>
        <w:tc>
          <w:tcPr>
            <w:tcW w:w="5480" w:type="dxa"/>
            <w:vAlign w:val="bottom"/>
          </w:tcPr>
          <w:p>
            <w:pPr>
              <w:ind w:left="180"/>
              <w:spacing w:after="0"/>
              <w:rPr>
                <w:sz w:val="20"/>
                <w:szCs w:val="20"/>
                <w:color w:val="auto"/>
              </w:rPr>
            </w:pPr>
            <w:r>
              <w:rPr>
                <w:rFonts w:ascii="Arial" w:cs="Arial" w:eastAsia="Arial" w:hAnsi="Arial"/>
                <w:sz w:val="14"/>
                <w:szCs w:val="14"/>
                <w:color w:val="auto"/>
              </w:rPr>
              <w:t>Other</w:t>
            </w: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(153)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80" w:type="dxa"/>
            <w:vAlign w:val="bottom"/>
          </w:tcPr>
          <w:p>
            <w:pPr>
              <w:ind w:left="660"/>
              <w:spacing w:after="0"/>
              <w:rPr>
                <w:sz w:val="20"/>
                <w:szCs w:val="20"/>
                <w:color w:val="auto"/>
              </w:rPr>
            </w:pPr>
            <w:r>
              <w:rPr>
                <w:rFonts w:ascii="Arial" w:cs="Arial" w:eastAsia="Arial" w:hAnsi="Arial"/>
                <w:sz w:val="14"/>
                <w:szCs w:val="14"/>
                <w:color w:val="auto"/>
              </w:rPr>
              <w:t>Net cash provided by (used in) financing activities</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(316)</w:t>
            </w:r>
          </w:p>
        </w:tc>
        <w:tc>
          <w:tcPr>
            <w:tcW w:w="3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(2,522)</w:t>
            </w:r>
          </w:p>
        </w:tc>
        <w:tc>
          <w:tcPr>
            <w:tcW w:w="0" w:type="dxa"/>
            <w:vAlign w:val="bottom"/>
          </w:tcPr>
          <w:p>
            <w:pPr>
              <w:spacing w:after="0"/>
              <w:rPr>
                <w:sz w:val="1"/>
                <w:szCs w:val="1"/>
                <w:color w:val="auto"/>
              </w:rPr>
            </w:pPr>
          </w:p>
        </w:tc>
      </w:tr>
      <w:tr>
        <w:trPr>
          <w:trHeight w:val="27"/>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INVESTING ACTIVITIES</w:t>
            </w:r>
          </w:p>
        </w:tc>
        <w:tc>
          <w:tcPr>
            <w:tcW w:w="3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(5,750)</w:t>
            </w:r>
          </w:p>
        </w:tc>
        <w:tc>
          <w:tcPr>
            <w:tcW w:w="0" w:type="dxa"/>
            <w:vAlign w:val="bottom"/>
          </w:tcPr>
          <w:p>
            <w:pPr>
              <w:spacing w:after="0"/>
              <w:rPr>
                <w:sz w:val="1"/>
                <w:szCs w:val="1"/>
                <w:color w:val="auto"/>
              </w:rPr>
            </w:pPr>
          </w:p>
        </w:tc>
      </w:tr>
      <w:tr>
        <w:trPr>
          <w:trHeight w:val="145"/>
        </w:trPr>
        <w:tc>
          <w:tcPr>
            <w:tcW w:w="5480" w:type="dxa"/>
            <w:vAlign w:val="bottom"/>
          </w:tcPr>
          <w:p>
            <w:pPr>
              <w:ind w:left="180"/>
              <w:spacing w:after="0" w:line="145" w:lineRule="exact"/>
              <w:rPr>
                <w:sz w:val="20"/>
                <w:szCs w:val="20"/>
                <w:color w:val="auto"/>
              </w:rPr>
            </w:pPr>
            <w:r>
              <w:rPr>
                <w:rFonts w:ascii="Arial" w:cs="Arial" w:eastAsia="Arial" w:hAnsi="Arial"/>
                <w:sz w:val="14"/>
                <w:szCs w:val="14"/>
                <w:color w:val="auto"/>
              </w:rPr>
              <w:t>Capital expenditures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(6,158)</w:t>
            </w: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(406)</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(527)</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Acquisitions, net of cash acquired</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(1,319)</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(738)</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Proceeds from sales of investments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1,761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737</w:t>
            </w:r>
          </w:p>
        </w:tc>
        <w:tc>
          <w:tcPr>
            <w:tcW w:w="0" w:type="dxa"/>
            <w:vAlign w:val="bottom"/>
          </w:tcPr>
          <w:p>
            <w:pPr>
              <w:spacing w:after="0"/>
              <w:rPr>
                <w:sz w:val="1"/>
                <w:szCs w:val="1"/>
                <w:color w:val="auto"/>
              </w:rPr>
            </w:pPr>
          </w:p>
        </w:tc>
      </w:tr>
      <w:tr>
        <w:trPr>
          <w:trHeight w:val="149"/>
        </w:trPr>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Purchases of investments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(2,089)</w:t>
            </w:r>
          </w:p>
        </w:tc>
        <w:tc>
          <w:tcPr>
            <w:tcW w:w="3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(1,167)</w:t>
            </w:r>
          </w:p>
        </w:tc>
        <w:tc>
          <w:tcPr>
            <w:tcW w:w="0" w:type="dxa"/>
            <w:vAlign w:val="bottom"/>
          </w:tcPr>
          <w:p>
            <w:pPr>
              <w:spacing w:after="0"/>
              <w:rPr>
                <w:sz w:val="1"/>
                <w:szCs w:val="1"/>
                <w:color w:val="auto"/>
              </w:rPr>
            </w:pPr>
          </w:p>
        </w:tc>
      </w:tr>
      <w:tr>
        <w:trPr>
          <w:trHeight w:val="171"/>
        </w:trPr>
        <w:tc>
          <w:tcPr>
            <w:tcW w:w="5480" w:type="dxa"/>
            <w:vAlign w:val="bottom"/>
          </w:tcPr>
          <w:p>
            <w:pPr>
              <w:ind w:left="180"/>
              <w:spacing w:after="0"/>
              <w:rPr>
                <w:sz w:val="20"/>
                <w:szCs w:val="20"/>
                <w:color w:val="auto"/>
              </w:rPr>
            </w:pPr>
            <w:r>
              <w:rPr>
                <w:rFonts w:ascii="Arial" w:cs="Arial" w:eastAsia="Arial" w:hAnsi="Arial"/>
                <w:sz w:val="14"/>
                <w:szCs w:val="14"/>
                <w:color w:val="auto"/>
              </w:rPr>
              <w:t>Other</w:t>
            </w: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80" w:type="dxa"/>
            <w:vAlign w:val="bottom"/>
          </w:tcPr>
          <w:p>
            <w:pPr>
              <w:ind w:left="660"/>
              <w:spacing w:after="0"/>
              <w:rPr>
                <w:sz w:val="20"/>
                <w:szCs w:val="20"/>
                <w:color w:val="auto"/>
              </w:rPr>
            </w:pPr>
            <w:r>
              <w:rPr>
                <w:rFonts w:ascii="Arial" w:cs="Arial" w:eastAsia="Arial" w:hAnsi="Arial"/>
                <w:sz w:val="14"/>
                <w:szCs w:val="14"/>
                <w:color w:val="auto"/>
              </w:rPr>
              <w:t>Net cash provided by (used in) investing activities</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(8,149)</w:t>
            </w:r>
          </w:p>
        </w:tc>
        <w:tc>
          <w:tcPr>
            <w:tcW w:w="3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(7,477)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54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(276)</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289"/>
        </w:trPr>
        <w:tc>
          <w:tcPr>
            <w:tcW w:w="54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3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1,239</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3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963</w:t>
            </w:r>
          </w:p>
        </w:tc>
        <w:tc>
          <w:tcPr>
            <w:tcW w:w="18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1,195</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40" w:type="dxa"/>
            <w:vAlign w:val="bottom"/>
            <w:vMerge w:val="restart"/>
          </w:tcPr>
          <w:p>
            <w:pPr>
              <w:jc w:val="right"/>
              <w:ind w:right="2908"/>
              <w:spacing w:after="0"/>
              <w:rPr>
                <w:sz w:val="20"/>
                <w:szCs w:val="20"/>
                <w:color w:val="auto"/>
              </w:rPr>
            </w:pPr>
            <w:r>
              <w:rPr>
                <w:rFonts w:ascii="Arial" w:cs="Arial" w:eastAsia="Arial" w:hAnsi="Arial"/>
                <w:sz w:val="14"/>
                <w:szCs w:val="14"/>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54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48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6"/>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TABLE 4-A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20" w:type="dxa"/>
            <w:vAlign w:val="bottom"/>
            <w:gridSpan w:val="21"/>
          </w:tcPr>
          <w:p>
            <w:pPr>
              <w:spacing w:after="0" w:line="158" w:lineRule="exact"/>
              <w:rPr>
                <w:sz w:val="20"/>
                <w:szCs w:val="20"/>
                <w:color w:val="auto"/>
              </w:rPr>
            </w:pPr>
            <w:r>
              <w:rPr>
                <w:rFonts w:ascii="Arial" w:cs="Arial" w:eastAsia="Arial" w:hAnsi="Arial"/>
                <w:sz w:val="13"/>
                <w:szCs w:val="13"/>
                <w:b w:val="1"/>
                <w:bCs w:val="1"/>
                <w:color w:val="auto"/>
              </w:rPr>
              <w:t>Reconciliation of GAAP to Pro Forma</w:t>
            </w:r>
            <w:r>
              <w:rPr>
                <w:rFonts w:ascii="Arial" w:cs="Arial" w:eastAsia="Arial" w:hAnsi="Arial"/>
                <w:sz w:val="18"/>
                <w:szCs w:val="18"/>
                <w:b w:val="1"/>
                <w:bCs w:val="1"/>
                <w:color w:val="auto"/>
                <w:vertAlign w:val="superscript"/>
              </w:rPr>
              <w:t>(1)</w:t>
            </w:r>
            <w:r>
              <w:rPr>
                <w:rFonts w:ascii="Arial" w:cs="Arial" w:eastAsia="Arial" w:hAnsi="Arial"/>
                <w:sz w:val="13"/>
                <w:szCs w:val="13"/>
                <w:b w:val="1"/>
                <w:bCs w:val="1"/>
                <w:color w:val="auto"/>
              </w:rPr>
              <w:t xml:space="preserve"> Financial Data by Business Segment (Unaudited)</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20" w:type="dxa"/>
            <w:vAlign w:val="bottom"/>
            <w:gridSpan w:val="4"/>
            <w:vMerge w:val="restart"/>
          </w:tcPr>
          <w:p>
            <w:pPr>
              <w:spacing w:after="0" w:line="158" w:lineRule="exact"/>
              <w:rPr>
                <w:sz w:val="20"/>
                <w:szCs w:val="20"/>
                <w:color w:val="auto"/>
              </w:rPr>
            </w:pPr>
            <w:r>
              <w:rPr>
                <w:rFonts w:ascii="Arial" w:cs="Arial" w:eastAsia="Arial" w:hAnsi="Arial"/>
                <w:sz w:val="14"/>
                <w:szCs w:val="14"/>
                <w:b w:val="1"/>
                <w:bCs w:val="1"/>
                <w:color w:val="auto"/>
                <w:w w:val="98"/>
              </w:rPr>
              <w:t>GAAP</w:t>
            </w:r>
          </w:p>
        </w:tc>
        <w:tc>
          <w:tcPr>
            <w:tcW w:w="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gridSpan w:val="3"/>
            <w:vMerge w:val="restart"/>
          </w:tcPr>
          <w:p>
            <w:pPr>
              <w:spacing w:after="0" w:line="158" w:lineRule="exact"/>
              <w:rPr>
                <w:sz w:val="20"/>
                <w:szCs w:val="20"/>
                <w:color w:val="auto"/>
              </w:rPr>
            </w:pPr>
            <w:r>
              <w:rPr>
                <w:rFonts w:ascii="Arial" w:cs="Arial" w:eastAsia="Arial" w:hAnsi="Arial"/>
                <w:sz w:val="14"/>
                <w:szCs w:val="14"/>
                <w:b w:val="1"/>
                <w:bCs w:val="1"/>
                <w:color w:val="auto"/>
                <w:w w:val="89"/>
              </w:rPr>
              <w:t>Cable</w:t>
            </w: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gridSpan w:val="3"/>
            <w:vMerge w:val="restart"/>
          </w:tcPr>
          <w:p>
            <w:pPr>
              <w:spacing w:after="0" w:line="158" w:lineRule="exact"/>
              <w:rPr>
                <w:sz w:val="20"/>
                <w:szCs w:val="20"/>
                <w:color w:val="auto"/>
              </w:rPr>
            </w:pPr>
            <w:r>
              <w:rPr>
                <w:rFonts w:ascii="Arial" w:cs="Arial" w:eastAsia="Arial" w:hAnsi="Arial"/>
                <w:sz w:val="14"/>
                <w:szCs w:val="14"/>
                <w:b w:val="1"/>
                <w:bCs w:val="1"/>
                <w:color w:val="auto"/>
                <w:w w:val="89"/>
              </w:rPr>
              <w:t>Total</w:t>
            </w:r>
          </w:p>
        </w:tc>
        <w:tc>
          <w:tcPr>
            <w:tcW w:w="6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360" w:type="dxa"/>
            <w:vAlign w:val="bottom"/>
            <w:tcBorders>
              <w:bottom w:val="single" w:sz="8" w:color="auto"/>
            </w:tcBorders>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320" w:type="dxa"/>
            <w:vAlign w:val="bottom"/>
            <w:tcBorders>
              <w:bottom w:val="single" w:sz="8" w:color="auto"/>
            </w:tcBorders>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Borders>
              <w:right w:val="single" w:sz="8" w:color="auto"/>
            </w:tcBorders>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 and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right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420" w:type="dxa"/>
            <w:vAlign w:val="bottom"/>
            <w:gridSpan w:val="4"/>
          </w:tcPr>
          <w:p>
            <w:pPr>
              <w:spacing w:after="0" w:line="125"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280"/>
              <w:spacing w:after="0" w:line="125" w:lineRule="exact"/>
              <w:rPr>
                <w:sz w:val="20"/>
                <w:szCs w:val="20"/>
                <w:color w:val="auto"/>
              </w:rPr>
            </w:pPr>
            <w:r>
              <w:rPr>
                <w:rFonts w:ascii="Arial" w:cs="Arial" w:eastAsia="Arial" w:hAnsi="Arial"/>
                <w:sz w:val="14"/>
                <w:szCs w:val="14"/>
                <w:b w:val="1"/>
                <w:bCs w:val="1"/>
                <w:color w:val="auto"/>
              </w:rPr>
              <w:t>Cable</w:t>
            </w:r>
          </w:p>
        </w:tc>
        <w:tc>
          <w:tcPr>
            <w:tcW w:w="240" w:type="dxa"/>
            <w:vAlign w:val="bottom"/>
          </w:tcPr>
          <w:p>
            <w:pPr>
              <w:spacing w:after="0"/>
              <w:rPr>
                <w:sz w:val="11"/>
                <w:szCs w:val="11"/>
                <w:color w:val="auto"/>
              </w:rPr>
            </w:pPr>
          </w:p>
        </w:tc>
        <w:tc>
          <w:tcPr>
            <w:tcW w:w="1180" w:type="dxa"/>
            <w:vAlign w:val="bottom"/>
            <w:gridSpan w:val="6"/>
          </w:tcPr>
          <w:p>
            <w:pPr>
              <w:ind w:left="40"/>
              <w:spacing w:after="0" w:line="125" w:lineRule="exact"/>
              <w:rPr>
                <w:sz w:val="20"/>
                <w:szCs w:val="20"/>
                <w:color w:val="auto"/>
              </w:rPr>
            </w:pPr>
            <w:r>
              <w:rPr>
                <w:rFonts w:ascii="Arial" w:cs="Arial" w:eastAsia="Arial" w:hAnsi="Arial"/>
                <w:sz w:val="14"/>
                <w:szCs w:val="14"/>
                <w:b w:val="1"/>
                <w:bCs w:val="1"/>
                <w:color w:val="auto"/>
              </w:rPr>
              <w:t>Programming</w:t>
            </w:r>
          </w:p>
        </w:tc>
        <w:tc>
          <w:tcPr>
            <w:tcW w:w="60" w:type="dxa"/>
            <w:vAlign w:val="bottom"/>
          </w:tcPr>
          <w:p>
            <w:pPr>
              <w:spacing w:after="0"/>
              <w:rPr>
                <w:sz w:val="11"/>
                <w:szCs w:val="11"/>
                <w:color w:val="auto"/>
              </w:rPr>
            </w:pPr>
          </w:p>
        </w:tc>
        <w:tc>
          <w:tcPr>
            <w:tcW w:w="1080" w:type="dxa"/>
            <w:vAlign w:val="bottom"/>
            <w:gridSpan w:val="4"/>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1"/>
                <w:szCs w:val="11"/>
                <w:color w:val="auto"/>
              </w:rPr>
            </w:pPr>
          </w:p>
        </w:tc>
        <w:tc>
          <w:tcPr>
            <w:tcW w:w="720" w:type="dxa"/>
            <w:vAlign w:val="bottom"/>
            <w:tcBorders>
              <w:right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w w:val="97"/>
              </w:rPr>
              <w:t>(1)</w:t>
            </w:r>
            <w:r>
              <w:rPr>
                <w:rFonts w:ascii="Arial" w:cs="Arial" w:eastAsia="Arial" w:hAnsi="Arial"/>
                <w:sz w:val="10"/>
                <w:szCs w:val="10"/>
                <w:b w:val="1"/>
                <w:bCs w:val="1"/>
                <w:u w:val="single" w:color="auto"/>
                <w:color w:val="auto"/>
                <w:w w:val="97"/>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right w:val="single" w:sz="8" w:color="auto"/>
            </w:tcBorders>
            <w:gridSpan w:val="4"/>
          </w:tcPr>
          <w:p>
            <w:pPr>
              <w:jc w:val="center"/>
              <w:ind w:right="220"/>
              <w:spacing w:after="0" w:line="125"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w w:val="97"/>
              </w:rPr>
              <w:t>(1)</w:t>
            </w:r>
            <w:r>
              <w:rPr>
                <w:rFonts w:ascii="Arial" w:cs="Arial" w:eastAsia="Arial" w:hAnsi="Arial"/>
                <w:sz w:val="10"/>
                <w:szCs w:val="10"/>
                <w:b w:val="1"/>
                <w:bCs w:val="1"/>
                <w:u w:val="single" w:color="auto"/>
                <w:color w:val="auto"/>
                <w:w w:val="97"/>
              </w:rPr>
              <w:t>(2)</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
        </w:trPr>
        <w:tc>
          <w:tcPr>
            <w:tcW w:w="2620" w:type="dxa"/>
            <w:vAlign w:val="bottom"/>
            <w:gridSpan w:val="6"/>
            <w:vMerge w:val="restart"/>
          </w:tcPr>
          <w:p>
            <w:pPr>
              <w:spacing w:after="0" w:line="155" w:lineRule="exact"/>
              <w:rPr>
                <w:sz w:val="20"/>
                <w:szCs w:val="20"/>
                <w:color w:val="auto"/>
              </w:rPr>
            </w:pPr>
            <w:r>
              <w:rPr>
                <w:rFonts w:ascii="Arial" w:cs="Arial" w:eastAsia="Arial" w:hAnsi="Arial"/>
                <w:sz w:val="14"/>
                <w:szCs w:val="14"/>
                <w:b w:val="1"/>
                <w:bCs w:val="1"/>
                <w:color w:val="auto"/>
                <w:w w:val="96"/>
              </w:rPr>
              <w:t>Three Months Ended December 31, 2008</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20" w:type="dxa"/>
            <w:vAlign w:val="bottom"/>
            <w:gridSpan w:val="6"/>
            <w:vMerge w:val="continue"/>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8,296</w:t>
            </w:r>
          </w:p>
        </w:tc>
        <w:tc>
          <w:tcPr>
            <w:tcW w:w="600" w:type="dxa"/>
            <w:vAlign w:val="bottom"/>
            <w:gridSpan w:val="3"/>
            <w:vMerge w:val="restart"/>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350</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119</w:t>
            </w: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8,765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8,296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8,765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720" w:type="dxa"/>
            <w:vAlign w:val="bottom"/>
            <w:tcBorders>
              <w:right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900" w:type="dxa"/>
            <w:vAlign w:val="bottom"/>
            <w:tcBorders>
              <w:right w:val="single" w:sz="8" w:color="auto"/>
            </w:tcBorders>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20" w:type="dxa"/>
            <w:vAlign w:val="bottom"/>
            <w:tcBorders>
              <w:right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tcBorders>
              <w:right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420" w:type="dxa"/>
            <w:vAlign w:val="bottom"/>
            <w:gridSpan w:val="4"/>
          </w:tcPr>
          <w:p>
            <w:pPr>
              <w:spacing w:after="0"/>
              <w:rPr>
                <w:sz w:val="20"/>
                <w:szCs w:val="20"/>
                <w:color w:val="auto"/>
              </w:rPr>
            </w:pPr>
            <w:r>
              <w:rPr>
                <w:rFonts w:ascii="Arial" w:cs="Arial" w:eastAsia="Arial" w:hAnsi="Arial"/>
                <w:sz w:val="14"/>
                <w:szCs w:val="14"/>
                <w:color w:val="auto"/>
              </w:rPr>
              <w:t>Operating Expenses (excluding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4,881</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295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5,395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4,881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130"/>
        </w:trPr>
        <w:tc>
          <w:tcPr>
            <w:tcW w:w="2420" w:type="dxa"/>
            <w:vAlign w:val="bottom"/>
            <w:gridSpan w:val="4"/>
          </w:tcPr>
          <w:p>
            <w:pPr>
              <w:spacing w:after="0" w:line="130" w:lineRule="exact"/>
              <w:rPr>
                <w:sz w:val="20"/>
                <w:szCs w:val="20"/>
                <w:color w:val="auto"/>
              </w:rPr>
            </w:pPr>
            <w:r>
              <w:rPr>
                <w:rFonts w:ascii="Arial" w:cs="Arial" w:eastAsia="Arial" w:hAnsi="Arial"/>
                <w:sz w:val="14"/>
                <w:szCs w:val="14"/>
                <w:color w:val="auto"/>
              </w:rPr>
              <w:t>Operating Cash Flow</w:t>
            </w:r>
          </w:p>
        </w:tc>
        <w:tc>
          <w:tcPr>
            <w:tcW w:w="200" w:type="dxa"/>
            <w:vAlign w:val="bottom"/>
            <w:tcBorders>
              <w:top w:val="single" w:sz="8" w:color="auto"/>
            </w:tcBorders>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3,415</w:t>
            </w:r>
          </w:p>
        </w:tc>
        <w:tc>
          <w:tcPr>
            <w:tcW w:w="240" w:type="dxa"/>
            <w:vAlign w:val="bottom"/>
          </w:tcPr>
          <w:p>
            <w:pPr>
              <w:spacing w:after="0"/>
              <w:rPr>
                <w:sz w:val="11"/>
                <w:szCs w:val="11"/>
                <w:color w:val="auto"/>
              </w:rPr>
            </w:pPr>
          </w:p>
        </w:tc>
        <w:tc>
          <w:tcPr>
            <w:tcW w:w="360" w:type="dxa"/>
            <w:vAlign w:val="bottom"/>
            <w:tcBorders>
              <w:top w:val="single" w:sz="8" w:color="auto"/>
            </w:tcBorders>
            <w:gridSpan w:val="2"/>
          </w:tcPr>
          <w:p>
            <w:pPr>
              <w:ind w:left="60"/>
              <w:spacing w:after="0" w:line="130"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1"/>
                <w:szCs w:val="11"/>
                <w:color w:val="auto"/>
              </w:rPr>
            </w:pPr>
          </w:p>
        </w:tc>
        <w:tc>
          <w:tcPr>
            <w:tcW w:w="300" w:type="dxa"/>
            <w:vAlign w:val="bottom"/>
            <w:tcBorders>
              <w:top w:val="single" w:sz="8" w:color="auto"/>
            </w:tcBorders>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tcPr>
          <w:p>
            <w:pPr>
              <w:ind w:left="280"/>
              <w:spacing w:after="0" w:line="130" w:lineRule="exact"/>
              <w:rPr>
                <w:sz w:val="20"/>
                <w:szCs w:val="20"/>
                <w:color w:val="auto"/>
              </w:rPr>
            </w:pPr>
            <w:r>
              <w:rPr>
                <w:rFonts w:ascii="Arial" w:cs="Arial" w:eastAsia="Arial" w:hAnsi="Arial"/>
                <w:sz w:val="14"/>
                <w:szCs w:val="14"/>
                <w:color w:val="auto"/>
                <w:w w:val="85"/>
              </w:rPr>
              <w:t>3,370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3,415</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3,370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1,538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49"/>
        </w:trPr>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1,877</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w w:val="85"/>
              </w:rPr>
              <w:t>1,757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1,877</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1,668</w:t>
            </w:r>
          </w:p>
        </w:tc>
        <w:tc>
          <w:tcPr>
            <w:tcW w:w="2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1,668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 December 31, 2007</w:t>
            </w:r>
          </w:p>
        </w:tc>
        <w:tc>
          <w:tcPr>
            <w:tcW w:w="100" w:type="dxa"/>
            <w:vAlign w:val="bottom"/>
          </w:tcPr>
          <w:p>
            <w:pPr>
              <w:spacing w:after="0"/>
              <w:rPr>
                <w:sz w:val="24"/>
                <w:szCs w:val="24"/>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7,577</w:t>
            </w:r>
          </w:p>
        </w:tc>
        <w:tc>
          <w:tcPr>
            <w:tcW w:w="600" w:type="dxa"/>
            <w:vAlign w:val="bottom"/>
            <w:gridSpan w:val="3"/>
            <w:vMerge w:val="restart"/>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348</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24"/>
                <w:szCs w:val="24"/>
                <w:color w:val="auto"/>
              </w:rPr>
            </w:pP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8,014</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20"/>
              <w:spacing w:after="0"/>
              <w:rPr>
                <w:sz w:val="20"/>
                <w:szCs w:val="20"/>
                <w:color w:val="auto"/>
              </w:rPr>
            </w:pPr>
            <w:r>
              <w:rPr>
                <w:rFonts w:ascii="Arial" w:cs="Arial" w:eastAsia="Arial" w:hAnsi="Arial"/>
                <w:sz w:val="14"/>
                <w:szCs w:val="14"/>
                <w:color w:val="auto"/>
              </w:rPr>
              <w:t>181</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7,758</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auto"/>
              </w:rPr>
              <w:t>181</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76"/>
        </w:trPr>
        <w:tc>
          <w:tcPr>
            <w:tcW w:w="24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20" w:type="dxa"/>
            <w:vAlign w:val="bottom"/>
            <w:tcBorders>
              <w:right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tcBorders>
              <w:right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420" w:type="dxa"/>
            <w:vAlign w:val="bottom"/>
            <w:gridSpan w:val="4"/>
          </w:tcPr>
          <w:p>
            <w:pPr>
              <w:spacing w:after="0"/>
              <w:rPr>
                <w:sz w:val="20"/>
                <w:szCs w:val="20"/>
                <w:color w:val="auto"/>
              </w:rPr>
            </w:pPr>
            <w:r>
              <w:rPr>
                <w:rFonts w:ascii="Arial" w:cs="Arial" w:eastAsia="Arial" w:hAnsi="Arial"/>
                <w:sz w:val="14"/>
                <w:szCs w:val="14"/>
                <w:color w:val="auto"/>
              </w:rPr>
              <w:t>Operating Expenses (excluding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4,454</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299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4,932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4,562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5,041</w:t>
            </w:r>
          </w:p>
        </w:tc>
        <w:tc>
          <w:tcPr>
            <w:tcW w:w="0" w:type="dxa"/>
            <w:vAlign w:val="bottom"/>
          </w:tcPr>
          <w:p>
            <w:pPr>
              <w:spacing w:after="0"/>
              <w:rPr>
                <w:sz w:val="1"/>
                <w:szCs w:val="1"/>
                <w:color w:val="auto"/>
              </w:rPr>
            </w:pPr>
          </w:p>
        </w:tc>
      </w:tr>
      <w:tr>
        <w:trPr>
          <w:trHeight w:val="130"/>
        </w:trPr>
        <w:tc>
          <w:tcPr>
            <w:tcW w:w="2420" w:type="dxa"/>
            <w:vAlign w:val="bottom"/>
            <w:gridSpan w:val="4"/>
          </w:tcPr>
          <w:p>
            <w:pPr>
              <w:spacing w:after="0" w:line="130" w:lineRule="exact"/>
              <w:rPr>
                <w:sz w:val="20"/>
                <w:szCs w:val="20"/>
                <w:color w:val="auto"/>
              </w:rPr>
            </w:pPr>
            <w:r>
              <w:rPr>
                <w:rFonts w:ascii="Arial" w:cs="Arial" w:eastAsia="Arial" w:hAnsi="Arial"/>
                <w:sz w:val="14"/>
                <w:szCs w:val="14"/>
                <w:color w:val="auto"/>
              </w:rPr>
              <w:t>Operating Cash Flow</w:t>
            </w:r>
          </w:p>
        </w:tc>
        <w:tc>
          <w:tcPr>
            <w:tcW w:w="200" w:type="dxa"/>
            <w:vAlign w:val="bottom"/>
            <w:tcBorders>
              <w:top w:val="single" w:sz="8" w:color="auto"/>
            </w:tcBorders>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3,123</w:t>
            </w:r>
          </w:p>
        </w:tc>
        <w:tc>
          <w:tcPr>
            <w:tcW w:w="240" w:type="dxa"/>
            <w:vAlign w:val="bottom"/>
          </w:tcPr>
          <w:p>
            <w:pPr>
              <w:spacing w:after="0"/>
              <w:rPr>
                <w:sz w:val="11"/>
                <w:szCs w:val="11"/>
                <w:color w:val="auto"/>
              </w:rPr>
            </w:pPr>
          </w:p>
        </w:tc>
        <w:tc>
          <w:tcPr>
            <w:tcW w:w="360" w:type="dxa"/>
            <w:vAlign w:val="bottom"/>
            <w:tcBorders>
              <w:top w:val="single" w:sz="8" w:color="auto"/>
            </w:tcBorders>
            <w:gridSpan w:val="2"/>
          </w:tcPr>
          <w:p>
            <w:pPr>
              <w:ind w:left="60"/>
              <w:spacing w:after="0" w:line="130"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49</w:t>
            </w:r>
          </w:p>
        </w:tc>
        <w:tc>
          <w:tcPr>
            <w:tcW w:w="24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1"/>
                <w:szCs w:val="11"/>
                <w:color w:val="auto"/>
              </w:rPr>
            </w:pPr>
          </w:p>
        </w:tc>
        <w:tc>
          <w:tcPr>
            <w:tcW w:w="300" w:type="dxa"/>
            <w:vAlign w:val="bottom"/>
            <w:tcBorders>
              <w:top w:val="single" w:sz="8" w:color="auto"/>
            </w:tcBorders>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tcPr>
          <w:p>
            <w:pPr>
              <w:ind w:left="280"/>
              <w:spacing w:after="0" w:line="130" w:lineRule="exact"/>
              <w:rPr>
                <w:sz w:val="20"/>
                <w:szCs w:val="20"/>
                <w:color w:val="auto"/>
              </w:rPr>
            </w:pPr>
            <w:r>
              <w:rPr>
                <w:rFonts w:ascii="Arial" w:cs="Arial" w:eastAsia="Arial" w:hAnsi="Arial"/>
                <w:sz w:val="14"/>
                <w:szCs w:val="14"/>
                <w:color w:val="auto"/>
                <w:w w:val="85"/>
              </w:rPr>
              <w:t>3,082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3,196</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3,154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1,540</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149"/>
        </w:trPr>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1,583</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(35)</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w w:val="85"/>
              </w:rPr>
              <w:t>1,458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1,627</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1,472</w:t>
            </w:r>
          </w:p>
        </w:tc>
        <w:tc>
          <w:tcPr>
            <w:tcW w:w="60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13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21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21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21"/>
        </w:trPr>
        <w:tc>
          <w:tcPr>
            <w:tcW w:w="24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Twelve Months Ended December 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4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2008</w:t>
            </w:r>
          </w:p>
        </w:tc>
        <w:tc>
          <w:tcPr>
            <w:tcW w:w="1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32,443</w:t>
            </w:r>
          </w:p>
        </w:tc>
        <w:tc>
          <w:tcPr>
            <w:tcW w:w="600" w:type="dxa"/>
            <w:vAlign w:val="bottom"/>
            <w:gridSpan w:val="3"/>
            <w:vMerge w:val="restart"/>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1,426</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387</w:t>
            </w:r>
          </w:p>
        </w:tc>
        <w:tc>
          <w:tcPr>
            <w:tcW w:w="220" w:type="dxa"/>
            <w:vAlign w:val="bottom"/>
          </w:tcPr>
          <w:p>
            <w:pPr>
              <w:spacing w:after="0"/>
              <w:rPr>
                <w:sz w:val="11"/>
                <w:szCs w:val="11"/>
                <w:color w:val="auto"/>
              </w:rPr>
            </w:pP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4"/>
                <w:szCs w:val="14"/>
                <w:color w:val="auto"/>
              </w:rPr>
              <w:t>34,256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32,443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34,256</w:t>
            </w:r>
          </w:p>
        </w:tc>
        <w:tc>
          <w:tcPr>
            <w:tcW w:w="0" w:type="dxa"/>
            <w:vAlign w:val="bottom"/>
          </w:tcPr>
          <w:p>
            <w:pPr>
              <w:spacing w:after="0"/>
              <w:rPr>
                <w:sz w:val="1"/>
                <w:szCs w:val="1"/>
                <w:color w:val="auto"/>
              </w:rPr>
            </w:pPr>
          </w:p>
        </w:tc>
      </w:tr>
      <w:tr>
        <w:trPr>
          <w:trHeight w:val="176"/>
        </w:trPr>
        <w:tc>
          <w:tcPr>
            <w:tcW w:w="24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20" w:type="dxa"/>
            <w:vAlign w:val="bottom"/>
            <w:tcBorders>
              <w:right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tcBorders>
              <w:right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420" w:type="dxa"/>
            <w:vAlign w:val="bottom"/>
            <w:gridSpan w:val="4"/>
          </w:tcPr>
          <w:p>
            <w:pPr>
              <w:spacing w:after="0"/>
              <w:rPr>
                <w:sz w:val="20"/>
                <w:szCs w:val="20"/>
                <w:color w:val="auto"/>
              </w:rPr>
            </w:pPr>
            <w:r>
              <w:rPr>
                <w:rFonts w:ascii="Arial" w:cs="Arial" w:eastAsia="Arial" w:hAnsi="Arial"/>
                <w:sz w:val="14"/>
                <w:szCs w:val="14"/>
                <w:color w:val="auto"/>
              </w:rPr>
              <w:t>Operating Expenses (excluding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19,273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1,064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787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21,124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19,273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21,124</w:t>
            </w:r>
          </w:p>
        </w:tc>
        <w:tc>
          <w:tcPr>
            <w:tcW w:w="0" w:type="dxa"/>
            <w:vAlign w:val="bottom"/>
          </w:tcPr>
          <w:p>
            <w:pPr>
              <w:spacing w:after="0"/>
              <w:rPr>
                <w:sz w:val="1"/>
                <w:szCs w:val="1"/>
                <w:color w:val="auto"/>
              </w:rPr>
            </w:pPr>
          </w:p>
        </w:tc>
      </w:tr>
      <w:tr>
        <w:trPr>
          <w:trHeight w:val="130"/>
        </w:trPr>
        <w:tc>
          <w:tcPr>
            <w:tcW w:w="2420" w:type="dxa"/>
            <w:vAlign w:val="bottom"/>
            <w:gridSpan w:val="4"/>
          </w:tcPr>
          <w:p>
            <w:pPr>
              <w:spacing w:after="0" w:line="130" w:lineRule="exact"/>
              <w:rPr>
                <w:sz w:val="20"/>
                <w:szCs w:val="20"/>
                <w:color w:val="auto"/>
              </w:rPr>
            </w:pPr>
            <w:r>
              <w:rPr>
                <w:rFonts w:ascii="Arial" w:cs="Arial" w:eastAsia="Arial" w:hAnsi="Arial"/>
                <w:sz w:val="14"/>
                <w:szCs w:val="14"/>
                <w:color w:val="auto"/>
              </w:rPr>
              <w:t>Operating Cash Flow</w:t>
            </w:r>
          </w:p>
        </w:tc>
        <w:tc>
          <w:tcPr>
            <w:tcW w:w="200" w:type="dxa"/>
            <w:vAlign w:val="bottom"/>
            <w:tcBorders>
              <w:top w:val="single" w:sz="8" w:color="auto"/>
            </w:tcBorders>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13,170</w:t>
            </w:r>
          </w:p>
        </w:tc>
        <w:tc>
          <w:tcPr>
            <w:tcW w:w="240" w:type="dxa"/>
            <w:vAlign w:val="bottom"/>
          </w:tcPr>
          <w:p>
            <w:pPr>
              <w:spacing w:after="0"/>
              <w:rPr>
                <w:sz w:val="11"/>
                <w:szCs w:val="11"/>
                <w:color w:val="auto"/>
              </w:rPr>
            </w:pPr>
          </w:p>
        </w:tc>
        <w:tc>
          <w:tcPr>
            <w:tcW w:w="360" w:type="dxa"/>
            <w:vAlign w:val="bottom"/>
            <w:tcBorders>
              <w:top w:val="single" w:sz="8" w:color="auto"/>
            </w:tcBorders>
            <w:gridSpan w:val="2"/>
          </w:tcPr>
          <w:p>
            <w:pPr>
              <w:ind w:left="60"/>
              <w:spacing w:after="0" w:line="130"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362</w:t>
            </w:r>
          </w:p>
        </w:tc>
        <w:tc>
          <w:tcPr>
            <w:tcW w:w="24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(400)</w:t>
            </w:r>
          </w:p>
        </w:tc>
        <w:tc>
          <w:tcPr>
            <w:tcW w:w="220" w:type="dxa"/>
            <w:vAlign w:val="bottom"/>
          </w:tcPr>
          <w:p>
            <w:pPr>
              <w:spacing w:after="0"/>
              <w:rPr>
                <w:sz w:val="11"/>
                <w:szCs w:val="11"/>
                <w:color w:val="auto"/>
              </w:rPr>
            </w:pPr>
          </w:p>
        </w:tc>
        <w:tc>
          <w:tcPr>
            <w:tcW w:w="300" w:type="dxa"/>
            <w:vAlign w:val="bottom"/>
            <w:tcBorders>
              <w:top w:val="single" w:sz="8" w:color="auto"/>
            </w:tcBorders>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tcPr>
          <w:p>
            <w:pPr>
              <w:ind w:left="220"/>
              <w:spacing w:after="0" w:line="130" w:lineRule="exact"/>
              <w:rPr>
                <w:sz w:val="20"/>
                <w:szCs w:val="20"/>
                <w:color w:val="auto"/>
              </w:rPr>
            </w:pPr>
            <w:r>
              <w:rPr>
                <w:rFonts w:ascii="Arial" w:cs="Arial" w:eastAsia="Arial" w:hAnsi="Arial"/>
                <w:sz w:val="14"/>
                <w:szCs w:val="14"/>
                <w:color w:val="auto"/>
                <w:w w:val="83"/>
              </w:rPr>
              <w:t>13,132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13,170</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13,132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6,125</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6,400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6,125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6,400</w:t>
            </w:r>
          </w:p>
        </w:tc>
        <w:tc>
          <w:tcPr>
            <w:tcW w:w="0" w:type="dxa"/>
            <w:vAlign w:val="bottom"/>
          </w:tcPr>
          <w:p>
            <w:pPr>
              <w:spacing w:after="0"/>
              <w:rPr>
                <w:sz w:val="1"/>
                <w:szCs w:val="1"/>
                <w:color w:val="auto"/>
              </w:rPr>
            </w:pPr>
          </w:p>
        </w:tc>
      </w:tr>
      <w:tr>
        <w:trPr>
          <w:trHeight w:val="149"/>
        </w:trPr>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7,045</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163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(476)</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w w:val="85"/>
              </w:rPr>
              <w:t>6,732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7,045</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5,545</w:t>
            </w:r>
          </w:p>
        </w:tc>
        <w:tc>
          <w:tcPr>
            <w:tcW w:w="60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44</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5,545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1"/>
        </w:trPr>
        <w:tc>
          <w:tcPr>
            <w:tcW w:w="24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Twelve Months Ended December 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4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2007</w:t>
            </w:r>
          </w:p>
        </w:tc>
        <w:tc>
          <w:tcPr>
            <w:tcW w:w="1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29,305</w:t>
            </w:r>
          </w:p>
        </w:tc>
        <w:tc>
          <w:tcPr>
            <w:tcW w:w="600" w:type="dxa"/>
            <w:vAlign w:val="bottom"/>
            <w:gridSpan w:val="3"/>
            <w:vMerge w:val="restart"/>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1,314</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276</w:t>
            </w:r>
          </w:p>
        </w:tc>
        <w:tc>
          <w:tcPr>
            <w:tcW w:w="220" w:type="dxa"/>
            <w:vAlign w:val="bottom"/>
          </w:tcPr>
          <w:p>
            <w:pPr>
              <w:spacing w:after="0"/>
              <w:rPr>
                <w:sz w:val="11"/>
                <w:szCs w:val="11"/>
                <w:color w:val="auto"/>
              </w:rPr>
            </w:pP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vMerge w:val="restart"/>
          </w:tcPr>
          <w:p>
            <w:pPr>
              <w:ind w:left="220"/>
              <w:spacing w:after="0"/>
              <w:rPr>
                <w:sz w:val="20"/>
                <w:szCs w:val="20"/>
                <w:color w:val="auto"/>
              </w:rPr>
            </w:pPr>
            <w:r>
              <w:rPr>
                <w:rFonts w:ascii="Arial" w:cs="Arial" w:eastAsia="Arial" w:hAnsi="Arial"/>
                <w:sz w:val="14"/>
                <w:szCs w:val="14"/>
                <w:color w:val="auto"/>
              </w:rPr>
              <w:t>30,895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20"/>
              <w:spacing w:after="0"/>
              <w:rPr>
                <w:sz w:val="20"/>
                <w:szCs w:val="20"/>
                <w:color w:val="auto"/>
              </w:rPr>
            </w:pPr>
            <w:r>
              <w:rPr>
                <w:rFonts w:ascii="Arial" w:cs="Arial" w:eastAsia="Arial" w:hAnsi="Arial"/>
                <w:sz w:val="14"/>
                <w:szCs w:val="14"/>
                <w:color w:val="auto"/>
              </w:rPr>
              <w:t>815</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vMerge w:val="restart"/>
          </w:tcPr>
          <w:p>
            <w:pPr>
              <w:jc w:val="right"/>
              <w:ind w:right="100"/>
              <w:spacing w:after="0"/>
              <w:rPr>
                <w:sz w:val="20"/>
                <w:szCs w:val="20"/>
                <w:color w:val="auto"/>
              </w:rPr>
            </w:pPr>
            <w:r>
              <w:rPr>
                <w:rFonts w:ascii="Arial" w:cs="Arial" w:eastAsia="Arial" w:hAnsi="Arial"/>
                <w:sz w:val="14"/>
                <w:szCs w:val="14"/>
                <w:color w:val="auto"/>
              </w:rPr>
              <w:t>30,120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auto"/>
              </w:rPr>
              <w:t>815</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31,710</w:t>
            </w:r>
          </w:p>
        </w:tc>
        <w:tc>
          <w:tcPr>
            <w:tcW w:w="0" w:type="dxa"/>
            <w:vAlign w:val="bottom"/>
          </w:tcPr>
          <w:p>
            <w:pPr>
              <w:spacing w:after="0"/>
              <w:rPr>
                <w:sz w:val="1"/>
                <w:szCs w:val="1"/>
                <w:color w:val="auto"/>
              </w:rPr>
            </w:pPr>
          </w:p>
        </w:tc>
      </w:tr>
      <w:tr>
        <w:trPr>
          <w:trHeight w:val="176"/>
        </w:trPr>
        <w:tc>
          <w:tcPr>
            <w:tcW w:w="24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20" w:type="dxa"/>
            <w:vAlign w:val="bottom"/>
            <w:tcBorders>
              <w:right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tcBorders>
              <w:right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420" w:type="dxa"/>
            <w:vAlign w:val="bottom"/>
            <w:gridSpan w:val="4"/>
          </w:tcPr>
          <w:p>
            <w:pPr>
              <w:spacing w:after="0"/>
              <w:rPr>
                <w:sz w:val="20"/>
                <w:szCs w:val="20"/>
                <w:color w:val="auto"/>
              </w:rPr>
            </w:pPr>
            <w:r>
              <w:rPr>
                <w:rFonts w:ascii="Arial" w:cs="Arial" w:eastAsia="Arial" w:hAnsi="Arial"/>
                <w:sz w:val="14"/>
                <w:szCs w:val="14"/>
                <w:color w:val="auto"/>
              </w:rPr>
              <w:t>Operating Expenses (excluding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17,383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1,028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698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19,109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17,874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492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19,601</w:t>
            </w:r>
          </w:p>
        </w:tc>
        <w:tc>
          <w:tcPr>
            <w:tcW w:w="0" w:type="dxa"/>
            <w:vAlign w:val="bottom"/>
          </w:tcPr>
          <w:p>
            <w:pPr>
              <w:spacing w:after="0"/>
              <w:rPr>
                <w:sz w:val="1"/>
                <w:szCs w:val="1"/>
                <w:color w:val="auto"/>
              </w:rPr>
            </w:pPr>
          </w:p>
        </w:tc>
      </w:tr>
      <w:tr>
        <w:trPr>
          <w:trHeight w:val="130"/>
        </w:trPr>
        <w:tc>
          <w:tcPr>
            <w:tcW w:w="2420" w:type="dxa"/>
            <w:vAlign w:val="bottom"/>
            <w:gridSpan w:val="4"/>
          </w:tcPr>
          <w:p>
            <w:pPr>
              <w:spacing w:after="0" w:line="130" w:lineRule="exact"/>
              <w:rPr>
                <w:sz w:val="20"/>
                <w:szCs w:val="20"/>
                <w:color w:val="auto"/>
              </w:rPr>
            </w:pPr>
            <w:r>
              <w:rPr>
                <w:rFonts w:ascii="Arial" w:cs="Arial" w:eastAsia="Arial" w:hAnsi="Arial"/>
                <w:sz w:val="14"/>
                <w:szCs w:val="14"/>
                <w:color w:val="auto"/>
              </w:rPr>
              <w:t>Operating Cash Flow</w:t>
            </w:r>
          </w:p>
        </w:tc>
        <w:tc>
          <w:tcPr>
            <w:tcW w:w="200" w:type="dxa"/>
            <w:vAlign w:val="bottom"/>
            <w:tcBorders>
              <w:top w:val="single" w:sz="8" w:color="auto"/>
            </w:tcBorders>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11,922</w:t>
            </w:r>
          </w:p>
        </w:tc>
        <w:tc>
          <w:tcPr>
            <w:tcW w:w="240" w:type="dxa"/>
            <w:vAlign w:val="bottom"/>
          </w:tcPr>
          <w:p>
            <w:pPr>
              <w:spacing w:after="0"/>
              <w:rPr>
                <w:sz w:val="11"/>
                <w:szCs w:val="11"/>
                <w:color w:val="auto"/>
              </w:rPr>
            </w:pPr>
          </w:p>
        </w:tc>
        <w:tc>
          <w:tcPr>
            <w:tcW w:w="360" w:type="dxa"/>
            <w:vAlign w:val="bottom"/>
            <w:tcBorders>
              <w:top w:val="single" w:sz="8" w:color="auto"/>
            </w:tcBorders>
            <w:gridSpan w:val="2"/>
          </w:tcPr>
          <w:p>
            <w:pPr>
              <w:ind w:left="60"/>
              <w:spacing w:after="0" w:line="130"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286</w:t>
            </w:r>
          </w:p>
        </w:tc>
        <w:tc>
          <w:tcPr>
            <w:tcW w:w="24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(422)</w:t>
            </w:r>
          </w:p>
        </w:tc>
        <w:tc>
          <w:tcPr>
            <w:tcW w:w="220" w:type="dxa"/>
            <w:vAlign w:val="bottom"/>
          </w:tcPr>
          <w:p>
            <w:pPr>
              <w:spacing w:after="0"/>
              <w:rPr>
                <w:sz w:val="11"/>
                <w:szCs w:val="11"/>
                <w:color w:val="auto"/>
              </w:rPr>
            </w:pPr>
          </w:p>
        </w:tc>
        <w:tc>
          <w:tcPr>
            <w:tcW w:w="300" w:type="dxa"/>
            <w:vAlign w:val="bottom"/>
            <w:tcBorders>
              <w:top w:val="single" w:sz="8" w:color="auto"/>
            </w:tcBorders>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tcPr>
          <w:p>
            <w:pPr>
              <w:ind w:left="220"/>
              <w:spacing w:after="0" w:line="130" w:lineRule="exact"/>
              <w:rPr>
                <w:sz w:val="20"/>
                <w:szCs w:val="20"/>
                <w:color w:val="auto"/>
              </w:rPr>
            </w:pPr>
            <w:r>
              <w:rPr>
                <w:rFonts w:ascii="Arial" w:cs="Arial" w:eastAsia="Arial" w:hAnsi="Arial"/>
                <w:sz w:val="14"/>
                <w:szCs w:val="14"/>
                <w:color w:val="auto"/>
                <w:w w:val="83"/>
              </w:rPr>
              <w:t>11,786</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12,246</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4"/>
          </w:tcPr>
          <w:p>
            <w:pPr>
              <w:jc w:val="right"/>
              <w:spacing w:after="0" w:line="130" w:lineRule="exact"/>
              <w:rPr>
                <w:sz w:val="20"/>
                <w:szCs w:val="20"/>
                <w:color w:val="auto"/>
              </w:rPr>
            </w:pPr>
            <w:r>
              <w:rPr>
                <w:rFonts w:ascii="Arial" w:cs="Arial" w:eastAsia="Arial" w:hAnsi="Arial"/>
                <w:sz w:val="14"/>
                <w:szCs w:val="14"/>
                <w:color w:val="auto"/>
              </w:rPr>
              <w:t>323</w:t>
            </w:r>
          </w:p>
        </w:tc>
        <w:tc>
          <w:tcPr>
            <w:tcW w:w="200" w:type="dxa"/>
            <w:vAlign w:val="bottom"/>
          </w:tcPr>
          <w:p>
            <w:pPr>
              <w:spacing w:after="0"/>
              <w:rPr>
                <w:sz w:val="11"/>
                <w:szCs w:val="11"/>
                <w:color w:val="auto"/>
              </w:rPr>
            </w:pPr>
          </w:p>
        </w:tc>
        <w:tc>
          <w:tcPr>
            <w:tcW w:w="12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12,109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5,924</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6,208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6,065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140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6,348</w:t>
            </w:r>
          </w:p>
        </w:tc>
        <w:tc>
          <w:tcPr>
            <w:tcW w:w="0" w:type="dxa"/>
            <w:vAlign w:val="bottom"/>
          </w:tcPr>
          <w:p>
            <w:pPr>
              <w:spacing w:after="0"/>
              <w:rPr>
                <w:sz w:val="1"/>
                <w:szCs w:val="1"/>
                <w:color w:val="auto"/>
              </w:rPr>
            </w:pPr>
          </w:p>
        </w:tc>
      </w:tr>
      <w:tr>
        <w:trPr>
          <w:trHeight w:val="149"/>
        </w:trPr>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5,998</w:t>
            </w: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(483)</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w w:val="85"/>
              </w:rPr>
              <w:t>5,578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183</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6,181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183</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5,993</w:t>
            </w:r>
          </w:p>
        </w:tc>
        <w:tc>
          <w:tcPr>
            <w:tcW w:w="60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rPr>
              <w:t>35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6,158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20"/>
              <w:spacing w:after="0"/>
              <w:rPr>
                <w:sz w:val="20"/>
                <w:szCs w:val="20"/>
                <w:color w:val="auto"/>
              </w:rPr>
            </w:pPr>
            <w:r>
              <w:rPr>
                <w:rFonts w:ascii="Arial" w:cs="Arial" w:eastAsia="Arial" w:hAnsi="Arial"/>
                <w:sz w:val="14"/>
                <w:szCs w:val="14"/>
                <w:color w:val="auto"/>
              </w:rPr>
              <w:t>123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6,116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200"/>
              <w:spacing w:after="0"/>
              <w:rPr>
                <w:sz w:val="20"/>
                <w:szCs w:val="20"/>
                <w:color w:val="auto"/>
              </w:rPr>
            </w:pPr>
            <w:r>
              <w:rPr>
                <w:rFonts w:ascii="Arial" w:cs="Arial" w:eastAsia="Arial" w:hAnsi="Arial"/>
                <w:sz w:val="14"/>
                <w:szCs w:val="14"/>
                <w:color w:val="auto"/>
              </w:rPr>
              <w:t>123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6,281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397510</wp:posOffset>
            </wp:positionV>
            <wp:extent cx="1612265"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left="380" w:hanging="250"/>
        <w:spacing w:after="0" w:line="230"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data is adjusted only for timing of acquisitions or dispositions and does not include adjustments for costs related to integration activities, cost savings or synergies that have been or may be</w:t>
      </w:r>
    </w:p>
    <w:p>
      <w:pPr>
        <w:ind w:left="380"/>
        <w:spacing w:after="0"/>
        <w:rPr>
          <w:rFonts w:ascii="Arial" w:cs="Arial" w:eastAsia="Arial" w:hAnsi="Arial"/>
          <w:sz w:val="14"/>
          <w:szCs w:val="14"/>
          <w:color w:val="auto"/>
        </w:rPr>
      </w:pPr>
      <w:r>
        <w:rPr>
          <w:rFonts w:ascii="Arial" w:cs="Arial" w:eastAsia="Arial" w:hAnsi="Arial"/>
          <w:sz w:val="13"/>
          <w:szCs w:val="13"/>
          <w:color w:val="auto"/>
        </w:rPr>
        <w:t>achieved by the combined businesses. Pro forma results are presented as if the acquisitions and dispositions were effective on January 1, 2007. Minor differences may exist due to rounding.</w:t>
      </w:r>
    </w:p>
    <w:p>
      <w:pPr>
        <w:spacing w:after="0" w:line="135" w:lineRule="exact"/>
        <w:rPr>
          <w:rFonts w:ascii="Arial" w:cs="Arial" w:eastAsia="Arial" w:hAnsi="Arial"/>
          <w:sz w:val="14"/>
          <w:szCs w:val="14"/>
          <w:color w:val="auto"/>
        </w:rPr>
      </w:pPr>
    </w:p>
    <w:p>
      <w:pPr>
        <w:ind w:left="380" w:right="40" w:hanging="250"/>
        <w:spacing w:after="0" w:line="230"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Pro Forma adjustments and Cable Pro Forma adjustments for 2007 include the results of Comcast SportsNet Bay Area and Comcast SportsNet New England, the cable system acquired from</w:t>
      </w:r>
    </w:p>
    <w:p>
      <w:pPr>
        <w:ind w:left="380"/>
        <w:spacing w:after="0"/>
        <w:rPr>
          <w:rFonts w:ascii="Arial" w:cs="Arial" w:eastAsia="Arial" w:hAnsi="Arial"/>
          <w:sz w:val="14"/>
          <w:szCs w:val="14"/>
          <w:color w:val="auto"/>
        </w:rPr>
      </w:pPr>
      <w:r>
        <w:rPr>
          <w:rFonts w:ascii="Arial" w:cs="Arial" w:eastAsia="Arial" w:hAnsi="Arial"/>
          <w:sz w:val="14"/>
          <w:szCs w:val="14"/>
          <w:color w:val="auto"/>
        </w:rPr>
        <w:t>Patriot Media Holdings, LLC and the cable systems resulting from the dissolution of the Insight Midwest Partnership.</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9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5791835</wp:posOffset>
            </wp:positionH>
            <wp:positionV relativeFrom="page">
              <wp:posOffset>243205</wp:posOffset>
            </wp:positionV>
            <wp:extent cx="161226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t>TABLE 4-B</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to Adjusted Net Income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6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2008 vs. 2007</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9"/>
              </w:rPr>
              <w:t>2007</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12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 (%)</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120" w:type="dxa"/>
            <w:vAlign w:val="bottom"/>
            <w:tcBorders>
              <w:right w:val="single" w:sz="8" w:color="auto"/>
            </w:tcBorders>
          </w:tcPr>
          <w:p>
            <w:pPr>
              <w:spacing w:after="0"/>
              <w:rPr>
                <w:sz w:val="14"/>
                <w:szCs w:val="14"/>
                <w:color w:val="auto"/>
              </w:rPr>
            </w:pPr>
          </w:p>
        </w:tc>
        <w:tc>
          <w:tcPr>
            <w:tcW w:w="1880" w:type="dxa"/>
            <w:vAlign w:val="bottom"/>
            <w:gridSpan w:val="2"/>
            <w:vMerge w:val="restart"/>
          </w:tcPr>
          <w:p>
            <w:pPr>
              <w:jc w:val="right"/>
              <w:ind w:right="10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1"/>
        </w:trPr>
        <w:tc>
          <w:tcPr>
            <w:tcW w:w="412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412</w:t>
            </w:r>
          </w:p>
        </w:tc>
        <w:tc>
          <w:tcPr>
            <w:tcW w:w="5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0.14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(32%)</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4"/>
                <w:szCs w:val="14"/>
                <w:color w:val="auto"/>
              </w:rPr>
              <w:t>Adjustments:</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360"/>
              <w:spacing w:after="0" w:line="179" w:lineRule="exact"/>
              <w:rPr>
                <w:sz w:val="20"/>
                <w:szCs w:val="20"/>
                <w:color w:val="auto"/>
              </w:rPr>
            </w:pPr>
            <w:r>
              <w:rPr>
                <w:rFonts w:ascii="Arial" w:cs="Arial" w:eastAsia="Arial" w:hAnsi="Arial"/>
                <w:sz w:val="14"/>
                <w:szCs w:val="14"/>
                <w:color w:val="auto"/>
              </w:rPr>
              <w:t xml:space="preserve">Impairment of the Clearwire investment </w:t>
            </w:r>
            <w:r>
              <w:rPr>
                <w:rFonts w:ascii="Arial" w:cs="Arial" w:eastAsia="Arial" w:hAnsi="Arial"/>
                <w:sz w:val="20"/>
                <w:szCs w:val="20"/>
                <w:color w:val="auto"/>
                <w:vertAlign w:val="superscript"/>
              </w:rPr>
              <w:t>(2)</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w:t>
            </w: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0.13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NM</w:t>
            </w: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4"/>
                <w:szCs w:val="14"/>
                <w:color w:val="auto"/>
              </w:rPr>
              <w:t>Adjusted Net Income</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790</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0.27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31%</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93"/>
              </w:rPr>
              <w:t>Twelve Months Ended</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2008 vs. 2007</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Growth (%)</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12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24"/>
                <w:szCs w:val="24"/>
                <w:color w:val="auto"/>
              </w:rPr>
            </w:pPr>
          </w:p>
        </w:tc>
        <w:tc>
          <w:tcPr>
            <w:tcW w:w="72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120" w:type="dxa"/>
            <w:vAlign w:val="bottom"/>
            <w:tcBorders>
              <w:right w:val="single" w:sz="8" w:color="auto"/>
            </w:tcBorders>
          </w:tcPr>
          <w:p>
            <w:pPr>
              <w:spacing w:after="0"/>
              <w:rPr>
                <w:sz w:val="24"/>
                <w:szCs w:val="24"/>
                <w:color w:val="auto"/>
              </w:rPr>
            </w:pPr>
          </w:p>
        </w:tc>
        <w:tc>
          <w:tcPr>
            <w:tcW w:w="1880" w:type="dxa"/>
            <w:vAlign w:val="bottom"/>
            <w:gridSpan w:val="2"/>
          </w:tcPr>
          <w:p>
            <w:pPr>
              <w:jc w:val="right"/>
              <w:ind w:right="10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2,587</w:t>
            </w:r>
          </w:p>
        </w:tc>
        <w:tc>
          <w:tcPr>
            <w:tcW w:w="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2,547</w:t>
            </w:r>
          </w:p>
        </w:tc>
        <w:tc>
          <w:tcPr>
            <w:tcW w:w="5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0.86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r>
              <w:rPr>
                <w:rFonts w:ascii="Arial" w:cs="Arial" w:eastAsia="Arial" w:hAnsi="Arial"/>
                <w:sz w:val="14"/>
                <w:szCs w:val="14"/>
                <w:color w:val="auto"/>
              </w:rPr>
              <w:t>Adjustments: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120" w:type="dxa"/>
            <w:vAlign w:val="bottom"/>
          </w:tcPr>
          <w:p>
            <w:pPr>
              <w:ind w:left="180"/>
              <w:spacing w:after="0"/>
              <w:rPr>
                <w:sz w:val="20"/>
                <w:szCs w:val="20"/>
                <w:color w:val="auto"/>
              </w:rPr>
            </w:pPr>
            <w:r>
              <w:rPr>
                <w:rFonts w:ascii="Arial" w:cs="Arial" w:eastAsia="Arial" w:hAnsi="Arial"/>
                <w:sz w:val="14"/>
                <w:szCs w:val="14"/>
                <w:color w:val="auto"/>
              </w:rPr>
              <w:t>Gain related to the dissolution of the Texas/Kansas City</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20" w:type="dxa"/>
            <w:vAlign w:val="bottom"/>
          </w:tcPr>
          <w:p>
            <w:pPr>
              <w:ind w:left="340"/>
              <w:spacing w:after="0" w:line="160" w:lineRule="exact"/>
              <w:rPr>
                <w:sz w:val="20"/>
                <w:szCs w:val="20"/>
                <w:color w:val="auto"/>
              </w:rPr>
            </w:pPr>
            <w:r>
              <w:rPr>
                <w:rFonts w:ascii="Arial" w:cs="Arial" w:eastAsia="Arial" w:hAnsi="Arial"/>
                <w:sz w:val="13"/>
                <w:szCs w:val="13"/>
                <w:color w:val="auto"/>
              </w:rPr>
              <w:t xml:space="preserve">Cable Partnership, net of tax </w:t>
            </w:r>
            <w:r>
              <w:rPr>
                <w:rFonts w:ascii="Arial" w:cs="Arial" w:eastAsia="Arial" w:hAnsi="Arial"/>
                <w:sz w:val="18"/>
                <w:szCs w:val="18"/>
                <w:color w:val="auto"/>
                <w:vertAlign w:val="superscript"/>
              </w:rPr>
              <w:t>(3)</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w:t>
            </w:r>
          </w:p>
        </w:tc>
        <w:tc>
          <w:tcPr>
            <w:tcW w:w="420" w:type="dxa"/>
            <w:vAlign w:val="bottom"/>
          </w:tcPr>
          <w:p>
            <w:pPr>
              <w:spacing w:after="0"/>
              <w:rPr>
                <w:sz w:val="13"/>
                <w:szCs w:val="1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ind w:right="688"/>
              <w:spacing w:after="0"/>
              <w:rPr>
                <w:sz w:val="20"/>
                <w:szCs w:val="20"/>
                <w:color w:val="auto"/>
              </w:rPr>
            </w:pPr>
            <w:r>
              <w:rPr>
                <w:rFonts w:ascii="Arial" w:cs="Arial" w:eastAsia="Arial" w:hAnsi="Arial"/>
                <w:sz w:val="14"/>
                <w:szCs w:val="14"/>
                <w:color w:val="auto"/>
              </w:rPr>
              <w:t>NM</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4"/>
        </w:trPr>
        <w:tc>
          <w:tcPr>
            <w:tcW w:w="4120" w:type="dxa"/>
            <w:vAlign w:val="bottom"/>
          </w:tcPr>
          <w:p>
            <w:pPr>
              <w:ind w:left="180"/>
              <w:spacing w:after="0"/>
              <w:rPr>
                <w:sz w:val="20"/>
                <w:szCs w:val="20"/>
                <w:color w:val="auto"/>
              </w:rPr>
            </w:pPr>
            <w:r>
              <w:rPr>
                <w:rFonts w:ascii="Arial" w:cs="Arial" w:eastAsia="Arial" w:hAnsi="Arial"/>
                <w:sz w:val="14"/>
                <w:szCs w:val="14"/>
                <w:color w:val="auto"/>
              </w:rPr>
              <w:t>Gain related to the dissolution of the Insight Midwest</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line="176" w:lineRule="exact"/>
              <w:rPr>
                <w:sz w:val="20"/>
                <w:szCs w:val="20"/>
                <w:color w:val="auto"/>
              </w:rPr>
            </w:pPr>
            <w:r>
              <w:rPr>
                <w:rFonts w:ascii="Arial" w:cs="Arial" w:eastAsia="Arial" w:hAnsi="Arial"/>
                <w:sz w:val="14"/>
                <w:szCs w:val="14"/>
                <w:color w:val="auto"/>
              </w:rPr>
              <w:t xml:space="preserve">Partnership, net of tax </w:t>
            </w:r>
            <w:r>
              <w:rPr>
                <w:rFonts w:ascii="Arial" w:cs="Arial" w:eastAsia="Arial" w:hAnsi="Arial"/>
                <w:sz w:val="20"/>
                <w:szCs w:val="20"/>
                <w:color w:val="auto"/>
                <w:vertAlign w:val="superscript"/>
              </w:rPr>
              <w:t>(4)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54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(0.05)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ind w:right="688"/>
              <w:spacing w:after="0"/>
              <w:rPr>
                <w:sz w:val="20"/>
                <w:szCs w:val="20"/>
                <w:color w:val="auto"/>
              </w:rPr>
            </w:pPr>
            <w:r>
              <w:rPr>
                <w:rFonts w:ascii="Arial" w:cs="Arial" w:eastAsia="Arial" w:hAnsi="Arial"/>
                <w:sz w:val="14"/>
                <w:szCs w:val="14"/>
                <w:color w:val="auto"/>
              </w:rPr>
              <w:t>NM</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4120" w:type="dxa"/>
            <w:vAlign w:val="bottom"/>
          </w:tcPr>
          <w:p>
            <w:pPr>
              <w:ind w:left="360"/>
              <w:spacing w:after="0" w:line="176" w:lineRule="exact"/>
              <w:rPr>
                <w:sz w:val="20"/>
                <w:szCs w:val="20"/>
                <w:color w:val="auto"/>
              </w:rPr>
            </w:pPr>
            <w:r>
              <w:rPr>
                <w:rFonts w:ascii="Arial" w:cs="Arial" w:eastAsia="Arial" w:hAnsi="Arial"/>
                <w:sz w:val="14"/>
                <w:szCs w:val="14"/>
                <w:color w:val="auto"/>
              </w:rPr>
              <w:t xml:space="preserve">Favorable income tax adjustments </w:t>
            </w:r>
            <w:r>
              <w:rPr>
                <w:rFonts w:ascii="Arial" w:cs="Arial" w:eastAsia="Arial" w:hAnsi="Arial"/>
                <w:sz w:val="20"/>
                <w:szCs w:val="20"/>
                <w:color w:val="auto"/>
                <w:vertAlign w:val="superscript"/>
              </w:rPr>
              <w:t>(5)</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54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(0.03)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ind w:right="688"/>
              <w:spacing w:after="0"/>
              <w:rPr>
                <w:sz w:val="20"/>
                <w:szCs w:val="20"/>
                <w:color w:val="auto"/>
              </w:rPr>
            </w:pPr>
            <w:r>
              <w:rPr>
                <w:rFonts w:ascii="Arial" w:cs="Arial" w:eastAsia="Arial" w:hAnsi="Arial"/>
                <w:sz w:val="14"/>
                <w:szCs w:val="14"/>
                <w:color w:val="auto"/>
              </w:rPr>
              <w:t>NM</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4120" w:type="dxa"/>
            <w:vAlign w:val="bottom"/>
          </w:tcPr>
          <w:p>
            <w:pPr>
              <w:ind w:left="360"/>
              <w:spacing w:after="0" w:line="179" w:lineRule="exact"/>
              <w:rPr>
                <w:sz w:val="20"/>
                <w:szCs w:val="20"/>
                <w:color w:val="auto"/>
              </w:rPr>
            </w:pPr>
            <w:r>
              <w:rPr>
                <w:rFonts w:ascii="Arial" w:cs="Arial" w:eastAsia="Arial" w:hAnsi="Arial"/>
                <w:sz w:val="14"/>
                <w:szCs w:val="14"/>
                <w:color w:val="auto"/>
              </w:rPr>
              <w:t xml:space="preserve">Impairment of the Clearwire investment </w:t>
            </w:r>
            <w:r>
              <w:rPr>
                <w:rFonts w:ascii="Arial" w:cs="Arial" w:eastAsia="Arial" w:hAnsi="Arial"/>
                <w:sz w:val="20"/>
                <w:szCs w:val="20"/>
                <w:color w:val="auto"/>
                <w:vertAlign w:val="superscript"/>
              </w:rPr>
              <w:t>(2)</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w:t>
            </w: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0.13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NM</w:t>
            </w: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4"/>
                <w:szCs w:val="14"/>
                <w:color w:val="auto"/>
              </w:rPr>
              <w:t>Adjusted 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2,287</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0.74</w:t>
            </w:r>
          </w:p>
        </w:tc>
        <w:tc>
          <w:tcPr>
            <w:tcW w:w="5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2,701</w:t>
            </w: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0.91</w:t>
            </w:r>
          </w:p>
        </w:tc>
        <w:tc>
          <w:tcPr>
            <w:tcW w:w="120" w:type="dxa"/>
            <w:vAlign w:val="bottom"/>
            <w:tcBorders>
              <w:right w:val="single" w:sz="8" w:color="auto"/>
            </w:tcBorders>
          </w:tcPr>
          <w:p>
            <w:pPr>
              <w:spacing w:after="0"/>
              <w:rPr>
                <w:sz w:val="24"/>
                <w:szCs w:val="24"/>
                <w:color w:val="auto"/>
              </w:rPr>
            </w:pPr>
          </w:p>
        </w:tc>
        <w:tc>
          <w:tcPr>
            <w:tcW w:w="1880" w:type="dxa"/>
            <w:vAlign w:val="bottom"/>
            <w:gridSpan w:val="2"/>
          </w:tcPr>
          <w:p>
            <w:pPr>
              <w:jc w:val="right"/>
              <w:ind w:right="568"/>
              <w:spacing w:after="0"/>
              <w:rPr>
                <w:sz w:val="20"/>
                <w:szCs w:val="20"/>
                <w:color w:val="auto"/>
              </w:rPr>
            </w:pPr>
            <w:r>
              <w:rPr>
                <w:rFonts w:ascii="Arial" w:cs="Arial" w:eastAsia="Arial" w:hAnsi="Arial"/>
                <w:sz w:val="14"/>
                <w:szCs w:val="14"/>
                <w:color w:val="auto"/>
              </w:rPr>
              <w:t>18%</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60" w:hanging="230"/>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diluted average number of common shares for the respective periods as presented in Table 1.</w:t>
      </w:r>
    </w:p>
    <w:p>
      <w:pPr>
        <w:spacing w:after="0" w:line="136" w:lineRule="exact"/>
        <w:rPr>
          <w:rFonts w:ascii="Arial" w:cs="Arial" w:eastAsia="Arial" w:hAnsi="Arial"/>
          <w:sz w:val="14"/>
          <w:szCs w:val="14"/>
          <w:color w:val="auto"/>
        </w:rPr>
      </w:pPr>
    </w:p>
    <w:p>
      <w:pPr>
        <w:ind w:left="360" w:hanging="230"/>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2008 Net Income includes a $600 million ($378 million net of tax) impairment of the Clearwire investment.</w:t>
      </w:r>
    </w:p>
    <w:p>
      <w:pPr>
        <w:spacing w:after="0" w:line="136" w:lineRule="exact"/>
        <w:rPr>
          <w:rFonts w:ascii="Arial" w:cs="Arial" w:eastAsia="Arial" w:hAnsi="Arial"/>
          <w:sz w:val="14"/>
          <w:szCs w:val="14"/>
          <w:color w:val="auto"/>
        </w:rPr>
      </w:pPr>
    </w:p>
    <w:p>
      <w:pPr>
        <w:ind w:left="360" w:hanging="230"/>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2007 Net Income includes a $500 million ($300 million net of tax) gain related to the dissolution of the Texas/Kansas City Cable Partnership.</w:t>
      </w:r>
    </w:p>
    <w:p>
      <w:pPr>
        <w:spacing w:after="0" w:line="136" w:lineRule="exact"/>
        <w:rPr>
          <w:rFonts w:ascii="Arial" w:cs="Arial" w:eastAsia="Arial" w:hAnsi="Arial"/>
          <w:sz w:val="14"/>
          <w:szCs w:val="14"/>
          <w:color w:val="auto"/>
        </w:rPr>
      </w:pPr>
    </w:p>
    <w:p>
      <w:pPr>
        <w:ind w:left="360" w:hanging="230"/>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2008 Net Income includes a $235 million ($144 million net of tax) gain related to the dissolution of the Insight Midwest Partnership.</w:t>
      </w:r>
    </w:p>
    <w:p>
      <w:pPr>
        <w:spacing w:after="0" w:line="136" w:lineRule="exact"/>
        <w:rPr>
          <w:rFonts w:ascii="Arial" w:cs="Arial" w:eastAsia="Arial" w:hAnsi="Arial"/>
          <w:sz w:val="14"/>
          <w:szCs w:val="14"/>
          <w:color w:val="auto"/>
        </w:rPr>
      </w:pPr>
    </w:p>
    <w:p>
      <w:pPr>
        <w:ind w:left="360" w:right="1120" w:hanging="230"/>
        <w:spacing w:after="0" w:line="253"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2008 Net Income includes favorable income tax adjustments related to the settlement of an uncertain tax position of an acquired entity and the effect, principally on deferred taxes, of certain state tax law changes.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Pro Forma Cable Operating Cash Flow excluding Hurricane Impact and Severance Charges (Unaudited)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08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41"/>
        </w:trPr>
        <w:tc>
          <w:tcPr>
            <w:tcW w:w="6080" w:type="dxa"/>
            <w:vAlign w:val="bottom"/>
            <w:vMerge w:val="restart"/>
          </w:tcPr>
          <w:p>
            <w:pPr>
              <w:spacing w:after="0"/>
              <w:rPr>
                <w:sz w:val="20"/>
                <w:szCs w:val="20"/>
                <w:color w:val="auto"/>
              </w:rPr>
            </w:pPr>
            <w:r>
              <w:rPr>
                <w:rFonts w:ascii="Arial" w:cs="Arial" w:eastAsia="Arial" w:hAnsi="Arial"/>
                <w:sz w:val="14"/>
                <w:szCs w:val="14"/>
                <w:color w:val="auto"/>
              </w:rPr>
              <w:t>Cable Operating Cash Flow</w:t>
            </w: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ind w:right="28"/>
              <w:spacing w:after="0" w:line="126" w:lineRule="exact"/>
              <w:rPr>
                <w:sz w:val="20"/>
                <w:szCs w:val="20"/>
                <w:color w:val="auto"/>
              </w:rPr>
            </w:pPr>
            <w:r>
              <w:rPr>
                <w:rFonts w:ascii="Arial" w:cs="Arial" w:eastAsia="Arial" w:hAnsi="Arial"/>
                <w:sz w:val="14"/>
                <w:szCs w:val="14"/>
                <w:color w:val="auto"/>
              </w:rPr>
              <w:t>3,196</w:t>
            </w:r>
          </w:p>
        </w:tc>
        <w:tc>
          <w:tcPr>
            <w:tcW w:w="100" w:type="dxa"/>
            <w:vAlign w:val="bottom"/>
          </w:tcPr>
          <w:p>
            <w:pPr>
              <w:spacing w:after="0"/>
              <w:rPr>
                <w:sz w:val="10"/>
                <w:szCs w:val="10"/>
                <w:color w:val="auto"/>
              </w:rPr>
            </w:pPr>
          </w:p>
        </w:tc>
        <w:tc>
          <w:tcPr>
            <w:tcW w:w="2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48"/>
              <w:spacing w:after="0" w:line="126" w:lineRule="exact"/>
              <w:rPr>
                <w:sz w:val="20"/>
                <w:szCs w:val="20"/>
                <w:color w:val="auto"/>
              </w:rPr>
            </w:pPr>
            <w:r>
              <w:rPr>
                <w:rFonts w:ascii="Arial" w:cs="Arial" w:eastAsia="Arial" w:hAnsi="Arial"/>
                <w:sz w:val="14"/>
                <w:szCs w:val="14"/>
                <w:b w:val="1"/>
                <w:bCs w:val="1"/>
                <w:color w:val="auto"/>
              </w:rPr>
              <w:t>3,415</w:t>
            </w:r>
          </w:p>
        </w:tc>
        <w:tc>
          <w:tcPr>
            <w:tcW w:w="10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Hurricane Impact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3"/>
        </w:trPr>
        <w:tc>
          <w:tcPr>
            <w:tcW w:w="6080" w:type="dxa"/>
            <w:vAlign w:val="bottom"/>
          </w:tcPr>
          <w:p>
            <w:pPr>
              <w:spacing w:after="0" w:line="153" w:lineRule="exact"/>
              <w:rPr>
                <w:sz w:val="20"/>
                <w:szCs w:val="20"/>
                <w:color w:val="auto"/>
              </w:rPr>
            </w:pPr>
            <w:r>
              <w:rPr>
                <w:rFonts w:ascii="Arial" w:cs="Arial" w:eastAsia="Arial" w:hAnsi="Arial"/>
                <w:sz w:val="14"/>
                <w:szCs w:val="14"/>
                <w:color w:val="auto"/>
              </w:rPr>
              <w:t>Severance Charges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3"/>
                <w:szCs w:val="13"/>
                <w:color w:val="auto"/>
              </w:rPr>
            </w:pPr>
          </w:p>
        </w:tc>
        <w:tc>
          <w:tcPr>
            <w:tcW w:w="12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3"/>
                <w:szCs w:val="13"/>
                <w:color w:val="auto"/>
              </w:rPr>
            </w:pPr>
          </w:p>
        </w:tc>
        <w:tc>
          <w:tcPr>
            <w:tcW w:w="12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4"/>
        </w:trPr>
        <w:tc>
          <w:tcPr>
            <w:tcW w:w="6080" w:type="dxa"/>
            <w:vAlign w:val="bottom"/>
          </w:tcPr>
          <w:p>
            <w:pPr>
              <w:spacing w:after="0"/>
              <w:rPr>
                <w:sz w:val="20"/>
                <w:szCs w:val="20"/>
                <w:color w:val="auto"/>
              </w:rPr>
            </w:pPr>
            <w:r>
              <w:rPr>
                <w:rFonts w:ascii="Arial" w:cs="Arial" w:eastAsia="Arial" w:hAnsi="Arial"/>
                <w:sz w:val="14"/>
                <w:szCs w:val="14"/>
                <w:color w:val="auto"/>
              </w:rPr>
              <w:t>Cable Operating Cash Flow excluding Hurricane Impact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080" w:type="dxa"/>
            <w:vAlign w:val="bottom"/>
          </w:tcPr>
          <w:p>
            <w:pPr>
              <w:ind w:left="360"/>
              <w:spacing w:after="0" w:line="149" w:lineRule="exact"/>
              <w:rPr>
                <w:sz w:val="20"/>
                <w:szCs w:val="20"/>
                <w:color w:val="auto"/>
              </w:rPr>
            </w:pPr>
            <w:r>
              <w:rPr>
                <w:rFonts w:ascii="Arial" w:cs="Arial" w:eastAsia="Arial" w:hAnsi="Arial"/>
                <w:sz w:val="14"/>
                <w:szCs w:val="14"/>
                <w:color w:val="auto"/>
              </w:rPr>
              <w:t>and Severance Charges</w:t>
            </w: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3,196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3,497</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6080" w:type="dxa"/>
            <w:vAlign w:val="bottom"/>
            <w:vMerge w:val="restart"/>
          </w:tcPr>
          <w:p>
            <w:pPr>
              <w:spacing w:after="0"/>
              <w:rPr>
                <w:sz w:val="20"/>
                <w:szCs w:val="20"/>
                <w:color w:val="auto"/>
              </w:rPr>
            </w:pPr>
            <w:r>
              <w:rPr>
                <w:rFonts w:ascii="Arial" w:cs="Arial" w:eastAsia="Arial" w:hAnsi="Arial"/>
                <w:sz w:val="14"/>
                <w:szCs w:val="14"/>
                <w:color w:val="auto"/>
              </w:rPr>
              <w:t>Cable Operating Cash Flow</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26"/>
        </w:trPr>
        <w:tc>
          <w:tcPr>
            <w:tcW w:w="6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ind w:right="28"/>
              <w:spacing w:after="0" w:line="126" w:lineRule="exact"/>
              <w:rPr>
                <w:sz w:val="20"/>
                <w:szCs w:val="20"/>
                <w:color w:val="auto"/>
              </w:rPr>
            </w:pPr>
            <w:r>
              <w:rPr>
                <w:rFonts w:ascii="Arial" w:cs="Arial" w:eastAsia="Arial" w:hAnsi="Arial"/>
                <w:sz w:val="14"/>
                <w:szCs w:val="14"/>
                <w:color w:val="auto"/>
              </w:rPr>
              <w:t>12,246</w:t>
            </w:r>
          </w:p>
        </w:tc>
        <w:tc>
          <w:tcPr>
            <w:tcW w:w="100" w:type="dxa"/>
            <w:vAlign w:val="bottom"/>
          </w:tcPr>
          <w:p>
            <w:pPr>
              <w:spacing w:after="0"/>
              <w:rPr>
                <w:sz w:val="10"/>
                <w:szCs w:val="10"/>
                <w:color w:val="auto"/>
              </w:rPr>
            </w:pPr>
          </w:p>
        </w:tc>
        <w:tc>
          <w:tcPr>
            <w:tcW w:w="2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48"/>
              <w:spacing w:after="0" w:line="126" w:lineRule="exact"/>
              <w:rPr>
                <w:sz w:val="20"/>
                <w:szCs w:val="20"/>
                <w:color w:val="auto"/>
              </w:rPr>
            </w:pPr>
            <w:r>
              <w:rPr>
                <w:rFonts w:ascii="Arial" w:cs="Arial" w:eastAsia="Arial" w:hAnsi="Arial"/>
                <w:sz w:val="14"/>
                <w:szCs w:val="14"/>
                <w:b w:val="1"/>
                <w:bCs w:val="1"/>
                <w:color w:val="auto"/>
              </w:rPr>
              <w:t>13,170</w:t>
            </w:r>
          </w:p>
        </w:tc>
        <w:tc>
          <w:tcPr>
            <w:tcW w:w="10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Hurricane Impact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3"/>
        </w:trPr>
        <w:tc>
          <w:tcPr>
            <w:tcW w:w="6080" w:type="dxa"/>
            <w:vAlign w:val="bottom"/>
          </w:tcPr>
          <w:p>
            <w:pPr>
              <w:spacing w:after="0" w:line="153" w:lineRule="exact"/>
              <w:rPr>
                <w:sz w:val="20"/>
                <w:szCs w:val="20"/>
                <w:color w:val="auto"/>
              </w:rPr>
            </w:pPr>
            <w:r>
              <w:rPr>
                <w:rFonts w:ascii="Arial" w:cs="Arial" w:eastAsia="Arial" w:hAnsi="Arial"/>
                <w:sz w:val="14"/>
                <w:szCs w:val="14"/>
                <w:color w:val="auto"/>
              </w:rPr>
              <w:t>Severance Charges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3"/>
                <w:szCs w:val="13"/>
                <w:color w:val="auto"/>
              </w:rPr>
            </w:pPr>
          </w:p>
        </w:tc>
        <w:tc>
          <w:tcPr>
            <w:tcW w:w="12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3"/>
                <w:szCs w:val="13"/>
                <w:color w:val="auto"/>
              </w:rPr>
            </w:pPr>
          </w:p>
        </w:tc>
        <w:tc>
          <w:tcPr>
            <w:tcW w:w="12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4"/>
        </w:trPr>
        <w:tc>
          <w:tcPr>
            <w:tcW w:w="6080" w:type="dxa"/>
            <w:vAlign w:val="bottom"/>
          </w:tcPr>
          <w:p>
            <w:pPr>
              <w:spacing w:after="0"/>
              <w:rPr>
                <w:sz w:val="20"/>
                <w:szCs w:val="20"/>
                <w:color w:val="auto"/>
              </w:rPr>
            </w:pPr>
            <w:r>
              <w:rPr>
                <w:rFonts w:ascii="Arial" w:cs="Arial" w:eastAsia="Arial" w:hAnsi="Arial"/>
                <w:sz w:val="14"/>
                <w:szCs w:val="14"/>
                <w:color w:val="auto"/>
              </w:rPr>
              <w:t>Cable Operating Cash Flow excluding Hurricane Impact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080" w:type="dxa"/>
            <w:vAlign w:val="bottom"/>
          </w:tcPr>
          <w:p>
            <w:pPr>
              <w:ind w:left="360"/>
              <w:spacing w:after="0" w:line="149" w:lineRule="exact"/>
              <w:rPr>
                <w:sz w:val="20"/>
                <w:szCs w:val="20"/>
                <w:color w:val="auto"/>
              </w:rPr>
            </w:pPr>
            <w:r>
              <w:rPr>
                <w:rFonts w:ascii="Arial" w:cs="Arial" w:eastAsia="Arial" w:hAnsi="Arial"/>
                <w:sz w:val="14"/>
                <w:szCs w:val="14"/>
                <w:color w:val="auto"/>
              </w:rPr>
              <w:t>and Severance Charges</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12,246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13,335</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779"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Exhibit 99.2 – Explanation of Non-GAAP and Other Financial Measures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press release itself.</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Operating Cash Flow is the measure of our segment profit or loss, we reconcile it to operating income, the most directly comparable financial measure calculated and presented in accordance with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Exhibit 99.2 – Explanation of Non-GAAP and Other Financial Measures, cont’d</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Non-GAAP financial measures should not be considered as substitutes for operating income (loss), net income (loss), net cash provided by operating activities or other measures of performance or liquidity reported in accordance with GAAP.</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We provide reconciliations of Consolidated Operating Cash Flow in Table 1, Pro Forma in Table 4-A and Adjusted Data in Table 4-B set forth in Exhibit 99.1 to this Current Report on Form 8-K.</w:t>
      </w:r>
    </w:p>
    <w:sectPr>
      <w:pgSz w:w="11900" w:h="16838" w:orient="portrait"/>
      <w:cols w:equalWidth="0" w:num="1">
        <w:col w:w="11420"/>
      </w:cols>
      <w:pgMar w:left="240" w:top="8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2019-12-10T21:26:12Z</dcterms:created>
  <dcterms:modified xsi:type="dcterms:W3CDTF">2019-12-10T21:26:12Z</dcterms:modified>
</cp:coreProperties>
</file>