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646430</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111125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445"/>
        </w:trPr>
        <w:tc>
          <w:tcPr>
            <w:tcW w:w="2460" w:type="dxa"/>
            <w:vAlign w:val="bottom"/>
          </w:tcPr>
          <w:p>
            <w:pPr>
              <w:spacing w:after="0"/>
              <w:rPr>
                <w:sz w:val="24"/>
                <w:szCs w:val="24"/>
                <w:color w:val="auto"/>
              </w:rPr>
            </w:pPr>
          </w:p>
        </w:tc>
        <w:tc>
          <w:tcPr>
            <w:tcW w:w="7200" w:type="dxa"/>
            <w:vAlign w:val="bottom"/>
          </w:tcPr>
          <w:p>
            <w:pPr>
              <w:jc w:val="center"/>
              <w:ind w:right="216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October 29, 2020</w:t>
            </w:r>
          </w:p>
        </w:tc>
      </w:tr>
      <w:tr>
        <w:trPr>
          <w:trHeight w:val="436"/>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60" w:type="dxa"/>
            <w:vAlign w:val="bottom"/>
          </w:tcPr>
          <w:p>
            <w:pPr>
              <w:spacing w:after="0"/>
              <w:rPr>
                <w:sz w:val="12"/>
                <w:szCs w:val="12"/>
                <w:color w:val="auto"/>
              </w:rPr>
            </w:pPr>
          </w:p>
        </w:tc>
        <w:tc>
          <w:tcPr>
            <w:tcW w:w="7200" w:type="dxa"/>
            <w:vAlign w:val="bottom"/>
          </w:tcPr>
          <w:p>
            <w:pPr>
              <w:jc w:val="center"/>
              <w:ind w:right="220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70"/>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79"/>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 File Number)</w:t>
            </w:r>
          </w:p>
        </w:tc>
        <w:tc>
          <w:tcPr>
            <w:tcW w:w="7200" w:type="dxa"/>
            <w:vAlign w:val="bottom"/>
          </w:tcPr>
          <w:p>
            <w:pPr>
              <w:jc w:val="center"/>
              <w:ind w:left="512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79"/>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(Zip Code)</w:t>
            </w:r>
          </w:p>
        </w:tc>
      </w:tr>
      <w:tr>
        <w:trPr>
          <w:trHeight w:val="32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408"/>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1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340"/>
        <w:spacing w:after="0" w:line="161" w:lineRule="exact"/>
        <w:tabs>
          <w:tab w:leader="none" w:pos="60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Written communications pursuant to Rule 425 under the Securities Act (17 CFR 230.425)</w:t>
      </w:r>
    </w:p>
    <w:p>
      <w:pPr>
        <w:spacing w:after="0" w:line="177" w:lineRule="exact"/>
        <w:rPr>
          <w:sz w:val="24"/>
          <w:szCs w:val="24"/>
          <w:color w:val="auto"/>
        </w:rPr>
      </w:pPr>
    </w:p>
    <w:p>
      <w:pPr>
        <w:ind w:left="340"/>
        <w:spacing w:after="0" w:line="161" w:lineRule="exact"/>
        <w:tabs>
          <w:tab w:leader="none" w:pos="60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Soliciting material pursuant to Rule 14a-12 under the Exchange Act (17 CFR 240.14a-12)</w:t>
      </w:r>
    </w:p>
    <w:p>
      <w:pPr>
        <w:spacing w:after="0" w:line="163" w:lineRule="exact"/>
        <w:rPr>
          <w:sz w:val="24"/>
          <w:szCs w:val="24"/>
          <w:color w:val="auto"/>
        </w:rPr>
      </w:pPr>
    </w:p>
    <w:p>
      <w:pPr>
        <w:ind w:left="340"/>
        <w:spacing w:after="0" w:line="161" w:lineRule="exact"/>
        <w:tabs>
          <w:tab w:leader="none" w:pos="60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Pre-commencement communications pursuant to Rule 14d-2(b) under the Exchange Act (17 CFR 240.14d-2(b))</w:t>
      </w:r>
    </w:p>
    <w:p>
      <w:pPr>
        <w:spacing w:after="0" w:line="163" w:lineRule="exact"/>
        <w:rPr>
          <w:sz w:val="24"/>
          <w:szCs w:val="24"/>
          <w:color w:val="auto"/>
        </w:rPr>
      </w:pPr>
    </w:p>
    <w:p>
      <w:pPr>
        <w:ind w:left="340"/>
        <w:spacing w:after="0" w:line="161" w:lineRule="exact"/>
        <w:tabs>
          <w:tab w:leader="none" w:pos="60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Pre-commencement communications pursuant to Rule 13e-4(c) under the Exchange Act (17 CFR 240.13e-4(c))</w:t>
      </w:r>
    </w:p>
    <w:p>
      <w:pPr>
        <w:spacing w:after="0" w:line="267" w:lineRule="exact"/>
        <w:rPr>
          <w:sz w:val="24"/>
          <w:szCs w:val="24"/>
          <w:color w:val="auto"/>
        </w:rPr>
      </w:pPr>
    </w:p>
    <w:tbl>
      <w:tblPr>
        <w:tblLayout w:type="fixed"/>
        <w:tblInd w:w="800" w:type="dxa"/>
        <w:tblCellMar>
          <w:top w:w="0" w:type="dxa"/>
          <w:left w:w="0" w:type="dxa"/>
          <w:bottom w:w="0" w:type="dxa"/>
          <w:right w:w="0" w:type="dxa"/>
        </w:tblCellMar>
      </w:tblPr>
      <w:tr>
        <w:trPr>
          <w:trHeight w:val="18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207"/>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8"/>
        </w:trPr>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8"/>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9.455% Guaranteed Notes due 2022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CMCSA/22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57"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54" w:lineRule="exact"/>
        <w:rPr>
          <w:sz w:val="24"/>
          <w:szCs w:val="24"/>
          <w:color w:val="auto"/>
        </w:rPr>
      </w:pPr>
    </w:p>
    <w:p>
      <w:pPr>
        <w:ind w:right="560"/>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100965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49530</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29, 2020, Comcast Corporation (“Comcast”) issued a press release reporting the results of its operations for the three and nine months ended September 30, 2020.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60" w:type="dxa"/>
            <w:vAlign w:val="bottom"/>
            <w:gridSpan w:val="2"/>
          </w:tcPr>
          <w:p>
            <w:pPr>
              <w:jc w:val="center"/>
              <w:ind w:right="6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64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4">
              <w:r>
                <w:rPr>
                  <w:rFonts w:ascii="Times New Roman" w:cs="Times New Roman" w:eastAsia="Times New Roman" w:hAnsi="Times New Roman"/>
                  <w:sz w:val="18"/>
                  <w:szCs w:val="18"/>
                  <w:u w:val="single" w:color="auto"/>
                  <w:color w:val="0000FF"/>
                  <w:w w:val="95"/>
                </w:rPr>
                <w:t>99.1</w:t>
              </w:r>
            </w:hyperlink>
          </w:p>
        </w:tc>
        <w:tc>
          <w:tcPr>
            <w:tcW w:w="620" w:type="dxa"/>
            <w:vAlign w:val="bottom"/>
          </w:tcPr>
          <w:p>
            <w:pPr>
              <w:spacing w:after="0"/>
              <w:rPr>
                <w:sz w:val="22"/>
                <w:szCs w:val="22"/>
                <w:color w:val="auto"/>
              </w:rPr>
            </w:pPr>
          </w:p>
        </w:tc>
        <w:tc>
          <w:tcPr>
            <w:tcW w:w="9760" w:type="dxa"/>
            <w:vAlign w:val="bottom"/>
            <w:gridSpan w:val="4"/>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Comcast Corporation press release dated</w:t>
              </w:r>
              <w:r>
                <w:rPr>
                  <w:rFonts w:ascii="Times New Roman" w:cs="Times New Roman" w:eastAsia="Times New Roman" w:hAnsi="Times New Roman"/>
                  <w:sz w:val="18"/>
                  <w:szCs w:val="18"/>
                  <w:color w:val="0000FF"/>
                </w:rPr>
                <w:t xml:space="preserve"> October </w:t>
              </w:r>
            </w:hyperlink>
            <w:r>
              <w:rPr>
                <w:rFonts w:ascii="Times New Roman" w:cs="Times New Roman" w:eastAsia="Times New Roman" w:hAnsi="Times New Roman"/>
                <w:sz w:val="18"/>
                <w:szCs w:val="18"/>
                <w:color w:val="0000FF"/>
              </w:rPr>
              <w:t>29</w:t>
            </w:r>
            <w:hyperlink w:anchor="page4">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2020</w:t>
              </w:r>
              <w:r>
                <w:rPr>
                  <w:rFonts w:ascii="Times New Roman" w:cs="Times New Roman" w:eastAsia="Times New Roman" w:hAnsi="Times New Roman"/>
                  <w:sz w:val="18"/>
                  <w:szCs w:val="18"/>
                  <w:color w:val="0000FF"/>
                </w:rPr>
                <w:t>.</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5"/>
              </w:rPr>
            </w:pPr>
            <w:hyperlink w:anchor="page20">
              <w:r>
                <w:rPr>
                  <w:rFonts w:ascii="Times New Roman" w:cs="Times New Roman" w:eastAsia="Times New Roman" w:hAnsi="Times New Roman"/>
                  <w:sz w:val="18"/>
                  <w:szCs w:val="18"/>
                  <w:u w:val="single" w:color="auto"/>
                  <w:color w:val="0000FF"/>
                  <w:w w:val="95"/>
                </w:rPr>
                <w:t>99.2</w:t>
              </w:r>
            </w:hyperlink>
          </w:p>
        </w:tc>
        <w:tc>
          <w:tcPr>
            <w:tcW w:w="620" w:type="dxa"/>
            <w:vAlign w:val="bottom"/>
          </w:tcPr>
          <w:p>
            <w:pPr>
              <w:spacing w:after="0"/>
              <w:rPr>
                <w:sz w:val="21"/>
                <w:szCs w:val="21"/>
                <w:color w:val="auto"/>
              </w:rPr>
            </w:pPr>
          </w:p>
        </w:tc>
        <w:tc>
          <w:tcPr>
            <w:tcW w:w="9760" w:type="dxa"/>
            <w:vAlign w:val="bottom"/>
            <w:gridSpan w:val="4"/>
          </w:tcPr>
          <w:p>
            <w:pPr>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Explanation of Non-GAAP and Other Financial Measures.</w:t>
              </w:r>
            </w:hyperlink>
          </w:p>
        </w:tc>
        <w:tc>
          <w:tcPr>
            <w:tcW w:w="0" w:type="dxa"/>
            <w:vAlign w:val="bottom"/>
          </w:tcPr>
          <w:p>
            <w:pPr>
              <w:spacing w:after="0"/>
              <w:rPr>
                <w:sz w:val="1"/>
                <w:szCs w:val="1"/>
                <w:color w:val="auto"/>
              </w:rPr>
            </w:pPr>
          </w:p>
        </w:tc>
      </w:tr>
      <w:tr>
        <w:trPr>
          <w:trHeight w:val="234"/>
        </w:trPr>
        <w:tc>
          <w:tcPr>
            <w:tcW w:w="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104</w:t>
            </w:r>
          </w:p>
        </w:tc>
        <w:tc>
          <w:tcPr>
            <w:tcW w:w="6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320" w:right="6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29, 2020</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6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25"/>
        </w:trPr>
        <w:tc>
          <w:tcPr>
            <w:tcW w:w="6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4"/>
        </w:trPr>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20"/>
          </w:cols>
          <w:pgMar w:left="34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234315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3rd QUARTER 2020 RESULTS</w:t>
      </w:r>
    </w:p>
    <w:p>
      <w:pPr>
        <w:spacing w:after="0" w:line="9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PHILADELPHIA - October 29, 2020… Comcast Corporation (NASDAQ: CMCSA) today reported results for the quarter ended September 30, 2020.</w:t>
      </w:r>
    </w:p>
    <w:p>
      <w:pPr>
        <w:spacing w:after="0" w:line="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We are nearly eight months into this pandemic – and despite many harsh realities, I couldn’t be more pleased and proud of how our team</w:t>
      </w:r>
      <w:r>
        <w:rPr>
          <w:rFonts w:ascii="Arial" w:cs="Arial" w:eastAsia="Arial" w:hAnsi="Arial"/>
          <w:sz w:val="18"/>
          <w:szCs w:val="18"/>
          <w:i w:val="1"/>
          <w:iCs w:val="1"/>
          <w:color w:val="auto"/>
        </w:rPr>
        <w:t xml:space="preserve"> </w:t>
      </w:r>
      <w:r>
        <w:rPr>
          <w:rFonts w:ascii="Arial" w:cs="Arial" w:eastAsia="Arial" w:hAnsi="Arial"/>
          <w:sz w:val="18"/>
          <w:szCs w:val="18"/>
          <w:color w:val="auto"/>
        </w:rPr>
        <w:t>has worked together across the company to find safe and creative solutions to successfully operate in this environment. We are executing at the highest level; and perhaps, most importantly, accelerating innovation, which will drive long-term future growth. This third quarter, we delivered the best broadband results in our company’s history. Driven by our industry-leading platform and strategic focus on broadband, aggregation and streaming, we added a record 633,000 high-speed internet customers and 556,000 total net new customer relationships. At the same time, we’re growing our entertainment platforms with the addition of Flex, which has a significant positive impact on broadband churn and customer lifetime value. Our integrated strategy is also driving results in streaming with nearly 22 million sign-ups for Peacock to date, and we are exceeding our expectations on all engagement metrics in only a few months. And Sky continues to add customer relationships at higher prices while reducing churn to all-time lows in our core UK business. Going forward, and as we emerge from the pandemic, we believe we are extremely well positioned to provide seamless and integrated experiences for our customers and to deliver superior long-term growth and returns for our shareholders," commented Brian L. Roberts, Chairman and Chief Executive Officer of Comcast Corporation.</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4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1"/>
                <w:szCs w:val="11"/>
                <w:i w:val="1"/>
                <w:iCs w:val="1"/>
                <w:color w:val="auto"/>
              </w:rPr>
              <w:t>($ in millions, except per share data)</w:t>
            </w:r>
          </w:p>
        </w:tc>
        <w:tc>
          <w:tcPr>
            <w:tcW w:w="58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right w:val="single" w:sz="8" w:color="D9D9D6"/>
            </w:tcBorders>
            <w:shd w:val="clear" w:color="auto" w:fill="D9D9D6"/>
          </w:tcPr>
          <w:p>
            <w:pPr>
              <w:spacing w:after="0"/>
              <w:rPr>
                <w:sz w:val="17"/>
                <w:szCs w:val="17"/>
                <w:color w:val="auto"/>
              </w:rPr>
            </w:pPr>
          </w:p>
        </w:tc>
        <w:tc>
          <w:tcPr>
            <w:tcW w:w="8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46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4480" w:type="dxa"/>
            <w:vAlign w:val="bottom"/>
            <w:vMerge w:val="restart"/>
            <w:shd w:val="clear" w:color="auto" w:fill="D9D9D6"/>
          </w:tcPr>
          <w:p>
            <w:pPr>
              <w:spacing w:after="0"/>
              <w:rPr>
                <w:sz w:val="20"/>
                <w:szCs w:val="20"/>
                <w:color w:val="auto"/>
              </w:rPr>
            </w:pPr>
            <w:r>
              <w:rPr>
                <w:rFonts w:ascii="Arial" w:cs="Arial" w:eastAsia="Arial" w:hAnsi="Arial"/>
                <w:sz w:val="14"/>
                <w:szCs w:val="14"/>
                <w:b w:val="1"/>
                <w:bCs w:val="1"/>
                <w:color w:val="auto"/>
              </w:rPr>
              <w:t>Consolidated Results</w:t>
            </w:r>
          </w:p>
        </w:tc>
        <w:tc>
          <w:tcPr>
            <w:tcW w:w="58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3rd Quarter</w:t>
            </w:r>
          </w:p>
        </w:tc>
        <w:tc>
          <w:tcPr>
            <w:tcW w:w="5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300" w:type="dxa"/>
            <w:vAlign w:val="bottom"/>
            <w:tcBorders>
              <w:right w:val="single" w:sz="8" w:color="828282"/>
            </w:tcBorders>
            <w:shd w:val="clear" w:color="auto" w:fill="D9D9D6"/>
          </w:tcPr>
          <w:p>
            <w:pPr>
              <w:spacing w:after="0"/>
              <w:rPr>
                <w:sz w:val="14"/>
                <w:szCs w:val="14"/>
                <w:color w:val="auto"/>
              </w:rPr>
            </w:pPr>
          </w:p>
        </w:tc>
        <w:tc>
          <w:tcPr>
            <w:tcW w:w="8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220" w:type="dxa"/>
            <w:vAlign w:val="bottom"/>
            <w:gridSpan w:val="4"/>
            <w:shd w:val="clear" w:color="auto" w:fill="D9D9D6"/>
          </w:tcPr>
          <w:p>
            <w:pPr>
              <w:ind w:left="160"/>
              <w:spacing w:after="0"/>
              <w:rPr>
                <w:sz w:val="20"/>
                <w:szCs w:val="20"/>
                <w:color w:val="auto"/>
              </w:rPr>
            </w:pPr>
            <w:r>
              <w:rPr>
                <w:rFonts w:ascii="Arial" w:cs="Arial" w:eastAsia="Arial" w:hAnsi="Arial"/>
                <w:sz w:val="14"/>
                <w:szCs w:val="14"/>
                <w:color w:val="auto"/>
              </w:rPr>
              <w:t>Year to Date</w:t>
            </w:r>
          </w:p>
        </w:tc>
        <w:tc>
          <w:tcPr>
            <w:tcW w:w="32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Borders>
              <w:top w:val="single" w:sz="8" w:color="D9D9D6"/>
            </w:tcBorders>
            <w:shd w:val="clear" w:color="auto" w:fill="D9D9D6"/>
          </w:tcPr>
          <w:p>
            <w:pPr>
              <w:spacing w:after="0"/>
              <w:rPr>
                <w:sz w:val="14"/>
                <w:szCs w:val="14"/>
                <w:color w:val="auto"/>
              </w:rPr>
            </w:pPr>
          </w:p>
        </w:tc>
        <w:tc>
          <w:tcPr>
            <w:tcW w:w="4480" w:type="dxa"/>
            <w:vAlign w:val="bottom"/>
            <w:tcBorders>
              <w:top w:val="single" w:sz="8" w:color="D9D9D6"/>
            </w:tcBorders>
            <w:vMerge w:val="continue"/>
            <w:shd w:val="clear" w:color="auto" w:fill="D9D9D6"/>
          </w:tcPr>
          <w:p>
            <w:pPr>
              <w:spacing w:after="0"/>
              <w:rPr>
                <w:sz w:val="14"/>
                <w:szCs w:val="14"/>
                <w:color w:val="auto"/>
              </w:rPr>
            </w:pPr>
          </w:p>
        </w:tc>
        <w:tc>
          <w:tcPr>
            <w:tcW w:w="580" w:type="dxa"/>
            <w:vAlign w:val="bottom"/>
            <w:tcBorders>
              <w:top w:val="single" w:sz="8" w:color="D9D9D6"/>
            </w:tcBorders>
            <w:shd w:val="clear" w:color="auto" w:fill="D9D9D6"/>
          </w:tcPr>
          <w:p>
            <w:pPr>
              <w:spacing w:after="0"/>
              <w:rPr>
                <w:sz w:val="14"/>
                <w:szCs w:val="14"/>
                <w:color w:val="auto"/>
              </w:rPr>
            </w:pPr>
          </w:p>
        </w:tc>
        <w:tc>
          <w:tcPr>
            <w:tcW w:w="340" w:type="dxa"/>
            <w:vAlign w:val="bottom"/>
            <w:tcBorders>
              <w:top w:val="single" w:sz="8" w:color="D9D9D6"/>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2020</w:t>
            </w:r>
          </w:p>
        </w:tc>
        <w:tc>
          <w:tcPr>
            <w:tcW w:w="180" w:type="dxa"/>
            <w:vAlign w:val="bottom"/>
            <w:tcBorders>
              <w:top w:val="single" w:sz="8" w:color="D9D9D6"/>
            </w:tcBorders>
            <w:shd w:val="clear" w:color="auto" w:fill="D9D9D6"/>
          </w:tcPr>
          <w:p>
            <w:pPr>
              <w:spacing w:after="0"/>
              <w:rPr>
                <w:sz w:val="14"/>
                <w:szCs w:val="14"/>
                <w:color w:val="auto"/>
              </w:rPr>
            </w:pPr>
          </w:p>
        </w:tc>
        <w:tc>
          <w:tcPr>
            <w:tcW w:w="76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580" w:type="dxa"/>
            <w:vAlign w:val="bottom"/>
            <w:tcBorders>
              <w:top w:val="single" w:sz="8" w:color="D9D9D6"/>
            </w:tcBorders>
            <w:shd w:val="clear" w:color="auto" w:fill="D9D9D6"/>
          </w:tcPr>
          <w:p>
            <w:pPr>
              <w:spacing w:after="0"/>
              <w:rPr>
                <w:sz w:val="14"/>
                <w:szCs w:val="14"/>
                <w:color w:val="auto"/>
              </w:rPr>
            </w:pPr>
          </w:p>
        </w:tc>
        <w:tc>
          <w:tcPr>
            <w:tcW w:w="800" w:type="dxa"/>
            <w:vAlign w:val="bottom"/>
            <w:tcBorders>
              <w:top w:val="single" w:sz="8" w:color="D9D9D6"/>
              <w:right w:val="single" w:sz="8" w:color="828282"/>
            </w:tcBorders>
            <w:gridSpan w:val="3"/>
            <w:shd w:val="clear" w:color="auto" w:fill="D9D9D6"/>
          </w:tcPr>
          <w:p>
            <w:pPr>
              <w:spacing w:after="0"/>
              <w:rPr>
                <w:sz w:val="20"/>
                <w:szCs w:val="20"/>
                <w:color w:val="auto"/>
              </w:rPr>
            </w:pPr>
            <w:r>
              <w:rPr>
                <w:rFonts w:ascii="Arial" w:cs="Arial" w:eastAsia="Arial" w:hAnsi="Arial"/>
                <w:sz w:val="14"/>
                <w:szCs w:val="14"/>
                <w:color w:val="auto"/>
              </w:rPr>
              <w:t>Change</w:t>
            </w:r>
          </w:p>
        </w:tc>
        <w:tc>
          <w:tcPr>
            <w:tcW w:w="1140" w:type="dxa"/>
            <w:vAlign w:val="bottom"/>
            <w:tcBorders>
              <w:top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2020</w:t>
            </w:r>
          </w:p>
        </w:tc>
        <w:tc>
          <w:tcPr>
            <w:tcW w:w="160" w:type="dxa"/>
            <w:vAlign w:val="bottom"/>
            <w:tcBorders>
              <w:top w:val="single" w:sz="8" w:color="D9D9D6"/>
            </w:tcBorders>
            <w:shd w:val="clear" w:color="auto" w:fill="D9D9D6"/>
          </w:tcPr>
          <w:p>
            <w:pPr>
              <w:spacing w:after="0"/>
              <w:rPr>
                <w:sz w:val="14"/>
                <w:szCs w:val="14"/>
                <w:color w:val="auto"/>
              </w:rPr>
            </w:pPr>
          </w:p>
        </w:tc>
        <w:tc>
          <w:tcPr>
            <w:tcW w:w="80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260" w:type="dxa"/>
            <w:vAlign w:val="bottom"/>
            <w:tcBorders>
              <w:top w:val="single" w:sz="8" w:color="D9D9D6"/>
            </w:tcBorders>
            <w:shd w:val="clear" w:color="auto" w:fill="D9D9D6"/>
          </w:tcPr>
          <w:p>
            <w:pPr>
              <w:spacing w:after="0"/>
              <w:rPr>
                <w:sz w:val="14"/>
                <w:szCs w:val="14"/>
                <w:color w:val="auto"/>
              </w:rPr>
            </w:pPr>
          </w:p>
        </w:tc>
        <w:tc>
          <w:tcPr>
            <w:tcW w:w="320" w:type="dxa"/>
            <w:vAlign w:val="bottom"/>
            <w:tcBorders>
              <w:top w:val="single" w:sz="8" w:color="D9D9D6"/>
            </w:tcBorders>
            <w:shd w:val="clear" w:color="auto" w:fill="D9D9D6"/>
          </w:tcPr>
          <w:p>
            <w:pPr>
              <w:spacing w:after="0"/>
              <w:rPr>
                <w:sz w:val="14"/>
                <w:szCs w:val="14"/>
                <w:color w:val="auto"/>
              </w:rPr>
            </w:pPr>
          </w:p>
        </w:tc>
        <w:tc>
          <w:tcPr>
            <w:tcW w:w="66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480" w:type="dxa"/>
            <w:vAlign w:val="bottom"/>
            <w:shd w:val="clear" w:color="auto" w:fill="D9D9D6"/>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828282"/>
            </w:tcBorders>
            <w:shd w:val="clear" w:color="auto" w:fill="D9D9D6"/>
          </w:tcPr>
          <w:p>
            <w:pPr>
              <w:spacing w:after="0" w:line="20" w:lineRule="exact"/>
              <w:rPr>
                <w:sz w:val="1"/>
                <w:szCs w:val="1"/>
                <w:color w:val="auto"/>
              </w:rPr>
            </w:pPr>
          </w:p>
        </w:tc>
        <w:tc>
          <w:tcPr>
            <w:tcW w:w="82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shd w:val="clear" w:color="auto" w:fill="D9D9D6"/>
          </w:tcPr>
          <w:p>
            <w:pPr>
              <w:spacing w:after="0"/>
              <w:rPr>
                <w:sz w:val="24"/>
                <w:szCs w:val="24"/>
                <w:color w:val="auto"/>
              </w:rPr>
            </w:pPr>
          </w:p>
        </w:tc>
        <w:tc>
          <w:tcPr>
            <w:tcW w:w="4480" w:type="dxa"/>
            <w:vAlign w:val="bottom"/>
            <w:shd w:val="clear" w:color="auto" w:fill="D9D9D6"/>
          </w:tcPr>
          <w:p>
            <w:pPr>
              <w:spacing w:after="0"/>
              <w:rPr>
                <w:sz w:val="20"/>
                <w:szCs w:val="20"/>
                <w:color w:val="auto"/>
              </w:rPr>
            </w:pPr>
            <w:r>
              <w:rPr>
                <w:rFonts w:ascii="Arial" w:cs="Arial" w:eastAsia="Arial" w:hAnsi="Arial"/>
                <w:sz w:val="14"/>
                <w:szCs w:val="14"/>
                <w:color w:val="auto"/>
              </w:rPr>
              <w:t>Revenue</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$25,532</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$26,827</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(4.8 %)</w:t>
            </w:r>
          </w:p>
        </w:tc>
        <w:tc>
          <w:tcPr>
            <w:tcW w:w="300" w:type="dxa"/>
            <w:vAlign w:val="bottom"/>
            <w:tcBorders>
              <w:right w:val="single" w:sz="8" w:color="828282"/>
            </w:tcBorders>
            <w:shd w:val="clear" w:color="auto" w:fill="D9D9D6"/>
          </w:tcPr>
          <w:p>
            <w:pPr>
              <w:spacing w:after="0"/>
              <w:rPr>
                <w:sz w:val="24"/>
                <w:szCs w:val="24"/>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$75,856</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$80,544</w:t>
            </w:r>
          </w:p>
        </w:tc>
        <w:tc>
          <w:tcPr>
            <w:tcW w:w="260" w:type="dxa"/>
            <w:vAlign w:val="bottom"/>
            <w:shd w:val="clear" w:color="auto" w:fill="D9D9D6"/>
          </w:tcPr>
          <w:p>
            <w:pPr>
              <w:spacing w:after="0"/>
              <w:rPr>
                <w:sz w:val="24"/>
                <w:szCs w:val="24"/>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(5.8 %)</w:t>
            </w:r>
          </w:p>
        </w:tc>
        <w:tc>
          <w:tcPr>
            <w:tcW w:w="16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rPr>
                <w:sz w:val="20"/>
                <w:szCs w:val="20"/>
                <w:color w:val="auto"/>
              </w:rPr>
            </w:pPr>
            <w:r>
              <w:rPr>
                <w:rFonts w:ascii="Arial" w:cs="Arial" w:eastAsia="Arial" w:hAnsi="Arial"/>
                <w:sz w:val="14"/>
                <w:szCs w:val="14"/>
                <w:color w:val="auto"/>
              </w:rPr>
              <w:t>Net Income Attributable to Comcast</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$2,019</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$3,217</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(37.2 %)</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$7,154</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$9,895</w:t>
            </w:r>
          </w:p>
        </w:tc>
        <w:tc>
          <w:tcPr>
            <w:tcW w:w="26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(27.7 %)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line="189"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$3,000</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$3,667</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(18.2 %)</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$9,436</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$10,754</w:t>
            </w:r>
          </w:p>
        </w:tc>
        <w:tc>
          <w:tcPr>
            <w:tcW w:w="26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(12.3 %)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line="189"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$7,583</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$8,553</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(11.3 %)</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$23,640</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$25,822</w:t>
            </w:r>
          </w:p>
        </w:tc>
        <w:tc>
          <w:tcPr>
            <w:tcW w:w="26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(8.5 %)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line="189"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$0.44</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$0.70</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$1.55</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$2.15</w:t>
            </w:r>
          </w:p>
        </w:tc>
        <w:tc>
          <w:tcPr>
            <w:tcW w:w="26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(27.9 %)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line="189"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$0.65</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$0.79</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$2.04</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$2.33</w:t>
            </w:r>
          </w:p>
        </w:tc>
        <w:tc>
          <w:tcPr>
            <w:tcW w:w="26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(12.4 %)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$5,228</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$5,191</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$19,695</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$19,462</w:t>
            </w:r>
          </w:p>
        </w:tc>
        <w:tc>
          <w:tcPr>
            <w:tcW w:w="26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D9D9D6"/>
            </w:tcBorders>
            <w:shd w:val="clear" w:color="auto" w:fill="D9D9D6"/>
          </w:tcPr>
          <w:p>
            <w:pPr>
              <w:spacing w:after="0"/>
              <w:rPr>
                <w:sz w:val="19"/>
                <w:szCs w:val="19"/>
                <w:color w:val="auto"/>
              </w:rPr>
            </w:pPr>
          </w:p>
        </w:tc>
        <w:tc>
          <w:tcPr>
            <w:tcW w:w="4480" w:type="dxa"/>
            <w:vAlign w:val="bottom"/>
            <w:tcBorders>
              <w:bottom w:val="single" w:sz="8" w:color="D9D9D6"/>
            </w:tcBorders>
            <w:shd w:val="clear" w:color="auto" w:fill="D9D9D6"/>
          </w:tcPr>
          <w:p>
            <w:pPr>
              <w:spacing w:after="0" w:line="189"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2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$2,289</w:t>
            </w:r>
          </w:p>
        </w:tc>
        <w:tc>
          <w:tcPr>
            <w:tcW w:w="940" w:type="dxa"/>
            <w:vAlign w:val="bottom"/>
            <w:tcBorders>
              <w:bottom w:val="single" w:sz="8" w:color="D9D9D6"/>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$2,072</w:t>
            </w:r>
          </w:p>
        </w:tc>
        <w:tc>
          <w:tcPr>
            <w:tcW w:w="9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9D9D6"/>
              <w:right w:val="single" w:sz="8" w:color="828282"/>
            </w:tcBorders>
            <w:shd w:val="clear" w:color="auto" w:fill="D9D9D6"/>
          </w:tcPr>
          <w:p>
            <w:pPr>
              <w:spacing w:after="0"/>
              <w:rPr>
                <w:sz w:val="19"/>
                <w:szCs w:val="19"/>
                <w:color w:val="auto"/>
              </w:rPr>
            </w:pPr>
          </w:p>
        </w:tc>
        <w:tc>
          <w:tcPr>
            <w:tcW w:w="114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$11,580</w:t>
            </w:r>
          </w:p>
        </w:tc>
        <w:tc>
          <w:tcPr>
            <w:tcW w:w="96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$10,910</w:t>
            </w:r>
          </w:p>
        </w:tc>
        <w:tc>
          <w:tcPr>
            <w:tcW w:w="260" w:type="dxa"/>
            <w:vAlign w:val="bottom"/>
            <w:tcBorders>
              <w:bottom w:val="single" w:sz="8" w:color="D9D9D6"/>
            </w:tcBorders>
            <w:shd w:val="clear" w:color="auto" w:fill="D9D9D6"/>
          </w:tcPr>
          <w:p>
            <w:pPr>
              <w:spacing w:after="0"/>
              <w:rPr>
                <w:sz w:val="19"/>
                <w:szCs w:val="19"/>
                <w:color w:val="auto"/>
              </w:rPr>
            </w:pPr>
          </w:p>
        </w:tc>
        <w:tc>
          <w:tcPr>
            <w:tcW w:w="82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6.1 %</w:t>
            </w:r>
          </w:p>
        </w:tc>
        <w:tc>
          <w:tcPr>
            <w:tcW w:w="160" w:type="dxa"/>
            <w:vAlign w:val="bottom"/>
            <w:tcBorders>
              <w:bottom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rPr>
          <w:sz w:val="20"/>
          <w:szCs w:val="20"/>
          <w:color w:val="auto"/>
        </w:rPr>
      </w:pPr>
      <w:r>
        <w:rPr>
          <w:rFonts w:ascii="Arial" w:cs="Arial" w:eastAsia="Arial" w:hAnsi="Arial"/>
          <w:sz w:val="18"/>
          <w:szCs w:val="18"/>
          <w:b w:val="1"/>
          <w:bCs w:val="1"/>
          <w:color w:val="auto"/>
        </w:rPr>
        <w:t>3rd Quarter 2020 Highlights:</w:t>
      </w:r>
    </w:p>
    <w:p>
      <w:pPr>
        <w:spacing w:after="0" w:line="6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Consolidated Adjusted EBITDA of $7.6 Billion, Adjusted EPS of $0.65 and Free Cash Flow of $2.3 Billion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Cable Communications Total Customer Relationship Net Additions Were 556,000, the Best Quarterly Result on Record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High-Speed Internet Customer Net Additions Were 633,000, the Best Quarterly Result on Record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Cable Communications Adjusted EBITDA Increased 10.5% Driven by Strength in High-Speed Internet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Peacock Has Nearly 22 Million Sign-Ups to Date Across the U.S. and Recently Secured Distribution on the Roku Platform</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NBCUniversal Reorganized Its Television and Streaming Businesses Under Mark Lazarus and Cesar Conde with a Centralized Structure Optimizing Content Creation, Distribution and Monetization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NBCUniversal Completed a Successful Upfront, with Strong Volume Commitments and Higher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Sky Customer Trends Improved Sequentially, and Included Net Additions in the U.K.</w:t>
      </w:r>
    </w:p>
    <w:p>
      <w:pPr>
        <w:spacing w:after="0" w:line="63"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Premier League Viewership Reached Record Levels on Sky Sports, Including the Highest Average Season Viewership on Record for the 2019/20 Season and the Highest Daily U.K. Viewership on Record for the 2020/21 Season to Date</w:t>
      </w:r>
    </w:p>
    <w:p>
      <w:pPr>
        <w:sectPr>
          <w:pgSz w:w="11900" w:h="16838" w:orient="portrait"/>
          <w:cols w:equalWidth="0" w:num="1">
            <w:col w:w="11240"/>
          </w:cols>
          <w:pgMar w:left="320" w:top="70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6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third quarter of 2020 decreased 4.8% to $25.5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decreased 37.2% to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decreased 18.2% to $3.0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decreased 11.3% to $7.6 billion.</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nine months ended September 30, 2020, revenue decreased 5.8% to $ 75.9 billion compared to 2019. Net income attributable to Comcast decreased 27.7% to $7.2 billion. Adjusted Net Income decreased 12.3% to $9.4 billion. Adjusted EBITDA decreased 8.5% to $23.6 billion.</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2020 was $0.44, a decrease of 37.1% compared to the third quarter of 2019.</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decreased 17.7% to $0.65.</w:t>
      </w:r>
    </w:p>
    <w:p>
      <w:pPr>
        <w:spacing w:after="0" w:line="15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For the nine months ended September 30, 2020, EPS was $1.55, a 27.9% decrease compared to the prior year. Adjusted EPS decreased 12.4% to $2.04.</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4.9% to $2.4 billion in the third quarter of 2020. Cable Communications’ capital expenditures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to $1.8 billion. NBCUniversal’s capital expenditures decreased 29.3% to $357 million. Sky's capital expenditures increased 127.3% to $237 million.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nine months ended September 30, 2020, capital expenditures decreased 7.6% to $6.3 billion compared to 2019. Cable Communications' capital expenditures decreased 5.9% to $4.5 billion. NBCUniversal's capital expenditures decreased 22.5% to $1.1 billion. Sky's capital expenditures increased 20.2% to $649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$5.2 billion in the third quarter of 2020.</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$2.3 billion.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2020, net cash provided by operating activities was $19.7 billion. Free cash flow was $11.6 billion.</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paid during the third quarter of 2020 totaled $1.1 billion. For the nine months ended September 30, 2020, dividends paid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billion.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39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8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6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00" w:type="dxa"/>
            <w:vAlign w:val="bottom"/>
            <w:tcBorders>
              <w:right w:val="single" w:sz="8" w:color="D9D9D6"/>
            </w:tcBorders>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8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66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0" w:type="dxa"/>
            <w:vAlign w:val="bottom"/>
            <w:shd w:val="clear" w:color="auto" w:fill="D9D9D6"/>
          </w:tcPr>
          <w:p>
            <w:pPr>
              <w:spacing w:after="0"/>
              <w:rPr>
                <w:sz w:val="15"/>
                <w:szCs w:val="15"/>
                <w:color w:val="auto"/>
              </w:rPr>
            </w:pPr>
          </w:p>
        </w:tc>
        <w:tc>
          <w:tcPr>
            <w:tcW w:w="3940" w:type="dxa"/>
            <w:vAlign w:val="bottom"/>
            <w:shd w:val="clear" w:color="auto" w:fill="D9D9D6"/>
          </w:tcPr>
          <w:p>
            <w:pPr>
              <w:spacing w:after="0"/>
              <w:rPr>
                <w:sz w:val="15"/>
                <w:szCs w:val="15"/>
                <w:color w:val="auto"/>
              </w:rPr>
            </w:pPr>
          </w:p>
        </w:tc>
        <w:tc>
          <w:tcPr>
            <w:tcW w:w="8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120" w:type="dxa"/>
            <w:vAlign w:val="bottom"/>
            <w:gridSpan w:val="5"/>
            <w:shd w:val="clear" w:color="auto" w:fill="D9D9D6"/>
          </w:tcPr>
          <w:p>
            <w:pPr>
              <w:jc w:val="right"/>
              <w:ind w:right="240"/>
              <w:spacing w:after="0"/>
              <w:rPr>
                <w:sz w:val="20"/>
                <w:szCs w:val="20"/>
                <w:color w:val="auto"/>
              </w:rPr>
            </w:pPr>
            <w:r>
              <w:rPr>
                <w:rFonts w:ascii="Arial" w:cs="Arial" w:eastAsia="Arial" w:hAnsi="Arial"/>
                <w:sz w:val="14"/>
                <w:szCs w:val="14"/>
                <w:color w:val="auto"/>
              </w:rPr>
              <w:t>3rd Quarter</w:t>
            </w:r>
          </w:p>
        </w:tc>
        <w:tc>
          <w:tcPr>
            <w:tcW w:w="5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200" w:type="dxa"/>
            <w:vAlign w:val="bottom"/>
            <w:tcBorders>
              <w:right w:val="single" w:sz="8" w:color="97999B"/>
            </w:tcBorders>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8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100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w w:val="96"/>
              </w:rPr>
              <w:t>Year to Date</w:t>
            </w:r>
          </w:p>
        </w:tc>
        <w:tc>
          <w:tcPr>
            <w:tcW w:w="5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394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00" w:type="dxa"/>
            <w:vAlign w:val="bottom"/>
            <w:tcBorders>
              <w:right w:val="single" w:sz="8" w:color="97999B"/>
            </w:tcBorders>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394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60" w:type="dxa"/>
            <w:vAlign w:val="bottom"/>
            <w:shd w:val="clear" w:color="auto" w:fill="D9D9D6"/>
          </w:tcPr>
          <w:p>
            <w:pPr>
              <w:spacing w:after="0"/>
              <w:rPr>
                <w:sz w:val="14"/>
                <w:szCs w:val="14"/>
                <w:color w:val="auto"/>
              </w:rPr>
            </w:pP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540" w:type="dxa"/>
            <w:vAlign w:val="bottom"/>
            <w:shd w:val="clear" w:color="auto" w:fill="D9D9D6"/>
          </w:tcPr>
          <w:p>
            <w:pPr>
              <w:spacing w:after="0"/>
              <w:rPr>
                <w:sz w:val="14"/>
                <w:szCs w:val="14"/>
                <w:color w:val="auto"/>
              </w:rPr>
            </w:pPr>
          </w:p>
        </w:tc>
        <w:tc>
          <w:tcPr>
            <w:tcW w:w="5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Change</w:t>
            </w:r>
          </w:p>
        </w:tc>
        <w:tc>
          <w:tcPr>
            <w:tcW w:w="200" w:type="dxa"/>
            <w:vAlign w:val="bottom"/>
            <w:tcBorders>
              <w:right w:val="single" w:sz="8" w:color="97999B"/>
            </w:tcBorders>
            <w:shd w:val="clear" w:color="auto" w:fill="D9D9D6"/>
          </w:tcPr>
          <w:p>
            <w:pPr>
              <w:spacing w:after="0"/>
              <w:rPr>
                <w:sz w:val="14"/>
                <w:szCs w:val="14"/>
                <w:color w:val="auto"/>
              </w:rPr>
            </w:pPr>
          </w:p>
        </w:tc>
        <w:tc>
          <w:tcPr>
            <w:tcW w:w="12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520" w:type="dxa"/>
            <w:vAlign w:val="bottom"/>
            <w:shd w:val="clear" w:color="auto" w:fill="D9D9D6"/>
          </w:tcPr>
          <w:p>
            <w:pPr>
              <w:spacing w:after="0"/>
              <w:rPr>
                <w:sz w:val="14"/>
                <w:szCs w:val="14"/>
                <w:color w:val="auto"/>
              </w:rPr>
            </w:pPr>
          </w:p>
        </w:tc>
        <w:tc>
          <w:tcPr>
            <w:tcW w:w="66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3940" w:type="dxa"/>
            <w:vAlign w:val="bottom"/>
            <w:tcBorders>
              <w:top w:val="single" w:sz="8" w:color="D9D9D6"/>
            </w:tcBorders>
            <w:vMerge w:val="continue"/>
            <w:shd w:val="clear" w:color="auto" w:fill="D9D9D6"/>
          </w:tcPr>
          <w:p>
            <w:pPr>
              <w:spacing w:after="0"/>
              <w:rPr>
                <w:sz w:val="17"/>
                <w:szCs w:val="17"/>
                <w:color w:val="auto"/>
              </w:rPr>
            </w:pPr>
          </w:p>
        </w:tc>
        <w:tc>
          <w:tcPr>
            <w:tcW w:w="8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62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00" w:type="dxa"/>
            <w:vAlign w:val="bottom"/>
            <w:tcBorders>
              <w:top w:val="single" w:sz="8" w:color="D9D9D6"/>
              <w:right w:val="single" w:sz="8" w:color="97999B"/>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8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66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High-Speed Internet</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$5,198</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$4,721</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2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$15,199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$13,961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5,421</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5,541</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2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16,468</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16,763</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Voice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876</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963</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2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2,652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2,935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Wireless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400</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326</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1,069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795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34.5 %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Business Services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2,049</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1,971</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6,096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5,795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674</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603</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1,659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1,766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(6.1 %)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39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382</w:t>
            </w:r>
          </w:p>
        </w:tc>
        <w:tc>
          <w:tcPr>
            <w:tcW w:w="112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459</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(17.2</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6"/>
                <w:szCs w:val="16"/>
                <w:color w:val="auto"/>
              </w:rPr>
            </w:pPr>
          </w:p>
        </w:tc>
        <w:tc>
          <w:tcPr>
            <w:tcW w:w="200" w:type="dxa"/>
            <w:vAlign w:val="bottom"/>
            <w:tcBorders>
              <w:bottom w:val="single" w:sz="8" w:color="D9D9D6"/>
              <w:right w:val="single" w:sz="8" w:color="97999B"/>
            </w:tcBorders>
            <w:shd w:val="clear" w:color="auto" w:fill="D9D9D6"/>
          </w:tcPr>
          <w:p>
            <w:pPr>
              <w:spacing w:after="0"/>
              <w:rPr>
                <w:sz w:val="16"/>
                <w:szCs w:val="16"/>
                <w:color w:val="auto"/>
              </w:rPr>
            </w:pPr>
          </w:p>
        </w:tc>
        <w:tc>
          <w:tcPr>
            <w:tcW w:w="140" w:type="dxa"/>
            <w:vAlign w:val="bottom"/>
            <w:tcBorders>
              <w:bottom w:val="single" w:sz="8" w:color="D9D9D6"/>
            </w:tcBorders>
            <w:shd w:val="clear" w:color="auto" w:fill="D9D9D6"/>
          </w:tcPr>
          <w:p>
            <w:pPr>
              <w:spacing w:after="0"/>
              <w:rPr>
                <w:sz w:val="16"/>
                <w:szCs w:val="16"/>
                <w:color w:val="auto"/>
              </w:rPr>
            </w:pP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1,203</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1,299</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(7.5</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3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$15,000</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$14,584</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2.9</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200" w:type="dxa"/>
            <w:vAlign w:val="bottom"/>
            <w:tcBorders>
              <w:right w:val="single" w:sz="8" w:color="97999B"/>
            </w:tcBorders>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$44,346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$43,314</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2.4</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3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$6,411</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$5,801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10.5 %</w:t>
            </w:r>
          </w:p>
        </w:tc>
        <w:tc>
          <w:tcPr>
            <w:tcW w:w="20" w:type="dxa"/>
            <w:vAlign w:val="bottom"/>
            <w:shd w:val="clear" w:color="auto" w:fill="D9D9D6"/>
          </w:tcPr>
          <w:p>
            <w:pPr>
              <w:spacing w:after="0"/>
              <w:rPr>
                <w:sz w:val="24"/>
                <w:szCs w:val="24"/>
                <w:color w:val="auto"/>
              </w:rPr>
            </w:pPr>
          </w:p>
        </w:tc>
        <w:tc>
          <w:tcPr>
            <w:tcW w:w="200" w:type="dxa"/>
            <w:vAlign w:val="bottom"/>
            <w:tcBorders>
              <w:right w:val="single" w:sz="8" w:color="97999B"/>
            </w:tcBorders>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$18,663</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$17,383</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7.4 %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20"/>
              <w:spacing w:after="0"/>
              <w:rPr>
                <w:sz w:val="20"/>
                <w:szCs w:val="20"/>
                <w:color w:val="auto"/>
              </w:rPr>
            </w:pPr>
            <w:r>
              <w:rPr>
                <w:rFonts w:ascii="Arial" w:cs="Arial" w:eastAsia="Arial" w:hAnsi="Arial"/>
                <w:sz w:val="14"/>
                <w:szCs w:val="14"/>
                <w:i w:val="1"/>
                <w:iCs w:val="1"/>
                <w:color w:val="auto"/>
              </w:rPr>
              <w:t>Adjusted EBITDA Margin</w:t>
            </w: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42.7 %</w:t>
            </w:r>
          </w:p>
        </w:tc>
        <w:tc>
          <w:tcPr>
            <w:tcW w:w="20" w:type="dxa"/>
            <w:vAlign w:val="bottom"/>
            <w:shd w:val="clear" w:color="auto" w:fill="D9D9D6"/>
          </w:tcPr>
          <w:p>
            <w:pPr>
              <w:spacing w:after="0"/>
              <w:rPr>
                <w:sz w:val="16"/>
                <w:szCs w:val="16"/>
                <w:color w:val="auto"/>
              </w:rPr>
            </w:pPr>
          </w:p>
        </w:tc>
        <w:tc>
          <w:tcPr>
            <w:tcW w:w="110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39.8 %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42.1 %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40.1 %</w:t>
            </w: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3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$1,770</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$1,814</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(2.5 %)</w:t>
            </w:r>
          </w:p>
        </w:tc>
        <w:tc>
          <w:tcPr>
            <w:tcW w:w="20" w:type="dxa"/>
            <w:vAlign w:val="bottom"/>
            <w:shd w:val="clear" w:color="auto" w:fill="D9D9D6"/>
          </w:tcPr>
          <w:p>
            <w:pPr>
              <w:spacing w:after="0"/>
              <w:rPr>
                <w:sz w:val="24"/>
                <w:szCs w:val="24"/>
                <w:color w:val="auto"/>
              </w:rPr>
            </w:pPr>
          </w:p>
        </w:tc>
        <w:tc>
          <w:tcPr>
            <w:tcW w:w="200" w:type="dxa"/>
            <w:vAlign w:val="bottom"/>
            <w:tcBorders>
              <w:right w:val="single" w:sz="8" w:color="97999B"/>
            </w:tcBorders>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$4,491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$4,771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(5.9 %)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20"/>
              <w:spacing w:after="0"/>
              <w:rPr>
                <w:sz w:val="20"/>
                <w:szCs w:val="20"/>
                <w:color w:val="auto"/>
              </w:rPr>
            </w:pPr>
            <w:r>
              <w:rPr>
                <w:rFonts w:ascii="Arial" w:cs="Arial" w:eastAsia="Arial" w:hAnsi="Arial"/>
                <w:sz w:val="14"/>
                <w:szCs w:val="14"/>
                <w:i w:val="1"/>
                <w:iCs w:val="1"/>
                <w:color w:val="auto"/>
              </w:rPr>
              <w:t>Percent of Cable Communications Revenue</w:t>
            </w: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11.8 %</w:t>
            </w:r>
          </w:p>
        </w:tc>
        <w:tc>
          <w:tcPr>
            <w:tcW w:w="20" w:type="dxa"/>
            <w:vAlign w:val="bottom"/>
            <w:shd w:val="clear" w:color="auto" w:fill="D9D9D6"/>
          </w:tcPr>
          <w:p>
            <w:pPr>
              <w:spacing w:after="0"/>
              <w:rPr>
                <w:sz w:val="16"/>
                <w:szCs w:val="16"/>
                <w:color w:val="auto"/>
              </w:rPr>
            </w:pPr>
          </w:p>
        </w:tc>
        <w:tc>
          <w:tcPr>
            <w:tcW w:w="110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12.4 %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10.1 %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11.0 %</w:t>
            </w: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D9D9D6"/>
          </w:tcPr>
          <w:p>
            <w:pPr>
              <w:spacing w:after="0"/>
              <w:rPr>
                <w:sz w:val="8"/>
                <w:szCs w:val="8"/>
                <w:color w:val="auto"/>
              </w:rPr>
            </w:pPr>
          </w:p>
        </w:tc>
        <w:tc>
          <w:tcPr>
            <w:tcW w:w="394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620" w:type="dxa"/>
            <w:vAlign w:val="bottom"/>
            <w:shd w:val="clear" w:color="auto" w:fill="D9D9D6"/>
          </w:tcPr>
          <w:p>
            <w:pPr>
              <w:spacing w:after="0"/>
              <w:rPr>
                <w:sz w:val="8"/>
                <w:szCs w:val="8"/>
                <w:color w:val="auto"/>
              </w:rPr>
            </w:pPr>
          </w:p>
        </w:tc>
        <w:tc>
          <w:tcPr>
            <w:tcW w:w="100" w:type="dxa"/>
            <w:vAlign w:val="bottom"/>
            <w:shd w:val="clear" w:color="auto" w:fill="D9D9D6"/>
          </w:tcPr>
          <w:p>
            <w:pPr>
              <w:spacing w:after="0"/>
              <w:rPr>
                <w:sz w:val="8"/>
                <w:szCs w:val="8"/>
                <w:color w:val="auto"/>
              </w:rPr>
            </w:pPr>
          </w:p>
        </w:tc>
        <w:tc>
          <w:tcPr>
            <w:tcW w:w="2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200" w:type="dxa"/>
            <w:vAlign w:val="bottom"/>
            <w:tcBorders>
              <w:right w:val="single" w:sz="8" w:color="D9D9D6"/>
            </w:tcBorders>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66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2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2.9% to $15.0 billion in the third quarter of 2020, driven by increases in high-speed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services, wireless and advertising revenue, partially offset by decreases in video, voice and other revenue. These results were negatively impacted by accrued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84" w:right="339" w:bottom="1440" w:gutter="0" w:footer="0" w:header="0"/>
        </w:sectPr>
      </w:pPr>
    </w:p>
    <w:bookmarkStart w:id="5" w:name="page6"/>
    <w:bookmarkEnd w:id="5"/>
    <w:p>
      <w:pPr>
        <w:jc w:val="both"/>
        <w:spacing w:after="0" w:line="235" w:lineRule="auto"/>
        <w:rPr>
          <w:sz w:val="20"/>
          <w:szCs w:val="20"/>
          <w:color w:val="auto"/>
        </w:rPr>
      </w:pPr>
      <w:r>
        <w:rPr>
          <w:rFonts w:ascii="Arial" w:cs="Arial" w:eastAsia="Arial" w:hAnsi="Arial"/>
          <w:sz w:val="18"/>
          <w:szCs w:val="18"/>
          <w:color w:val="auto"/>
        </w:rPr>
        <w:t>customer regional sports network (RSN) fee adjustments related to canceled sporting events as a result of COVID-19. Excluding these adjustments</w:t>
      </w:r>
      <w:r>
        <w:rPr>
          <w:rFonts w:ascii="Arial" w:cs="Arial" w:eastAsia="Arial" w:hAnsi="Arial"/>
          <w:sz w:val="23"/>
          <w:szCs w:val="23"/>
          <w:color w:val="auto"/>
          <w:vertAlign w:val="superscript"/>
        </w:rPr>
        <w:t>5</w:t>
      </w:r>
      <w:r>
        <w:rPr>
          <w:rFonts w:ascii="Arial" w:cs="Arial" w:eastAsia="Arial" w:hAnsi="Arial"/>
          <w:sz w:val="18"/>
          <w:szCs w:val="18"/>
          <w:color w:val="auto"/>
        </w:rPr>
        <w:t>, Cable Communications revenue increased 3.9%. High-speed internet revenue increased 10.1%, due to an increase in the number of residential high-speed internet customers and an increase in average rates. Excluding the impact of accrued RSN fee adjustments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for customers taking bundled services, high-speed internet revenue increased 11.2%. Business services revenue increased 4.0%, reflecting increases in average rates and an increase in the number of customers receiving our services. Wireless revenue increased 22.8%, due to an increase in the number of customer lines. Advertising revenue increased 11.8%, primarily reflecting an increase in political advertising revenue. Excluding political advertising revenue, advertising revenue decreased 6.8%. Video revenue decreased 2.1%, due to a decrease in the number of residential video customers, partially offset by an increase in average rates. Excluding the impact of accrued customer RSN fee adjustments</w:t>
      </w:r>
      <w:r>
        <w:rPr>
          <w:rFonts w:ascii="Arial" w:cs="Arial" w:eastAsia="Arial" w:hAnsi="Arial"/>
          <w:sz w:val="23"/>
          <w:szCs w:val="23"/>
          <w:color w:val="auto"/>
          <w:vertAlign w:val="superscript"/>
        </w:rPr>
        <w:t>5</w:t>
      </w:r>
      <w:r>
        <w:rPr>
          <w:rFonts w:ascii="Arial" w:cs="Arial" w:eastAsia="Arial" w:hAnsi="Arial"/>
          <w:sz w:val="18"/>
          <w:szCs w:val="18"/>
          <w:color w:val="auto"/>
        </w:rPr>
        <w:t>, video revenue decreased 0.8%. Voice revenue decreased 9.0%, reflecting decreases in average rates and in the number of residential voice customers. Other revenue decreased 17.2%, primarily reflecting lower revenue due to waived late fees and a decline in revenue from our security and automation services.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September 30, 2020, Cable revenue increased 2.4% to $44.3 billion compared to 2019, driven by growth in high-speed internet, business services and wireless revenue, partially offset by a decrease in video, voice, advertising and other revenue. These results were negatively impacted by COVID-19, including accrued customer RSN fee adjustments, reduced advertising revenue and lower revenue due to our efforts to assist customers during this public health crisis. Excluding the impact of accrued customer RSN fee adjustments</w:t>
      </w:r>
      <w:r>
        <w:rPr>
          <w:rFonts w:ascii="Arial" w:cs="Arial" w:eastAsia="Arial" w:hAnsi="Arial"/>
          <w:sz w:val="23"/>
          <w:szCs w:val="23"/>
          <w:color w:val="auto"/>
          <w:vertAlign w:val="superscript"/>
        </w:rPr>
        <w:t>5</w:t>
      </w:r>
      <w:r>
        <w:rPr>
          <w:rFonts w:ascii="Arial" w:cs="Arial" w:eastAsia="Arial" w:hAnsi="Arial"/>
          <w:sz w:val="18"/>
          <w:szCs w:val="18"/>
          <w:color w:val="auto"/>
        </w:rPr>
        <w:t>, Cable Communications revenue increased 3.2%.</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556,000 to 32.7 million in the third quarter of 2020.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539,000 and business customer relationships increased by 17,000. Total high-speed internet customer net additions were 633,000, total video customer net losses were 273,000 and total voice customer net losses were 3,000. In addition, Cable Communications added 187,000 wireless lines in the quarter.</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59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62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62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9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0" w:type="dxa"/>
            <w:vAlign w:val="bottom"/>
            <w:shd w:val="clear" w:color="auto" w:fill="D9D9D6"/>
          </w:tcPr>
          <w:p>
            <w:pPr>
              <w:spacing w:after="0"/>
              <w:rPr>
                <w:sz w:val="15"/>
                <w:szCs w:val="15"/>
                <w:color w:val="auto"/>
              </w:rPr>
            </w:pPr>
          </w:p>
        </w:tc>
        <w:tc>
          <w:tcPr>
            <w:tcW w:w="5980" w:type="dxa"/>
            <w:vAlign w:val="bottom"/>
            <w:shd w:val="clear" w:color="auto" w:fill="D9D9D6"/>
          </w:tcPr>
          <w:p>
            <w:pPr>
              <w:spacing w:after="0"/>
              <w:rPr>
                <w:sz w:val="15"/>
                <w:szCs w:val="15"/>
                <w:color w:val="auto"/>
              </w:rPr>
            </w:pPr>
          </w:p>
        </w:tc>
        <w:tc>
          <w:tcPr>
            <w:tcW w:w="62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62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920" w:type="dxa"/>
            <w:vAlign w:val="bottom"/>
            <w:shd w:val="clear" w:color="auto" w:fill="D9D9D6"/>
          </w:tcPr>
          <w:p>
            <w:pPr>
              <w:spacing w:after="0"/>
              <w:rPr>
                <w:sz w:val="15"/>
                <w:szCs w:val="15"/>
                <w:color w:val="auto"/>
              </w:rPr>
            </w:pPr>
          </w:p>
        </w:tc>
        <w:tc>
          <w:tcPr>
            <w:tcW w:w="1540" w:type="dxa"/>
            <w:vAlign w:val="bottom"/>
            <w:gridSpan w:val="5"/>
            <w:shd w:val="clear" w:color="auto" w:fill="D9D9D6"/>
          </w:tcPr>
          <w:p>
            <w:pPr>
              <w:ind w:left="580"/>
              <w:spacing w:after="0"/>
              <w:rPr>
                <w:sz w:val="20"/>
                <w:szCs w:val="20"/>
                <w:color w:val="auto"/>
              </w:rPr>
            </w:pPr>
            <w:r>
              <w:rPr>
                <w:rFonts w:ascii="Arial" w:cs="Arial" w:eastAsia="Arial" w:hAnsi="Arial"/>
                <w:sz w:val="14"/>
                <w:szCs w:val="14"/>
                <w:color w:val="auto"/>
              </w:rPr>
              <w:t>Net Additions</w:t>
            </w:r>
          </w:p>
        </w:tc>
        <w:tc>
          <w:tcPr>
            <w:tcW w:w="100" w:type="dxa"/>
            <w:vAlign w:val="bottom"/>
            <w:shd w:val="clear" w:color="auto" w:fill="D9D9D6"/>
          </w:tcPr>
          <w:p>
            <w:pPr>
              <w:spacing w:after="0"/>
              <w:rPr>
                <w:sz w:val="15"/>
                <w:szCs w:val="15"/>
                <w:color w:val="auto"/>
              </w:rPr>
            </w:pPr>
          </w:p>
        </w:tc>
        <w:tc>
          <w:tcPr>
            <w:tcW w:w="34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top w:val="single" w:sz="8" w:color="D9D9D6"/>
            </w:tcBorders>
            <w:shd w:val="clear" w:color="auto" w:fill="D9D9D6"/>
          </w:tcPr>
          <w:p>
            <w:pPr>
              <w:spacing w:after="0"/>
              <w:rPr>
                <w:sz w:val="14"/>
                <w:szCs w:val="14"/>
                <w:color w:val="auto"/>
              </w:rPr>
            </w:pPr>
          </w:p>
        </w:tc>
        <w:tc>
          <w:tcPr>
            <w:tcW w:w="5980" w:type="dxa"/>
            <w:vAlign w:val="bottom"/>
            <w:tcBorders>
              <w:top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620" w:type="dxa"/>
            <w:vAlign w:val="bottom"/>
            <w:tcBorders>
              <w:top w:val="single" w:sz="8" w:color="D9D9D6"/>
            </w:tcBorders>
            <w:shd w:val="clear" w:color="auto" w:fill="D9D9D6"/>
          </w:tcPr>
          <w:p>
            <w:pPr>
              <w:spacing w:after="0"/>
              <w:rPr>
                <w:sz w:val="14"/>
                <w:szCs w:val="14"/>
                <w:color w:val="auto"/>
              </w:rPr>
            </w:pPr>
          </w:p>
        </w:tc>
        <w:tc>
          <w:tcPr>
            <w:tcW w:w="38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3Q20</w:t>
            </w:r>
          </w:p>
        </w:tc>
        <w:tc>
          <w:tcPr>
            <w:tcW w:w="620" w:type="dxa"/>
            <w:vAlign w:val="bottom"/>
            <w:tcBorders>
              <w:top w:val="single" w:sz="8" w:color="D9D9D6"/>
            </w:tcBorders>
            <w:shd w:val="clear" w:color="auto" w:fill="D9D9D6"/>
          </w:tcPr>
          <w:p>
            <w:pPr>
              <w:spacing w:after="0"/>
              <w:rPr>
                <w:sz w:val="14"/>
                <w:szCs w:val="14"/>
                <w:color w:val="auto"/>
              </w:rPr>
            </w:pPr>
          </w:p>
        </w:tc>
        <w:tc>
          <w:tcPr>
            <w:tcW w:w="38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3Q19</w:t>
            </w:r>
          </w:p>
        </w:tc>
        <w:tc>
          <w:tcPr>
            <w:tcW w:w="920" w:type="dxa"/>
            <w:vAlign w:val="bottom"/>
            <w:tcBorders>
              <w:top w:val="single" w:sz="8" w:color="D9D9D6"/>
            </w:tcBorders>
            <w:shd w:val="clear" w:color="auto" w:fill="D9D9D6"/>
          </w:tcPr>
          <w:p>
            <w:pPr>
              <w:spacing w:after="0"/>
              <w:rPr>
                <w:sz w:val="14"/>
                <w:szCs w:val="14"/>
                <w:color w:val="auto"/>
              </w:rPr>
            </w:pPr>
          </w:p>
        </w:tc>
        <w:tc>
          <w:tcPr>
            <w:tcW w:w="580" w:type="dxa"/>
            <w:vAlign w:val="bottom"/>
            <w:tcBorders>
              <w:top w:val="single" w:sz="8" w:color="D9D9D6"/>
            </w:tcBorders>
            <w:shd w:val="clear" w:color="auto" w:fill="D9D9D6"/>
          </w:tcPr>
          <w:p>
            <w:pPr>
              <w:spacing w:after="0"/>
              <w:rPr>
                <w:sz w:val="14"/>
                <w:szCs w:val="14"/>
                <w:color w:val="auto"/>
              </w:rPr>
            </w:pPr>
          </w:p>
        </w:tc>
        <w:tc>
          <w:tcPr>
            <w:tcW w:w="860" w:type="dxa"/>
            <w:vAlign w:val="bottom"/>
            <w:tcBorders>
              <w:top w:val="single" w:sz="8" w:color="auto"/>
            </w:tcBorders>
            <w:gridSpan w:val="3"/>
            <w:shd w:val="clear" w:color="auto" w:fill="D9D9D6"/>
          </w:tcPr>
          <w:p>
            <w:pPr>
              <w:ind w:left="60"/>
              <w:spacing w:after="0"/>
              <w:rPr>
                <w:sz w:val="20"/>
                <w:szCs w:val="20"/>
                <w:color w:val="auto"/>
              </w:rPr>
            </w:pPr>
            <w:r>
              <w:rPr>
                <w:rFonts w:ascii="Arial" w:cs="Arial" w:eastAsia="Arial" w:hAnsi="Arial"/>
                <w:sz w:val="14"/>
                <w:szCs w:val="14"/>
                <w:color w:val="auto"/>
              </w:rPr>
              <w:t>3Q20</w:t>
            </w:r>
          </w:p>
        </w:tc>
        <w:tc>
          <w:tcPr>
            <w:tcW w:w="100" w:type="dxa"/>
            <w:vAlign w:val="bottom"/>
            <w:tcBorders>
              <w:top w:val="single" w:sz="8" w:color="D9D9D6"/>
            </w:tcBorders>
            <w:shd w:val="clear" w:color="auto" w:fill="D9D9D6"/>
          </w:tcPr>
          <w:p>
            <w:pPr>
              <w:spacing w:after="0"/>
              <w:rPr>
                <w:sz w:val="14"/>
                <w:szCs w:val="14"/>
                <w:color w:val="auto"/>
              </w:rPr>
            </w:pPr>
          </w:p>
        </w:tc>
        <w:tc>
          <w:tcPr>
            <w:tcW w:w="580" w:type="dxa"/>
            <w:vAlign w:val="bottom"/>
            <w:tcBorders>
              <w:top w:val="single" w:sz="8" w:color="D9D9D6"/>
            </w:tcBorders>
            <w:gridSpan w:val="4"/>
            <w:shd w:val="clear" w:color="auto" w:fill="D9D9D6"/>
          </w:tcPr>
          <w:p>
            <w:pPr>
              <w:ind w:left="100"/>
              <w:spacing w:after="0"/>
              <w:rPr>
                <w:sz w:val="20"/>
                <w:szCs w:val="20"/>
                <w:color w:val="auto"/>
              </w:rPr>
            </w:pPr>
            <w:r>
              <w:rPr>
                <w:rFonts w:ascii="Arial" w:cs="Arial" w:eastAsia="Arial" w:hAnsi="Arial"/>
                <w:sz w:val="14"/>
                <w:szCs w:val="14"/>
                <w:color w:val="auto"/>
              </w:rPr>
              <w:t>3Q19</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5980" w:type="dxa"/>
            <w:vAlign w:val="bottom"/>
            <w:tcBorders>
              <w:top w:val="single" w:sz="8" w:color="D9D9D6"/>
            </w:tcBorders>
            <w:vMerge w:val="continue"/>
            <w:shd w:val="clear" w:color="auto" w:fill="D9D9D6"/>
          </w:tcPr>
          <w:p>
            <w:pPr>
              <w:spacing w:after="0"/>
              <w:rPr>
                <w:sz w:val="17"/>
                <w:szCs w:val="17"/>
                <w:color w:val="auto"/>
              </w:rPr>
            </w:pPr>
          </w:p>
        </w:tc>
        <w:tc>
          <w:tcPr>
            <w:tcW w:w="6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6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920" w:type="dxa"/>
            <w:vAlign w:val="bottom"/>
            <w:tcBorders>
              <w:top w:val="single" w:sz="8" w:color="D9D9D6"/>
            </w:tcBorders>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59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Residential Customer Relationships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30,289</w:t>
            </w:r>
          </w:p>
        </w:tc>
        <w:tc>
          <w:tcPr>
            <w:tcW w:w="20" w:type="dxa"/>
            <w:vAlign w:val="bottom"/>
            <w:shd w:val="clear" w:color="auto" w:fill="D9D9D6"/>
          </w:tcPr>
          <w:p>
            <w:pPr>
              <w:spacing w:after="0"/>
              <w:rPr>
                <w:sz w:val="16"/>
                <w:szCs w:val="16"/>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28,797</w:t>
            </w:r>
          </w:p>
        </w:tc>
        <w:tc>
          <w:tcPr>
            <w:tcW w:w="20" w:type="dxa"/>
            <w:vAlign w:val="bottom"/>
            <w:shd w:val="clear" w:color="auto" w:fill="D9D9D6"/>
          </w:tcPr>
          <w:p>
            <w:pPr>
              <w:spacing w:after="0"/>
              <w:rPr>
                <w:sz w:val="16"/>
                <w:szCs w:val="16"/>
                <w:color w:val="auto"/>
              </w:rPr>
            </w:pPr>
          </w:p>
        </w:tc>
        <w:tc>
          <w:tcPr>
            <w:tcW w:w="190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539</w:t>
            </w:r>
          </w:p>
        </w:tc>
        <w:tc>
          <w:tcPr>
            <w:tcW w:w="46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288</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59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Business Services Customer Relationships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2,401</w:t>
            </w:r>
          </w:p>
        </w:tc>
        <w:tc>
          <w:tcPr>
            <w:tcW w:w="20" w:type="dxa"/>
            <w:vAlign w:val="bottom"/>
            <w:shd w:val="clear" w:color="auto" w:fill="D9D9D6"/>
          </w:tcPr>
          <w:p>
            <w:pPr>
              <w:spacing w:after="0"/>
              <w:rPr>
                <w:sz w:val="16"/>
                <w:szCs w:val="16"/>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2,377</w:t>
            </w:r>
          </w:p>
        </w:tc>
        <w:tc>
          <w:tcPr>
            <w:tcW w:w="20" w:type="dxa"/>
            <w:vAlign w:val="bottom"/>
            <w:shd w:val="clear" w:color="auto" w:fill="D9D9D6"/>
          </w:tcPr>
          <w:p>
            <w:pPr>
              <w:spacing w:after="0"/>
              <w:rPr>
                <w:sz w:val="16"/>
                <w:szCs w:val="16"/>
                <w:color w:val="auto"/>
              </w:rPr>
            </w:pPr>
          </w:p>
        </w:tc>
        <w:tc>
          <w:tcPr>
            <w:tcW w:w="190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17</w:t>
            </w:r>
          </w:p>
        </w:tc>
        <w:tc>
          <w:tcPr>
            <w:tcW w:w="46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21</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59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32,690</w:t>
            </w:r>
          </w:p>
        </w:tc>
        <w:tc>
          <w:tcPr>
            <w:tcW w:w="20" w:type="dxa"/>
            <w:vAlign w:val="bottom"/>
            <w:tcBorders>
              <w:top w:val="single" w:sz="8" w:color="auto"/>
            </w:tcBorders>
            <w:shd w:val="clear" w:color="auto" w:fill="D9D9D6"/>
          </w:tcPr>
          <w:p>
            <w:pPr>
              <w:spacing w:after="0"/>
              <w:rPr>
                <w:sz w:val="15"/>
                <w:szCs w:val="15"/>
                <w:color w:val="auto"/>
              </w:rPr>
            </w:pPr>
          </w:p>
        </w:tc>
        <w:tc>
          <w:tcPr>
            <w:tcW w:w="98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31,173</w:t>
            </w:r>
          </w:p>
        </w:tc>
        <w:tc>
          <w:tcPr>
            <w:tcW w:w="20" w:type="dxa"/>
            <w:vAlign w:val="bottom"/>
            <w:tcBorders>
              <w:top w:val="single" w:sz="8" w:color="auto"/>
            </w:tcBorders>
            <w:shd w:val="clear" w:color="auto" w:fill="D9D9D6"/>
          </w:tcPr>
          <w:p>
            <w:pPr>
              <w:spacing w:after="0"/>
              <w:rPr>
                <w:sz w:val="15"/>
                <w:szCs w:val="15"/>
                <w:color w:val="auto"/>
              </w:rPr>
            </w:pPr>
          </w:p>
        </w:tc>
        <w:tc>
          <w:tcPr>
            <w:tcW w:w="920" w:type="dxa"/>
            <w:vAlign w:val="bottom"/>
            <w:tcBorders>
              <w:top w:val="single" w:sz="8" w:color="D9D9D6"/>
            </w:tcBorders>
            <w:shd w:val="clear" w:color="auto" w:fill="D9D9D6"/>
          </w:tcPr>
          <w:p>
            <w:pPr>
              <w:spacing w:after="0"/>
              <w:rPr>
                <w:sz w:val="15"/>
                <w:szCs w:val="15"/>
                <w:color w:val="auto"/>
              </w:rPr>
            </w:pPr>
          </w:p>
        </w:tc>
        <w:tc>
          <w:tcPr>
            <w:tcW w:w="980" w:type="dxa"/>
            <w:vAlign w:val="bottom"/>
            <w:tcBorders>
              <w:top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556</w:t>
            </w:r>
          </w:p>
        </w:tc>
        <w:tc>
          <w:tcPr>
            <w:tcW w:w="460" w:type="dxa"/>
            <w:vAlign w:val="bottom"/>
            <w:tcBorders>
              <w:top w:val="single" w:sz="8" w:color="auto"/>
            </w:tcBorders>
            <w:shd w:val="clear" w:color="auto" w:fill="D9D9D6"/>
          </w:tcPr>
          <w:p>
            <w:pPr>
              <w:spacing w:after="0"/>
              <w:rPr>
                <w:sz w:val="15"/>
                <w:szCs w:val="15"/>
                <w:color w:val="auto"/>
              </w:rPr>
            </w:pPr>
          </w:p>
        </w:tc>
        <w:tc>
          <w:tcPr>
            <w:tcW w:w="100" w:type="dxa"/>
            <w:vAlign w:val="bottom"/>
            <w:tcBorders>
              <w:top w:val="single" w:sz="8" w:color="auto"/>
            </w:tcBorders>
            <w:shd w:val="clear" w:color="auto" w:fill="D9D9D6"/>
          </w:tcPr>
          <w:p>
            <w:pPr>
              <w:spacing w:after="0"/>
              <w:rPr>
                <w:sz w:val="15"/>
                <w:szCs w:val="15"/>
                <w:color w:val="auto"/>
              </w:rPr>
            </w:pPr>
          </w:p>
        </w:tc>
        <w:tc>
          <w:tcPr>
            <w:tcW w:w="440" w:type="dxa"/>
            <w:vAlign w:val="bottom"/>
            <w:tcBorders>
              <w:top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309</w:t>
            </w:r>
          </w:p>
        </w:tc>
        <w:tc>
          <w:tcPr>
            <w:tcW w:w="20" w:type="dxa"/>
            <w:vAlign w:val="bottom"/>
            <w:tcBorders>
              <w:top w:val="single" w:sz="8" w:color="auto"/>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5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6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92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59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One Product Residential Customers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11,957</w:t>
            </w:r>
          </w:p>
        </w:tc>
        <w:tc>
          <w:tcPr>
            <w:tcW w:w="20" w:type="dxa"/>
            <w:vAlign w:val="bottom"/>
            <w:shd w:val="clear" w:color="auto" w:fill="D9D9D6"/>
          </w:tcPr>
          <w:p>
            <w:pPr>
              <w:spacing w:after="0"/>
              <w:rPr>
                <w:sz w:val="16"/>
                <w:szCs w:val="16"/>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9,905</w:t>
            </w:r>
          </w:p>
        </w:tc>
        <w:tc>
          <w:tcPr>
            <w:tcW w:w="20" w:type="dxa"/>
            <w:vAlign w:val="bottom"/>
            <w:shd w:val="clear" w:color="auto" w:fill="D9D9D6"/>
          </w:tcPr>
          <w:p>
            <w:pPr>
              <w:spacing w:after="0"/>
              <w:rPr>
                <w:sz w:val="16"/>
                <w:szCs w:val="16"/>
                <w:color w:val="auto"/>
              </w:rPr>
            </w:pPr>
          </w:p>
        </w:tc>
        <w:tc>
          <w:tcPr>
            <w:tcW w:w="920" w:type="dxa"/>
            <w:vAlign w:val="bottom"/>
            <w:shd w:val="clear" w:color="auto" w:fill="D9D9D6"/>
          </w:tcPr>
          <w:p>
            <w:pPr>
              <w:spacing w:after="0"/>
              <w:rPr>
                <w:sz w:val="16"/>
                <w:szCs w:val="16"/>
                <w:color w:val="auto"/>
              </w:rPr>
            </w:pPr>
          </w:p>
        </w:tc>
        <w:tc>
          <w:tcPr>
            <w:tcW w:w="9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625</w:t>
            </w:r>
          </w:p>
        </w:tc>
        <w:tc>
          <w:tcPr>
            <w:tcW w:w="46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379</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59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Two Product Residential Customers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8,732</w:t>
            </w:r>
          </w:p>
        </w:tc>
        <w:tc>
          <w:tcPr>
            <w:tcW w:w="20" w:type="dxa"/>
            <w:vAlign w:val="bottom"/>
            <w:shd w:val="clear" w:color="auto" w:fill="D9D9D6"/>
          </w:tcPr>
          <w:p>
            <w:pPr>
              <w:spacing w:after="0"/>
              <w:rPr>
                <w:sz w:val="16"/>
                <w:szCs w:val="16"/>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8,915</w:t>
            </w:r>
          </w:p>
        </w:tc>
        <w:tc>
          <w:tcPr>
            <w:tcW w:w="20" w:type="dxa"/>
            <w:vAlign w:val="bottom"/>
            <w:shd w:val="clear" w:color="auto" w:fill="D9D9D6"/>
          </w:tcPr>
          <w:p>
            <w:pPr>
              <w:spacing w:after="0"/>
              <w:rPr>
                <w:sz w:val="16"/>
                <w:szCs w:val="16"/>
                <w:color w:val="auto"/>
              </w:rPr>
            </w:pPr>
          </w:p>
        </w:tc>
        <w:tc>
          <w:tcPr>
            <w:tcW w:w="920" w:type="dxa"/>
            <w:vAlign w:val="bottom"/>
            <w:shd w:val="clear" w:color="auto" w:fill="D9D9D6"/>
          </w:tcPr>
          <w:p>
            <w:pPr>
              <w:spacing w:after="0"/>
              <w:rPr>
                <w:sz w:val="16"/>
                <w:szCs w:val="16"/>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w:t>
            </w:r>
          </w:p>
        </w:tc>
        <w:tc>
          <w:tcPr>
            <w:tcW w:w="46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59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Three or More Product Residential Customers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9,600</w:t>
            </w:r>
          </w:p>
        </w:tc>
        <w:tc>
          <w:tcPr>
            <w:tcW w:w="20" w:type="dxa"/>
            <w:vAlign w:val="bottom"/>
            <w:shd w:val="clear" w:color="auto" w:fill="D9D9D6"/>
          </w:tcPr>
          <w:p>
            <w:pPr>
              <w:spacing w:after="0"/>
              <w:rPr>
                <w:sz w:val="16"/>
                <w:szCs w:val="16"/>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9,977</w:t>
            </w:r>
          </w:p>
        </w:tc>
        <w:tc>
          <w:tcPr>
            <w:tcW w:w="20" w:type="dxa"/>
            <w:vAlign w:val="bottom"/>
            <w:shd w:val="clear" w:color="auto" w:fill="D9D9D6"/>
          </w:tcPr>
          <w:p>
            <w:pPr>
              <w:spacing w:after="0"/>
              <w:rPr>
                <w:sz w:val="16"/>
                <w:szCs w:val="16"/>
                <w:color w:val="auto"/>
              </w:rPr>
            </w:pPr>
          </w:p>
        </w:tc>
        <w:tc>
          <w:tcPr>
            <w:tcW w:w="920" w:type="dxa"/>
            <w:vAlign w:val="bottom"/>
            <w:shd w:val="clear" w:color="auto" w:fill="D9D9D6"/>
          </w:tcPr>
          <w:p>
            <w:pPr>
              <w:spacing w:after="0"/>
              <w:rPr>
                <w:sz w:val="16"/>
                <w:szCs w:val="16"/>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(77)</w:t>
            </w:r>
          </w:p>
        </w:tc>
        <w:tc>
          <w:tcPr>
            <w:tcW w:w="46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(53)</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59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Residential High-Speed Internet Customers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27,837</w:t>
            </w:r>
          </w:p>
        </w:tc>
        <w:tc>
          <w:tcPr>
            <w:tcW w:w="20" w:type="dxa"/>
            <w:vAlign w:val="bottom"/>
            <w:shd w:val="clear" w:color="auto" w:fill="D9D9D6"/>
          </w:tcPr>
          <w:p>
            <w:pPr>
              <w:spacing w:after="0"/>
              <w:rPr>
                <w:sz w:val="24"/>
                <w:szCs w:val="24"/>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25,990</w:t>
            </w:r>
          </w:p>
        </w:tc>
        <w:tc>
          <w:tcPr>
            <w:tcW w:w="20" w:type="dxa"/>
            <w:vAlign w:val="bottom"/>
            <w:shd w:val="clear" w:color="auto" w:fill="D9D9D6"/>
          </w:tcPr>
          <w:p>
            <w:pPr>
              <w:spacing w:after="0"/>
              <w:rPr>
                <w:sz w:val="24"/>
                <w:szCs w:val="24"/>
                <w:color w:val="auto"/>
              </w:rPr>
            </w:pPr>
          </w:p>
        </w:tc>
        <w:tc>
          <w:tcPr>
            <w:tcW w:w="9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617</w:t>
            </w:r>
          </w:p>
        </w:tc>
        <w:tc>
          <w:tcPr>
            <w:tcW w:w="4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359</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59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Business Services High-Speed Internet Customers</w:t>
            </w:r>
          </w:p>
        </w:tc>
        <w:tc>
          <w:tcPr>
            <w:tcW w:w="9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2,225</w:t>
            </w:r>
          </w:p>
        </w:tc>
        <w:tc>
          <w:tcPr>
            <w:tcW w:w="20" w:type="dxa"/>
            <w:vAlign w:val="bottom"/>
            <w:tcBorders>
              <w:bottom w:val="single" w:sz="8" w:color="auto"/>
            </w:tcBorders>
            <w:shd w:val="clear" w:color="auto" w:fill="D9D9D6"/>
          </w:tcPr>
          <w:p>
            <w:pPr>
              <w:spacing w:after="0"/>
              <w:rPr>
                <w:sz w:val="16"/>
                <w:szCs w:val="16"/>
                <w:color w:val="auto"/>
              </w:rPr>
            </w:pPr>
          </w:p>
        </w:tc>
        <w:tc>
          <w:tcPr>
            <w:tcW w:w="9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2,197</w:t>
            </w:r>
          </w:p>
        </w:tc>
        <w:tc>
          <w:tcPr>
            <w:tcW w:w="20" w:type="dxa"/>
            <w:vAlign w:val="bottom"/>
            <w:tcBorders>
              <w:bottom w:val="single" w:sz="8" w:color="auto"/>
            </w:tcBorders>
            <w:shd w:val="clear" w:color="auto" w:fill="D9D9D6"/>
          </w:tcPr>
          <w:p>
            <w:pPr>
              <w:spacing w:after="0"/>
              <w:rPr>
                <w:sz w:val="16"/>
                <w:szCs w:val="16"/>
                <w:color w:val="auto"/>
              </w:rPr>
            </w:pPr>
          </w:p>
        </w:tc>
        <w:tc>
          <w:tcPr>
            <w:tcW w:w="920" w:type="dxa"/>
            <w:vAlign w:val="bottom"/>
            <w:tcBorders>
              <w:bottom w:val="single" w:sz="8" w:color="D9D9D6"/>
            </w:tcBorders>
            <w:shd w:val="clear" w:color="auto" w:fill="D9D9D6"/>
          </w:tcPr>
          <w:p>
            <w:pPr>
              <w:spacing w:after="0"/>
              <w:rPr>
                <w:sz w:val="16"/>
                <w:szCs w:val="16"/>
                <w:color w:val="auto"/>
              </w:rPr>
            </w:pPr>
          </w:p>
        </w:tc>
        <w:tc>
          <w:tcPr>
            <w:tcW w:w="9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16</w:t>
            </w:r>
          </w:p>
        </w:tc>
        <w:tc>
          <w:tcPr>
            <w:tcW w:w="460" w:type="dxa"/>
            <w:vAlign w:val="bottom"/>
            <w:tcBorders>
              <w:bottom w:val="single" w:sz="8" w:color="auto"/>
            </w:tcBorders>
            <w:shd w:val="clear" w:color="auto" w:fill="D9D9D6"/>
          </w:tcPr>
          <w:p>
            <w:pPr>
              <w:spacing w:after="0"/>
              <w:rPr>
                <w:sz w:val="16"/>
                <w:szCs w:val="16"/>
                <w:color w:val="auto"/>
              </w:rPr>
            </w:pPr>
          </w:p>
        </w:tc>
        <w:tc>
          <w:tcPr>
            <w:tcW w:w="100" w:type="dxa"/>
            <w:vAlign w:val="bottom"/>
            <w:tcBorders>
              <w:bottom w:val="single" w:sz="8" w:color="auto"/>
            </w:tcBorders>
            <w:shd w:val="clear" w:color="auto" w:fill="D9D9D6"/>
          </w:tcPr>
          <w:p>
            <w:pPr>
              <w:spacing w:after="0"/>
              <w:rPr>
                <w:sz w:val="16"/>
                <w:szCs w:val="16"/>
                <w:color w:val="auto"/>
              </w:rPr>
            </w:pPr>
          </w:p>
        </w:tc>
        <w:tc>
          <w:tcPr>
            <w:tcW w:w="4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5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High-Speed Internet Customers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30,062</w:t>
            </w:r>
          </w:p>
        </w:tc>
        <w:tc>
          <w:tcPr>
            <w:tcW w:w="20" w:type="dxa"/>
            <w:vAlign w:val="bottom"/>
            <w:shd w:val="clear" w:color="auto" w:fill="D9D9D6"/>
          </w:tcPr>
          <w:p>
            <w:pPr>
              <w:spacing w:after="0"/>
              <w:rPr>
                <w:sz w:val="15"/>
                <w:szCs w:val="15"/>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28,186</w:t>
            </w:r>
          </w:p>
        </w:tc>
        <w:tc>
          <w:tcPr>
            <w:tcW w:w="20" w:type="dxa"/>
            <w:vAlign w:val="bottom"/>
            <w:shd w:val="clear" w:color="auto" w:fill="D9D9D6"/>
          </w:tcPr>
          <w:p>
            <w:pPr>
              <w:spacing w:after="0"/>
              <w:rPr>
                <w:sz w:val="15"/>
                <w:szCs w:val="15"/>
                <w:color w:val="auto"/>
              </w:rPr>
            </w:pPr>
          </w:p>
        </w:tc>
        <w:tc>
          <w:tcPr>
            <w:tcW w:w="92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633</w:t>
            </w:r>
          </w:p>
        </w:tc>
        <w:tc>
          <w:tcPr>
            <w:tcW w:w="46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379</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59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Residential Video Customers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19,220</w:t>
            </w:r>
          </w:p>
        </w:tc>
        <w:tc>
          <w:tcPr>
            <w:tcW w:w="20" w:type="dxa"/>
            <w:vAlign w:val="bottom"/>
            <w:shd w:val="clear" w:color="auto" w:fill="D9D9D6"/>
          </w:tcPr>
          <w:p>
            <w:pPr>
              <w:spacing w:after="0"/>
              <w:rPr>
                <w:sz w:val="24"/>
                <w:szCs w:val="24"/>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20,421</w:t>
            </w:r>
          </w:p>
        </w:tc>
        <w:tc>
          <w:tcPr>
            <w:tcW w:w="20" w:type="dxa"/>
            <w:vAlign w:val="bottom"/>
            <w:shd w:val="clear" w:color="auto" w:fill="D9D9D6"/>
          </w:tcPr>
          <w:p>
            <w:pPr>
              <w:spacing w:after="0"/>
              <w:rPr>
                <w:sz w:val="24"/>
                <w:szCs w:val="24"/>
                <w:color w:val="auto"/>
              </w:rPr>
            </w:pPr>
          </w:p>
        </w:tc>
        <w:tc>
          <w:tcPr>
            <w:tcW w:w="9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(253)</w:t>
            </w:r>
          </w:p>
        </w:tc>
        <w:tc>
          <w:tcPr>
            <w:tcW w:w="4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(222)</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59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Business Services Video Customers</w:t>
            </w:r>
          </w:p>
        </w:tc>
        <w:tc>
          <w:tcPr>
            <w:tcW w:w="9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874</w:t>
            </w:r>
          </w:p>
        </w:tc>
        <w:tc>
          <w:tcPr>
            <w:tcW w:w="20" w:type="dxa"/>
            <w:vAlign w:val="bottom"/>
            <w:tcBorders>
              <w:bottom w:val="single" w:sz="8" w:color="auto"/>
            </w:tcBorders>
            <w:shd w:val="clear" w:color="auto" w:fill="D9D9D6"/>
          </w:tcPr>
          <w:p>
            <w:pPr>
              <w:spacing w:after="0"/>
              <w:rPr>
                <w:sz w:val="16"/>
                <w:szCs w:val="16"/>
                <w:color w:val="auto"/>
              </w:rPr>
            </w:pPr>
          </w:p>
        </w:tc>
        <w:tc>
          <w:tcPr>
            <w:tcW w:w="9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983</w:t>
            </w:r>
          </w:p>
        </w:tc>
        <w:tc>
          <w:tcPr>
            <w:tcW w:w="20" w:type="dxa"/>
            <w:vAlign w:val="bottom"/>
            <w:tcBorders>
              <w:bottom w:val="single" w:sz="8" w:color="auto"/>
            </w:tcBorders>
            <w:shd w:val="clear" w:color="auto" w:fill="D9D9D6"/>
          </w:tcPr>
          <w:p>
            <w:pPr>
              <w:spacing w:after="0"/>
              <w:rPr>
                <w:sz w:val="16"/>
                <w:szCs w:val="16"/>
                <w:color w:val="auto"/>
              </w:rPr>
            </w:pPr>
          </w:p>
        </w:tc>
        <w:tc>
          <w:tcPr>
            <w:tcW w:w="920" w:type="dxa"/>
            <w:vAlign w:val="bottom"/>
            <w:tcBorders>
              <w:bottom w:val="single" w:sz="8" w:color="D9D9D6"/>
            </w:tcBorders>
            <w:shd w:val="clear" w:color="auto" w:fill="D9D9D6"/>
          </w:tcPr>
          <w:p>
            <w:pPr>
              <w:spacing w:after="0"/>
              <w:rPr>
                <w:sz w:val="16"/>
                <w:szCs w:val="16"/>
                <w:color w:val="auto"/>
              </w:rPr>
            </w:pPr>
          </w:p>
        </w:tc>
        <w:tc>
          <w:tcPr>
            <w:tcW w:w="9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(20)</w:t>
            </w:r>
          </w:p>
        </w:tc>
        <w:tc>
          <w:tcPr>
            <w:tcW w:w="460" w:type="dxa"/>
            <w:vAlign w:val="bottom"/>
            <w:tcBorders>
              <w:bottom w:val="single" w:sz="8" w:color="auto"/>
            </w:tcBorders>
            <w:shd w:val="clear" w:color="auto" w:fill="D9D9D6"/>
          </w:tcPr>
          <w:p>
            <w:pPr>
              <w:spacing w:after="0"/>
              <w:rPr>
                <w:sz w:val="16"/>
                <w:szCs w:val="16"/>
                <w:color w:val="auto"/>
              </w:rPr>
            </w:pPr>
          </w:p>
        </w:tc>
        <w:tc>
          <w:tcPr>
            <w:tcW w:w="100" w:type="dxa"/>
            <w:vAlign w:val="bottom"/>
            <w:tcBorders>
              <w:bottom w:val="single" w:sz="8" w:color="auto"/>
            </w:tcBorders>
            <w:shd w:val="clear" w:color="auto" w:fill="D9D9D6"/>
          </w:tcPr>
          <w:p>
            <w:pPr>
              <w:spacing w:after="0"/>
              <w:rPr>
                <w:sz w:val="16"/>
                <w:szCs w:val="16"/>
                <w:color w:val="auto"/>
              </w:rPr>
            </w:pPr>
          </w:p>
        </w:tc>
        <w:tc>
          <w:tcPr>
            <w:tcW w:w="4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5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20,094</w:t>
            </w:r>
          </w:p>
        </w:tc>
        <w:tc>
          <w:tcPr>
            <w:tcW w:w="20" w:type="dxa"/>
            <w:vAlign w:val="bottom"/>
            <w:shd w:val="clear" w:color="auto" w:fill="D9D9D6"/>
          </w:tcPr>
          <w:p>
            <w:pPr>
              <w:spacing w:after="0"/>
              <w:rPr>
                <w:sz w:val="15"/>
                <w:szCs w:val="15"/>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21,403</w:t>
            </w:r>
          </w:p>
        </w:tc>
        <w:tc>
          <w:tcPr>
            <w:tcW w:w="20" w:type="dxa"/>
            <w:vAlign w:val="bottom"/>
            <w:shd w:val="clear" w:color="auto" w:fill="D9D9D6"/>
          </w:tcPr>
          <w:p>
            <w:pPr>
              <w:spacing w:after="0"/>
              <w:rPr>
                <w:sz w:val="15"/>
                <w:szCs w:val="15"/>
                <w:color w:val="auto"/>
              </w:rPr>
            </w:pPr>
          </w:p>
        </w:tc>
        <w:tc>
          <w:tcPr>
            <w:tcW w:w="92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(273)</w:t>
            </w:r>
          </w:p>
        </w:tc>
        <w:tc>
          <w:tcPr>
            <w:tcW w:w="46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(238)</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59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Residential Voice Customers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9,684</w:t>
            </w:r>
          </w:p>
        </w:tc>
        <w:tc>
          <w:tcPr>
            <w:tcW w:w="20" w:type="dxa"/>
            <w:vAlign w:val="bottom"/>
            <w:shd w:val="clear" w:color="auto" w:fill="D9D9D6"/>
          </w:tcPr>
          <w:p>
            <w:pPr>
              <w:spacing w:after="0"/>
              <w:rPr>
                <w:sz w:val="24"/>
                <w:szCs w:val="24"/>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9,945</w:t>
            </w:r>
          </w:p>
        </w:tc>
        <w:tc>
          <w:tcPr>
            <w:tcW w:w="20" w:type="dxa"/>
            <w:vAlign w:val="bottom"/>
            <w:shd w:val="clear" w:color="auto" w:fill="D9D9D6"/>
          </w:tcPr>
          <w:p>
            <w:pPr>
              <w:spacing w:after="0"/>
              <w:rPr>
                <w:sz w:val="24"/>
                <w:szCs w:val="24"/>
                <w:color w:val="auto"/>
              </w:rPr>
            </w:pPr>
          </w:p>
        </w:tc>
        <w:tc>
          <w:tcPr>
            <w:tcW w:w="9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w:t>
            </w:r>
          </w:p>
        </w:tc>
        <w:tc>
          <w:tcPr>
            <w:tcW w:w="4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(63)</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59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Business Services Voice Customers</w:t>
            </w:r>
          </w:p>
        </w:tc>
        <w:tc>
          <w:tcPr>
            <w:tcW w:w="9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1,341</w:t>
            </w:r>
          </w:p>
        </w:tc>
        <w:tc>
          <w:tcPr>
            <w:tcW w:w="20" w:type="dxa"/>
            <w:vAlign w:val="bottom"/>
            <w:tcBorders>
              <w:bottom w:val="single" w:sz="8" w:color="auto"/>
            </w:tcBorders>
            <w:shd w:val="clear" w:color="auto" w:fill="D9D9D6"/>
          </w:tcPr>
          <w:p>
            <w:pPr>
              <w:spacing w:after="0"/>
              <w:rPr>
                <w:sz w:val="16"/>
                <w:szCs w:val="16"/>
                <w:color w:val="auto"/>
              </w:rPr>
            </w:pPr>
          </w:p>
        </w:tc>
        <w:tc>
          <w:tcPr>
            <w:tcW w:w="9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1,334</w:t>
            </w:r>
          </w:p>
        </w:tc>
        <w:tc>
          <w:tcPr>
            <w:tcW w:w="20" w:type="dxa"/>
            <w:vAlign w:val="bottom"/>
            <w:tcBorders>
              <w:bottom w:val="single" w:sz="8" w:color="auto"/>
            </w:tcBorders>
            <w:shd w:val="clear" w:color="auto" w:fill="D9D9D6"/>
          </w:tcPr>
          <w:p>
            <w:pPr>
              <w:spacing w:after="0"/>
              <w:rPr>
                <w:sz w:val="16"/>
                <w:szCs w:val="16"/>
                <w:color w:val="auto"/>
              </w:rPr>
            </w:pPr>
          </w:p>
        </w:tc>
        <w:tc>
          <w:tcPr>
            <w:tcW w:w="920" w:type="dxa"/>
            <w:vAlign w:val="bottom"/>
            <w:tcBorders>
              <w:bottom w:val="single" w:sz="8" w:color="D9D9D6"/>
            </w:tcBorders>
            <w:shd w:val="clear" w:color="auto" w:fill="D9D9D6"/>
          </w:tcPr>
          <w:p>
            <w:pPr>
              <w:spacing w:after="0"/>
              <w:rPr>
                <w:sz w:val="16"/>
                <w:szCs w:val="16"/>
                <w:color w:val="auto"/>
              </w:rPr>
            </w:pPr>
          </w:p>
        </w:tc>
        <w:tc>
          <w:tcPr>
            <w:tcW w:w="9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11</w:t>
            </w:r>
          </w:p>
        </w:tc>
        <w:tc>
          <w:tcPr>
            <w:tcW w:w="460" w:type="dxa"/>
            <w:vAlign w:val="bottom"/>
            <w:tcBorders>
              <w:bottom w:val="single" w:sz="8" w:color="auto"/>
            </w:tcBorders>
            <w:shd w:val="clear" w:color="auto" w:fill="D9D9D6"/>
          </w:tcPr>
          <w:p>
            <w:pPr>
              <w:spacing w:after="0"/>
              <w:rPr>
                <w:sz w:val="16"/>
                <w:szCs w:val="16"/>
                <w:color w:val="auto"/>
              </w:rPr>
            </w:pPr>
          </w:p>
        </w:tc>
        <w:tc>
          <w:tcPr>
            <w:tcW w:w="100" w:type="dxa"/>
            <w:vAlign w:val="bottom"/>
            <w:tcBorders>
              <w:bottom w:val="single" w:sz="8" w:color="auto"/>
            </w:tcBorders>
            <w:shd w:val="clear" w:color="auto" w:fill="D9D9D6"/>
          </w:tcPr>
          <w:p>
            <w:pPr>
              <w:spacing w:after="0"/>
              <w:rPr>
                <w:sz w:val="16"/>
                <w:szCs w:val="16"/>
                <w:color w:val="auto"/>
              </w:rPr>
            </w:pPr>
          </w:p>
        </w:tc>
        <w:tc>
          <w:tcPr>
            <w:tcW w:w="4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5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11,025</w:t>
            </w:r>
          </w:p>
        </w:tc>
        <w:tc>
          <w:tcPr>
            <w:tcW w:w="20" w:type="dxa"/>
            <w:vAlign w:val="bottom"/>
            <w:shd w:val="clear" w:color="auto" w:fill="D9D9D6"/>
          </w:tcPr>
          <w:p>
            <w:pPr>
              <w:spacing w:after="0"/>
              <w:rPr>
                <w:sz w:val="15"/>
                <w:szCs w:val="15"/>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11,278</w:t>
            </w:r>
          </w:p>
        </w:tc>
        <w:tc>
          <w:tcPr>
            <w:tcW w:w="20" w:type="dxa"/>
            <w:vAlign w:val="bottom"/>
            <w:shd w:val="clear" w:color="auto" w:fill="D9D9D6"/>
          </w:tcPr>
          <w:p>
            <w:pPr>
              <w:spacing w:after="0"/>
              <w:rPr>
                <w:sz w:val="15"/>
                <w:szCs w:val="15"/>
                <w:color w:val="auto"/>
              </w:rPr>
            </w:pPr>
          </w:p>
        </w:tc>
        <w:tc>
          <w:tcPr>
            <w:tcW w:w="92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w:t>
            </w:r>
          </w:p>
        </w:tc>
        <w:tc>
          <w:tcPr>
            <w:tcW w:w="46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(53)</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5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2,580</w:t>
            </w:r>
          </w:p>
        </w:tc>
        <w:tc>
          <w:tcPr>
            <w:tcW w:w="20" w:type="dxa"/>
            <w:vAlign w:val="bottom"/>
            <w:shd w:val="clear" w:color="auto" w:fill="D9D9D6"/>
          </w:tcPr>
          <w:p>
            <w:pPr>
              <w:spacing w:after="0"/>
              <w:rPr>
                <w:sz w:val="24"/>
                <w:szCs w:val="24"/>
                <w:color w:val="auto"/>
              </w:rPr>
            </w:pP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1,791</w:t>
            </w:r>
          </w:p>
        </w:tc>
        <w:tc>
          <w:tcPr>
            <w:tcW w:w="20" w:type="dxa"/>
            <w:vAlign w:val="bottom"/>
            <w:shd w:val="clear" w:color="auto" w:fill="D9D9D6"/>
          </w:tcPr>
          <w:p>
            <w:pPr>
              <w:spacing w:after="0"/>
              <w:rPr>
                <w:sz w:val="24"/>
                <w:szCs w:val="24"/>
                <w:color w:val="auto"/>
              </w:rPr>
            </w:pPr>
          </w:p>
        </w:tc>
        <w:tc>
          <w:tcPr>
            <w:tcW w:w="9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187</w:t>
            </w:r>
          </w:p>
        </w:tc>
        <w:tc>
          <w:tcPr>
            <w:tcW w:w="4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204</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5980" w:type="dxa"/>
            <w:vAlign w:val="bottom"/>
            <w:shd w:val="clear" w:color="auto" w:fill="D9D9D6"/>
          </w:tcPr>
          <w:p>
            <w:pPr>
              <w:spacing w:after="0"/>
              <w:rPr>
                <w:sz w:val="4"/>
                <w:szCs w:val="4"/>
                <w:color w:val="auto"/>
              </w:rPr>
            </w:pPr>
          </w:p>
        </w:tc>
        <w:tc>
          <w:tcPr>
            <w:tcW w:w="6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6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920" w:type="dxa"/>
            <w:vAlign w:val="bottom"/>
            <w:shd w:val="clear" w:color="auto" w:fill="D9D9D6"/>
          </w:tcPr>
          <w:p>
            <w:pPr>
              <w:spacing w:after="0"/>
              <w:rPr>
                <w:sz w:val="4"/>
                <w:szCs w:val="4"/>
                <w:color w:val="auto"/>
              </w:rPr>
            </w:pPr>
          </w:p>
        </w:tc>
        <w:tc>
          <w:tcPr>
            <w:tcW w:w="58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10.5% to $6.4 billion in the third quarter of 2020, due to higher revenue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 decrease in operating expenses. Total operating expenses benefited from adjustments for provisions in our programming distribution agreements with RSNs related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47" w:lineRule="auto"/>
        <w:rPr>
          <w:sz w:val="20"/>
          <w:szCs w:val="20"/>
          <w:color w:val="auto"/>
        </w:rPr>
      </w:pPr>
      <w:r>
        <w:rPr>
          <w:rFonts w:ascii="Arial" w:cs="Arial" w:eastAsia="Arial" w:hAnsi="Arial"/>
          <w:sz w:val="18"/>
          <w:szCs w:val="18"/>
          <w:color w:val="auto"/>
        </w:rPr>
        <w:t>to canceled sporting events as a result of COVID-19. Programming costs decreased 0.6%, primarily reflecting the adjustment provisions. Excluding these adjustments</w:t>
      </w:r>
      <w:r>
        <w:rPr>
          <w:rFonts w:ascii="Arial" w:cs="Arial" w:eastAsia="Arial" w:hAnsi="Arial"/>
          <w:sz w:val="23"/>
          <w:szCs w:val="23"/>
          <w:color w:val="auto"/>
          <w:vertAlign w:val="superscript"/>
        </w:rPr>
        <w:t>5</w:t>
      </w:r>
      <w:r>
        <w:rPr>
          <w:rFonts w:ascii="Arial" w:cs="Arial" w:eastAsia="Arial" w:hAnsi="Arial"/>
          <w:sz w:val="18"/>
          <w:szCs w:val="18"/>
          <w:color w:val="auto"/>
        </w:rPr>
        <w:t>, programming costs increased 4.0% due to higher retransmission consent and sports programming fees, partially offset by a decline in the number of video subscribers. Non-programming expenses decreased 3.2%, while non-programming expenses per customer relationship decreased 7.4%. These declines reflect lower advertising, marketing and promotion expenses, technical and product support expenses and customer service expenses, partially offset by higher other operating expenses and franchise and regulatory fees. Non-programming expenses reflect a reduction in activity in some aspects of our business as a result of COVID-19 as well as benefits from cost saving initiatives. Adjusted EBITDA per customer relationship increased 5.8%, and Adjusted EBITDA margin was 42.7% compared to 39.8% in the third quarter of 2019. While the accrued RSN adjustments did not impact Adjusted EBITDA in the third quarter of 2020, the adjustments resulted in an increase to Adjusted EBITDA margin. Cable Communications results include a loss of $50 million from our wireless business, compared to a loss of $94 million in the prior year period.</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nine months ended September 30, 2020, Cable Adjusted EBITDA increased 7.4% to $18.7 billion compared to 2019, due to higher revenue and a decrease in operating expenses. Programming costs decreased 1.3% primarily reflecting adjustments for provisions in our programming distribution agreements with RSNs related to canceled sporting events as a result of COVID-19. Excluding these adjustments</w:t>
      </w:r>
      <w:r>
        <w:rPr>
          <w:rFonts w:ascii="Arial" w:cs="Arial" w:eastAsia="Arial" w:hAnsi="Arial"/>
          <w:sz w:val="23"/>
          <w:szCs w:val="23"/>
          <w:color w:val="auto"/>
          <w:vertAlign w:val="superscript"/>
        </w:rPr>
        <w:t>5</w:t>
      </w:r>
      <w:r>
        <w:rPr>
          <w:rFonts w:ascii="Arial" w:cs="Arial" w:eastAsia="Arial" w:hAnsi="Arial"/>
          <w:sz w:val="18"/>
          <w:szCs w:val="18"/>
          <w:color w:val="auto"/>
        </w:rPr>
        <w:t>, programming costs increased 2.4% due to higher retransmission consent and sports programming fees, partially offset by a decline in the number of video subscribers. Non-programming expenses decreased 0.8%, reflecting cost savings initiatives that were partially offset by higher costs as a result of COVID-19. For the nine months ended September 30, 2020, Adjusted EBITDA per customer relationship increased 2.9%, and Adjusted EBITDA margin was 42.1% compared to 40.1% in 2019. While the accrued RSN adjustments did not impact Adjusted EBITDA for the nine months ended September 30, 2020, the adjustments resulted in an increase to Adjusted EBITDA margin. Cable Communications results include a loss of $146 million from our wireless business, compared to a loss of $285 million in the prior year period.</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decreased 2.5% to $1.8 billion in the third quarter of 2020, due to decreased investment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premise equipment and support capital, partially offset by increased investment in scalable infrastructure and line extensions. Cable capital expenditures represented 11.8% of Cable revenue in the third quarter of 2020 compared to 12.4% in last year's third quarter.</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nine months ended September 30, 2020, Cable capital expenditures decreased 5.9% to $4.5 billion, primarily reflecting decreased investment in customer premise equipment, partially offset by increased investment in scalable infrastructure. Cable capital expenditures represented 10.1% of Cable revenue compared to 11.0% in 2019.</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 w:type="dxa"/>
            <w:vAlign w:val="bottom"/>
            <w:tcBorders>
              <w:bottom w:val="single" w:sz="8" w:color="D9D9D6"/>
            </w:tcBorders>
            <w:shd w:val="clear" w:color="auto" w:fill="D9D9D6"/>
          </w:tcPr>
          <w:p>
            <w:pPr>
              <w:spacing w:after="0"/>
              <w:rPr>
                <w:sz w:val="17"/>
                <w:szCs w:val="17"/>
                <w:color w:val="auto"/>
              </w:rPr>
            </w:pPr>
          </w:p>
        </w:tc>
        <w:tc>
          <w:tcPr>
            <w:tcW w:w="49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40" w:type="dxa"/>
            <w:vAlign w:val="bottom"/>
            <w:tcBorders>
              <w:bottom w:val="single" w:sz="8" w:color="D9D9D6"/>
            </w:tcBorders>
            <w:shd w:val="clear" w:color="auto" w:fill="D9D9D6"/>
          </w:tcPr>
          <w:p>
            <w:pPr>
              <w:spacing w:after="0"/>
              <w:rPr>
                <w:sz w:val="17"/>
                <w:szCs w:val="17"/>
                <w:color w:val="auto"/>
              </w:rPr>
            </w:pPr>
          </w:p>
        </w:tc>
        <w:tc>
          <w:tcPr>
            <w:tcW w:w="48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right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4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6"/>
          </w:tcPr>
          <w:p>
            <w:pPr>
              <w:spacing w:after="0"/>
              <w:rPr>
                <w:sz w:val="14"/>
                <w:szCs w:val="14"/>
                <w:color w:val="auto"/>
              </w:rPr>
            </w:pPr>
          </w:p>
        </w:tc>
        <w:tc>
          <w:tcPr>
            <w:tcW w:w="490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900" w:type="dxa"/>
            <w:vAlign w:val="bottom"/>
            <w:gridSpan w:val="4"/>
            <w:shd w:val="clear" w:color="auto" w:fill="D9D9D6"/>
          </w:tcPr>
          <w:p>
            <w:pPr>
              <w:ind w:left="160"/>
              <w:spacing w:after="0"/>
              <w:rPr>
                <w:sz w:val="20"/>
                <w:szCs w:val="20"/>
                <w:color w:val="auto"/>
              </w:rPr>
            </w:pPr>
            <w:r>
              <w:rPr>
                <w:rFonts w:ascii="Arial" w:cs="Arial" w:eastAsia="Arial" w:hAnsi="Arial"/>
                <w:sz w:val="14"/>
                <w:szCs w:val="14"/>
                <w:color w:val="auto"/>
              </w:rPr>
              <w:t>3rd Quarter</w:t>
            </w:r>
          </w:p>
        </w:tc>
        <w:tc>
          <w:tcPr>
            <w:tcW w:w="48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260" w:type="dxa"/>
            <w:vAlign w:val="bottom"/>
            <w:tcBorders>
              <w:right w:val="single" w:sz="8" w:color="97999B"/>
            </w:tcBorders>
            <w:shd w:val="clear" w:color="auto" w:fill="D9D9D6"/>
          </w:tcPr>
          <w:p>
            <w:pPr>
              <w:spacing w:after="0"/>
              <w:rPr>
                <w:sz w:val="14"/>
                <w:szCs w:val="14"/>
                <w:color w:val="auto"/>
              </w:rPr>
            </w:pPr>
          </w:p>
        </w:tc>
        <w:tc>
          <w:tcPr>
            <w:tcW w:w="220" w:type="dxa"/>
            <w:vAlign w:val="bottom"/>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100" w:type="dxa"/>
            <w:vAlign w:val="bottom"/>
            <w:gridSpan w:val="5"/>
            <w:shd w:val="clear" w:color="auto" w:fill="D9D9D6"/>
          </w:tcPr>
          <w:p>
            <w:pPr>
              <w:ind w:left="140"/>
              <w:spacing w:after="0"/>
              <w:rPr>
                <w:sz w:val="20"/>
                <w:szCs w:val="20"/>
                <w:color w:val="auto"/>
              </w:rPr>
            </w:pPr>
            <w:r>
              <w:rPr>
                <w:rFonts w:ascii="Arial" w:cs="Arial" w:eastAsia="Arial" w:hAnsi="Arial"/>
                <w:sz w:val="14"/>
                <w:szCs w:val="14"/>
                <w:color w:val="auto"/>
              </w:rPr>
              <w:t>Year to Date</w:t>
            </w:r>
          </w:p>
        </w:tc>
        <w:tc>
          <w:tcPr>
            <w:tcW w:w="32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Borders>
              <w:top w:val="single" w:sz="8" w:color="D9D9D6"/>
            </w:tcBorders>
            <w:shd w:val="clear" w:color="auto" w:fill="D9D9D6"/>
          </w:tcPr>
          <w:p>
            <w:pPr>
              <w:spacing w:after="0"/>
              <w:rPr>
                <w:sz w:val="14"/>
                <w:szCs w:val="14"/>
                <w:color w:val="auto"/>
              </w:rPr>
            </w:pPr>
          </w:p>
        </w:tc>
        <w:tc>
          <w:tcPr>
            <w:tcW w:w="4900" w:type="dxa"/>
            <w:vAlign w:val="bottom"/>
            <w:tcBorders>
              <w:top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6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60" w:type="dxa"/>
            <w:vAlign w:val="bottom"/>
            <w:tcBorders>
              <w:top w:val="single" w:sz="8" w:color="D9D9D6"/>
            </w:tcBorders>
            <w:shd w:val="clear" w:color="auto" w:fill="D9D9D6"/>
          </w:tcPr>
          <w:p>
            <w:pPr>
              <w:spacing w:after="0"/>
              <w:rPr>
                <w:sz w:val="14"/>
                <w:szCs w:val="14"/>
                <w:color w:val="auto"/>
              </w:rPr>
            </w:pPr>
          </w:p>
        </w:tc>
        <w:tc>
          <w:tcPr>
            <w:tcW w:w="740" w:type="dxa"/>
            <w:vAlign w:val="bottom"/>
            <w:tcBorders>
              <w:top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2019</w:t>
            </w:r>
          </w:p>
        </w:tc>
        <w:tc>
          <w:tcPr>
            <w:tcW w:w="102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260" w:type="dxa"/>
            <w:vAlign w:val="bottom"/>
            <w:tcBorders>
              <w:top w:val="single" w:sz="8" w:color="D9D9D6"/>
              <w:right w:val="single" w:sz="8" w:color="97999B"/>
            </w:tcBorders>
            <w:shd w:val="clear" w:color="auto" w:fill="D9D9D6"/>
          </w:tcPr>
          <w:p>
            <w:pPr>
              <w:spacing w:after="0"/>
              <w:rPr>
                <w:sz w:val="14"/>
                <w:szCs w:val="14"/>
                <w:color w:val="auto"/>
              </w:rPr>
            </w:pPr>
          </w:p>
        </w:tc>
        <w:tc>
          <w:tcPr>
            <w:tcW w:w="1100" w:type="dxa"/>
            <w:vAlign w:val="bottom"/>
            <w:tcBorders>
              <w:top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40" w:type="dxa"/>
            <w:vAlign w:val="bottom"/>
            <w:tcBorders>
              <w:top w:val="single" w:sz="8" w:color="D9D9D6"/>
            </w:tcBorders>
            <w:shd w:val="clear" w:color="auto" w:fill="D9D9D6"/>
          </w:tcPr>
          <w:p>
            <w:pPr>
              <w:spacing w:after="0"/>
              <w:rPr>
                <w:sz w:val="14"/>
                <w:szCs w:val="14"/>
                <w:color w:val="auto"/>
              </w:rPr>
            </w:pPr>
          </w:p>
        </w:tc>
        <w:tc>
          <w:tcPr>
            <w:tcW w:w="780" w:type="dxa"/>
            <w:vAlign w:val="bottom"/>
            <w:tcBorders>
              <w:top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2019</w:t>
            </w:r>
          </w:p>
        </w:tc>
        <w:tc>
          <w:tcPr>
            <w:tcW w:w="180" w:type="dxa"/>
            <w:vAlign w:val="bottom"/>
            <w:tcBorders>
              <w:top w:val="single" w:sz="8" w:color="D9D9D6"/>
            </w:tcBorders>
            <w:shd w:val="clear" w:color="auto" w:fill="D9D9D6"/>
          </w:tcPr>
          <w:p>
            <w:pPr>
              <w:spacing w:after="0"/>
              <w:rPr>
                <w:sz w:val="14"/>
                <w:szCs w:val="14"/>
                <w:color w:val="auto"/>
              </w:rPr>
            </w:pPr>
          </w:p>
        </w:tc>
        <w:tc>
          <w:tcPr>
            <w:tcW w:w="320" w:type="dxa"/>
            <w:vAlign w:val="bottom"/>
            <w:tcBorders>
              <w:top w:val="single" w:sz="8" w:color="D9D9D6"/>
            </w:tcBorders>
            <w:shd w:val="clear" w:color="auto" w:fill="D9D9D6"/>
          </w:tcPr>
          <w:p>
            <w:pPr>
              <w:spacing w:after="0"/>
              <w:rPr>
                <w:sz w:val="14"/>
                <w:szCs w:val="14"/>
                <w:color w:val="auto"/>
              </w:rPr>
            </w:pPr>
          </w:p>
        </w:tc>
        <w:tc>
          <w:tcPr>
            <w:tcW w:w="640" w:type="dxa"/>
            <w:vAlign w:val="bottom"/>
            <w:tcBorders>
              <w:top w:val="single" w:sz="8" w:color="D9D9D6"/>
            </w:tcBorders>
            <w:gridSpan w:val="3"/>
            <w:shd w:val="clear" w:color="auto" w:fill="D9D9D6"/>
          </w:tcPr>
          <w:p>
            <w:pPr>
              <w:jc w:val="right"/>
              <w:ind w:right="140"/>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96"/>
        </w:trPr>
        <w:tc>
          <w:tcPr>
            <w:tcW w:w="100" w:type="dxa"/>
            <w:vAlign w:val="bottom"/>
            <w:tcBorders>
              <w:top w:val="single" w:sz="8" w:color="D9D9D6"/>
            </w:tcBorders>
            <w:shd w:val="clear" w:color="auto" w:fill="D9D9D6"/>
          </w:tcPr>
          <w:p>
            <w:pPr>
              <w:spacing w:after="0"/>
              <w:rPr>
                <w:sz w:val="17"/>
                <w:szCs w:val="17"/>
                <w:color w:val="auto"/>
              </w:rPr>
            </w:pPr>
          </w:p>
        </w:tc>
        <w:tc>
          <w:tcPr>
            <w:tcW w:w="490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40" w:type="dxa"/>
            <w:vAlign w:val="bottom"/>
            <w:tcBorders>
              <w:top w:val="single" w:sz="8" w:color="D9D9D6"/>
            </w:tcBorders>
            <w:shd w:val="clear" w:color="auto" w:fill="D9D9D6"/>
          </w:tcPr>
          <w:p>
            <w:pPr>
              <w:spacing w:after="0"/>
              <w:rPr>
                <w:sz w:val="17"/>
                <w:szCs w:val="17"/>
                <w:color w:val="auto"/>
              </w:rPr>
            </w:pPr>
          </w:p>
        </w:tc>
        <w:tc>
          <w:tcPr>
            <w:tcW w:w="48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60" w:type="dxa"/>
            <w:vAlign w:val="bottom"/>
            <w:tcBorders>
              <w:top w:val="single" w:sz="8" w:color="D9D9D6"/>
              <w:right w:val="single" w:sz="8" w:color="97999B"/>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4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Cable Networks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$2,736</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$2,771</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$8,110</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$8,586</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(5.5 %)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Broadcast Television</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2,414</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2,230</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8.3 %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7,462</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7,099</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5.1 %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Filmed Entertainment</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1,280</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1,706</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(25.0 %)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3,844</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4,931</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311</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1,631</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(80.9 %)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1,267</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4,371</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(71.0 %)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Headquarters, other and eliminations</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(43)</w:t>
            </w:r>
          </w:p>
        </w:tc>
        <w:tc>
          <w:tcPr>
            <w:tcW w:w="40" w:type="dxa"/>
            <w:vAlign w:val="bottom"/>
            <w:shd w:val="clear" w:color="auto" w:fill="D9D9D6"/>
          </w:tcPr>
          <w:p>
            <w:pPr>
              <w:spacing w:after="0"/>
              <w:rPr>
                <w:sz w:val="16"/>
                <w:szCs w:val="16"/>
                <w:color w:val="auto"/>
              </w:rPr>
            </w:pPr>
          </w:p>
        </w:tc>
        <w:tc>
          <w:tcPr>
            <w:tcW w:w="480" w:type="dxa"/>
            <w:vAlign w:val="bottom"/>
            <w:shd w:val="clear" w:color="auto" w:fill="D9D9D6"/>
          </w:tcPr>
          <w:p>
            <w:pPr>
              <w:spacing w:after="0"/>
              <w:rPr>
                <w:sz w:val="16"/>
                <w:szCs w:val="16"/>
                <w:color w:val="auto"/>
              </w:rPr>
            </w:pPr>
          </w:p>
        </w:tc>
        <w:tc>
          <w:tcPr>
            <w:tcW w:w="5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(101)</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(173)</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64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100" w:type="dxa"/>
            <w:vAlign w:val="bottom"/>
            <w:tcBorders>
              <w:top w:val="single" w:sz="8" w:color="D9D9D6"/>
            </w:tcBorders>
            <w:shd w:val="clear" w:color="auto" w:fill="D9D9D6"/>
          </w:tcPr>
          <w:p>
            <w:pPr>
              <w:spacing w:after="0"/>
              <w:rPr>
                <w:sz w:val="15"/>
                <w:szCs w:val="15"/>
                <w:color w:val="auto"/>
              </w:rPr>
            </w:pPr>
          </w:p>
        </w:tc>
        <w:tc>
          <w:tcPr>
            <w:tcW w:w="49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40" w:type="dxa"/>
            <w:vAlign w:val="bottom"/>
            <w:tcBorders>
              <w:top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$6,724</w:t>
            </w:r>
          </w:p>
        </w:tc>
        <w:tc>
          <w:tcPr>
            <w:tcW w:w="20" w:type="dxa"/>
            <w:vAlign w:val="bottom"/>
            <w:tcBorders>
              <w:top w:val="single" w:sz="8" w:color="auto"/>
            </w:tcBorders>
            <w:shd w:val="clear" w:color="auto" w:fill="D9D9D6"/>
          </w:tcPr>
          <w:p>
            <w:pPr>
              <w:spacing w:after="0"/>
              <w:rPr>
                <w:sz w:val="15"/>
                <w:szCs w:val="15"/>
                <w:color w:val="auto"/>
              </w:rPr>
            </w:pPr>
          </w:p>
        </w:tc>
        <w:tc>
          <w:tcPr>
            <w:tcW w:w="860" w:type="dxa"/>
            <w:vAlign w:val="bottom"/>
            <w:tcBorders>
              <w:top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$8,295</w:t>
            </w:r>
          </w:p>
        </w:tc>
        <w:tc>
          <w:tcPr>
            <w:tcW w:w="40" w:type="dxa"/>
            <w:vAlign w:val="bottom"/>
            <w:tcBorders>
              <w:top w:val="single" w:sz="8" w:color="auto"/>
            </w:tcBorders>
            <w:shd w:val="clear" w:color="auto" w:fill="D9D9D6"/>
          </w:tcPr>
          <w:p>
            <w:pPr>
              <w:spacing w:after="0"/>
              <w:rPr>
                <w:sz w:val="15"/>
                <w:szCs w:val="15"/>
                <w:color w:val="auto"/>
              </w:rPr>
            </w:pPr>
          </w:p>
        </w:tc>
        <w:tc>
          <w:tcPr>
            <w:tcW w:w="100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(18.9 %)</w:t>
            </w:r>
          </w:p>
        </w:tc>
        <w:tc>
          <w:tcPr>
            <w:tcW w:w="20" w:type="dxa"/>
            <w:vAlign w:val="bottom"/>
            <w:tcBorders>
              <w:top w:val="single" w:sz="8" w:color="auto"/>
            </w:tcBorders>
            <w:shd w:val="clear" w:color="auto" w:fill="D9D9D6"/>
          </w:tcPr>
          <w:p>
            <w:pPr>
              <w:spacing w:after="0"/>
              <w:rPr>
                <w:sz w:val="15"/>
                <w:szCs w:val="15"/>
                <w:color w:val="auto"/>
              </w:rPr>
            </w:pPr>
          </w:p>
        </w:tc>
        <w:tc>
          <w:tcPr>
            <w:tcW w:w="260" w:type="dxa"/>
            <w:vAlign w:val="bottom"/>
            <w:tcBorders>
              <w:top w:val="single" w:sz="8" w:color="D9D9D6"/>
              <w:right w:val="single" w:sz="8" w:color="97999B"/>
            </w:tcBorders>
            <w:shd w:val="clear" w:color="auto" w:fill="D9D9D6"/>
          </w:tcPr>
          <w:p>
            <w:pPr>
              <w:spacing w:after="0"/>
              <w:rPr>
                <w:sz w:val="15"/>
                <w:szCs w:val="15"/>
                <w:color w:val="auto"/>
              </w:rPr>
            </w:pPr>
          </w:p>
        </w:tc>
        <w:tc>
          <w:tcPr>
            <w:tcW w:w="220" w:type="dxa"/>
            <w:vAlign w:val="bottom"/>
            <w:tcBorders>
              <w:top w:val="single" w:sz="8" w:color="D9D9D6"/>
            </w:tcBorders>
            <w:shd w:val="clear" w:color="auto" w:fill="D9D9D6"/>
          </w:tcPr>
          <w:p>
            <w:pPr>
              <w:spacing w:after="0"/>
              <w:rPr>
                <w:sz w:val="15"/>
                <w:szCs w:val="15"/>
                <w:color w:val="auto"/>
              </w:rPr>
            </w:pPr>
          </w:p>
        </w:tc>
        <w:tc>
          <w:tcPr>
            <w:tcW w:w="860" w:type="dxa"/>
            <w:vAlign w:val="bottom"/>
            <w:tcBorders>
              <w:top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$20,582</w:t>
            </w:r>
          </w:p>
        </w:tc>
        <w:tc>
          <w:tcPr>
            <w:tcW w:w="20" w:type="dxa"/>
            <w:vAlign w:val="bottom"/>
            <w:tcBorders>
              <w:top w:val="single" w:sz="8" w:color="auto"/>
            </w:tcBorders>
            <w:shd w:val="clear" w:color="auto" w:fill="D9D9D6"/>
          </w:tcPr>
          <w:p>
            <w:pPr>
              <w:spacing w:after="0"/>
              <w:rPr>
                <w:sz w:val="15"/>
                <w:szCs w:val="15"/>
                <w:color w:val="auto"/>
              </w:rPr>
            </w:pPr>
          </w:p>
        </w:tc>
        <w:tc>
          <w:tcPr>
            <w:tcW w:w="860" w:type="dxa"/>
            <w:vAlign w:val="bottom"/>
            <w:tcBorders>
              <w:top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$24,814</w:t>
            </w:r>
          </w:p>
        </w:tc>
        <w:tc>
          <w:tcPr>
            <w:tcW w:w="60" w:type="dxa"/>
            <w:vAlign w:val="bottom"/>
            <w:tcBorders>
              <w:top w:val="single" w:sz="8" w:color="auto"/>
            </w:tcBorders>
            <w:shd w:val="clear" w:color="auto" w:fill="D9D9D6"/>
          </w:tcPr>
          <w:p>
            <w:pPr>
              <w:spacing w:after="0"/>
              <w:rPr>
                <w:sz w:val="15"/>
                <w:szCs w:val="15"/>
                <w:color w:val="auto"/>
              </w:rPr>
            </w:pPr>
          </w:p>
        </w:tc>
        <w:tc>
          <w:tcPr>
            <w:tcW w:w="180" w:type="dxa"/>
            <w:vAlign w:val="bottom"/>
            <w:tcBorders>
              <w:top w:val="single" w:sz="8" w:color="auto"/>
            </w:tcBorders>
            <w:shd w:val="clear" w:color="auto" w:fill="D9D9D6"/>
          </w:tcPr>
          <w:p>
            <w:pPr>
              <w:spacing w:after="0"/>
              <w:rPr>
                <w:sz w:val="15"/>
                <w:szCs w:val="15"/>
                <w:color w:val="auto"/>
              </w:rPr>
            </w:pPr>
          </w:p>
        </w:tc>
        <w:tc>
          <w:tcPr>
            <w:tcW w:w="82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(17.1 %)</w:t>
            </w:r>
          </w:p>
        </w:tc>
        <w:tc>
          <w:tcPr>
            <w:tcW w:w="20" w:type="dxa"/>
            <w:vAlign w:val="bottom"/>
            <w:tcBorders>
              <w:top w:val="single" w:sz="8" w:color="auto"/>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0" w:type="dxa"/>
            <w:vAlign w:val="bottom"/>
            <w:shd w:val="clear" w:color="auto" w:fill="D9D9D6"/>
          </w:tcPr>
          <w:p>
            <w:pPr>
              <w:spacing w:after="0"/>
              <w:rPr>
                <w:sz w:val="24"/>
                <w:szCs w:val="24"/>
                <w:color w:val="auto"/>
              </w:rPr>
            </w:pPr>
          </w:p>
        </w:tc>
        <w:tc>
          <w:tcPr>
            <w:tcW w:w="49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60" w:type="dxa"/>
            <w:vAlign w:val="bottom"/>
            <w:tcBorders>
              <w:right w:val="single" w:sz="8" w:color="97999B"/>
            </w:tcBorders>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Cable Networks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$870</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$955</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(8.9 %)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$3,361</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$3,418</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Broadcast Television</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436</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338</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28.7 %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1,578</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1,259</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25.3 %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Filmed Entertainment</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300</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195</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53.4 %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634</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742</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(203)</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731</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(127.7 %)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(526)</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1,819</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(128.9 %)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00" w:type="dxa"/>
            <w:vAlign w:val="bottom"/>
            <w:shd w:val="clear" w:color="auto" w:fill="D9D9D6"/>
          </w:tcPr>
          <w:p>
            <w:pPr>
              <w:ind w:left="120"/>
              <w:spacing w:after="0"/>
              <w:rPr>
                <w:sz w:val="20"/>
                <w:szCs w:val="20"/>
                <w:color w:val="auto"/>
              </w:rPr>
            </w:pPr>
            <w:r>
              <w:rPr>
                <w:rFonts w:ascii="Arial" w:cs="Arial" w:eastAsia="Arial" w:hAnsi="Arial"/>
                <w:sz w:val="14"/>
                <w:szCs w:val="14"/>
                <w:color w:val="auto"/>
              </w:rPr>
              <w:t>Headquarters, other and eliminations</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(128)</w:t>
            </w:r>
          </w:p>
        </w:tc>
        <w:tc>
          <w:tcPr>
            <w:tcW w:w="40" w:type="dxa"/>
            <w:vAlign w:val="bottom"/>
            <w:shd w:val="clear" w:color="auto" w:fill="D9D9D6"/>
          </w:tcPr>
          <w:p>
            <w:pPr>
              <w:spacing w:after="0"/>
              <w:rPr>
                <w:sz w:val="16"/>
                <w:szCs w:val="16"/>
                <w:color w:val="auto"/>
              </w:rPr>
            </w:pPr>
          </w:p>
        </w:tc>
        <w:tc>
          <w:tcPr>
            <w:tcW w:w="480" w:type="dxa"/>
            <w:vAlign w:val="bottom"/>
            <w:shd w:val="clear" w:color="auto" w:fill="D9D9D6"/>
          </w:tcPr>
          <w:p>
            <w:pPr>
              <w:spacing w:after="0"/>
              <w:rPr>
                <w:sz w:val="16"/>
                <w:szCs w:val="16"/>
                <w:color w:val="auto"/>
              </w:rPr>
            </w:pPr>
          </w:p>
        </w:tc>
        <w:tc>
          <w:tcPr>
            <w:tcW w:w="5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(381)</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(486)</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64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17"/>
        </w:trPr>
        <w:tc>
          <w:tcPr>
            <w:tcW w:w="100" w:type="dxa"/>
            <w:vAlign w:val="bottom"/>
            <w:tcBorders>
              <w:top w:val="single" w:sz="8" w:color="D9D9D6"/>
              <w:bottom w:val="single" w:sz="8" w:color="D9D9D6"/>
            </w:tcBorders>
            <w:shd w:val="clear" w:color="auto" w:fill="D9D9D6"/>
          </w:tcPr>
          <w:p>
            <w:pPr>
              <w:spacing w:after="0"/>
              <w:rPr>
                <w:sz w:val="18"/>
                <w:szCs w:val="18"/>
                <w:color w:val="auto"/>
              </w:rPr>
            </w:pPr>
          </w:p>
        </w:tc>
        <w:tc>
          <w:tcPr>
            <w:tcW w:w="4900" w:type="dxa"/>
            <w:vAlign w:val="bottom"/>
            <w:tcBorders>
              <w:top w:val="single" w:sz="8" w:color="D9D9D6"/>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40" w:type="dxa"/>
            <w:vAlign w:val="bottom"/>
            <w:tcBorders>
              <w:top w:val="single" w:sz="8" w:color="auto"/>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$1,281</w:t>
            </w:r>
          </w:p>
        </w:tc>
        <w:tc>
          <w:tcPr>
            <w:tcW w:w="20" w:type="dxa"/>
            <w:vAlign w:val="bottom"/>
            <w:tcBorders>
              <w:top w:val="single" w:sz="8" w:color="auto"/>
              <w:bottom w:val="single" w:sz="8" w:color="D9D9D6"/>
            </w:tcBorders>
            <w:shd w:val="clear" w:color="auto" w:fill="D9D9D6"/>
          </w:tcPr>
          <w:p>
            <w:pPr>
              <w:spacing w:after="0"/>
              <w:rPr>
                <w:sz w:val="18"/>
                <w:szCs w:val="18"/>
                <w:color w:val="auto"/>
              </w:rPr>
            </w:pPr>
          </w:p>
        </w:tc>
        <w:tc>
          <w:tcPr>
            <w:tcW w:w="860" w:type="dxa"/>
            <w:vAlign w:val="bottom"/>
            <w:tcBorders>
              <w:top w:val="single" w:sz="8" w:color="auto"/>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$2,091</w:t>
            </w:r>
          </w:p>
        </w:tc>
        <w:tc>
          <w:tcPr>
            <w:tcW w:w="40" w:type="dxa"/>
            <w:vAlign w:val="bottom"/>
            <w:tcBorders>
              <w:top w:val="single" w:sz="8" w:color="auto"/>
              <w:bottom w:val="single" w:sz="8" w:color="D9D9D6"/>
            </w:tcBorders>
            <w:shd w:val="clear" w:color="auto" w:fill="D9D9D6"/>
          </w:tcPr>
          <w:p>
            <w:pPr>
              <w:spacing w:after="0"/>
              <w:rPr>
                <w:sz w:val="18"/>
                <w:szCs w:val="18"/>
                <w:color w:val="auto"/>
              </w:rPr>
            </w:pPr>
          </w:p>
        </w:tc>
        <w:tc>
          <w:tcPr>
            <w:tcW w:w="1000" w:type="dxa"/>
            <w:vAlign w:val="bottom"/>
            <w:tcBorders>
              <w:top w:val="single" w:sz="8" w:color="auto"/>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(38.7 %)</w:t>
            </w:r>
          </w:p>
        </w:tc>
        <w:tc>
          <w:tcPr>
            <w:tcW w:w="20" w:type="dxa"/>
            <w:vAlign w:val="bottom"/>
            <w:tcBorders>
              <w:top w:val="single" w:sz="8" w:color="auto"/>
              <w:bottom w:val="single" w:sz="8" w:color="D9D9D6"/>
            </w:tcBorders>
            <w:shd w:val="clear" w:color="auto" w:fill="D9D9D6"/>
          </w:tcPr>
          <w:p>
            <w:pPr>
              <w:spacing w:after="0"/>
              <w:rPr>
                <w:sz w:val="18"/>
                <w:szCs w:val="18"/>
                <w:color w:val="auto"/>
              </w:rPr>
            </w:pPr>
          </w:p>
        </w:tc>
        <w:tc>
          <w:tcPr>
            <w:tcW w:w="260" w:type="dxa"/>
            <w:vAlign w:val="bottom"/>
            <w:tcBorders>
              <w:top w:val="single" w:sz="8" w:color="D9D9D6"/>
              <w:bottom w:val="single" w:sz="8" w:color="D9D9D6"/>
              <w:right w:val="single" w:sz="8" w:color="97999B"/>
            </w:tcBorders>
            <w:shd w:val="clear" w:color="auto" w:fill="D9D9D6"/>
          </w:tcPr>
          <w:p>
            <w:pPr>
              <w:spacing w:after="0"/>
              <w:rPr>
                <w:sz w:val="18"/>
                <w:szCs w:val="18"/>
                <w:color w:val="auto"/>
              </w:rPr>
            </w:pPr>
          </w:p>
        </w:tc>
        <w:tc>
          <w:tcPr>
            <w:tcW w:w="220" w:type="dxa"/>
            <w:vAlign w:val="bottom"/>
            <w:tcBorders>
              <w:top w:val="single" w:sz="8" w:color="D9D9D6"/>
              <w:bottom w:val="single" w:sz="8" w:color="D9D9D6"/>
            </w:tcBorders>
            <w:shd w:val="clear" w:color="auto" w:fill="D9D9D6"/>
          </w:tcPr>
          <w:p>
            <w:pPr>
              <w:spacing w:after="0"/>
              <w:rPr>
                <w:sz w:val="18"/>
                <w:szCs w:val="18"/>
                <w:color w:val="auto"/>
              </w:rPr>
            </w:pPr>
          </w:p>
        </w:tc>
        <w:tc>
          <w:tcPr>
            <w:tcW w:w="860" w:type="dxa"/>
            <w:vAlign w:val="bottom"/>
            <w:tcBorders>
              <w:top w:val="single" w:sz="8" w:color="auto"/>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$4,666</w:t>
            </w:r>
          </w:p>
        </w:tc>
        <w:tc>
          <w:tcPr>
            <w:tcW w:w="20" w:type="dxa"/>
            <w:vAlign w:val="bottom"/>
            <w:tcBorders>
              <w:top w:val="single" w:sz="8" w:color="auto"/>
              <w:bottom w:val="single" w:sz="8" w:color="D9D9D6"/>
            </w:tcBorders>
            <w:shd w:val="clear" w:color="auto" w:fill="D9D9D6"/>
          </w:tcPr>
          <w:p>
            <w:pPr>
              <w:spacing w:after="0"/>
              <w:rPr>
                <w:sz w:val="18"/>
                <w:szCs w:val="18"/>
                <w:color w:val="auto"/>
              </w:rPr>
            </w:pPr>
          </w:p>
        </w:tc>
        <w:tc>
          <w:tcPr>
            <w:tcW w:w="860" w:type="dxa"/>
            <w:vAlign w:val="bottom"/>
            <w:tcBorders>
              <w:top w:val="single" w:sz="8" w:color="auto"/>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$6,752</w:t>
            </w:r>
          </w:p>
        </w:tc>
        <w:tc>
          <w:tcPr>
            <w:tcW w:w="60" w:type="dxa"/>
            <w:vAlign w:val="bottom"/>
            <w:tcBorders>
              <w:top w:val="single" w:sz="8" w:color="auto"/>
              <w:bottom w:val="single" w:sz="8" w:color="D9D9D6"/>
            </w:tcBorders>
            <w:shd w:val="clear" w:color="auto" w:fill="D9D9D6"/>
          </w:tcPr>
          <w:p>
            <w:pPr>
              <w:spacing w:after="0"/>
              <w:rPr>
                <w:sz w:val="18"/>
                <w:szCs w:val="18"/>
                <w:color w:val="auto"/>
              </w:rPr>
            </w:pPr>
          </w:p>
        </w:tc>
        <w:tc>
          <w:tcPr>
            <w:tcW w:w="180" w:type="dxa"/>
            <w:vAlign w:val="bottom"/>
            <w:tcBorders>
              <w:top w:val="single" w:sz="8" w:color="auto"/>
              <w:bottom w:val="single" w:sz="8" w:color="D9D9D6"/>
            </w:tcBorders>
            <w:shd w:val="clear" w:color="auto" w:fill="D9D9D6"/>
          </w:tcPr>
          <w:p>
            <w:pPr>
              <w:spacing w:after="0"/>
              <w:rPr>
                <w:sz w:val="18"/>
                <w:szCs w:val="18"/>
                <w:color w:val="auto"/>
              </w:rPr>
            </w:pPr>
          </w:p>
        </w:tc>
        <w:tc>
          <w:tcPr>
            <w:tcW w:w="820" w:type="dxa"/>
            <w:vAlign w:val="bottom"/>
            <w:tcBorders>
              <w:top w:val="single" w:sz="8" w:color="auto"/>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(30.9 %)</w:t>
            </w:r>
          </w:p>
        </w:tc>
        <w:tc>
          <w:tcPr>
            <w:tcW w:w="20" w:type="dxa"/>
            <w:vAlign w:val="bottom"/>
            <w:tcBorders>
              <w:top w:val="single" w:sz="8" w:color="auto"/>
              <w:bottom w:val="single" w:sz="8" w:color="D9D9D6"/>
            </w:tcBorders>
            <w:shd w:val="clear" w:color="auto" w:fill="D9D9D6"/>
          </w:tcPr>
          <w:p>
            <w:pPr>
              <w:spacing w:after="0"/>
              <w:rPr>
                <w:sz w:val="18"/>
                <w:szCs w:val="18"/>
                <w:color w:val="auto"/>
              </w:rPr>
            </w:pPr>
          </w:p>
        </w:tc>
        <w:tc>
          <w:tcPr>
            <w:tcW w:w="120" w:type="dxa"/>
            <w:vAlign w:val="bottom"/>
            <w:tcBorders>
              <w:top w:val="single" w:sz="8" w:color="D9D9D6"/>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23"/>
        </w:trPr>
        <w:tc>
          <w:tcPr>
            <w:tcW w:w="1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18.9% to $6.7 billion in the third quarter of 2020.</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38.7% to $1.3 billion.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2020, NBCUniversal revenue decreased 17.1% to $20.6 billion compared to last year's results.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decreased 30.9% to $4.7 billion.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Networks revenue decreased 1.3% to $2.7 billion in the third quarter of 2020, due to lower distribution revenue and advertising revenue, partially offset by higher content licensing and other revenue. Distribution revenue decreased 3.8%, reflecting credits accrued at some of our RSNs resulting from the reduced number of games played by professional sports leagues due to COVID-19 and a decline in subscribers, partially offset by contractual rate increases. Advertising revenue decreased 2.1%, reflecting continued ratings declines at our networks, partially offset by revenue from the broadcasts of rescheduled sporting events that were previously postponed due to COVID-19. Content licensing and other revenue increased 16.6%, due to the timing of content provided under licensing agreements, including transactions with Peacock in the third quarter of 2020. Adjusted EBITDA decreased 8.9% to $870 million in the third quarter of 2020, due to lower revenue and higher programming and production expenses, partially offset by lower advertising, marketing and promotion costs and other operating and administrative costs. The increase in programming and production expenses was primarily driven by an increase in sports programming costs as professional sports leagues resumed seasons following postponements due to COVID-19.</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nine months ended September 30, 2020, revenue from the Cable Networks segment decreased 5.5% to $8.1 billion compared to 2019, due to lower distribution and advertising revenue, partially offset by higher content licensing and other revenue. Adjusted EBITDA decreased 1.7% to $ 3.4 billion compared to 2019, due to lower revenue, partially offset by lower operating costs. The decrease in operating costs was driven by lower programming and production expenses, reflecting a decrease in sports programming costs due to the reduced number of sporting events due to COVID-19, partially offset by an increase in studio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Broadcast Television revenue increased 8.3% to $2.4 billion in the third quarter of 2020, due to higher content licensing revenue and distribution and other revenue, partially offset by lower advertising revenue. Content licensing revenue increased 65.6%, reflecting the timing of content provided under licensing agreements, including transactions with Peacock in the third quarter of 2020. Distribution and other revenue increased 4.9%, due to higher retransmission consent fees. Advertising revenue decreased 11.5%, reflecting continued ratings declines, partially offset by higher pricing and local political ad sales. Adjusted EBITDA increased 28.7% to $436 million in the third quarter of 2020, due to higher revenue, lower advertising, marketing and promotion costs and lower operating and administrative costs, partially offset by higher programming and production expenses. The increase in programming and production expenses was primarily due to higher content licensing sales.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nine months ended September 30, 2020, revenue from the Broadcast Television segment increased 5.1% to $7.5 billion compared to 2019, due to an increase in content licensing and distribution and other revenue, partially offset by lower advertising revenue. Adjusted EBITDA increased 25.3% to $1.6 billion compared to 2019, due to higher revenue, partially offset by a modest increase in operating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Filmed Entertainment revenue decreased 25.0% to $1.3 billion in the third quarter of 2020, due to lower theatrical and other revenue, partially offset by higher content licensing and home entertainment revenue. Theatrical revenue decreased 94.7%, primarily driven by theater closures as a result of COVID-19. Other revenue decreased 44.8%, primarily due to decreases in revenue from our movie ticketing, entertainment and live stage play businesses, which were impacted by theater and entertainment venue closures as a result of COVID-19. Content licensing revenue increased 14.5%, due to the timing of content provided under licensing agreements, including transactions with Peacock in the third quarter of 2020. Home entertainment revenue increased 49.1%, which included the success of </w:t>
      </w:r>
      <w:r>
        <w:rPr>
          <w:rFonts w:ascii="Arial" w:cs="Arial" w:eastAsia="Arial" w:hAnsi="Arial"/>
          <w:sz w:val="18"/>
          <w:szCs w:val="18"/>
          <w:i w:val="1"/>
          <w:iCs w:val="1"/>
          <w:color w:val="auto"/>
        </w:rPr>
        <w:t>Trolls World Tour</w:t>
      </w:r>
      <w:r>
        <w:rPr>
          <w:rFonts w:ascii="Arial" w:cs="Arial" w:eastAsia="Arial" w:hAnsi="Arial"/>
          <w:sz w:val="18"/>
          <w:szCs w:val="18"/>
          <w:color w:val="auto"/>
        </w:rPr>
        <w:t>. Adjusted EBITDA increased 53.4% to $300 million in the third quarter of 2020, reflecting lower revenue, more than offset by a decline in operating costs due to lower spending on current period releases as a result of COVID-19.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684" w:right="3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8"/>
          <w:szCs w:val="18"/>
          <w:color w:val="auto"/>
        </w:rPr>
        <w:t>For the nine months ended September 30, 2020, revenue from the Filmed Entertainment segment decreased 22.0% to $3.8 billion compared to 2019, primarily reflecting lower theatrical revenue. Adjusted EBITDA decreased 14.6% to $634 million compared to 2019, due to lower revenue, partially offset by lower operating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Theme Parks revenue decreased 80.9% to $311 million in the third quarter of 2020, primarily due to Universal Orlando Resort and Universal Studios Japan operating at limited capacity, while Universal Studios Hollywood remains closed as a result of COVID-19. Theme Parks Adjusted EBITDA loss was $203 million in the third quarter of 2020.</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nine months ended September 30, 2020, revenue from the Theme Parks segment decreased 71.0% to $1.3 billion compared to 2019, primarily due to the temporary closures of Universal Studios Japan in late February and Universal Orlando Resort and Universal Studios Hollywood in mid-March as a result of COVID-19. Theme Parks Adjusted EBITDA loss was $526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September 30, 2020, NBCUniversal Headquarters, Other and Eliminations Adjusted EBITDA loss was $122 million, compared to a loss of $128 million in the third quarter of 2019.</w:t>
      </w:r>
    </w:p>
    <w:p>
      <w:pPr>
        <w:spacing w:after="0" w:line="20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For the nine months ended September 30, 2020, NBCUniversal Headquarters, Other and Eliminations Adjusted EBITDA loss was $381 million compared to a loss of $486 million in 2019.</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28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8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right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8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1340" w:type="dxa"/>
            <w:vAlign w:val="bottom"/>
            <w:gridSpan w:val="8"/>
            <w:shd w:val="clear" w:color="auto" w:fill="D9D9D6"/>
          </w:tcPr>
          <w:p>
            <w:pPr>
              <w:ind w:left="80"/>
              <w:spacing w:after="0"/>
              <w:rPr>
                <w:sz w:val="20"/>
                <w:szCs w:val="20"/>
                <w:color w:val="auto"/>
              </w:rPr>
            </w:pPr>
            <w:r>
              <w:rPr>
                <w:rFonts w:ascii="Arial" w:cs="Arial" w:eastAsia="Arial" w:hAnsi="Arial"/>
                <w:sz w:val="14"/>
                <w:szCs w:val="14"/>
                <w:color w:val="auto"/>
              </w:rPr>
              <w:t>3rd Quarter</w:t>
            </w:r>
          </w:p>
        </w:tc>
        <w:tc>
          <w:tcPr>
            <w:tcW w:w="48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6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1540" w:type="dxa"/>
            <w:vAlign w:val="bottom"/>
            <w:gridSpan w:val="6"/>
            <w:shd w:val="clear" w:color="auto" w:fill="D9D9D6"/>
          </w:tcPr>
          <w:p>
            <w:pPr>
              <w:spacing w:after="0"/>
              <w:rPr>
                <w:sz w:val="20"/>
                <w:szCs w:val="20"/>
                <w:color w:val="auto"/>
              </w:rPr>
            </w:pPr>
            <w:r>
              <w:rPr>
                <w:rFonts w:ascii="Arial" w:cs="Arial" w:eastAsia="Arial" w:hAnsi="Arial"/>
                <w:sz w:val="14"/>
                <w:szCs w:val="14"/>
                <w:color w:val="auto"/>
              </w:rPr>
              <w:t>Year to Date</w:t>
            </w: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0" w:type="dxa"/>
            <w:vAlign w:val="bottom"/>
            <w:tcBorders>
              <w:top w:val="single" w:sz="8" w:color="D9D9D6"/>
            </w:tcBorders>
            <w:shd w:val="clear" w:color="auto" w:fill="D9D9D6"/>
          </w:tcPr>
          <w:p>
            <w:pPr>
              <w:spacing w:after="0"/>
              <w:rPr>
                <w:sz w:val="20"/>
                <w:szCs w:val="20"/>
                <w:color w:val="auto"/>
              </w:rPr>
            </w:pPr>
          </w:p>
        </w:tc>
        <w:tc>
          <w:tcPr>
            <w:tcW w:w="2880" w:type="dxa"/>
            <w:vAlign w:val="bottom"/>
            <w:tcBorders>
              <w:top w:val="single" w:sz="8" w:color="D9D9D6"/>
            </w:tcBorders>
            <w:shd w:val="clear" w:color="auto" w:fill="D9D9D6"/>
          </w:tcPr>
          <w:p>
            <w:pPr>
              <w:spacing w:after="0"/>
              <w:rPr>
                <w:sz w:val="20"/>
                <w:szCs w:val="20"/>
                <w:color w:val="auto"/>
              </w:rPr>
            </w:pPr>
          </w:p>
        </w:tc>
        <w:tc>
          <w:tcPr>
            <w:tcW w:w="58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580" w:type="dxa"/>
            <w:vAlign w:val="bottom"/>
            <w:tcBorders>
              <w:top w:val="single" w:sz="8" w:color="D9D9D6"/>
            </w:tcBorders>
            <w:shd w:val="clear" w:color="auto" w:fill="D9D9D6"/>
          </w:tcPr>
          <w:p>
            <w:pPr>
              <w:spacing w:after="0"/>
              <w:rPr>
                <w:sz w:val="20"/>
                <w:szCs w:val="20"/>
                <w:color w:val="auto"/>
              </w:rPr>
            </w:pPr>
          </w:p>
        </w:tc>
        <w:tc>
          <w:tcPr>
            <w:tcW w:w="80" w:type="dxa"/>
            <w:vAlign w:val="bottom"/>
            <w:tcBorders>
              <w:top w:val="single" w:sz="8" w:color="D9D9D6"/>
            </w:tcBorders>
            <w:shd w:val="clear" w:color="auto" w:fill="D9D9D6"/>
          </w:tcPr>
          <w:p>
            <w:pPr>
              <w:spacing w:after="0"/>
              <w:rPr>
                <w:sz w:val="20"/>
                <w:szCs w:val="20"/>
                <w:color w:val="auto"/>
              </w:rPr>
            </w:pPr>
          </w:p>
        </w:tc>
        <w:tc>
          <w:tcPr>
            <w:tcW w:w="24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48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300" w:type="dxa"/>
            <w:vAlign w:val="bottom"/>
            <w:tcBorders>
              <w:top w:val="single" w:sz="8" w:color="D9D9D6"/>
            </w:tcBorders>
            <w:shd w:val="clear" w:color="auto" w:fill="D9D9D6"/>
          </w:tcPr>
          <w:p>
            <w:pPr>
              <w:spacing w:after="0"/>
              <w:rPr>
                <w:sz w:val="20"/>
                <w:szCs w:val="20"/>
                <w:color w:val="auto"/>
              </w:rPr>
            </w:pPr>
          </w:p>
        </w:tc>
        <w:tc>
          <w:tcPr>
            <w:tcW w:w="18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1060" w:type="dxa"/>
            <w:vAlign w:val="bottom"/>
            <w:tcBorders>
              <w:top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tcBorders>
              <w:top w:val="single" w:sz="8" w:color="D9D9D6"/>
              <w:right w:val="single" w:sz="8" w:color="97999B"/>
            </w:tcBorders>
            <w:shd w:val="clear" w:color="auto" w:fill="D9D9D6"/>
          </w:tcPr>
          <w:p>
            <w:pPr>
              <w:spacing w:after="0"/>
              <w:rPr>
                <w:sz w:val="20"/>
                <w:szCs w:val="20"/>
                <w:color w:val="auto"/>
              </w:rPr>
            </w:pPr>
          </w:p>
        </w:tc>
        <w:tc>
          <w:tcPr>
            <w:tcW w:w="100" w:type="dxa"/>
            <w:vAlign w:val="bottom"/>
            <w:tcBorders>
              <w:top w:val="single" w:sz="8" w:color="D9D9D6"/>
            </w:tcBorders>
            <w:shd w:val="clear" w:color="auto" w:fill="D9D9D6"/>
          </w:tcPr>
          <w:p>
            <w:pPr>
              <w:spacing w:after="0"/>
              <w:rPr>
                <w:sz w:val="20"/>
                <w:szCs w:val="20"/>
                <w:color w:val="auto"/>
              </w:rPr>
            </w:pPr>
          </w:p>
        </w:tc>
        <w:tc>
          <w:tcPr>
            <w:tcW w:w="64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20" w:type="dxa"/>
            <w:vAlign w:val="bottom"/>
            <w:tcBorders>
              <w:top w:val="single" w:sz="8" w:color="D9D9D6"/>
            </w:tcBorders>
            <w:shd w:val="clear" w:color="auto" w:fill="D9D9D6"/>
          </w:tcPr>
          <w:p>
            <w:pPr>
              <w:spacing w:after="0"/>
              <w:rPr>
                <w:sz w:val="20"/>
                <w:szCs w:val="20"/>
                <w:color w:val="auto"/>
              </w:rPr>
            </w:pPr>
          </w:p>
        </w:tc>
        <w:tc>
          <w:tcPr>
            <w:tcW w:w="42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auto"/>
            </w:tcBorders>
            <w:shd w:val="clear" w:color="auto" w:fill="D9D9D6"/>
          </w:tcPr>
          <w:p>
            <w:pPr>
              <w:spacing w:after="0"/>
              <w:rPr>
                <w:sz w:val="20"/>
                <w:szCs w:val="20"/>
                <w:color w:val="auto"/>
              </w:rPr>
            </w:pPr>
          </w:p>
        </w:tc>
        <w:tc>
          <w:tcPr>
            <w:tcW w:w="220" w:type="dxa"/>
            <w:vAlign w:val="bottom"/>
            <w:tcBorders>
              <w:top w:val="single" w:sz="8" w:color="auto"/>
            </w:tcBorders>
            <w:shd w:val="clear" w:color="auto" w:fill="D9D9D6"/>
          </w:tcPr>
          <w:p>
            <w:pPr>
              <w:spacing w:after="0"/>
              <w:rPr>
                <w:sz w:val="20"/>
                <w:szCs w:val="20"/>
                <w:color w:val="auto"/>
              </w:rPr>
            </w:pPr>
          </w:p>
        </w:tc>
        <w:tc>
          <w:tcPr>
            <w:tcW w:w="26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500" w:type="dxa"/>
            <w:vAlign w:val="bottom"/>
            <w:tcBorders>
              <w:top w:val="single" w:sz="8" w:color="D9D9D6"/>
            </w:tcBorders>
            <w:shd w:val="clear" w:color="auto" w:fill="D9D9D6"/>
          </w:tcPr>
          <w:p>
            <w:pPr>
              <w:spacing w:after="0"/>
              <w:rPr>
                <w:sz w:val="20"/>
                <w:szCs w:val="20"/>
                <w:color w:val="auto"/>
              </w:rPr>
            </w:pPr>
          </w:p>
        </w:tc>
        <w:tc>
          <w:tcPr>
            <w:tcW w:w="220" w:type="dxa"/>
            <w:vAlign w:val="bottom"/>
            <w:tcBorders>
              <w:top w:val="single" w:sz="8" w:color="D9D9D6"/>
            </w:tcBorders>
            <w:shd w:val="clear" w:color="auto" w:fill="D9D9D6"/>
          </w:tcPr>
          <w:p>
            <w:pPr>
              <w:spacing w:after="0"/>
              <w:rPr>
                <w:sz w:val="20"/>
                <w:szCs w:val="20"/>
                <w:color w:val="auto"/>
              </w:rPr>
            </w:pPr>
          </w:p>
        </w:tc>
        <w:tc>
          <w:tcPr>
            <w:tcW w:w="980" w:type="dxa"/>
            <w:vAlign w:val="bottom"/>
            <w:tcBorders>
              <w:top w:val="single" w:sz="8" w:color="D9D9D6"/>
            </w:tcBorders>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5"/>
        </w:trPr>
        <w:tc>
          <w:tcPr>
            <w:tcW w:w="120" w:type="dxa"/>
            <w:vAlign w:val="bottom"/>
            <w:shd w:val="clear" w:color="auto" w:fill="D9D9D6"/>
          </w:tcPr>
          <w:p>
            <w:pPr>
              <w:spacing w:after="0"/>
              <w:rPr>
                <w:sz w:val="11"/>
                <w:szCs w:val="11"/>
                <w:color w:val="auto"/>
              </w:rPr>
            </w:pPr>
          </w:p>
        </w:tc>
        <w:tc>
          <w:tcPr>
            <w:tcW w:w="2880" w:type="dxa"/>
            <w:vAlign w:val="bottom"/>
            <w:shd w:val="clear" w:color="auto" w:fill="D9D9D6"/>
          </w:tcPr>
          <w:p>
            <w:pPr>
              <w:spacing w:after="0"/>
              <w:rPr>
                <w:sz w:val="11"/>
                <w:szCs w:val="11"/>
                <w:color w:val="auto"/>
              </w:rPr>
            </w:pPr>
          </w:p>
        </w:tc>
        <w:tc>
          <w:tcPr>
            <w:tcW w:w="90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2020</w:t>
            </w:r>
          </w:p>
        </w:tc>
        <w:tc>
          <w:tcPr>
            <w:tcW w:w="9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480" w:type="dxa"/>
            <w:vAlign w:val="bottom"/>
            <w:shd w:val="clear" w:color="auto" w:fill="D9D9D6"/>
          </w:tcPr>
          <w:p>
            <w:pPr>
              <w:spacing w:after="0"/>
              <w:rPr>
                <w:sz w:val="11"/>
                <w:szCs w:val="11"/>
                <w:color w:val="auto"/>
              </w:rPr>
            </w:pPr>
          </w:p>
        </w:tc>
        <w:tc>
          <w:tcPr>
            <w:tcW w:w="520" w:type="dxa"/>
            <w:vAlign w:val="bottom"/>
            <w:gridSpan w:val="4"/>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1060" w:type="dxa"/>
            <w:vAlign w:val="bottom"/>
            <w:gridSpan w:val="4"/>
            <w:shd w:val="clear" w:color="auto" w:fill="D9D9D6"/>
          </w:tcPr>
          <w:p>
            <w:pPr>
              <w:jc w:val="right"/>
              <w:ind w:right="60"/>
              <w:spacing w:after="0" w:line="135" w:lineRule="exact"/>
              <w:rPr>
                <w:sz w:val="20"/>
                <w:szCs w:val="20"/>
                <w:color w:val="auto"/>
              </w:rPr>
            </w:pPr>
            <w:r>
              <w:rPr>
                <w:rFonts w:ascii="Arial" w:cs="Arial" w:eastAsia="Arial" w:hAnsi="Arial"/>
                <w:sz w:val="14"/>
                <w:szCs w:val="14"/>
                <w:color w:val="auto"/>
              </w:rPr>
              <w:t>Currency</w:t>
            </w:r>
          </w:p>
        </w:tc>
        <w:tc>
          <w:tcPr>
            <w:tcW w:w="140" w:type="dxa"/>
            <w:vAlign w:val="bottom"/>
            <w:tcBorders>
              <w:right w:val="single" w:sz="8" w:color="97999B"/>
            </w:tcBorders>
            <w:shd w:val="clear" w:color="auto" w:fill="D9D9D6"/>
          </w:tcPr>
          <w:p>
            <w:pPr>
              <w:spacing w:after="0"/>
              <w:rPr>
                <w:sz w:val="11"/>
                <w:szCs w:val="11"/>
                <w:color w:val="auto"/>
              </w:rPr>
            </w:pPr>
          </w:p>
        </w:tc>
        <w:tc>
          <w:tcPr>
            <w:tcW w:w="1280" w:type="dxa"/>
            <w:vAlign w:val="bottom"/>
            <w:gridSpan w:val="4"/>
            <w:vMerge w:val="restart"/>
            <w:shd w:val="clear" w:color="auto" w:fill="D9D9D6"/>
          </w:tcPr>
          <w:p>
            <w:pPr>
              <w:jc w:val="right"/>
              <w:ind w:right="220"/>
              <w:spacing w:after="0"/>
              <w:rPr>
                <w:sz w:val="20"/>
                <w:szCs w:val="20"/>
                <w:color w:val="auto"/>
              </w:rPr>
            </w:pPr>
            <w:r>
              <w:rPr>
                <w:rFonts w:ascii="Arial" w:cs="Arial" w:eastAsia="Arial" w:hAnsi="Arial"/>
                <w:sz w:val="14"/>
                <w:szCs w:val="14"/>
                <w:color w:val="auto"/>
              </w:rPr>
              <w:t>2020</w:t>
            </w:r>
          </w:p>
        </w:tc>
        <w:tc>
          <w:tcPr>
            <w:tcW w:w="960" w:type="dxa"/>
            <w:vAlign w:val="bottom"/>
            <w:gridSpan w:val="3"/>
            <w:vMerge w:val="restart"/>
            <w:shd w:val="clear" w:color="auto" w:fill="D9D9D6"/>
          </w:tcPr>
          <w:p>
            <w:pPr>
              <w:jc w:val="right"/>
              <w:ind w:right="220"/>
              <w:spacing w:after="0"/>
              <w:rPr>
                <w:sz w:val="20"/>
                <w:szCs w:val="20"/>
                <w:color w:val="auto"/>
              </w:rPr>
            </w:pPr>
            <w:r>
              <w:rPr>
                <w:rFonts w:ascii="Arial" w:cs="Arial" w:eastAsia="Arial" w:hAnsi="Arial"/>
                <w:sz w:val="14"/>
                <w:szCs w:val="14"/>
                <w:color w:val="auto"/>
              </w:rPr>
              <w:t>2019</w:t>
            </w:r>
          </w:p>
        </w:tc>
        <w:tc>
          <w:tcPr>
            <w:tcW w:w="260" w:type="dxa"/>
            <w:vAlign w:val="bottom"/>
            <w:shd w:val="clear" w:color="auto" w:fill="D9D9D6"/>
          </w:tcPr>
          <w:p>
            <w:pPr>
              <w:spacing w:after="0"/>
              <w:rPr>
                <w:sz w:val="11"/>
                <w:szCs w:val="11"/>
                <w:color w:val="auto"/>
              </w:rPr>
            </w:pPr>
          </w:p>
        </w:tc>
        <w:tc>
          <w:tcPr>
            <w:tcW w:w="20" w:type="dxa"/>
            <w:vAlign w:val="bottom"/>
            <w:shd w:val="clear" w:color="auto" w:fill="D9D9D6"/>
          </w:tcPr>
          <w:p>
            <w:pPr>
              <w:spacing w:after="0"/>
              <w:rPr>
                <w:sz w:val="11"/>
                <w:szCs w:val="11"/>
                <w:color w:val="auto"/>
              </w:rPr>
            </w:pPr>
          </w:p>
        </w:tc>
        <w:tc>
          <w:tcPr>
            <w:tcW w:w="72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980" w:type="dxa"/>
            <w:vAlign w:val="bottom"/>
            <w:gridSpan w:val="4"/>
            <w:shd w:val="clear" w:color="auto" w:fill="D9D9D6"/>
          </w:tcPr>
          <w:p>
            <w:pPr>
              <w:jc w:val="right"/>
              <w:ind w:right="180"/>
              <w:spacing w:after="0" w:line="13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8"/>
        </w:trPr>
        <w:tc>
          <w:tcPr>
            <w:tcW w:w="120" w:type="dxa"/>
            <w:vAlign w:val="bottom"/>
            <w:shd w:val="clear" w:color="auto" w:fill="D9D9D6"/>
          </w:tcPr>
          <w:p>
            <w:pPr>
              <w:spacing w:after="0"/>
              <w:rPr>
                <w:sz w:val="12"/>
                <w:szCs w:val="12"/>
                <w:color w:val="auto"/>
              </w:rPr>
            </w:pPr>
          </w:p>
        </w:tc>
        <w:tc>
          <w:tcPr>
            <w:tcW w:w="288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00" w:type="dxa"/>
            <w:vAlign w:val="bottom"/>
            <w:gridSpan w:val="2"/>
            <w:vMerge w:val="continue"/>
            <w:shd w:val="clear" w:color="auto" w:fill="D9D9D6"/>
          </w:tcPr>
          <w:p>
            <w:pPr>
              <w:spacing w:after="0"/>
              <w:rPr>
                <w:sz w:val="12"/>
                <w:szCs w:val="12"/>
                <w:color w:val="auto"/>
              </w:rPr>
            </w:pPr>
          </w:p>
        </w:tc>
        <w:tc>
          <w:tcPr>
            <w:tcW w:w="920" w:type="dxa"/>
            <w:vAlign w:val="bottom"/>
            <w:gridSpan w:val="4"/>
            <w:vMerge w:val="continue"/>
            <w:shd w:val="clear" w:color="auto" w:fill="D9D9D6"/>
          </w:tcPr>
          <w:p>
            <w:pPr>
              <w:spacing w:after="0"/>
              <w:rPr>
                <w:sz w:val="12"/>
                <w:szCs w:val="12"/>
                <w:color w:val="auto"/>
              </w:rPr>
            </w:pPr>
          </w:p>
        </w:tc>
        <w:tc>
          <w:tcPr>
            <w:tcW w:w="480" w:type="dxa"/>
            <w:vAlign w:val="bottom"/>
            <w:shd w:val="clear" w:color="auto" w:fill="D9D9D6"/>
          </w:tcPr>
          <w:p>
            <w:pPr>
              <w:spacing w:after="0"/>
              <w:rPr>
                <w:sz w:val="12"/>
                <w:szCs w:val="12"/>
                <w:color w:val="auto"/>
              </w:rPr>
            </w:pPr>
          </w:p>
        </w:tc>
        <w:tc>
          <w:tcPr>
            <w:tcW w:w="520" w:type="dxa"/>
            <w:vAlign w:val="bottom"/>
            <w:gridSpan w:val="4"/>
            <w:vMerge w:val="continue"/>
            <w:shd w:val="clear" w:color="auto" w:fill="D9D9D6"/>
          </w:tcPr>
          <w:p>
            <w:pPr>
              <w:spacing w:after="0"/>
              <w:rPr>
                <w:sz w:val="12"/>
                <w:szCs w:val="12"/>
                <w:color w:val="auto"/>
              </w:rPr>
            </w:pPr>
          </w:p>
        </w:tc>
        <w:tc>
          <w:tcPr>
            <w:tcW w:w="480" w:type="dxa"/>
            <w:vAlign w:val="bottom"/>
            <w:shd w:val="clear" w:color="auto" w:fill="D9D9D6"/>
          </w:tcPr>
          <w:p>
            <w:pPr>
              <w:spacing w:after="0"/>
              <w:rPr>
                <w:sz w:val="12"/>
                <w:szCs w:val="12"/>
                <w:color w:val="auto"/>
              </w:rPr>
            </w:pPr>
          </w:p>
        </w:tc>
        <w:tc>
          <w:tcPr>
            <w:tcW w:w="580" w:type="dxa"/>
            <w:vAlign w:val="bottom"/>
            <w:gridSpan w:val="3"/>
            <w:shd w:val="clear" w:color="auto" w:fill="D9D9D6"/>
          </w:tcPr>
          <w:p>
            <w:pPr>
              <w:jc w:val="right"/>
              <w:ind w:right="20"/>
              <w:spacing w:after="0" w:line="149" w:lineRule="exact"/>
              <w:rPr>
                <w:sz w:val="20"/>
                <w:szCs w:val="20"/>
                <w:color w:val="auto"/>
              </w:rPr>
            </w:pPr>
            <w:r>
              <w:rPr>
                <w:rFonts w:ascii="Arial" w:cs="Arial" w:eastAsia="Arial" w:hAnsi="Arial"/>
                <w:sz w:val="14"/>
                <w:szCs w:val="14"/>
                <w:color w:val="auto"/>
                <w:w w:val="99"/>
              </w:rPr>
              <w:t>Change</w:t>
            </w:r>
            <w:r>
              <w:rPr>
                <w:rFonts w:ascii="Arial" w:cs="Arial" w:eastAsia="Arial" w:hAnsi="Arial"/>
                <w:sz w:val="9"/>
                <w:szCs w:val="9"/>
                <w:color w:val="auto"/>
                <w:w w:val="99"/>
              </w:rPr>
              <w:t>6</w:t>
            </w:r>
          </w:p>
        </w:tc>
        <w:tc>
          <w:tcPr>
            <w:tcW w:w="140" w:type="dxa"/>
            <w:vAlign w:val="bottom"/>
            <w:tcBorders>
              <w:right w:val="single" w:sz="8" w:color="97999B"/>
            </w:tcBorders>
            <w:shd w:val="clear" w:color="auto" w:fill="D9D9D6"/>
          </w:tcPr>
          <w:p>
            <w:pPr>
              <w:spacing w:after="0"/>
              <w:rPr>
                <w:sz w:val="12"/>
                <w:szCs w:val="12"/>
                <w:color w:val="auto"/>
              </w:rPr>
            </w:pPr>
          </w:p>
        </w:tc>
        <w:tc>
          <w:tcPr>
            <w:tcW w:w="1280" w:type="dxa"/>
            <w:vAlign w:val="bottom"/>
            <w:gridSpan w:val="4"/>
            <w:vMerge w:val="continue"/>
            <w:shd w:val="clear" w:color="auto" w:fill="D9D9D6"/>
          </w:tcPr>
          <w:p>
            <w:pPr>
              <w:spacing w:after="0"/>
              <w:rPr>
                <w:sz w:val="12"/>
                <w:szCs w:val="12"/>
                <w:color w:val="auto"/>
              </w:rPr>
            </w:pPr>
          </w:p>
        </w:tc>
        <w:tc>
          <w:tcPr>
            <w:tcW w:w="960" w:type="dxa"/>
            <w:vAlign w:val="bottom"/>
            <w:gridSpan w:val="3"/>
            <w:vMerge w:val="continue"/>
            <w:shd w:val="clear" w:color="auto" w:fill="D9D9D6"/>
          </w:tcPr>
          <w:p>
            <w:pPr>
              <w:spacing w:after="0"/>
              <w:rPr>
                <w:sz w:val="12"/>
                <w:szCs w:val="12"/>
                <w:color w:val="auto"/>
              </w:rPr>
            </w:pPr>
          </w:p>
        </w:tc>
        <w:tc>
          <w:tcPr>
            <w:tcW w:w="26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720" w:type="dxa"/>
            <w:vAlign w:val="bottom"/>
            <w:gridSpan w:val="2"/>
            <w:vMerge w:val="continue"/>
            <w:shd w:val="clear" w:color="auto" w:fill="D9D9D6"/>
          </w:tcPr>
          <w:p>
            <w:pPr>
              <w:spacing w:after="0"/>
              <w:rPr>
                <w:sz w:val="12"/>
                <w:szCs w:val="12"/>
                <w:color w:val="auto"/>
              </w:rPr>
            </w:pPr>
          </w:p>
        </w:tc>
        <w:tc>
          <w:tcPr>
            <w:tcW w:w="280" w:type="dxa"/>
            <w:vAlign w:val="bottom"/>
            <w:shd w:val="clear" w:color="auto" w:fill="D9D9D6"/>
          </w:tcPr>
          <w:p>
            <w:pPr>
              <w:spacing w:after="0"/>
              <w:rPr>
                <w:sz w:val="12"/>
                <w:szCs w:val="12"/>
                <w:color w:val="auto"/>
              </w:rPr>
            </w:pPr>
          </w:p>
        </w:tc>
        <w:tc>
          <w:tcPr>
            <w:tcW w:w="700" w:type="dxa"/>
            <w:vAlign w:val="bottom"/>
            <w:gridSpan w:val="3"/>
            <w:shd w:val="clear" w:color="auto" w:fill="D9D9D6"/>
          </w:tcPr>
          <w:p>
            <w:pPr>
              <w:spacing w:after="0" w:line="149"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2880" w:type="dxa"/>
            <w:vAlign w:val="bottom"/>
            <w:tcBorders>
              <w:top w:val="single" w:sz="8" w:color="D9D9D6"/>
            </w:tcBorders>
            <w:vMerge w:val="continue"/>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auto"/>
            </w:tcBorders>
            <w:shd w:val="clear" w:color="auto" w:fill="D9D9D6"/>
          </w:tcPr>
          <w:p>
            <w:pPr>
              <w:spacing w:after="0"/>
              <w:rPr>
                <w:sz w:val="17"/>
                <w:szCs w:val="17"/>
                <w:color w:val="auto"/>
              </w:rPr>
            </w:pPr>
          </w:p>
        </w:tc>
        <w:tc>
          <w:tcPr>
            <w:tcW w:w="24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8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auto"/>
            </w:tcBorders>
            <w:shd w:val="clear" w:color="auto" w:fill="D9D9D6"/>
          </w:tcPr>
          <w:p>
            <w:pPr>
              <w:spacing w:after="0"/>
              <w:rPr>
                <w:sz w:val="17"/>
                <w:szCs w:val="17"/>
                <w:color w:val="auto"/>
              </w:rPr>
            </w:pPr>
          </w:p>
        </w:tc>
        <w:tc>
          <w:tcPr>
            <w:tcW w:w="30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8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auto"/>
            </w:tcBorders>
            <w:shd w:val="clear" w:color="auto" w:fill="D9D9D6"/>
          </w:tcPr>
          <w:p>
            <w:pPr>
              <w:spacing w:after="0"/>
              <w:rPr>
                <w:sz w:val="17"/>
                <w:szCs w:val="17"/>
                <w:color w:val="auto"/>
              </w:rPr>
            </w:pPr>
          </w:p>
        </w:tc>
        <w:tc>
          <w:tcPr>
            <w:tcW w:w="12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right w:val="single" w:sz="8" w:color="97999B"/>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6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4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6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8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Direct-to-Consumer</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$3,943</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$3,793</w:t>
            </w:r>
          </w:p>
        </w:tc>
        <w:tc>
          <w:tcPr>
            <w:tcW w:w="8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3.9</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16"/>
                <w:szCs w:val="16"/>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(1.0 %)</w:t>
            </w:r>
          </w:p>
        </w:tc>
        <w:tc>
          <w:tcPr>
            <w:tcW w:w="140" w:type="dxa"/>
            <w:vAlign w:val="bottom"/>
            <w:tcBorders>
              <w:right w:val="single" w:sz="8" w:color="97999B"/>
            </w:tcBorders>
            <w:shd w:val="clear" w:color="auto" w:fill="D9D9D6"/>
          </w:tcPr>
          <w:p>
            <w:pPr>
              <w:spacing w:after="0"/>
              <w:rPr>
                <w:sz w:val="16"/>
                <w:szCs w:val="16"/>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$11,146</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$11,516</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(3.2 %)</w:t>
            </w:r>
          </w:p>
        </w:tc>
        <w:tc>
          <w:tcPr>
            <w:tcW w:w="2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(3.1 %)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Content</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388</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315</w:t>
            </w:r>
          </w:p>
        </w:tc>
        <w:tc>
          <w:tcPr>
            <w:tcW w:w="8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23.3</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16"/>
                <w:szCs w:val="16"/>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17.5 %</w:t>
            </w:r>
          </w:p>
        </w:tc>
        <w:tc>
          <w:tcPr>
            <w:tcW w:w="8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947</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1,061</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(10.7 %)</w:t>
            </w:r>
          </w:p>
        </w:tc>
        <w:tc>
          <w:tcPr>
            <w:tcW w:w="2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(10.4 %)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462</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446</w:t>
            </w:r>
          </w:p>
        </w:tc>
        <w:tc>
          <w:tcPr>
            <w:tcW w:w="8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3.7</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w:t>
            </w:r>
          </w:p>
        </w:tc>
        <w:tc>
          <w:tcPr>
            <w:tcW w:w="20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97999B"/>
            </w:tcBorders>
            <w:shd w:val="clear" w:color="auto" w:fill="D9D9D6"/>
          </w:tcPr>
          <w:p>
            <w:pPr>
              <w:spacing w:after="0"/>
              <w:rPr>
                <w:sz w:val="16"/>
                <w:szCs w:val="16"/>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1,296</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1,602</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(19.1 %)</w:t>
            </w:r>
          </w:p>
        </w:tc>
        <w:tc>
          <w:tcPr>
            <w:tcW w:w="2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(18.7 %)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28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0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$4,793</w:t>
            </w:r>
          </w:p>
        </w:tc>
        <w:tc>
          <w:tcPr>
            <w:tcW w:w="920" w:type="dxa"/>
            <w:vAlign w:val="bottom"/>
            <w:tcBorders>
              <w:top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$4,554</w:t>
            </w:r>
          </w:p>
        </w:tc>
        <w:tc>
          <w:tcPr>
            <w:tcW w:w="800" w:type="dxa"/>
            <w:vAlign w:val="bottom"/>
            <w:tcBorders>
              <w:top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5.2</w:t>
            </w:r>
          </w:p>
        </w:tc>
        <w:tc>
          <w:tcPr>
            <w:tcW w:w="180" w:type="dxa"/>
            <w:vAlign w:val="bottom"/>
            <w:tcBorders>
              <w:top w:val="single" w:sz="8" w:color="auto"/>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tcBorders>
              <w:top w:val="single" w:sz="8" w:color="auto"/>
            </w:tcBorders>
            <w:shd w:val="clear" w:color="auto" w:fill="D9D9D6"/>
          </w:tcPr>
          <w:p>
            <w:pPr>
              <w:spacing w:after="0"/>
              <w:rPr>
                <w:sz w:val="15"/>
                <w:szCs w:val="15"/>
                <w:color w:val="auto"/>
              </w:rPr>
            </w:pPr>
          </w:p>
        </w:tc>
        <w:tc>
          <w:tcPr>
            <w:tcW w:w="86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0.3</w:t>
            </w:r>
          </w:p>
        </w:tc>
        <w:tc>
          <w:tcPr>
            <w:tcW w:w="120" w:type="dxa"/>
            <w:vAlign w:val="bottom"/>
            <w:tcBorders>
              <w:top w:val="single" w:sz="8" w:color="auto"/>
            </w:tcBorders>
            <w:shd w:val="clear" w:color="auto" w:fill="D9D9D6"/>
          </w:tcPr>
          <w:p>
            <w:pPr>
              <w:spacing w:after="0"/>
              <w:rPr>
                <w:sz w:val="20"/>
                <w:szCs w:val="20"/>
                <w:color w:val="auto"/>
              </w:rPr>
            </w:pPr>
            <w:r>
              <w:rPr>
                <w:rFonts w:ascii="Arial" w:cs="Arial" w:eastAsia="Arial" w:hAnsi="Arial"/>
                <w:sz w:val="14"/>
                <w:szCs w:val="14"/>
                <w:b w:val="1"/>
                <w:bCs w:val="1"/>
                <w:color w:val="auto"/>
                <w:w w:val="79"/>
              </w:rPr>
              <w:t>%</w:t>
            </w:r>
          </w:p>
        </w:tc>
        <w:tc>
          <w:tcPr>
            <w:tcW w:w="80" w:type="dxa"/>
            <w:vAlign w:val="bottom"/>
            <w:tcBorders>
              <w:top w:val="single" w:sz="8" w:color="auto"/>
            </w:tcBorders>
            <w:shd w:val="clear" w:color="auto" w:fill="D9D9D6"/>
          </w:tcPr>
          <w:p>
            <w:pPr>
              <w:spacing w:after="0"/>
              <w:rPr>
                <w:sz w:val="15"/>
                <w:szCs w:val="15"/>
                <w:color w:val="auto"/>
              </w:rPr>
            </w:pPr>
          </w:p>
        </w:tc>
        <w:tc>
          <w:tcPr>
            <w:tcW w:w="140" w:type="dxa"/>
            <w:vAlign w:val="bottom"/>
            <w:tcBorders>
              <w:top w:val="single" w:sz="8" w:color="D9D9D6"/>
              <w:right w:val="single" w:sz="8" w:color="97999B"/>
            </w:tcBorders>
            <w:shd w:val="clear" w:color="auto" w:fill="D9D9D6"/>
          </w:tcPr>
          <w:p>
            <w:pPr>
              <w:spacing w:after="0"/>
              <w:rPr>
                <w:sz w:val="15"/>
                <w:szCs w:val="15"/>
                <w:color w:val="auto"/>
              </w:rPr>
            </w:pPr>
          </w:p>
        </w:tc>
        <w:tc>
          <w:tcPr>
            <w:tcW w:w="100" w:type="dxa"/>
            <w:vAlign w:val="bottom"/>
            <w:tcBorders>
              <w:top w:val="single" w:sz="8" w:color="D9D9D6"/>
            </w:tcBorders>
            <w:shd w:val="clear" w:color="auto" w:fill="D9D9D6"/>
          </w:tcPr>
          <w:p>
            <w:pPr>
              <w:spacing w:after="0"/>
              <w:rPr>
                <w:sz w:val="15"/>
                <w:szCs w:val="15"/>
                <w:color w:val="auto"/>
              </w:rPr>
            </w:pPr>
          </w:p>
        </w:tc>
        <w:tc>
          <w:tcPr>
            <w:tcW w:w="1180" w:type="dxa"/>
            <w:vAlign w:val="bottom"/>
            <w:tcBorders>
              <w:top w:val="single" w:sz="8" w:color="auto"/>
            </w:tcBorders>
            <w:gridSpan w:val="3"/>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$13,389</w:t>
            </w:r>
          </w:p>
        </w:tc>
        <w:tc>
          <w:tcPr>
            <w:tcW w:w="960" w:type="dxa"/>
            <w:vAlign w:val="bottom"/>
            <w:tcBorders>
              <w:top w:val="single" w:sz="8" w:color="auto"/>
            </w:tcBorders>
            <w:gridSpan w:val="3"/>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$14,179</w:t>
            </w:r>
          </w:p>
        </w:tc>
        <w:tc>
          <w:tcPr>
            <w:tcW w:w="780" w:type="dxa"/>
            <w:vAlign w:val="bottom"/>
            <w:tcBorders>
              <w:top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(5.6 %)</w:t>
            </w:r>
          </w:p>
        </w:tc>
        <w:tc>
          <w:tcPr>
            <w:tcW w:w="220" w:type="dxa"/>
            <w:vAlign w:val="bottom"/>
            <w:tcBorders>
              <w:top w:val="single" w:sz="8" w:color="auto"/>
            </w:tcBorders>
            <w:shd w:val="clear" w:color="auto" w:fill="D9D9D6"/>
          </w:tcPr>
          <w:p>
            <w:pPr>
              <w:spacing w:after="0"/>
              <w:rPr>
                <w:sz w:val="15"/>
                <w:szCs w:val="15"/>
                <w:color w:val="auto"/>
              </w:rPr>
            </w:pPr>
          </w:p>
        </w:tc>
        <w:tc>
          <w:tcPr>
            <w:tcW w:w="860" w:type="dxa"/>
            <w:vAlign w:val="bottom"/>
            <w:tcBorders>
              <w:top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(5.4 %)</w:t>
            </w:r>
          </w:p>
        </w:tc>
        <w:tc>
          <w:tcPr>
            <w:tcW w:w="120" w:type="dxa"/>
            <w:vAlign w:val="bottom"/>
            <w:tcBorders>
              <w:top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8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$4,278</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$3,655</w:t>
            </w: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17.0 %</w:t>
            </w:r>
          </w:p>
        </w:tc>
        <w:tc>
          <w:tcPr>
            <w:tcW w:w="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11.5 %</w:t>
            </w:r>
          </w:p>
        </w:tc>
        <w:tc>
          <w:tcPr>
            <w:tcW w:w="80" w:type="dxa"/>
            <w:vAlign w:val="bottom"/>
            <w:shd w:val="clear" w:color="auto" w:fill="D9D9D6"/>
          </w:tcPr>
          <w:p>
            <w:pPr>
              <w:spacing w:after="0"/>
              <w:rPr>
                <w:sz w:val="24"/>
                <w:szCs w:val="24"/>
                <w:color w:val="auto"/>
              </w:rPr>
            </w:pPr>
          </w:p>
        </w:tc>
        <w:tc>
          <w:tcPr>
            <w:tcW w:w="140" w:type="dxa"/>
            <w:vAlign w:val="bottom"/>
            <w:tcBorders>
              <w:right w:val="single" w:sz="8" w:color="97999B"/>
            </w:tcBorders>
            <w:shd w:val="clear" w:color="auto" w:fill="D9D9D6"/>
          </w:tcPr>
          <w:p>
            <w:pPr>
              <w:spacing w:after="0"/>
              <w:rPr>
                <w:sz w:val="24"/>
                <w:szCs w:val="24"/>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$11,574</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$11,845</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(2.3 %)</w:t>
            </w:r>
          </w:p>
        </w:tc>
        <w:tc>
          <w:tcPr>
            <w:tcW w:w="2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8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$515</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$899</w:t>
            </w: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(42.8 %)</w:t>
            </w:r>
          </w:p>
        </w:tc>
        <w:tc>
          <w:tcPr>
            <w:tcW w:w="20" w:type="dxa"/>
            <w:vAlign w:val="bottom"/>
            <w:shd w:val="clear" w:color="auto" w:fill="D9D9D6"/>
          </w:tcPr>
          <w:p>
            <w:pPr>
              <w:spacing w:after="0"/>
              <w:rPr>
                <w:sz w:val="24"/>
                <w:szCs w:val="24"/>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(45.4 %)</w:t>
            </w:r>
          </w:p>
        </w:tc>
        <w:tc>
          <w:tcPr>
            <w:tcW w:w="140" w:type="dxa"/>
            <w:vAlign w:val="bottom"/>
            <w:tcBorders>
              <w:right w:val="single" w:sz="8" w:color="97999B"/>
            </w:tcBorders>
            <w:shd w:val="clear" w:color="auto" w:fill="D9D9D6"/>
          </w:tcPr>
          <w:p>
            <w:pPr>
              <w:spacing w:after="0"/>
              <w:rPr>
                <w:sz w:val="24"/>
                <w:szCs w:val="24"/>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$1,815</w:t>
            </w:r>
          </w:p>
        </w:tc>
        <w:tc>
          <w:tcPr>
            <w:tcW w:w="96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$2,334</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(22.3 %)</w:t>
            </w:r>
          </w:p>
        </w:tc>
        <w:tc>
          <w:tcPr>
            <w:tcW w:w="2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(22.5 %)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80" w:type="dxa"/>
            <w:vAlign w:val="bottom"/>
            <w:shd w:val="clear" w:color="auto" w:fill="D9D9D6"/>
          </w:tcPr>
          <w:p>
            <w:pPr>
              <w:ind w:left="120"/>
              <w:spacing w:after="0"/>
              <w:rPr>
                <w:sz w:val="20"/>
                <w:szCs w:val="20"/>
                <w:color w:val="auto"/>
              </w:rPr>
            </w:pPr>
            <w:r>
              <w:rPr>
                <w:rFonts w:ascii="Arial" w:cs="Arial" w:eastAsia="Arial" w:hAnsi="Arial"/>
                <w:sz w:val="14"/>
                <w:szCs w:val="14"/>
                <w:i w:val="1"/>
                <w:iCs w:val="1"/>
                <w:color w:val="auto"/>
              </w:rPr>
              <w:t>Adjusted EBITDA Margin</w:t>
            </w:r>
          </w:p>
        </w:tc>
        <w:tc>
          <w:tcPr>
            <w:tcW w:w="9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i w:val="1"/>
                <w:iCs w:val="1"/>
                <w:color w:val="auto"/>
              </w:rPr>
              <w:t>10.7 %</w:t>
            </w: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19.7 %</w:t>
            </w:r>
          </w:p>
        </w:tc>
        <w:tc>
          <w:tcPr>
            <w:tcW w:w="20" w:type="dxa"/>
            <w:vAlign w:val="bottom"/>
            <w:shd w:val="clear" w:color="auto" w:fill="D9D9D6"/>
          </w:tcPr>
          <w:p>
            <w:pPr>
              <w:spacing w:after="0"/>
              <w:rPr>
                <w:sz w:val="16"/>
                <w:szCs w:val="16"/>
                <w:color w:val="auto"/>
              </w:rPr>
            </w:pPr>
          </w:p>
        </w:tc>
        <w:tc>
          <w:tcPr>
            <w:tcW w:w="4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8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13.6 %</w:t>
            </w:r>
          </w:p>
        </w:tc>
        <w:tc>
          <w:tcPr>
            <w:tcW w:w="220" w:type="dxa"/>
            <w:vAlign w:val="bottom"/>
            <w:shd w:val="clear" w:color="auto" w:fill="D9D9D6"/>
          </w:tcPr>
          <w:p>
            <w:pPr>
              <w:spacing w:after="0"/>
              <w:rPr>
                <w:sz w:val="16"/>
                <w:szCs w:val="16"/>
                <w:color w:val="auto"/>
              </w:rPr>
            </w:pP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16.5 %</w:t>
            </w:r>
          </w:p>
        </w:tc>
        <w:tc>
          <w:tcPr>
            <w:tcW w:w="220" w:type="dxa"/>
            <w:vAlign w:val="bottom"/>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2880" w:type="dxa"/>
            <w:vAlign w:val="bottom"/>
            <w:shd w:val="clear" w:color="auto" w:fill="D9D9D6"/>
          </w:tcPr>
          <w:p>
            <w:pPr>
              <w:spacing w:after="0"/>
              <w:rPr>
                <w:sz w:val="4"/>
                <w:szCs w:val="4"/>
                <w:color w:val="auto"/>
              </w:rPr>
            </w:pPr>
          </w:p>
        </w:tc>
        <w:tc>
          <w:tcPr>
            <w:tcW w:w="5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58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40" w:type="dxa"/>
            <w:vAlign w:val="bottom"/>
            <w:tcBorders>
              <w:right w:val="single" w:sz="8" w:color="97999B"/>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6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increased 5.2% to $4.8 billion in the third quarter of 2020. Excluding the impact of currency, revenue was consistent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due to higher content revenue, offset by lower direct-to-consumer revenue and advertising revenue. Content revenue increased 17.5% to $388 million, driven by higher wholesale revenue from sports programming as European football leagues resumed sporting events that were previously postponed due to COVID-19. Direct-to-consumer revenue decreased 1.0% to $3.9 billion, reflecting a decrease in customer relationships and average revenue per customer relationship that was consistent with the prior year period, and included growth in both customer relationships and average revenue per customer relationship in the U.K. Advertising revenue decreased 1.2% to $462 million, reflecting overall market weakness, partially offset by revenue from the broadcasts of rescheduled sporting events that were previously postponed due to COVID-19.</w:t>
      </w:r>
    </w:p>
    <w:p>
      <w:pPr>
        <w:spacing w:after="0" w:line="20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the nine months ended September 30, 2020, Sky revenue decreased 5.6% to $13.4 billion compared to 2019. Excluding the impact of currency, revenue decreased 5.4%, due to lower direct-to-consumer, advertising and content revenue.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684" w:right="339" w:bottom="1440" w:gutter="0" w:footer="0" w:header="0"/>
        </w:sectPr>
      </w:pPr>
    </w:p>
    <w:bookmarkStart w:id="9" w:name="page10"/>
    <w:bookmarkEnd w:id="9"/>
    <w:p>
      <w:pPr>
        <w:jc w:val="both"/>
        <w:ind w:right="20"/>
        <w:spacing w:after="0" w:line="292"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21,000 to 23.7 million in the third quarter of 2020, an improvement compared to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2020, and included net additions in the U.K.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40" w:type="dxa"/>
            <w:vAlign w:val="bottom"/>
            <w:shd w:val="clear" w:color="auto" w:fill="D9D9D6"/>
          </w:tcPr>
          <w:p>
            <w:pPr>
              <w:ind w:left="120"/>
              <w:spacing w:after="0"/>
              <w:rPr>
                <w:sz w:val="20"/>
                <w:szCs w:val="20"/>
                <w:color w:val="auto"/>
              </w:rPr>
            </w:pPr>
            <w:r>
              <w:rPr>
                <w:rFonts w:ascii="Arial" w:cs="Arial" w:eastAsia="Arial" w:hAnsi="Arial"/>
                <w:sz w:val="11"/>
                <w:szCs w:val="11"/>
                <w:i w:val="1"/>
                <w:iCs w:val="1"/>
                <w:color w:val="auto"/>
              </w:rPr>
              <w:t>(in thousands)</w:t>
            </w:r>
          </w:p>
        </w:tc>
        <w:tc>
          <w:tcPr>
            <w:tcW w:w="640" w:type="dxa"/>
            <w:vAlign w:val="bottom"/>
            <w:tcBorders>
              <w:right w:val="single" w:sz="8" w:color="D9D9D6"/>
            </w:tcBorders>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800" w:type="dxa"/>
            <w:vAlign w:val="bottom"/>
            <w:shd w:val="clear" w:color="auto" w:fill="D9D9D6"/>
          </w:tcPr>
          <w:p>
            <w:pPr>
              <w:spacing w:after="0"/>
              <w:rPr>
                <w:sz w:val="17"/>
                <w:szCs w:val="17"/>
                <w:color w:val="auto"/>
              </w:rPr>
            </w:pPr>
          </w:p>
        </w:tc>
        <w:tc>
          <w:tcPr>
            <w:tcW w:w="840" w:type="dxa"/>
            <w:vAlign w:val="bottom"/>
            <w:tcBorders>
              <w:right w:val="single" w:sz="8" w:color="D9D9D6"/>
            </w:tcBorders>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44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6140" w:type="dxa"/>
            <w:vAlign w:val="bottom"/>
            <w:shd w:val="clear" w:color="auto" w:fill="D9D9D6"/>
          </w:tcPr>
          <w:p>
            <w:pPr>
              <w:spacing w:after="0"/>
              <w:rPr>
                <w:sz w:val="15"/>
                <w:szCs w:val="15"/>
                <w:color w:val="auto"/>
              </w:rPr>
            </w:pPr>
          </w:p>
        </w:tc>
        <w:tc>
          <w:tcPr>
            <w:tcW w:w="640" w:type="dxa"/>
            <w:vAlign w:val="bottom"/>
            <w:tcBorders>
              <w:right w:val="single" w:sz="8" w:color="D9D9D6"/>
            </w:tcBorders>
            <w:shd w:val="clear" w:color="auto" w:fill="D9D9D6"/>
          </w:tcPr>
          <w:p>
            <w:pPr>
              <w:spacing w:after="0"/>
              <w:rPr>
                <w:sz w:val="15"/>
                <w:szCs w:val="15"/>
                <w:color w:val="auto"/>
              </w:rPr>
            </w:pPr>
          </w:p>
        </w:tc>
        <w:tc>
          <w:tcPr>
            <w:tcW w:w="70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Customers</w:t>
            </w:r>
          </w:p>
        </w:tc>
        <w:tc>
          <w:tcPr>
            <w:tcW w:w="28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800" w:type="dxa"/>
            <w:vAlign w:val="bottom"/>
            <w:shd w:val="clear" w:color="auto" w:fill="D9D9D6"/>
          </w:tcPr>
          <w:p>
            <w:pPr>
              <w:spacing w:after="0"/>
              <w:rPr>
                <w:sz w:val="15"/>
                <w:szCs w:val="15"/>
                <w:color w:val="auto"/>
              </w:rPr>
            </w:pPr>
          </w:p>
        </w:tc>
        <w:tc>
          <w:tcPr>
            <w:tcW w:w="840" w:type="dxa"/>
            <w:vAlign w:val="bottom"/>
            <w:tcBorders>
              <w:right w:val="single" w:sz="8" w:color="D9D9D6"/>
            </w:tcBorders>
            <w:shd w:val="clear" w:color="auto" w:fill="D9D9D6"/>
          </w:tcPr>
          <w:p>
            <w:pPr>
              <w:spacing w:after="0"/>
              <w:rPr>
                <w:sz w:val="15"/>
                <w:szCs w:val="15"/>
                <w:color w:val="auto"/>
              </w:rPr>
            </w:pPr>
          </w:p>
        </w:tc>
        <w:tc>
          <w:tcPr>
            <w:tcW w:w="90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Net Additions</w:t>
            </w:r>
          </w:p>
        </w:tc>
        <w:tc>
          <w:tcPr>
            <w:tcW w:w="10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20"/>
        </w:trPr>
        <w:tc>
          <w:tcPr>
            <w:tcW w:w="6140" w:type="dxa"/>
            <w:vAlign w:val="bottom"/>
            <w:shd w:val="clear" w:color="auto" w:fill="D9D9D6"/>
          </w:tcPr>
          <w:p>
            <w:pPr>
              <w:spacing w:after="0" w:line="20" w:lineRule="exact"/>
              <w:rPr>
                <w:sz w:val="1"/>
                <w:szCs w:val="1"/>
                <w:color w:val="auto"/>
              </w:rPr>
            </w:pPr>
          </w:p>
        </w:tc>
        <w:tc>
          <w:tcPr>
            <w:tcW w:w="640" w:type="dxa"/>
            <w:vAlign w:val="bottom"/>
            <w:tcBorders>
              <w:right w:val="single" w:sz="8" w:color="D9D9D6"/>
            </w:tcBorders>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840" w:type="dxa"/>
            <w:vAlign w:val="bottom"/>
            <w:tcBorders>
              <w:right w:val="single" w:sz="8" w:color="auto"/>
            </w:tcBorders>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69"/>
        </w:trPr>
        <w:tc>
          <w:tcPr>
            <w:tcW w:w="6140" w:type="dxa"/>
            <w:vAlign w:val="bottom"/>
            <w:tcBorders>
              <w:bottom w:val="single" w:sz="8" w:color="D9D9D6"/>
            </w:tcBorders>
            <w:shd w:val="clear" w:color="auto" w:fill="D9D9D6"/>
          </w:tcPr>
          <w:p>
            <w:pPr>
              <w:spacing w:after="0"/>
              <w:rPr>
                <w:sz w:val="14"/>
                <w:szCs w:val="14"/>
                <w:color w:val="auto"/>
              </w:rPr>
            </w:pPr>
          </w:p>
        </w:tc>
        <w:tc>
          <w:tcPr>
            <w:tcW w:w="640" w:type="dxa"/>
            <w:vAlign w:val="bottom"/>
            <w:tcBorders>
              <w:bottom w:val="single" w:sz="8" w:color="D9D9D6"/>
              <w:right w:val="single" w:sz="8" w:color="D9D9D6"/>
            </w:tcBorders>
            <w:shd w:val="clear" w:color="auto" w:fill="D9D9D6"/>
          </w:tcPr>
          <w:p>
            <w:pPr>
              <w:spacing w:after="0"/>
              <w:rPr>
                <w:sz w:val="14"/>
                <w:szCs w:val="14"/>
                <w:color w:val="auto"/>
              </w:rPr>
            </w:pPr>
          </w:p>
        </w:tc>
        <w:tc>
          <w:tcPr>
            <w:tcW w:w="3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3"/>
              </w:rPr>
              <w:t>3Q20</w:t>
            </w:r>
          </w:p>
        </w:tc>
        <w:tc>
          <w:tcPr>
            <w:tcW w:w="360" w:type="dxa"/>
            <w:vAlign w:val="bottom"/>
            <w:tcBorders>
              <w:bottom w:val="single" w:sz="8" w:color="D9D9D6"/>
            </w:tcBorders>
            <w:shd w:val="clear" w:color="auto" w:fill="D9D9D6"/>
          </w:tcPr>
          <w:p>
            <w:pPr>
              <w:spacing w:after="0"/>
              <w:rPr>
                <w:sz w:val="14"/>
                <w:szCs w:val="14"/>
                <w:color w:val="auto"/>
              </w:rPr>
            </w:pPr>
          </w:p>
        </w:tc>
        <w:tc>
          <w:tcPr>
            <w:tcW w:w="280" w:type="dxa"/>
            <w:vAlign w:val="bottom"/>
            <w:tcBorders>
              <w:bottom w:val="single" w:sz="8" w:color="D9D9D6"/>
            </w:tcBorders>
            <w:shd w:val="clear" w:color="auto" w:fill="D9D9D6"/>
          </w:tcPr>
          <w:p>
            <w:pPr>
              <w:spacing w:after="0"/>
              <w:rPr>
                <w:sz w:val="14"/>
                <w:szCs w:val="14"/>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9"/>
              </w:rPr>
              <w:t>3Q19</w:t>
            </w:r>
          </w:p>
        </w:tc>
        <w:tc>
          <w:tcPr>
            <w:tcW w:w="800" w:type="dxa"/>
            <w:vAlign w:val="bottom"/>
            <w:tcBorders>
              <w:bottom w:val="single" w:sz="8" w:color="D9D9D6"/>
            </w:tcBorders>
            <w:shd w:val="clear" w:color="auto" w:fill="D9D9D6"/>
          </w:tcPr>
          <w:p>
            <w:pPr>
              <w:spacing w:after="0"/>
              <w:rPr>
                <w:sz w:val="14"/>
                <w:szCs w:val="14"/>
                <w:color w:val="auto"/>
              </w:rPr>
            </w:pPr>
          </w:p>
        </w:tc>
        <w:tc>
          <w:tcPr>
            <w:tcW w:w="840" w:type="dxa"/>
            <w:vAlign w:val="bottom"/>
            <w:tcBorders>
              <w:bottom w:val="single" w:sz="8" w:color="D9D9D6"/>
              <w:right w:val="single" w:sz="8" w:color="D9D9D6"/>
            </w:tcBorders>
            <w:shd w:val="clear" w:color="auto" w:fill="D9D9D6"/>
          </w:tcPr>
          <w:p>
            <w:pPr>
              <w:spacing w:after="0"/>
              <w:rPr>
                <w:sz w:val="14"/>
                <w:szCs w:val="14"/>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9"/>
              </w:rPr>
              <w:t>3Q20</w:t>
            </w:r>
          </w:p>
        </w:tc>
        <w:tc>
          <w:tcPr>
            <w:tcW w:w="540" w:type="dxa"/>
            <w:vAlign w:val="bottom"/>
            <w:tcBorders>
              <w:bottom w:val="single" w:sz="8" w:color="D9D9D6"/>
            </w:tcBorders>
            <w:gridSpan w:val="2"/>
            <w:shd w:val="clear" w:color="auto" w:fill="D9D9D6"/>
          </w:tcPr>
          <w:p>
            <w:pPr>
              <w:spacing w:after="0"/>
              <w:rPr>
                <w:sz w:val="14"/>
                <w:szCs w:val="14"/>
                <w:color w:val="auto"/>
              </w:rPr>
            </w:pPr>
          </w:p>
        </w:tc>
        <w:tc>
          <w:tcPr>
            <w:tcW w:w="100" w:type="dxa"/>
            <w:vAlign w:val="bottom"/>
            <w:tcBorders>
              <w:bottom w:val="single" w:sz="8" w:color="D9D9D6"/>
            </w:tcBorders>
            <w:shd w:val="clear" w:color="auto" w:fill="D9D9D6"/>
          </w:tcPr>
          <w:p>
            <w:pPr>
              <w:spacing w:after="0"/>
              <w:rPr>
                <w:sz w:val="14"/>
                <w:szCs w:val="14"/>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9"/>
              </w:rPr>
              <w:t>3Q19</w:t>
            </w:r>
          </w:p>
        </w:tc>
        <w:tc>
          <w:tcPr>
            <w:tcW w:w="120" w:type="dxa"/>
            <w:vAlign w:val="bottom"/>
            <w:tcBorders>
              <w:bottom w:val="single" w:sz="8" w:color="D9D9D6"/>
            </w:tcBorders>
            <w:shd w:val="clear" w:color="auto" w:fill="D9D9D6"/>
          </w:tcPr>
          <w:p>
            <w:pPr>
              <w:spacing w:after="0"/>
              <w:rPr>
                <w:sz w:val="14"/>
                <w:szCs w:val="14"/>
                <w:color w:val="auto"/>
              </w:rPr>
            </w:pPr>
          </w:p>
        </w:tc>
      </w:tr>
      <w:tr>
        <w:trPr>
          <w:trHeight w:val="196"/>
        </w:trPr>
        <w:tc>
          <w:tcPr>
            <w:tcW w:w="6140" w:type="dxa"/>
            <w:vAlign w:val="bottom"/>
            <w:shd w:val="clear" w:color="auto" w:fill="D9D9D6"/>
          </w:tcPr>
          <w:p>
            <w:pPr>
              <w:ind w:left="22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23,695</w:t>
            </w:r>
          </w:p>
        </w:tc>
        <w:tc>
          <w:tcPr>
            <w:tcW w:w="360" w:type="dxa"/>
            <w:vAlign w:val="bottom"/>
            <w:shd w:val="clear" w:color="auto" w:fill="D9D9D6"/>
          </w:tcPr>
          <w:p>
            <w:pPr>
              <w:spacing w:after="0"/>
              <w:rPr>
                <w:sz w:val="17"/>
                <w:szCs w:val="17"/>
                <w:color w:val="auto"/>
              </w:rPr>
            </w:pPr>
          </w:p>
        </w:tc>
        <w:tc>
          <w:tcPr>
            <w:tcW w:w="6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23,918</w:t>
            </w:r>
          </w:p>
        </w:tc>
        <w:tc>
          <w:tcPr>
            <w:tcW w:w="800" w:type="dxa"/>
            <w:vAlign w:val="bottom"/>
            <w:shd w:val="clear" w:color="auto" w:fill="D9D9D6"/>
          </w:tcPr>
          <w:p>
            <w:pPr>
              <w:spacing w:after="0"/>
              <w:rPr>
                <w:sz w:val="17"/>
                <w:szCs w:val="17"/>
                <w:color w:val="auto"/>
              </w:rPr>
            </w:pPr>
          </w:p>
        </w:tc>
        <w:tc>
          <w:tcPr>
            <w:tcW w:w="12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w:t>
            </w:r>
          </w:p>
        </w:tc>
        <w:tc>
          <w:tcPr>
            <w:tcW w:w="44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4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(99)</w:t>
            </w:r>
          </w:p>
        </w:tc>
        <w:tc>
          <w:tcPr>
            <w:tcW w:w="120" w:type="dxa"/>
            <w:vAlign w:val="bottom"/>
            <w:shd w:val="clear" w:color="auto" w:fill="D9D9D6"/>
          </w:tcPr>
          <w:p>
            <w:pPr>
              <w:spacing w:after="0"/>
              <w:rPr>
                <w:sz w:val="17"/>
                <w:szCs w:val="17"/>
                <w:color w:val="auto"/>
              </w:rPr>
            </w:pPr>
          </w:p>
        </w:tc>
      </w:tr>
      <w:tr>
        <w:trPr>
          <w:trHeight w:val="54"/>
        </w:trPr>
        <w:tc>
          <w:tcPr>
            <w:tcW w:w="6140" w:type="dxa"/>
            <w:vAlign w:val="bottom"/>
            <w:shd w:val="clear" w:color="auto" w:fill="D9D9D6"/>
          </w:tcPr>
          <w:p>
            <w:pPr>
              <w:spacing w:after="0"/>
              <w:rPr>
                <w:sz w:val="4"/>
                <w:szCs w:val="4"/>
                <w:color w:val="auto"/>
              </w:rPr>
            </w:pPr>
          </w:p>
        </w:tc>
        <w:tc>
          <w:tcPr>
            <w:tcW w:w="640" w:type="dxa"/>
            <w:vAlign w:val="bottom"/>
            <w:tcBorders>
              <w:right w:val="single" w:sz="8" w:color="D9D9D6"/>
            </w:tcBorders>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800" w:type="dxa"/>
            <w:vAlign w:val="bottom"/>
            <w:shd w:val="clear" w:color="auto" w:fill="D9D9D6"/>
          </w:tcPr>
          <w:p>
            <w:pPr>
              <w:spacing w:after="0"/>
              <w:rPr>
                <w:sz w:val="4"/>
                <w:szCs w:val="4"/>
                <w:color w:val="auto"/>
              </w:rPr>
            </w:pPr>
          </w:p>
        </w:tc>
        <w:tc>
          <w:tcPr>
            <w:tcW w:w="840" w:type="dxa"/>
            <w:vAlign w:val="bottom"/>
            <w:tcBorders>
              <w:right w:val="single" w:sz="8" w:color="D9D9D6"/>
            </w:tcBorders>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44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decreased 42.8% to $515 million in the third quarter of 2020. Excluding the impact of currency,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45.4%, reflecting revenue that was consistent with the prior year period, offset by higher operating costs. The increase in operating costs was primarily driven by higher programming and production expenses, primarily due to an increase in sports programming costs as professional sports leagues resumed seasons following postponements due to COVID-19.</w:t>
      </w:r>
    </w:p>
    <w:p>
      <w:pPr>
        <w:spacing w:after="0" w:line="19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For the nine months ended September 30, 2020, Sky Adjusted EBITDA decreased 22.3% to $1.8 billion compared to 2019. Excluding the impact of currency, Adjusted EBITDA decreased 22.5%.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Corporate and Other primarily relates to corporate operations, Comcast Spectacor and Peacock. Revenue for the quarter ended September 30, 2020 was $ 84 million, an increase of $42 million compared to 2019. Corporate and Other Adjusted EBITDA loss was $496 million, an increase of $259 million compared to 2019, primarily due to costs associated with Peacock.</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2020, Corporate and Other revenue was $250 million, an increase of $44 million compared to 2019. Corporate and Other Adjusted EBITDA loss was $1.3 billion, an increase of $617 million compared to 2019, due to costs associated with Peacock and costs incurred in response to COVID-19, including severance and restructuring charges related to our NBCUniversal segments, which are presented in Corporate and Other.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Eliminations reflects the accounting for transactions between Cable Communications, NBCUniversal, Sky and Corporate and Other. Revenue eliminations for the quarter ended September 30, 2020 were $1.1 billion compared to $648 million in 2019, and Adjusted EBITDA eliminations were $128 million compared to $1 million in 2019. The increases were primarily driven by the licensing of content between our NBCUniversal segments and Peacock.</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nine months ended September 30, 2020, revenue eliminations were $2.7 billion compared to $2.0 billion in 2019, and Adjusted EBITDA eliminations were $250 million compared to $10 million in 2019. The increases were primarily driven by the licensing of content between our NBCUniversal segments and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49" w:lineRule="exact"/>
        <w:rPr>
          <w:sz w:val="20"/>
          <w:szCs w:val="20"/>
          <w:color w:val="auto"/>
        </w:rPr>
      </w:pPr>
    </w:p>
    <w:p>
      <w:pPr>
        <w:jc w:val="both"/>
        <w:ind w:left="180" w:hanging="172"/>
        <w:spacing w:after="0" w:line="260" w:lineRule="auto"/>
        <w:tabs>
          <w:tab w:leader="none" w:pos="232"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1" w:lineRule="exact"/>
        <w:rPr>
          <w:sz w:val="20"/>
          <w:szCs w:val="20"/>
          <w:color w:val="auto"/>
        </w:rPr>
      </w:pPr>
    </w:p>
    <w:p>
      <w:pPr>
        <w:jc w:val="both"/>
        <w:ind w:left="180" w:hanging="161"/>
        <w:spacing w:after="0" w:line="258"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8"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See Table 4 for reconciliation of non-GAAP financial measure.</w:t>
      </w:r>
    </w:p>
    <w:p>
      <w:pPr>
        <w:spacing w:after="0" w:line="123" w:lineRule="exact"/>
        <w:rPr>
          <w:sz w:val="20"/>
          <w:szCs w:val="20"/>
          <w:color w:val="auto"/>
        </w:rPr>
      </w:pPr>
    </w:p>
    <w:p>
      <w:pPr>
        <w:jc w:val="both"/>
        <w:ind w:left="180" w:hanging="161"/>
        <w:spacing w:after="0" w:line="271" w:lineRule="auto"/>
        <w:rPr>
          <w:sz w:val="20"/>
          <w:szCs w:val="20"/>
          <w:color w:val="auto"/>
        </w:rPr>
      </w:pPr>
      <w:r>
        <w:rPr>
          <w:rFonts w:ascii="Arial" w:cs="Arial" w:eastAsia="Arial" w:hAnsi="Arial"/>
          <w:sz w:val="18"/>
          <w:szCs w:val="18"/>
          <w:color w:val="auto"/>
        </w:rPr>
        <w:t>5 Cable Communications reported results for 2020 include the impacts of RSN related adjustments, affecting period-to-period comparability of our operating performance. We also present adjusted information, excluding the impacts of the RSN related adjustments. See Table 7 for reconciliation of non-GAAP financial measures.</w:t>
      </w:r>
    </w:p>
    <w:p>
      <w:pPr>
        <w:spacing w:after="0" w:line="109" w:lineRule="exact"/>
        <w:rPr>
          <w:sz w:val="20"/>
          <w:szCs w:val="20"/>
          <w:color w:val="auto"/>
        </w:rPr>
      </w:pPr>
    </w:p>
    <w:p>
      <w:pPr>
        <w:jc w:val="both"/>
        <w:ind w:left="180" w:hanging="161"/>
        <w:spacing w:after="0" w:line="271" w:lineRule="auto"/>
        <w:rPr>
          <w:sz w:val="20"/>
          <w:szCs w:val="20"/>
          <w:color w:val="auto"/>
        </w:rPr>
      </w:pPr>
      <w:r>
        <w:rPr>
          <w:rFonts w:ascii="Arial" w:cs="Arial" w:eastAsia="Arial" w:hAnsi="Arial"/>
          <w:sz w:val="18"/>
          <w:szCs w:val="18"/>
          <w:color w:val="auto"/>
        </w:rPr>
        <w:t>6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29, 2020 at 8:30 a.m. Eastern Time (ET). The conference call and related materials will be broadcast live and posted on its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(800) 263-8495 with the conference ID number 3090648. A replay of the call will be available starting at 12:00 p.m. ET on October 29, 2020, on the Investor Relations website or by telephone. To access the telephone replay, which will be available until Thursday, November 5, 2020 at midnight ET, please dial (855) 859-2056 and enter the conference ID number 3090648.</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21"/>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9"/>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About Comcast Corporation</w:t>
      </w:r>
    </w:p>
    <w:p>
      <w:pPr>
        <w:spacing w:after="0" w:line="2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Comcast Corporation (Nasdaq: CMCSA) is a global media and technology company with three primary businesses: Comcast Cable, NBCUniversal, and Sky.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 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686"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414655</wp:posOffset>
            </wp:positionV>
            <wp:extent cx="10287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224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$25,532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$26,827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$75,856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$80,544</w:t>
            </w:r>
          </w:p>
        </w:tc>
        <w:tc>
          <w:tcPr>
            <w:tcW w:w="0" w:type="dxa"/>
            <w:vAlign w:val="bottom"/>
          </w:tcPr>
          <w:p>
            <w:pPr>
              <w:spacing w:after="0"/>
              <w:rPr>
                <w:sz w:val="1"/>
                <w:szCs w:val="1"/>
                <w:color w:val="auto"/>
              </w:rPr>
            </w:pPr>
          </w:p>
        </w:tc>
      </w:tr>
      <w:tr>
        <w:trPr>
          <w:trHeight w:val="469"/>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8,565</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23,683</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540" w:type="dxa"/>
            <w:vAlign w:val="bottom"/>
          </w:tcPr>
          <w:p>
            <w:pPr>
              <w:ind w:left="440"/>
              <w:spacing w:after="0"/>
              <w:rPr>
                <w:sz w:val="20"/>
                <w:szCs w:val="20"/>
                <w:color w:val="auto"/>
              </w:rPr>
            </w:pPr>
            <w:r>
              <w:rPr>
                <w:rFonts w:ascii="Arial" w:cs="Arial" w:eastAsia="Arial" w:hAnsi="Arial"/>
                <w:sz w:val="16"/>
                <w:szCs w:val="16"/>
                <w:color w:val="auto"/>
              </w:rPr>
              <w:t>Programming and production</w:t>
            </w: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8,316</w:t>
            </w: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25,140</w:t>
            </w: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8,059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8,090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23,959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24,076</w:t>
            </w: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6"/>
                <w:szCs w:val="16"/>
                <w:color w:val="auto"/>
              </w:rPr>
              <w:t>Advertising, 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1,512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4,791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5,674</w:t>
            </w: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2,122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6,328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6,561</w:t>
            </w:r>
          </w:p>
        </w:tc>
        <w:tc>
          <w:tcPr>
            <w:tcW w:w="0" w:type="dxa"/>
            <w:vAlign w:val="bottom"/>
          </w:tcPr>
          <w:p>
            <w:pPr>
              <w:spacing w:after="0"/>
              <w:rPr>
                <w:sz w:val="1"/>
                <w:szCs w:val="1"/>
                <w:color w:val="auto"/>
              </w:rPr>
            </w:pPr>
          </w:p>
        </w:tc>
      </w:tr>
      <w:tr>
        <w:trPr>
          <w:trHeight w:val="223"/>
        </w:trPr>
        <w:tc>
          <w:tcPr>
            <w:tcW w:w="6540" w:type="dxa"/>
            <w:vAlign w:val="bottom"/>
          </w:tcPr>
          <w:p>
            <w:pPr>
              <w:ind w:left="44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1,198</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3,520</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3,215</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21,456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62,281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64,666</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4,076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5,340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13,575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15,878</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(1,220)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(3,544)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(3,454)</w:t>
            </w:r>
          </w:p>
        </w:tc>
        <w:tc>
          <w:tcPr>
            <w:tcW w:w="0" w:type="dxa"/>
            <w:vAlign w:val="bottom"/>
          </w:tcPr>
          <w:p>
            <w:pPr>
              <w:spacing w:after="0"/>
              <w:rPr>
                <w:sz w:val="1"/>
                <w:szCs w:val="1"/>
                <w:color w:val="auto"/>
              </w:rPr>
            </w:pPr>
          </w:p>
        </w:tc>
      </w:tr>
      <w:tr>
        <w:trPr>
          <w:trHeight w:val="475"/>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(266)</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(634)</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540" w:type="dxa"/>
            <w:vAlign w:val="bottom"/>
          </w:tcPr>
          <w:p>
            <w:pPr>
              <w:ind w:left="44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w:t>
            </w: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23"/>
        </w:trPr>
        <w:tc>
          <w:tcPr>
            <w:tcW w:w="6540" w:type="dxa"/>
            <w:vAlign w:val="bottom"/>
          </w:tcPr>
          <w:p>
            <w:pPr>
              <w:ind w:left="44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2,770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4,063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9,649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12,935</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(739)</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(2,385)</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2,031</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3,288</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7,264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10,123</w:t>
            </w:r>
          </w:p>
        </w:tc>
        <w:tc>
          <w:tcPr>
            <w:tcW w:w="0" w:type="dxa"/>
            <w:vAlign w:val="bottom"/>
          </w:tcPr>
          <w:p>
            <w:pPr>
              <w:spacing w:after="0"/>
              <w:rPr>
                <w:sz w:val="1"/>
                <w:szCs w:val="1"/>
                <w:color w:val="auto"/>
              </w:rPr>
            </w:pPr>
          </w:p>
        </w:tc>
      </w:tr>
      <w:tr>
        <w:trPr>
          <w:trHeight w:val="42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110</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22"/>
        </w:trPr>
        <w:tc>
          <w:tcPr>
            <w:tcW w:w="654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$7,154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$0.44</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$0.70</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$1.55</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4,628</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4,619</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4,616</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834"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440690</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407"/>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$7,264</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$10,123</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9,848</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9,776</w:t>
            </w:r>
          </w:p>
        </w:tc>
        <w:tc>
          <w:tcPr>
            <w:tcW w:w="0" w:type="dxa"/>
            <w:vAlign w:val="bottom"/>
          </w:tcPr>
          <w:p>
            <w:pPr>
              <w:spacing w:after="0"/>
              <w:rPr>
                <w:sz w:val="1"/>
                <w:szCs w:val="1"/>
                <w:color w:val="auto"/>
              </w:rPr>
            </w:pPr>
          </w:p>
        </w:tc>
      </w:tr>
      <w:tr>
        <w:trPr>
          <w:trHeight w:val="216"/>
        </w:trPr>
        <w:tc>
          <w:tcPr>
            <w:tcW w:w="8900" w:type="dxa"/>
            <w:vAlign w:val="bottom"/>
          </w:tcPr>
          <w:p>
            <w:pPr>
              <w:ind w:left="52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922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16"/>
        </w:trPr>
        <w:tc>
          <w:tcPr>
            <w:tcW w:w="8900" w:type="dxa"/>
            <w:vAlign w:val="bottom"/>
          </w:tcPr>
          <w:p>
            <w:pPr>
              <w:ind w:left="52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606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6"/>
        </w:trPr>
        <w:tc>
          <w:tcPr>
            <w:tcW w:w="8900" w:type="dxa"/>
            <w:vAlign w:val="bottom"/>
          </w:tcPr>
          <w:p>
            <w:pPr>
              <w:ind w:left="52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514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8"/>
        </w:trPr>
        <w:tc>
          <w:tcPr>
            <w:tcW w:w="8900" w:type="dxa"/>
            <w:vAlign w:val="bottom"/>
          </w:tcPr>
          <w:p>
            <w:pPr>
              <w:ind w:left="52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982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52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6"/>
        </w:trPr>
        <w:tc>
          <w:tcPr>
            <w:tcW w:w="8900" w:type="dxa"/>
            <w:vAlign w:val="bottom"/>
          </w:tcPr>
          <w:p>
            <w:pPr>
              <w:ind w:left="52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6"/>
        </w:trPr>
        <w:tc>
          <w:tcPr>
            <w:tcW w:w="8900" w:type="dxa"/>
            <w:vAlign w:val="bottom"/>
          </w:tcPr>
          <w:p>
            <w:pPr>
              <w:ind w:left="52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(545)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23"/>
        </w:trPr>
        <w:tc>
          <w:tcPr>
            <w:tcW w:w="8900" w:type="dxa"/>
            <w:vAlign w:val="bottom"/>
          </w:tcPr>
          <w:p>
            <w:pPr>
              <w:ind w:left="52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412"/>
        </w:trPr>
        <w:tc>
          <w:tcPr>
            <w:tcW w:w="8900" w:type="dxa"/>
            <w:vAlign w:val="bottom"/>
          </w:tcPr>
          <w:p>
            <w:pPr>
              <w:ind w:left="96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19,695</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19,462</w:t>
            </w:r>
          </w:p>
        </w:tc>
        <w:tc>
          <w:tcPr>
            <w:tcW w:w="0" w:type="dxa"/>
            <w:vAlign w:val="bottom"/>
          </w:tcPr>
          <w:p>
            <w:pPr>
              <w:spacing w:after="0"/>
              <w:rPr>
                <w:sz w:val="1"/>
                <w:szCs w:val="1"/>
                <w:color w:val="auto"/>
              </w:rPr>
            </w:pPr>
          </w:p>
        </w:tc>
      </w:tr>
      <w:tr>
        <w:trPr>
          <w:trHeight w:val="407"/>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(6,344)</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(6,866)</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(1,771)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(1,118)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2,131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(545)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(1,697)</w:t>
            </w:r>
          </w:p>
        </w:tc>
        <w:tc>
          <w:tcPr>
            <w:tcW w:w="0" w:type="dxa"/>
            <w:vAlign w:val="bottom"/>
          </w:tcPr>
          <w:p>
            <w:pPr>
              <w:spacing w:after="0"/>
              <w:rPr>
                <w:sz w:val="1"/>
                <w:szCs w:val="1"/>
                <w:color w:val="auto"/>
              </w:rPr>
            </w:pPr>
          </w:p>
        </w:tc>
      </w:tr>
      <w:tr>
        <w:trPr>
          <w:trHeight w:val="223"/>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412"/>
        </w:trPr>
        <w:tc>
          <w:tcPr>
            <w:tcW w:w="8900" w:type="dxa"/>
            <w:vAlign w:val="bottom"/>
          </w:tcPr>
          <w:p>
            <w:pPr>
              <w:ind w:left="96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(10,912)</w:t>
            </w:r>
          </w:p>
        </w:tc>
        <w:tc>
          <w:tcPr>
            <w:tcW w:w="0" w:type="dxa"/>
            <w:vAlign w:val="bottom"/>
          </w:tcPr>
          <w:p>
            <w:pPr>
              <w:spacing w:after="0"/>
              <w:rPr>
                <w:sz w:val="1"/>
                <w:szCs w:val="1"/>
                <w:color w:val="auto"/>
              </w:rPr>
            </w:pPr>
          </w:p>
        </w:tc>
      </w:tr>
      <w:tr>
        <w:trPr>
          <w:trHeight w:val="407"/>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260" w:type="dxa"/>
            <w:vAlign w:val="bottom"/>
            <w:gridSpan w:val="2"/>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18,339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collateralized obligation</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(16,771)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(9,975)</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(429)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(3,086)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(2,778)</w:t>
            </w:r>
          </w:p>
        </w:tc>
        <w:tc>
          <w:tcPr>
            <w:tcW w:w="0" w:type="dxa"/>
            <w:vAlign w:val="bottom"/>
          </w:tcPr>
          <w:p>
            <w:pPr>
              <w:spacing w:after="0"/>
              <w:rPr>
                <w:sz w:val="1"/>
                <w:szCs w:val="1"/>
                <w:color w:val="auto"/>
              </w:rPr>
            </w:pPr>
          </w:p>
        </w:tc>
      </w:tr>
      <w:tr>
        <w:trPr>
          <w:trHeight w:val="223"/>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(1,644)</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412"/>
        </w:trPr>
        <w:tc>
          <w:tcPr>
            <w:tcW w:w="8900" w:type="dxa"/>
            <w:vAlign w:val="bottom"/>
          </w:tcPr>
          <w:p>
            <w:pPr>
              <w:ind w:left="96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(3,591)</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(8,826)</w:t>
            </w:r>
          </w:p>
        </w:tc>
        <w:tc>
          <w:tcPr>
            <w:tcW w:w="0" w:type="dxa"/>
            <w:vAlign w:val="bottom"/>
          </w:tcPr>
          <w:p>
            <w:pPr>
              <w:spacing w:after="0"/>
              <w:rPr>
                <w:sz w:val="1"/>
                <w:szCs w:val="1"/>
                <w:color w:val="auto"/>
              </w:rPr>
            </w:pP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8,148</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w:t>
            </w:r>
          </w:p>
        </w:tc>
        <w:tc>
          <w:tcPr>
            <w:tcW w:w="0" w:type="dxa"/>
            <w:vAlign w:val="bottom"/>
          </w:tcPr>
          <w:p>
            <w:pPr>
              <w:spacing w:after="0"/>
              <w:rPr>
                <w:sz w:val="1"/>
                <w:szCs w:val="1"/>
                <w:color w:val="auto"/>
              </w:rPr>
            </w:pP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$13,737</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875"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414655</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1"/>
        </w:trPr>
        <w:tc>
          <w:tcPr>
            <w:tcW w:w="778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$13,707</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7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7780" w:type="dxa"/>
            <w:vAlign w:val="bottom"/>
          </w:tcPr>
          <w:p>
            <w:pPr>
              <w:ind w:left="32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10,310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30"/>
        </w:trPr>
        <w:tc>
          <w:tcPr>
            <w:tcW w:w="7780" w:type="dxa"/>
            <w:vAlign w:val="bottom"/>
          </w:tcPr>
          <w:p>
            <w:pPr>
              <w:ind w:left="320"/>
              <w:spacing w:after="0"/>
              <w:rPr>
                <w:sz w:val="20"/>
                <w:szCs w:val="20"/>
                <w:color w:val="auto"/>
              </w:rPr>
            </w:pPr>
            <w:r>
              <w:rPr>
                <w:rFonts w:ascii="Arial" w:cs="Arial" w:eastAsia="Arial" w:hAnsi="Arial"/>
                <w:sz w:val="18"/>
                <w:szCs w:val="18"/>
                <w:color w:val="auto"/>
              </w:rPr>
              <w:t>Programming rights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41"/>
        </w:trPr>
        <w:tc>
          <w:tcPr>
            <w:tcW w:w="778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3,352</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27,369</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437"/>
        </w:trPr>
        <w:tc>
          <w:tcPr>
            <w:tcW w:w="77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12,741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6,702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50,466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48,322</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68,898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68,725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34,485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36,128</w:t>
            </w:r>
          </w:p>
        </w:tc>
        <w:tc>
          <w:tcPr>
            <w:tcW w:w="0" w:type="dxa"/>
            <w:vAlign w:val="bottom"/>
          </w:tcPr>
          <w:p>
            <w:pPr>
              <w:spacing w:after="0"/>
              <w:rPr>
                <w:sz w:val="1"/>
                <w:szCs w:val="1"/>
                <w:color w:val="auto"/>
              </w:rPr>
            </w:pPr>
          </w:p>
        </w:tc>
      </w:tr>
      <w:tr>
        <w:trPr>
          <w:trHeight w:val="434"/>
        </w:trPr>
        <w:tc>
          <w:tcPr>
            <w:tcW w:w="77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8,485</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$268,940</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$263,414</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$10,979</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780" w:type="dxa"/>
            <w:vAlign w:val="bottom"/>
          </w:tcPr>
          <w:p>
            <w:pPr>
              <w:ind w:left="3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30"/>
        </w:trPr>
        <w:tc>
          <w:tcPr>
            <w:tcW w:w="7780" w:type="dxa"/>
            <w:vAlign w:val="bottom"/>
          </w:tcPr>
          <w:p>
            <w:pPr>
              <w:ind w:left="32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1,794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30"/>
        </w:trPr>
        <w:tc>
          <w:tcPr>
            <w:tcW w:w="77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2,888</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29"/>
        </w:trPr>
        <w:tc>
          <w:tcPr>
            <w:tcW w:w="7780" w:type="dxa"/>
            <w:vAlign w:val="bottom"/>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9,421</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41"/>
        </w:trPr>
        <w:tc>
          <w:tcPr>
            <w:tcW w:w="7780" w:type="dxa"/>
            <w:vAlign w:val="bottom"/>
          </w:tcPr>
          <w:p>
            <w:pPr>
              <w:ind w:left="32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4,429</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29,511</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w:t>
            </w:r>
          </w:p>
        </w:tc>
        <w:tc>
          <w:tcPr>
            <w:tcW w:w="0" w:type="dxa"/>
            <w:vAlign w:val="bottom"/>
          </w:tcPr>
          <w:p>
            <w:pPr>
              <w:spacing w:after="0"/>
              <w:rPr>
                <w:sz w:val="1"/>
                <w:szCs w:val="1"/>
                <w:color w:val="auto"/>
              </w:rPr>
            </w:pPr>
          </w:p>
        </w:tc>
      </w:tr>
      <w:tr>
        <w:trPr>
          <w:trHeight w:val="437"/>
        </w:trPr>
        <w:tc>
          <w:tcPr>
            <w:tcW w:w="7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99,995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97,765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5,167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27,905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28,180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17,537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1,254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424"/>
        </w:trPr>
        <w:tc>
          <w:tcPr>
            <w:tcW w:w="778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86,176</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780" w:type="dxa"/>
            <w:vAlign w:val="bottom"/>
          </w:tcPr>
          <w:p>
            <w:pPr>
              <w:ind w:left="32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82,726</w:t>
            </w:r>
          </w:p>
        </w:tc>
        <w:tc>
          <w:tcPr>
            <w:tcW w:w="0" w:type="dxa"/>
            <w:vAlign w:val="bottom"/>
          </w:tcPr>
          <w:p>
            <w:pPr>
              <w:spacing w:after="0"/>
              <w:rPr>
                <w:sz w:val="1"/>
                <w:szCs w:val="1"/>
                <w:color w:val="auto"/>
              </w:rPr>
            </w:pPr>
          </w:p>
        </w:tc>
      </w:tr>
      <w:tr>
        <w:trPr>
          <w:trHeight w:val="241"/>
        </w:trPr>
        <w:tc>
          <w:tcPr>
            <w:tcW w:w="7780" w:type="dxa"/>
            <w:vAlign w:val="bottom"/>
          </w:tcPr>
          <w:p>
            <w:pPr>
              <w:ind w:left="32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87,571</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83,874</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$268,940</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$263,414</w:t>
            </w:r>
          </w:p>
        </w:tc>
        <w:tc>
          <w:tcPr>
            <w:tcW w:w="0" w:type="dxa"/>
            <w:vAlign w:val="bottom"/>
          </w:tcPr>
          <w:p>
            <w:pPr>
              <w:spacing w:after="0"/>
              <w:rPr>
                <w:sz w:val="1"/>
                <w:szCs w:val="1"/>
                <w:color w:val="auto"/>
              </w:rPr>
            </w:pPr>
          </w:p>
        </w:tc>
      </w:tr>
      <w:tr>
        <w:trPr>
          <w:trHeight w:val="21"/>
        </w:trPr>
        <w:tc>
          <w:tcPr>
            <w:tcW w:w="7780" w:type="dxa"/>
            <w:vAlign w:val="bottom"/>
            <w:vMerge w:val="restart"/>
          </w:tcPr>
          <w:p>
            <w:pPr>
              <w:ind w:left="5520"/>
              <w:spacing w:after="0"/>
              <w:rPr>
                <w:sz w:val="20"/>
                <w:szCs w:val="20"/>
                <w:color w:val="auto"/>
              </w:rPr>
            </w:pPr>
            <w:r>
              <w:rPr>
                <w:rFonts w:ascii="Arial" w:cs="Arial" w:eastAsia="Arial" w:hAnsi="Arial"/>
                <w:sz w:val="14"/>
                <w:szCs w:val="14"/>
                <w:color w:val="auto"/>
              </w:rPr>
              <w:t>12</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5"/>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34"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-151130</wp:posOffset>
            </wp:positionV>
            <wp:extent cx="102870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0" cy="43751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32320" cy="1414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ectPr>
          <w:pgSz w:w="11900" w:h="16838" w:orient="portrait"/>
          <w:cols w:equalWidth="0" w:num="1">
            <w:col w:w="11200"/>
          </w:cols>
          <w:pgMar w:left="340" w:top="983" w:right="359" w:bottom="1440" w:gutter="0" w:footer="0" w:header="0"/>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8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7300" w:type="dxa"/>
            <w:vAlign w:val="bottom"/>
          </w:tcPr>
          <w:p>
            <w:pPr>
              <w:spacing w:after="0"/>
              <w:rPr>
                <w:sz w:val="15"/>
                <w:szCs w:val="15"/>
                <w:color w:val="auto"/>
              </w:rPr>
            </w:pPr>
          </w:p>
        </w:tc>
        <w:tc>
          <w:tcPr>
            <w:tcW w:w="184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191"/>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2019</w:t>
            </w:r>
          </w:p>
        </w:tc>
      </w:tr>
      <w:tr>
        <w:trPr>
          <w:trHeight w:val="181"/>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$3,217</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739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775</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1,220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1,167</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86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3,320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3,180</w:t>
            </w:r>
          </w:p>
        </w:tc>
      </w:tr>
      <w:tr>
        <w:trPr>
          <w:trHeight w:val="191"/>
        </w:trPr>
        <w:tc>
          <w:tcPr>
            <w:tcW w:w="7300" w:type="dxa"/>
            <w:vAlign w:val="bottom"/>
          </w:tcPr>
          <w:p>
            <w:pPr>
              <w:spacing w:after="0" w:line="19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187</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83"/>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$7,583</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$8,553</w:t>
            </w:r>
          </w:p>
        </w:tc>
      </w:tr>
      <w:tr>
        <w:trPr>
          <w:trHeight w:val="21"/>
        </w:trPr>
        <w:tc>
          <w:tcPr>
            <w:tcW w:w="7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Nine Months Ended</w:t>
      </w: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10795</wp:posOffset>
            </wp:positionV>
            <wp:extent cx="1183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8"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4"/>
          <w:szCs w:val="14"/>
          <w:b w:val="1"/>
          <w:bCs w:val="1"/>
          <w:color w:val="auto"/>
        </w:rPr>
        <w:t>$7,154</w:t>
      </w:r>
      <w:r>
        <w:rPr>
          <w:sz w:val="20"/>
          <w:szCs w:val="20"/>
          <w:color w:val="auto"/>
        </w:rPr>
        <w:tab/>
      </w:r>
      <w:r>
        <w:rPr>
          <w:rFonts w:ascii="Arial" w:cs="Arial" w:eastAsia="Arial" w:hAnsi="Arial"/>
          <w:sz w:val="14"/>
          <w:szCs w:val="14"/>
          <w:color w:val="auto"/>
        </w:rPr>
        <w:t>$9,895</w:t>
      </w:r>
    </w:p>
    <w:p>
      <w:pPr>
        <w:spacing w:after="0" w:line="41" w:lineRule="exact"/>
        <w:rPr>
          <w:sz w:val="20"/>
          <w:szCs w:val="20"/>
          <w:color w:val="auto"/>
        </w:rPr>
      </w:pPr>
    </w:p>
    <w:p>
      <w:pPr>
        <w:ind w:left="1300" w:hanging="998"/>
        <w:spacing w:after="0"/>
        <w:tabs>
          <w:tab w:leader="none" w:pos="130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228</w:t>
      </w:r>
    </w:p>
    <w:p>
      <w:pPr>
        <w:spacing w:after="0" w:line="28" w:lineRule="exact"/>
        <w:rPr>
          <w:rFonts w:ascii="Arial" w:cs="Arial" w:eastAsia="Arial" w:hAnsi="Arial"/>
          <w:sz w:val="14"/>
          <w:szCs w:val="14"/>
          <w:b w:val="1"/>
          <w:bCs w:val="1"/>
          <w:color w:val="auto"/>
        </w:rPr>
      </w:pPr>
    </w:p>
    <w:p>
      <w:pPr>
        <w:ind w:left="1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2,385</w:t>
      </w:r>
      <w:r>
        <w:rPr>
          <w:rFonts w:ascii="Arial" w:cs="Arial" w:eastAsia="Arial" w:hAnsi="Arial"/>
          <w:sz w:val="14"/>
          <w:szCs w:val="14"/>
          <w:color w:val="auto"/>
        </w:rPr>
        <w:t>2,812</w:t>
      </w:r>
    </w:p>
    <w:p>
      <w:pPr>
        <w:spacing w:after="0" w:line="28" w:lineRule="exact"/>
        <w:rPr>
          <w:sz w:val="20"/>
          <w:szCs w:val="20"/>
          <w:color w:val="auto"/>
        </w:rPr>
      </w:pPr>
    </w:p>
    <w:p>
      <w:pPr>
        <w:ind w:left="180"/>
        <w:spacing w:after="0"/>
        <w:tabs>
          <w:tab w:leader="none" w:pos="1160" w:val="left"/>
        </w:tabs>
        <w:rPr>
          <w:sz w:val="20"/>
          <w:szCs w:val="20"/>
          <w:color w:val="auto"/>
        </w:rPr>
      </w:pPr>
      <w:r>
        <w:rPr>
          <w:rFonts w:ascii="Arial" w:cs="Arial" w:eastAsia="Arial" w:hAnsi="Arial"/>
          <w:sz w:val="14"/>
          <w:szCs w:val="14"/>
          <w:b w:val="1"/>
          <w:bCs w:val="1"/>
          <w:color w:val="auto"/>
        </w:rPr>
        <w:t>3,544</w:t>
      </w:r>
      <w:r>
        <w:rPr>
          <w:sz w:val="20"/>
          <w:szCs w:val="20"/>
          <w:color w:val="auto"/>
        </w:rPr>
        <w:tab/>
      </w:r>
      <w:r>
        <w:rPr>
          <w:rFonts w:ascii="Arial" w:cs="Arial" w:eastAsia="Arial" w:hAnsi="Arial"/>
          <w:sz w:val="14"/>
          <w:szCs w:val="14"/>
          <w:color w:val="auto"/>
        </w:rPr>
        <w:t>3,454</w:t>
      </w:r>
    </w:p>
    <w:p>
      <w:pPr>
        <w:spacing w:after="0" w:line="28" w:lineRule="exact"/>
        <w:rPr>
          <w:sz w:val="20"/>
          <w:szCs w:val="20"/>
          <w:color w:val="auto"/>
        </w:rPr>
      </w:pPr>
    </w:p>
    <w:p>
      <w:pPr>
        <w:ind w:left="1240" w:hanging="946"/>
        <w:spacing w:after="0"/>
        <w:tabs>
          <w:tab w:leader="none" w:pos="124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(511)</w:t>
      </w:r>
    </w:p>
    <w:p>
      <w:pPr>
        <w:spacing w:after="0" w:line="28" w:lineRule="exact"/>
        <w:rPr>
          <w:sz w:val="20"/>
          <w:szCs w:val="20"/>
          <w:color w:val="auto"/>
        </w:rPr>
      </w:pPr>
    </w:p>
    <w:p>
      <w:pPr>
        <w:ind w:left="180"/>
        <w:spacing w:after="0"/>
        <w:tabs>
          <w:tab w:leader="none" w:pos="1160" w:val="left"/>
        </w:tabs>
        <w:rPr>
          <w:sz w:val="20"/>
          <w:szCs w:val="20"/>
          <w:color w:val="auto"/>
        </w:rPr>
      </w:pPr>
      <w:r>
        <w:rPr>
          <w:rFonts w:ascii="Arial" w:cs="Arial" w:eastAsia="Arial" w:hAnsi="Arial"/>
          <w:sz w:val="14"/>
          <w:szCs w:val="14"/>
          <w:b w:val="1"/>
          <w:bCs w:val="1"/>
          <w:color w:val="auto"/>
        </w:rPr>
        <w:t>9,848</w:t>
      </w:r>
      <w:r>
        <w:rPr>
          <w:sz w:val="20"/>
          <w:szCs w:val="20"/>
          <w:color w:val="auto"/>
        </w:rPr>
        <w:tab/>
      </w:r>
      <w:r>
        <w:rPr>
          <w:rFonts w:ascii="Arial" w:cs="Arial" w:eastAsia="Arial" w:hAnsi="Arial"/>
          <w:sz w:val="14"/>
          <w:szCs w:val="14"/>
          <w:color w:val="auto"/>
        </w:rPr>
        <w:t>9,776</w:t>
      </w:r>
    </w:p>
    <w:p>
      <w:pPr>
        <w:spacing w:after="0" w:line="28" w:lineRule="exact"/>
        <w:rPr>
          <w:sz w:val="20"/>
          <w:szCs w:val="20"/>
          <w:color w:val="auto"/>
        </w:rPr>
      </w:pPr>
    </w:p>
    <w:p>
      <w:pPr>
        <w:ind w:left="1300" w:hanging="1006"/>
        <w:spacing w:after="0"/>
        <w:tabs>
          <w:tab w:leader="none" w:pos="130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168</w:t>
      </w:r>
    </w:p>
    <w:p>
      <w:pPr>
        <w:spacing w:after="0" w:line="28" w:lineRule="exact"/>
        <w:rPr>
          <w:rFonts w:ascii="Arial" w:cs="Arial" w:eastAsia="Arial" w:hAnsi="Arial"/>
          <w:sz w:val="14"/>
          <w:szCs w:val="14"/>
          <w:b w:val="1"/>
          <w:bCs w:val="1"/>
          <w:color w:val="auto"/>
        </w:rPr>
      </w:pPr>
    </w:p>
    <w:p>
      <w:pPr>
        <w:ind w:left="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$23,640</w:t>
      </w:r>
      <w:r>
        <w:rPr>
          <w:rFonts w:ascii="Arial" w:cs="Arial" w:eastAsia="Arial" w:hAnsi="Arial"/>
          <w:sz w:val="14"/>
          <w:szCs w:val="14"/>
          <w:color w:val="auto"/>
        </w:rPr>
        <w:t>$25,822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19050</wp:posOffset>
            </wp:positionV>
            <wp:extent cx="118300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342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-109220</wp:posOffset>
            </wp:positionV>
            <wp:extent cx="1183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9140" w:space="480"/>
            <w:col w:w="1580"/>
          </w:cols>
          <w:pgMar w:left="340" w:top="983" w:right="35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7132320" cy="942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ectPr>
          <w:pgSz w:w="11900" w:h="16838" w:orient="portrait"/>
          <w:cols w:equalWidth="0" w:num="1">
            <w:col w:w="11200"/>
          </w:cols>
          <w:pgMar w:left="340" w:top="983" w:right="359" w:bottom="1440" w:gutter="0" w:footer="0" w:header="0"/>
          <w:type w:val="continuous"/>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8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7280" w:type="dxa"/>
            <w:vAlign w:val="bottom"/>
          </w:tcPr>
          <w:p>
            <w:pPr>
              <w:spacing w:after="0"/>
              <w:rPr>
                <w:sz w:val="15"/>
                <w:szCs w:val="15"/>
                <w:color w:val="auto"/>
              </w:rPr>
            </w:pPr>
          </w:p>
        </w:tc>
        <w:tc>
          <w:tcPr>
            <w:tcW w:w="18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191"/>
        </w:trPr>
        <w:tc>
          <w:tcPr>
            <w:tcW w:w="728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r>
      <w:tr>
        <w:trPr>
          <w:trHeight w:val="181"/>
        </w:trPr>
        <w:tc>
          <w:tcPr>
            <w:tcW w:w="7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$5,228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$5,191</w:t>
            </w:r>
          </w:p>
        </w:tc>
      </w:tr>
      <w:tr>
        <w:trPr>
          <w:trHeight w:val="189"/>
        </w:trPr>
        <w:tc>
          <w:tcPr>
            <w:tcW w:w="728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(2,387)</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(2,511)</w:t>
            </w:r>
          </w:p>
        </w:tc>
      </w:tr>
      <w:tr>
        <w:trPr>
          <w:trHeight w:val="191"/>
        </w:trPr>
        <w:tc>
          <w:tcPr>
            <w:tcW w:w="728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(552)</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w:t>
            </w:r>
          </w:p>
        </w:tc>
      </w:tr>
      <w:tr>
        <w:trPr>
          <w:trHeight w:val="183"/>
        </w:trPr>
        <w:tc>
          <w:tcPr>
            <w:tcW w:w="728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$2,289</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w:t>
            </w:r>
          </w:p>
        </w:tc>
      </w:tr>
      <w:tr>
        <w:trPr>
          <w:trHeight w:val="20"/>
        </w:trPr>
        <w:tc>
          <w:tcPr>
            <w:tcW w:w="7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Nine Months Ended</w:t>
      </w: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10795</wp:posOffset>
            </wp:positionV>
            <wp:extent cx="1183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color w:val="auto"/>
        </w:rPr>
        <w:t>$19,695</w:t>
      </w:r>
      <w:r>
        <w:rPr>
          <w:sz w:val="20"/>
          <w:szCs w:val="20"/>
          <w:color w:val="auto"/>
        </w:rPr>
        <w:tab/>
      </w:r>
      <w:r>
        <w:rPr>
          <w:rFonts w:ascii="Arial" w:cs="Arial" w:eastAsia="Arial" w:hAnsi="Arial"/>
          <w:sz w:val="14"/>
          <w:szCs w:val="14"/>
          <w:color w:val="auto"/>
        </w:rPr>
        <w:t>$19,462</w:t>
      </w:r>
    </w:p>
    <w:p>
      <w:pPr>
        <w:spacing w:after="0" w:line="41"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4"/>
          <w:szCs w:val="14"/>
          <w:b w:val="1"/>
          <w:bCs w:val="1"/>
          <w:color w:val="auto"/>
        </w:rPr>
        <w:t>(6,344)</w:t>
      </w:r>
      <w:r>
        <w:rPr>
          <w:sz w:val="20"/>
          <w:szCs w:val="20"/>
          <w:color w:val="auto"/>
        </w:rPr>
        <w:tab/>
      </w:r>
      <w:r>
        <w:rPr>
          <w:rFonts w:ascii="Arial" w:cs="Arial" w:eastAsia="Arial" w:hAnsi="Arial"/>
          <w:sz w:val="14"/>
          <w:szCs w:val="14"/>
          <w:color w:val="auto"/>
        </w:rPr>
        <w:t>(6,866)</w:t>
      </w:r>
    </w:p>
    <w:p>
      <w:pPr>
        <w:spacing w:after="0" w:line="28"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4"/>
          <w:szCs w:val="14"/>
          <w:b w:val="1"/>
          <w:bCs w:val="1"/>
          <w:color w:val="auto"/>
        </w:rPr>
        <w:t>(1,771)</w:t>
      </w:r>
      <w:r>
        <w:rPr>
          <w:sz w:val="20"/>
          <w:szCs w:val="20"/>
          <w:color w:val="auto"/>
        </w:rPr>
        <w:tab/>
      </w:r>
      <w:r>
        <w:rPr>
          <w:rFonts w:ascii="Arial" w:cs="Arial" w:eastAsia="Arial" w:hAnsi="Arial"/>
          <w:sz w:val="14"/>
          <w:szCs w:val="14"/>
          <w:color w:val="auto"/>
        </w:rPr>
        <w:t>(1,686)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10795</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color w:val="auto"/>
        </w:rPr>
        <w:t>$11,580</w:t>
      </w:r>
      <w:r>
        <w:rPr>
          <w:sz w:val="20"/>
          <w:szCs w:val="20"/>
          <w:color w:val="auto"/>
        </w:rPr>
        <w:tab/>
      </w:r>
      <w:r>
        <w:rPr>
          <w:rFonts w:ascii="Arial" w:cs="Arial" w:eastAsia="Arial" w:hAnsi="Arial"/>
          <w:sz w:val="14"/>
          <w:szCs w:val="14"/>
          <w:color w:val="auto"/>
        </w:rPr>
        <w:t>$10,910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19050</wp:posOffset>
            </wp:positionV>
            <wp:extent cx="118300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3429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9140" w:space="480"/>
            <w:col w:w="1580"/>
          </w:cols>
          <w:pgMar w:left="340" w:top="983"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7132320" cy="1508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ectPr>
          <w:pgSz w:w="11900" w:h="16838" w:orient="portrait"/>
          <w:cols w:equalWidth="0" w:num="1">
            <w:col w:w="11200"/>
          </w:cols>
          <w:pgMar w:left="340" w:top="983" w:right="35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8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7280" w:type="dxa"/>
            <w:vAlign w:val="bottom"/>
          </w:tcPr>
          <w:p>
            <w:pPr>
              <w:spacing w:after="0"/>
              <w:rPr>
                <w:sz w:val="15"/>
                <w:szCs w:val="15"/>
                <w:color w:val="auto"/>
              </w:rPr>
            </w:pPr>
          </w:p>
        </w:tc>
        <w:tc>
          <w:tcPr>
            <w:tcW w:w="18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191"/>
        </w:trPr>
        <w:tc>
          <w:tcPr>
            <w:tcW w:w="728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r>
      <w:tr>
        <w:trPr>
          <w:trHeight w:val="181"/>
        </w:trPr>
        <w:tc>
          <w:tcPr>
            <w:tcW w:w="728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$7,583</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$8,553</w:t>
            </w:r>
          </w:p>
        </w:tc>
      </w:tr>
      <w:tr>
        <w:trPr>
          <w:trHeight w:val="189"/>
        </w:trPr>
        <w:tc>
          <w:tcPr>
            <w:tcW w:w="728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(2,387)</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(2,511)</w:t>
            </w:r>
          </w:p>
        </w:tc>
      </w:tr>
      <w:tr>
        <w:trPr>
          <w:trHeight w:val="189"/>
        </w:trPr>
        <w:tc>
          <w:tcPr>
            <w:tcW w:w="728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(552)</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(608)</w:t>
            </w:r>
          </w:p>
        </w:tc>
      </w:tr>
      <w:tr>
        <w:trPr>
          <w:trHeight w:val="189"/>
        </w:trPr>
        <w:tc>
          <w:tcPr>
            <w:tcW w:w="7280" w:type="dxa"/>
            <w:vAlign w:val="bottom"/>
          </w:tcPr>
          <w:p>
            <w:pPr>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(909)</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(1,056)</w:t>
            </w:r>
          </w:p>
        </w:tc>
      </w:tr>
      <w:tr>
        <w:trPr>
          <w:trHeight w:val="189"/>
        </w:trPr>
        <w:tc>
          <w:tcPr>
            <w:tcW w:w="7280" w:type="dxa"/>
            <w:vAlign w:val="bottom"/>
          </w:tcPr>
          <w:p>
            <w:pPr>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(1,965)</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(856)</w:t>
            </w:r>
          </w:p>
        </w:tc>
      </w:tr>
      <w:tr>
        <w:trPr>
          <w:trHeight w:val="189"/>
        </w:trPr>
        <w:tc>
          <w:tcPr>
            <w:tcW w:w="72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(1,765)</w:t>
            </w:r>
          </w:p>
        </w:tc>
      </w:tr>
      <w:tr>
        <w:trPr>
          <w:trHeight w:val="189"/>
        </w:trPr>
        <w:tc>
          <w:tcPr>
            <w:tcW w:w="728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191"/>
        </w:trPr>
        <w:tc>
          <w:tcPr>
            <w:tcW w:w="7280" w:type="dxa"/>
            <w:vAlign w:val="bottom"/>
          </w:tcPr>
          <w:p>
            <w:pPr>
              <w:spacing w:after="0" w:line="191"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83"/>
        </w:trPr>
        <w:tc>
          <w:tcPr>
            <w:tcW w:w="728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$2,289</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w:t>
            </w:r>
          </w:p>
        </w:tc>
      </w:tr>
      <w:tr>
        <w:trPr>
          <w:trHeight w:val="21"/>
        </w:trPr>
        <w:tc>
          <w:tcPr>
            <w:tcW w:w="7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Nine Months Ended</w:t>
      </w: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10795</wp:posOffset>
            </wp:positionV>
            <wp:extent cx="11830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color w:val="auto"/>
        </w:rPr>
        <w:t>$23,640</w:t>
      </w:r>
      <w:r>
        <w:rPr>
          <w:sz w:val="20"/>
          <w:szCs w:val="20"/>
          <w:color w:val="auto"/>
        </w:rPr>
        <w:tab/>
      </w:r>
      <w:r>
        <w:rPr>
          <w:rFonts w:ascii="Arial" w:cs="Arial" w:eastAsia="Arial" w:hAnsi="Arial"/>
          <w:sz w:val="14"/>
          <w:szCs w:val="14"/>
          <w:color w:val="auto"/>
        </w:rPr>
        <w:t>$25,822</w:t>
      </w:r>
    </w:p>
    <w:p>
      <w:pPr>
        <w:spacing w:after="0" w:line="41"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4"/>
          <w:szCs w:val="14"/>
          <w:b w:val="1"/>
          <w:bCs w:val="1"/>
          <w:color w:val="auto"/>
        </w:rPr>
        <w:t>(6,344)</w:t>
      </w:r>
      <w:r>
        <w:rPr>
          <w:sz w:val="20"/>
          <w:szCs w:val="20"/>
          <w:color w:val="auto"/>
        </w:rPr>
        <w:tab/>
      </w:r>
      <w:r>
        <w:rPr>
          <w:rFonts w:ascii="Arial" w:cs="Arial" w:eastAsia="Arial" w:hAnsi="Arial"/>
          <w:sz w:val="14"/>
          <w:szCs w:val="14"/>
          <w:color w:val="auto"/>
        </w:rPr>
        <w:t>(6,866)</w:t>
      </w:r>
    </w:p>
    <w:p>
      <w:pPr>
        <w:spacing w:after="0" w:line="28"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4"/>
          <w:szCs w:val="14"/>
          <w:b w:val="1"/>
          <w:bCs w:val="1"/>
          <w:color w:val="auto"/>
        </w:rPr>
        <w:t>(1,771)</w:t>
      </w:r>
      <w:r>
        <w:rPr>
          <w:sz w:val="20"/>
          <w:szCs w:val="20"/>
          <w:color w:val="auto"/>
        </w:rPr>
        <w:tab/>
      </w:r>
      <w:r>
        <w:rPr>
          <w:rFonts w:ascii="Arial" w:cs="Arial" w:eastAsia="Arial" w:hAnsi="Arial"/>
          <w:sz w:val="14"/>
          <w:szCs w:val="14"/>
          <w:color w:val="auto"/>
        </w:rPr>
        <w:t>(1,686)</w:t>
      </w:r>
    </w:p>
    <w:p>
      <w:pPr>
        <w:spacing w:after="0" w:line="28"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4"/>
          <w:szCs w:val="14"/>
          <w:b w:val="1"/>
          <w:bCs w:val="1"/>
          <w:color w:val="auto"/>
        </w:rPr>
        <w:t>(2,845)</w:t>
      </w:r>
      <w:r>
        <w:rPr>
          <w:sz w:val="20"/>
          <w:szCs w:val="20"/>
          <w:color w:val="auto"/>
        </w:rPr>
        <w:tab/>
      </w:r>
      <w:r>
        <w:rPr>
          <w:rFonts w:ascii="Arial" w:cs="Arial" w:eastAsia="Arial" w:hAnsi="Arial"/>
          <w:sz w:val="14"/>
          <w:szCs w:val="14"/>
          <w:color w:val="auto"/>
        </w:rPr>
        <w:t>(3,167)</w:t>
      </w:r>
    </w:p>
    <w:p>
      <w:pPr>
        <w:spacing w:after="0" w:line="28"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4"/>
          <w:szCs w:val="14"/>
          <w:b w:val="1"/>
          <w:bCs w:val="1"/>
          <w:color w:val="auto"/>
        </w:rPr>
        <w:t>(2,298)</w:t>
      </w:r>
      <w:r>
        <w:rPr>
          <w:sz w:val="20"/>
          <w:szCs w:val="20"/>
          <w:color w:val="auto"/>
        </w:rPr>
        <w:tab/>
      </w:r>
      <w:r>
        <w:rPr>
          <w:rFonts w:ascii="Arial" w:cs="Arial" w:eastAsia="Arial" w:hAnsi="Arial"/>
          <w:sz w:val="14"/>
          <w:szCs w:val="14"/>
          <w:color w:val="auto"/>
        </w:rPr>
        <w:t>(2,490)</w:t>
      </w:r>
    </w:p>
    <w:p>
      <w:pPr>
        <w:spacing w:after="0" w:line="28" w:lineRule="exact"/>
        <w:rPr>
          <w:sz w:val="20"/>
          <w:szCs w:val="20"/>
          <w:color w:val="auto"/>
        </w:rPr>
      </w:pPr>
    </w:p>
    <w:p>
      <w:pPr>
        <w:ind w:left="1120" w:hanging="826"/>
        <w:spacing w:after="0"/>
        <w:tabs>
          <w:tab w:leader="none" w:pos="112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(1,670)</w:t>
      </w:r>
    </w:p>
    <w:p>
      <w:pPr>
        <w:spacing w:after="0" w:line="28" w:lineRule="exact"/>
        <w:rPr>
          <w:sz w:val="20"/>
          <w:szCs w:val="20"/>
          <w:color w:val="auto"/>
        </w:rPr>
      </w:pPr>
    </w:p>
    <w:p>
      <w:pPr>
        <w:ind w:left="1300" w:hanging="1006"/>
        <w:spacing w:after="0"/>
        <w:tabs>
          <w:tab w:leader="none" w:pos="130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790</w:t>
      </w:r>
    </w:p>
    <w:p>
      <w:pPr>
        <w:spacing w:after="0" w:line="28" w:lineRule="exact"/>
        <w:rPr>
          <w:rFonts w:ascii="Arial" w:cs="Arial" w:eastAsia="Arial" w:hAnsi="Arial"/>
          <w:sz w:val="14"/>
          <w:szCs w:val="14"/>
          <w:b w:val="1"/>
          <w:bCs w:val="1"/>
          <w:color w:val="auto"/>
        </w:rPr>
      </w:pPr>
    </w:p>
    <w:p>
      <w:pPr>
        <w:ind w:left="1300" w:hanging="982"/>
        <w:spacing w:after="0"/>
        <w:tabs>
          <w:tab w:leader="none" w:pos="1300" w:val="left"/>
        </w:tabs>
        <w:numPr>
          <w:ilvl w:val="1"/>
          <w:numId w:val="7"/>
        </w:numPr>
        <w:rPr>
          <w:rFonts w:ascii="Arial" w:cs="Arial" w:eastAsia="Arial" w:hAnsi="Arial"/>
          <w:sz w:val="14"/>
          <w:szCs w:val="14"/>
          <w:b w:val="1"/>
          <w:bCs w:val="1"/>
          <w:color w:val="auto"/>
        </w:rPr>
      </w:pPr>
      <w:r>
        <w:rPr>
          <w:rFonts w:ascii="Arial" w:cs="Arial" w:eastAsia="Arial" w:hAnsi="Arial"/>
          <w:sz w:val="14"/>
          <w:szCs w:val="14"/>
          <w:color w:val="auto"/>
        </w:rPr>
        <w:t>177</w:t>
      </w:r>
    </w:p>
    <w:p>
      <w:pPr>
        <w:spacing w:after="0" w:line="28" w:lineRule="exact"/>
        <w:rPr>
          <w:rFonts w:ascii="Arial" w:cs="Arial" w:eastAsia="Arial" w:hAnsi="Arial"/>
          <w:sz w:val="14"/>
          <w:szCs w:val="14"/>
          <w:b w:val="1"/>
          <w:bCs w:val="1"/>
          <w:color w:val="auto"/>
        </w:rPr>
      </w:pPr>
    </w:p>
    <w:p>
      <w:pPr>
        <w:ind w:left="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$11,580</w:t>
      </w:r>
      <w:r>
        <w:rPr>
          <w:rFonts w:ascii="Arial" w:cs="Arial" w:eastAsia="Arial" w:hAnsi="Arial"/>
          <w:sz w:val="14"/>
          <w:szCs w:val="14"/>
          <w:color w:val="auto"/>
        </w:rPr>
        <w:t>$10,910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-109220</wp:posOffset>
            </wp:positionV>
            <wp:extent cx="118300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83005" cy="163195"/>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9140" w:space="480"/>
            <w:col w:w="1580"/>
          </w:cols>
          <w:pgMar w:left="340" w:top="983" w:right="359" w:bottom="1440" w:gutter="0" w:footer="0" w:header="0"/>
          <w:type w:val="continuous"/>
        </w:sectPr>
      </w:pPr>
    </w:p>
    <w:p>
      <w:pPr>
        <w:ind w:left="340" w:right="280" w:hanging="334"/>
        <w:spacing w:after="0" w:line="193"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3rd quarter and year to date 2020 Adjusted EBITDA exclude $177 million of other operating and administrative expense related to a potential legal settlement, and $10 million and $40 million of other operating and administrative expense, respectively, related to the Sky transaction. 3rd quarter and year to date 2019 Adjusted EBITDA exclude $33 million and $168 million of other operating and administrative expense, respectively, related to the Sky transaction.</w:t>
      </w:r>
    </w:p>
    <w:p>
      <w:pPr>
        <w:spacing w:after="0" w:line="50" w:lineRule="exact"/>
        <w:rPr>
          <w:rFonts w:ascii="Arial" w:cs="Arial" w:eastAsia="Arial" w:hAnsi="Arial"/>
          <w:sz w:val="22"/>
          <w:szCs w:val="22"/>
          <w:color w:val="auto"/>
          <w:vertAlign w:val="superscript"/>
        </w:rPr>
      </w:pPr>
    </w:p>
    <w:p>
      <w:pPr>
        <w:jc w:val="both"/>
        <w:ind w:left="340" w:hanging="334"/>
        <w:spacing w:after="0" w:line="193"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3rd quarter and year to date 2020 include decreases of $177 million related to a potential legal settlement, and $10 million and $40 million of costs related to the Sky transaction, respectively, as these amounts are excluded from Adjusted EBITDA. 3rd quarter and year to date 2019 include decreases of $33 million and $168 million of costs related to the Sky transaction, respectively, as these amounts are excluded from Adjusted EBITDA.</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00"/>
          </w:cols>
          <w:pgMar w:left="340" w:top="983" w:right="35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-168275</wp:posOffset>
            </wp:positionV>
            <wp:extent cx="1080135" cy="462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0135" cy="46291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sectPr>
      </w:pP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5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r>
      <w:tr>
        <w:trPr>
          <w:trHeight w:val="174"/>
        </w:trPr>
        <w:tc>
          <w:tcPr>
            <w:tcW w:w="3980" w:type="dxa"/>
            <w:vAlign w:val="bottom"/>
          </w:tcPr>
          <w:p>
            <w:pPr>
              <w:spacing w:after="0"/>
              <w:rPr>
                <w:sz w:val="15"/>
                <w:szCs w:val="15"/>
                <w:color w:val="auto"/>
              </w:rPr>
            </w:pPr>
          </w:p>
        </w:tc>
        <w:tc>
          <w:tcPr>
            <w:tcW w:w="25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5"/>
                <w:szCs w:val="15"/>
                <w:color w:val="auto"/>
              </w:rPr>
            </w:pPr>
          </w:p>
        </w:tc>
      </w:tr>
      <w:tr>
        <w:trPr>
          <w:trHeight w:val="191"/>
        </w:trPr>
        <w:tc>
          <w:tcPr>
            <w:tcW w:w="584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ind w:right="528"/>
              <w:spacing w:after="0"/>
              <w:rPr>
                <w:sz w:val="20"/>
                <w:szCs w:val="20"/>
                <w:color w:val="auto"/>
              </w:rPr>
            </w:pPr>
            <w:r>
              <w:rPr>
                <w:rFonts w:ascii="Arial" w:cs="Arial" w:eastAsia="Arial" w:hAnsi="Arial"/>
                <w:sz w:val="14"/>
                <w:szCs w:val="14"/>
                <w:color w:val="auto"/>
              </w:rPr>
              <w:t>2019</w:t>
            </w:r>
          </w:p>
        </w:tc>
      </w:tr>
      <w:tr>
        <w:trPr>
          <w:trHeight w:val="174"/>
        </w:trPr>
        <w:tc>
          <w:tcPr>
            <w:tcW w:w="398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-448945</wp:posOffset>
            </wp:positionV>
            <wp:extent cx="8255" cy="2297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2297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Nine Months Ended</w:t>
      </w:r>
    </w:p>
    <w:p>
      <w:pPr>
        <w:jc w:val="center"/>
        <w:ind w:right="78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p>
      <w:pPr>
        <w:spacing w:after="0"/>
        <w:tabs>
          <w:tab w:leader="none" w:pos="18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10795</wp:posOffset>
            </wp:positionV>
            <wp:extent cx="22459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760" w:space="720"/>
            <w:col w:w="2760"/>
          </w:cols>
          <w:pgMar w:left="320" w:top="942" w:right="339" w:bottom="1440" w:gutter="0" w:footer="0" w:header="0"/>
          <w:type w:val="continuous"/>
        </w:sectPr>
      </w:pPr>
    </w:p>
    <w:tbl>
      <w:tblPr>
        <w:tblLayout w:type="fixed"/>
        <w:tblInd w:w="2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EPS</w:t>
            </w:r>
          </w:p>
        </w:tc>
        <w:tc>
          <w:tcPr>
            <w:tcW w:w="8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w:t>
            </w:r>
          </w:p>
        </w:tc>
        <w:tc>
          <w:tcPr>
            <w:tcW w:w="10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4"/>
                <w:szCs w:val="14"/>
                <w:b w:val="1"/>
                <w:bCs w:val="1"/>
                <w:color w:val="auto"/>
              </w:rPr>
              <w:t>diluted earnings per share attributable to Comcast</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$0.44</w:t>
            </w:r>
          </w:p>
        </w:tc>
        <w:tc>
          <w:tcPr>
            <w:tcW w:w="100" w:type="dxa"/>
            <w:vAlign w:val="bottom"/>
          </w:tcPr>
          <w:p>
            <w:pPr>
              <w:spacing w:after="0"/>
              <w:rPr>
                <w:sz w:val="11"/>
                <w:szCs w:val="11"/>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color w:val="auto"/>
              </w:rPr>
              <w:t>$3,217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78"/>
        </w:trPr>
        <w:tc>
          <w:tcPr>
            <w:tcW w:w="3980" w:type="dxa"/>
            <w:vAlign w:val="bottom"/>
          </w:tcPr>
          <w:p>
            <w:pPr>
              <w:spacing w:after="0"/>
              <w:rPr>
                <w:sz w:val="20"/>
                <w:szCs w:val="20"/>
                <w:color w:val="auto"/>
              </w:rPr>
            </w:pPr>
            <w:r>
              <w:rPr>
                <w:rFonts w:ascii="Arial" w:cs="Arial" w:eastAsia="Arial" w:hAnsi="Arial"/>
                <w:sz w:val="14"/>
                <w:szCs w:val="14"/>
                <w:b w:val="1"/>
                <w:bCs w:val="1"/>
                <w:color w:val="auto"/>
              </w:rPr>
              <w:t>Corporation shareholders</w:t>
            </w:r>
          </w:p>
        </w:tc>
        <w:tc>
          <w:tcPr>
            <w:tcW w:w="10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060" w:type="dxa"/>
            <w:vAlign w:val="bottom"/>
          </w:tcPr>
          <w:p>
            <w:pPr>
              <w:jc w:val="right"/>
              <w:ind w:right="148"/>
              <w:spacing w:after="0"/>
              <w:rPr>
                <w:sz w:val="20"/>
                <w:szCs w:val="20"/>
                <w:color w:val="auto"/>
              </w:rPr>
            </w:pPr>
            <w:r>
              <w:rPr>
                <w:rFonts w:ascii="Arial" w:cs="Arial" w:eastAsia="Arial" w:hAnsi="Arial"/>
                <w:sz w:val="14"/>
                <w:szCs w:val="14"/>
                <w:i w:val="1"/>
                <w:iCs w:val="1"/>
                <w:color w:val="auto"/>
              </w:rPr>
              <w:t>(37.2 %)</w:t>
            </w: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(37.1 %)</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8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458</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00" w:type="dxa"/>
            <w:vAlign w:val="bottom"/>
          </w:tcPr>
          <w:p>
            <w:pPr>
              <w:spacing w:after="0"/>
              <w:rPr>
                <w:sz w:val="20"/>
                <w:szCs w:val="20"/>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385</w:t>
            </w:r>
          </w:p>
        </w:tc>
        <w:tc>
          <w:tcPr>
            <w:tcW w:w="660" w:type="dxa"/>
            <w:vAlign w:val="bottom"/>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70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0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141</w:t>
            </w:r>
          </w:p>
        </w:tc>
        <w:tc>
          <w:tcPr>
            <w:tcW w:w="66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18"/>
                <w:szCs w:val="18"/>
                <w:color w:val="auto"/>
                <w:vertAlign w:val="superscript"/>
              </w:rPr>
              <w:t>(3)</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166</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0.04</w:t>
            </w:r>
          </w:p>
        </w:tc>
        <w:tc>
          <w:tcPr>
            <w:tcW w:w="10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42</w:t>
            </w: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(4)</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145</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10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(125)</w:t>
            </w:r>
          </w:p>
        </w:tc>
        <w:tc>
          <w:tcPr>
            <w:tcW w:w="66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Potential legal settlement </w:t>
            </w:r>
            <w:r>
              <w:rPr>
                <w:rFonts w:ascii="Arial" w:cs="Arial" w:eastAsia="Arial" w:hAnsi="Arial"/>
                <w:sz w:val="18"/>
                <w:szCs w:val="18"/>
                <w:color w:val="auto"/>
                <w:vertAlign w:val="superscript"/>
              </w:rPr>
              <w:t>(5)</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134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10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(6)</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8</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18"/>
                <w:szCs w:val="18"/>
                <w:color w:val="auto"/>
                <w:vertAlign w:val="superscript"/>
              </w:rPr>
              <w:t>(7)</w:t>
            </w: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980" w:type="dxa"/>
            <w:vAlign w:val="bottom"/>
          </w:tcPr>
          <w:p>
            <w:pPr>
              <w:ind w:left="120"/>
              <w:spacing w:after="0" w:line="191" w:lineRule="exact"/>
              <w:rPr>
                <w:sz w:val="20"/>
                <w:szCs w:val="20"/>
                <w:color w:val="auto"/>
              </w:rPr>
            </w:pPr>
            <w:r>
              <w:rPr>
                <w:rFonts w:ascii="Arial" w:cs="Arial" w:eastAsia="Arial" w:hAnsi="Arial"/>
                <w:sz w:val="14"/>
                <w:szCs w:val="14"/>
                <w:color w:val="auto"/>
              </w:rPr>
              <w:t xml:space="preserve">Purchase accounting adjustments </w:t>
            </w:r>
            <w:r>
              <w:rPr>
                <w:rFonts w:ascii="Arial" w:cs="Arial" w:eastAsia="Arial" w:hAnsi="Arial"/>
                <w:sz w:val="18"/>
                <w:szCs w:val="18"/>
                <w:color w:val="auto"/>
                <w:vertAlign w:val="superscript"/>
              </w:rPr>
              <w:t>(8)</w:t>
            </w: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$3,000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$0.65</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$3,667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4"/>
                <w:szCs w:val="14"/>
                <w:i w:val="1"/>
                <w:iCs w:val="1"/>
                <w:color w:val="auto"/>
              </w:rPr>
              <w:t>Change</w:t>
            </w: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980" w:type="dxa"/>
            <w:vAlign w:val="bottom"/>
            <w:vMerge w:val="continue"/>
          </w:tcPr>
          <w:p>
            <w:pPr>
              <w:spacing w:after="0"/>
              <w:rPr>
                <w:sz w:val="16"/>
                <w:szCs w:val="16"/>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i w:val="1"/>
                <w:iCs w:val="1"/>
                <w:color w:val="auto"/>
              </w:rPr>
              <w:t>(18.2 %)</w:t>
            </w: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(17.7 %)</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980" w:hanging="898"/>
        <w:spacing w:after="0"/>
        <w:tabs>
          <w:tab w:leader="none" w:pos="98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14605</wp:posOffset>
            </wp:positionV>
            <wp:extent cx="11912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$7,154</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$1.55</w:t>
            </w:r>
          </w:p>
        </w:tc>
      </w:tr>
      <w:tr>
        <w:trPr>
          <w:trHeight w:val="192"/>
        </w:trPr>
        <w:tc>
          <w:tcPr>
            <w:tcW w:w="760" w:type="dxa"/>
            <w:vAlign w:val="bottom"/>
          </w:tcPr>
          <w:p>
            <w:pPr>
              <w:jc w:val="right"/>
              <w:ind w:right="148"/>
              <w:spacing w:after="0"/>
              <w:rPr>
                <w:sz w:val="20"/>
                <w:szCs w:val="20"/>
                <w:color w:val="auto"/>
              </w:rPr>
            </w:pPr>
            <w:r>
              <w:rPr>
                <w:rFonts w:ascii="Arial" w:cs="Arial" w:eastAsia="Arial" w:hAnsi="Arial"/>
                <w:sz w:val="14"/>
                <w:szCs w:val="14"/>
                <w:i w:val="1"/>
                <w:iCs w:val="1"/>
                <w:color w:val="auto"/>
                <w:w w:val="98"/>
              </w:rPr>
              <w:t>(27.7 %)</w:t>
            </w: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(27.9 %)</w:t>
            </w:r>
          </w:p>
        </w:tc>
      </w:tr>
      <w:tr>
        <w:trPr>
          <w:trHeight w:val="236"/>
        </w:trPr>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1,365</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0.30</w:t>
            </w:r>
          </w:p>
        </w:tc>
      </w:tr>
      <w:tr>
        <w:trPr>
          <w:trHeight w:val="202"/>
        </w:trPr>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334</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0.07</w:t>
            </w:r>
          </w:p>
        </w:tc>
      </w:tr>
      <w:tr>
        <w:trPr>
          <w:trHeight w:val="365"/>
        </w:trPr>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272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0.06</w:t>
            </w:r>
          </w:p>
        </w:tc>
      </w:tr>
      <w:tr>
        <w:trPr>
          <w:trHeight w:val="202"/>
        </w:trPr>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145</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0.03</w:t>
            </w:r>
          </w:p>
        </w:tc>
      </w:tr>
    </w:tbl>
    <w:p>
      <w:pPr>
        <w:ind w:left="1260" w:hanging="957"/>
        <w:spacing w:after="0"/>
        <w:tabs>
          <w:tab w:leader="none" w:pos="1260" w:val="left"/>
        </w:tabs>
        <w:numPr>
          <w:ilvl w:val="1"/>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0.03</w:t>
      </w:r>
    </w:p>
    <w:p>
      <w:pPr>
        <w:spacing w:after="0" w:line="28" w:lineRule="exact"/>
        <w:rPr>
          <w:rFonts w:ascii="Arial" w:cs="Arial" w:eastAsia="Arial" w:hAnsi="Arial"/>
          <w:sz w:val="14"/>
          <w:szCs w:val="14"/>
          <w:b w:val="1"/>
          <w:bCs w:val="1"/>
          <w:color w:val="auto"/>
        </w:rPr>
      </w:pPr>
    </w:p>
    <w:p>
      <w:pPr>
        <w:ind w:left="1180" w:hanging="797"/>
        <w:spacing w:after="0"/>
        <w:tabs>
          <w:tab w:leader="none" w:pos="1180" w:val="left"/>
        </w:tabs>
        <w:numPr>
          <w:ilvl w:val="1"/>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8" w:lineRule="exact"/>
        <w:rPr>
          <w:rFonts w:ascii="Arial" w:cs="Arial" w:eastAsia="Arial" w:hAnsi="Arial"/>
          <w:sz w:val="14"/>
          <w:szCs w:val="14"/>
          <w:b w:val="1"/>
          <w:bCs w:val="1"/>
          <w:color w:val="auto"/>
        </w:rPr>
      </w:pPr>
    </w:p>
    <w:p>
      <w:pPr>
        <w:ind w:left="1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8" w:lineRule="exact"/>
        <w:rPr>
          <w:rFonts w:ascii="Arial" w:cs="Arial" w:eastAsia="Arial" w:hAnsi="Arial"/>
          <w:sz w:val="14"/>
          <w:szCs w:val="14"/>
          <w:b w:val="1"/>
          <w:bCs w:val="1"/>
          <w:color w:val="auto"/>
        </w:rPr>
      </w:pPr>
    </w:p>
    <w:p>
      <w:pPr>
        <w:ind w:left="1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10795</wp:posOffset>
            </wp:positionV>
            <wp:extent cx="119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1160" w:val="left"/>
        </w:tabs>
        <w:rPr>
          <w:sz w:val="20"/>
          <w:szCs w:val="20"/>
          <w:color w:val="auto"/>
        </w:rPr>
      </w:pPr>
      <w:r>
        <w:rPr>
          <w:rFonts w:ascii="Arial" w:cs="Arial" w:eastAsia="Arial" w:hAnsi="Arial"/>
          <w:sz w:val="14"/>
          <w:szCs w:val="14"/>
          <w:b w:val="1"/>
          <w:bCs w:val="1"/>
          <w:color w:val="auto"/>
        </w:rPr>
        <w:t>$9,436</w:t>
      </w:r>
      <w:r>
        <w:rPr>
          <w:sz w:val="20"/>
          <w:szCs w:val="20"/>
          <w:color w:val="auto"/>
        </w:rPr>
        <w:tab/>
      </w:r>
      <w:r>
        <w:rPr>
          <w:rFonts w:ascii="Arial" w:cs="Arial" w:eastAsia="Arial" w:hAnsi="Arial"/>
          <w:sz w:val="14"/>
          <w:szCs w:val="14"/>
          <w:b w:val="1"/>
          <w:bCs w:val="1"/>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19050</wp:posOffset>
            </wp:positionV>
            <wp:extent cx="11912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44450</wp:posOffset>
            </wp:positionV>
            <wp:extent cx="11912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6"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i w:val="1"/>
          <w:iCs w:val="1"/>
          <w:color w:val="auto"/>
        </w:rPr>
        <w:t>(12.3 %)</w:t>
      </w:r>
      <w:r>
        <w:rPr>
          <w:sz w:val="20"/>
          <w:szCs w:val="20"/>
          <w:color w:val="auto"/>
        </w:rPr>
        <w:tab/>
      </w:r>
      <w:r>
        <w:rPr>
          <w:rFonts w:ascii="Arial" w:cs="Arial" w:eastAsia="Arial" w:hAnsi="Arial"/>
          <w:sz w:val="14"/>
          <w:szCs w:val="14"/>
          <w:i w:val="1"/>
          <w:iCs w:val="1"/>
          <w:color w:val="auto"/>
        </w:rPr>
        <w:t>(12.4 %)</w:t>
      </w:r>
    </w:p>
    <w:p>
      <w:pPr>
        <w:spacing w:after="0" w:line="20" w:lineRule="exact"/>
        <w:rPr>
          <w:sz w:val="20"/>
          <w:szCs w:val="20"/>
          <w:color w:val="auto"/>
        </w:rPr>
      </w:pPr>
      <w:r>
        <w:rPr>
          <w:sz w:val="20"/>
          <w:szCs w:val="20"/>
          <w:color w:val="auto"/>
        </w:rPr>
        <w:br w:type="column"/>
      </w:r>
    </w:p>
    <w:p>
      <w:pPr>
        <w:ind w:left="860" w:hanging="728"/>
        <w:spacing w:after="0"/>
        <w:tabs>
          <w:tab w:leader="none" w:pos="8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14605</wp:posOffset>
            </wp:positionV>
            <wp:extent cx="9861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27"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4"/>
          <w:szCs w:val="14"/>
          <w:color w:val="auto"/>
        </w:rPr>
        <w:t>$9,895</w:t>
      </w:r>
      <w:r>
        <w:rPr>
          <w:sz w:val="20"/>
          <w:szCs w:val="20"/>
          <w:color w:val="auto"/>
        </w:rPr>
        <w:tab/>
      </w:r>
      <w:r>
        <w:rPr>
          <w:rFonts w:ascii="Arial" w:cs="Arial" w:eastAsia="Arial" w:hAnsi="Arial"/>
          <w:sz w:val="14"/>
          <w:szCs w:val="14"/>
          <w:color w:val="auto"/>
        </w:rPr>
        <w:t>$2.15</w:t>
      </w:r>
    </w:p>
    <w:p>
      <w:pPr>
        <w:spacing w:after="0" w:line="271" w:lineRule="exact"/>
        <w:rPr>
          <w:sz w:val="20"/>
          <w:szCs w:val="20"/>
          <w:color w:val="auto"/>
        </w:rPr>
      </w:pPr>
    </w:p>
    <w:p>
      <w:pPr>
        <w:ind w:left="160"/>
        <w:spacing w:after="0"/>
        <w:tabs>
          <w:tab w:leader="none" w:pos="1000" w:val="left"/>
        </w:tabs>
        <w:rPr>
          <w:sz w:val="20"/>
          <w:szCs w:val="20"/>
          <w:color w:val="auto"/>
        </w:rPr>
      </w:pPr>
      <w:r>
        <w:rPr>
          <w:rFonts w:ascii="Arial" w:cs="Arial" w:eastAsia="Arial" w:hAnsi="Arial"/>
          <w:sz w:val="14"/>
          <w:szCs w:val="14"/>
          <w:color w:val="auto"/>
        </w:rPr>
        <w:t>1,180</w:t>
      </w:r>
      <w:r>
        <w:rPr>
          <w:sz w:val="20"/>
          <w:szCs w:val="20"/>
          <w:color w:val="auto"/>
        </w:rPr>
        <w:tab/>
      </w:r>
      <w:r>
        <w:rPr>
          <w:rFonts w:ascii="Arial" w:cs="Arial" w:eastAsia="Arial" w:hAnsi="Arial"/>
          <w:sz w:val="14"/>
          <w:szCs w:val="14"/>
          <w:color w:val="auto"/>
        </w:rPr>
        <w:t>0.25</w:t>
      </w:r>
    </w:p>
    <w:p>
      <w:pPr>
        <w:spacing w:after="0" w:line="33" w:lineRule="exact"/>
        <w:rPr>
          <w:sz w:val="20"/>
          <w:szCs w:val="20"/>
          <w:color w:val="auto"/>
        </w:rPr>
      </w:pPr>
    </w:p>
    <w:p>
      <w:pPr>
        <w:ind w:left="960" w:hanging="777"/>
        <w:spacing w:after="0"/>
        <w:tabs>
          <w:tab w:leader="none" w:pos="9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(0.07)</w:t>
      </w:r>
    </w:p>
    <w:p>
      <w:pPr>
        <w:spacing w:after="0" w:line="212" w:lineRule="exact"/>
        <w:rPr>
          <w:sz w:val="20"/>
          <w:szCs w:val="20"/>
          <w:color w:val="auto"/>
        </w:rPr>
      </w:pPr>
    </w:p>
    <w:p>
      <w:pPr>
        <w:ind w:left="300"/>
        <w:spacing w:after="0"/>
        <w:tabs>
          <w:tab w:leader="none" w:pos="100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0.01</w:t>
      </w:r>
    </w:p>
    <w:p>
      <w:pPr>
        <w:spacing w:after="0" w:line="33" w:lineRule="exact"/>
        <w:rPr>
          <w:sz w:val="20"/>
          <w:szCs w:val="20"/>
          <w:color w:val="auto"/>
        </w:rPr>
      </w:pPr>
    </w:p>
    <w:p>
      <w:pPr>
        <w:ind w:left="960" w:hanging="777"/>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(0.03)</w:t>
      </w:r>
    </w:p>
    <w:p>
      <w:pPr>
        <w:spacing w:after="0" w:line="28"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sz w:val="20"/>
          <w:szCs w:val="20"/>
          <w:color w:val="auto"/>
        </w:rPr>
      </w:pPr>
    </w:p>
    <w:p>
      <w:pPr>
        <w:ind w:left="1020" w:hanging="741"/>
        <w:spacing w:after="0"/>
        <w:tabs>
          <w:tab w:leader="none" w:pos="10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0.03</w:t>
      </w:r>
    </w:p>
    <w:p>
      <w:pPr>
        <w:spacing w:after="0" w:line="28" w:lineRule="exact"/>
        <w:rPr>
          <w:rFonts w:ascii="Arial" w:cs="Arial" w:eastAsia="Arial" w:hAnsi="Arial"/>
          <w:sz w:val="14"/>
          <w:szCs w:val="14"/>
          <w:color w:val="auto"/>
        </w:rPr>
      </w:pPr>
    </w:p>
    <w:p>
      <w:pPr>
        <w:ind w:left="960" w:hanging="706"/>
        <w:spacing w:after="0"/>
        <w:tabs>
          <w:tab w:leader="none" w:pos="9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(0.02)</w:t>
      </w:r>
    </w:p>
    <w:p>
      <w:pPr>
        <w:spacing w:after="0" w:line="28"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390.01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14605</wp:posOffset>
            </wp:positionV>
            <wp:extent cx="9861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57"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$10,754</w:t>
      </w:r>
      <w:r>
        <w:rPr>
          <w:sz w:val="20"/>
          <w:szCs w:val="20"/>
          <w:color w:val="auto"/>
        </w:rPr>
        <w:tab/>
      </w:r>
      <w:r>
        <w:rPr>
          <w:rFonts w:ascii="Arial" w:cs="Arial" w:eastAsia="Arial" w:hAnsi="Arial"/>
          <w:sz w:val="14"/>
          <w:szCs w:val="14"/>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17780</wp:posOffset>
            </wp:positionV>
            <wp:extent cx="9861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43180</wp:posOffset>
            </wp:positionV>
            <wp:extent cx="986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3">
            <w:col w:w="7480" w:space="540"/>
            <w:col w:w="1540" w:space="320"/>
            <w:col w:w="1360"/>
          </w:cols>
          <w:pgMar w:left="320" w:top="942" w:right="339" w:bottom="1440" w:gutter="0" w:footer="0" w:header="0"/>
          <w:type w:val="continuous"/>
        </w:sectPr>
      </w:pPr>
    </w:p>
    <w:p>
      <w:pPr>
        <w:jc w:val="both"/>
        <w:ind w:left="260" w:right="40" w:hanging="252"/>
        <w:spacing w:after="0" w:line="254" w:lineRule="auto"/>
        <w:tabs>
          <w:tab w:leader="none" w:pos="252"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0"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3"/>
                <w:szCs w:val="13"/>
                <w:color w:val="auto"/>
                <w:w w:val="95"/>
              </w:rPr>
              <w:t>Three Months Ended</w:t>
            </w:r>
          </w:p>
        </w:tc>
        <w:tc>
          <w:tcPr>
            <w:tcW w:w="1820" w:type="dxa"/>
            <w:vAlign w:val="bottom"/>
            <w:gridSpan w:val="3"/>
          </w:tcPr>
          <w:p>
            <w:pPr>
              <w:jc w:val="right"/>
              <w:ind w:right="277"/>
              <w:spacing w:after="0"/>
              <w:rPr>
                <w:sz w:val="20"/>
                <w:szCs w:val="20"/>
                <w:color w:val="auto"/>
              </w:rPr>
            </w:pPr>
            <w:r>
              <w:rPr>
                <w:rFonts w:ascii="Arial" w:cs="Arial" w:eastAsia="Arial" w:hAnsi="Arial"/>
                <w:sz w:val="13"/>
                <w:szCs w:val="13"/>
                <w:color w:val="auto"/>
              </w:rPr>
              <w:t>Nine Months Ended</w:t>
            </w:r>
          </w:p>
        </w:tc>
      </w:tr>
      <w:tr>
        <w:trPr>
          <w:trHeight w:val="167"/>
        </w:trPr>
        <w:tc>
          <w:tcPr>
            <w:tcW w:w="6680" w:type="dxa"/>
            <w:vAlign w:val="bottom"/>
          </w:tcPr>
          <w:p>
            <w:pPr>
              <w:spacing w:after="0"/>
              <w:rPr>
                <w:sz w:val="14"/>
                <w:szCs w:val="14"/>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3"/>
                <w:szCs w:val="13"/>
                <w:color w:val="auto"/>
                <w:w w:val="98"/>
              </w:rPr>
              <w:t>September 30,</w:t>
            </w:r>
          </w:p>
        </w:tc>
        <w:tc>
          <w:tcPr>
            <w:tcW w:w="1820" w:type="dxa"/>
            <w:vAlign w:val="bottom"/>
            <w:gridSpan w:val="3"/>
          </w:tcPr>
          <w:p>
            <w:pPr>
              <w:jc w:val="right"/>
              <w:ind w:right="417"/>
              <w:spacing w:after="0"/>
              <w:rPr>
                <w:sz w:val="20"/>
                <w:szCs w:val="20"/>
                <w:color w:val="auto"/>
              </w:rPr>
            </w:pPr>
            <w:r>
              <w:rPr>
                <w:rFonts w:ascii="Arial" w:cs="Arial" w:eastAsia="Arial" w:hAnsi="Arial"/>
                <w:sz w:val="13"/>
                <w:szCs w:val="13"/>
                <w:color w:val="auto"/>
              </w:rPr>
              <w:t>September 30,</w:t>
            </w:r>
          </w:p>
        </w:tc>
      </w:tr>
      <w:tr>
        <w:trPr>
          <w:trHeight w:val="177"/>
        </w:trPr>
        <w:tc>
          <w:tcPr>
            <w:tcW w:w="668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2019</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r>
      <w:tr>
        <w:trPr>
          <w:trHeight w:val="173"/>
        </w:trPr>
        <w:tc>
          <w:tcPr>
            <w:tcW w:w="66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w:t>
            </w:r>
          </w:p>
        </w:tc>
      </w:tr>
      <w:tr>
        <w:trPr>
          <w:trHeight w:val="172"/>
        </w:trPr>
        <w:tc>
          <w:tcPr>
            <w:tcW w:w="66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$1,180</w:t>
            </w:r>
          </w:p>
        </w:tc>
      </w:tr>
      <w:tr>
        <w:trPr>
          <w:trHeight w:val="20"/>
        </w:trPr>
        <w:tc>
          <w:tcPr>
            <w:tcW w:w="6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60" w:right="420" w:hanging="252"/>
        <w:spacing w:after="0" w:line="271" w:lineRule="auto"/>
        <w:tabs>
          <w:tab w:leader="none" w:pos="252"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our investments in Atairos and Hulu (following May 2019 transaction).</w:t>
      </w:r>
    </w:p>
    <w:p>
      <w:pPr>
        <w:spacing w:after="0" w:line="61"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6680" w:type="dxa"/>
            <w:vAlign w:val="bottom"/>
          </w:tcPr>
          <w:p>
            <w:pPr>
              <w:spacing w:after="0"/>
              <w:rPr>
                <w:sz w:val="12"/>
                <w:szCs w:val="12"/>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3"/>
                <w:szCs w:val="13"/>
                <w:color w:val="auto"/>
                <w:w w:val="95"/>
              </w:rPr>
              <w:t>Three Months Ended</w:t>
            </w:r>
          </w:p>
        </w:tc>
        <w:tc>
          <w:tcPr>
            <w:tcW w:w="1820" w:type="dxa"/>
            <w:vAlign w:val="bottom"/>
            <w:gridSpan w:val="3"/>
          </w:tcPr>
          <w:p>
            <w:pPr>
              <w:jc w:val="right"/>
              <w:ind w:right="277"/>
              <w:spacing w:after="0"/>
              <w:rPr>
                <w:sz w:val="20"/>
                <w:szCs w:val="20"/>
                <w:color w:val="auto"/>
              </w:rPr>
            </w:pPr>
            <w:r>
              <w:rPr>
                <w:rFonts w:ascii="Arial" w:cs="Arial" w:eastAsia="Arial" w:hAnsi="Arial"/>
                <w:sz w:val="13"/>
                <w:szCs w:val="13"/>
                <w:color w:val="auto"/>
              </w:rPr>
              <w:t>Nine Months Ended</w:t>
            </w:r>
          </w:p>
        </w:tc>
      </w:tr>
      <w:tr>
        <w:trPr>
          <w:trHeight w:val="167"/>
        </w:trPr>
        <w:tc>
          <w:tcPr>
            <w:tcW w:w="6680" w:type="dxa"/>
            <w:vAlign w:val="bottom"/>
          </w:tcPr>
          <w:p>
            <w:pPr>
              <w:spacing w:after="0"/>
              <w:rPr>
                <w:sz w:val="14"/>
                <w:szCs w:val="14"/>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3"/>
                <w:szCs w:val="13"/>
                <w:color w:val="auto"/>
                <w:w w:val="98"/>
              </w:rPr>
              <w:t>September 30,</w:t>
            </w:r>
          </w:p>
        </w:tc>
        <w:tc>
          <w:tcPr>
            <w:tcW w:w="1820" w:type="dxa"/>
            <w:vAlign w:val="bottom"/>
            <w:gridSpan w:val="3"/>
          </w:tcPr>
          <w:p>
            <w:pPr>
              <w:jc w:val="right"/>
              <w:ind w:right="417"/>
              <w:spacing w:after="0"/>
              <w:rPr>
                <w:sz w:val="20"/>
                <w:szCs w:val="20"/>
                <w:color w:val="auto"/>
              </w:rPr>
            </w:pPr>
            <w:r>
              <w:rPr>
                <w:rFonts w:ascii="Arial" w:cs="Arial" w:eastAsia="Arial" w:hAnsi="Arial"/>
                <w:sz w:val="13"/>
                <w:szCs w:val="13"/>
                <w:color w:val="auto"/>
              </w:rPr>
              <w:t>September 30,</w:t>
            </w:r>
          </w:p>
        </w:tc>
      </w:tr>
      <w:tr>
        <w:trPr>
          <w:trHeight w:val="177"/>
        </w:trPr>
        <w:tc>
          <w:tcPr>
            <w:tcW w:w="668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2019</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r>
      <w:tr>
        <w:trPr>
          <w:trHeight w:val="167"/>
        </w:trPr>
        <w:tc>
          <w:tcPr>
            <w:tcW w:w="668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($118)</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($174)</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($582)</w:t>
            </w:r>
          </w:p>
        </w:tc>
      </w:tr>
      <w:tr>
        <w:trPr>
          <w:trHeight w:val="177"/>
        </w:trPr>
        <w:tc>
          <w:tcPr>
            <w:tcW w:w="6680" w:type="dxa"/>
            <w:vAlign w:val="bottom"/>
          </w:tcPr>
          <w:p>
            <w:pPr>
              <w:spacing w:after="0"/>
              <w:rPr>
                <w:sz w:val="20"/>
                <w:szCs w:val="20"/>
                <w:color w:val="auto"/>
              </w:rPr>
            </w:pPr>
            <w:r>
              <w:rPr>
                <w:rFonts w:ascii="Arial" w:cs="Arial" w:eastAsia="Arial" w:hAnsi="Arial"/>
                <w:sz w:val="13"/>
                <w:szCs w:val="13"/>
                <w:color w:val="auto"/>
              </w:rPr>
              <w:t>Equity in net (income) losses of investees, net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363</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r>
      <w:tr>
        <w:trPr>
          <w:trHeight w:val="167"/>
        </w:trPr>
        <w:tc>
          <w:tcPr>
            <w:tcW w:w="668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92</w:t>
            </w:r>
          </w:p>
        </w:tc>
        <w:tc>
          <w:tcPr>
            <w:tcW w:w="2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189</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441</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(427)</w:t>
            </w:r>
          </w:p>
        </w:tc>
      </w:tr>
      <w:tr>
        <w:trPr>
          <w:trHeight w:val="184"/>
        </w:trPr>
        <w:tc>
          <w:tcPr>
            <w:tcW w:w="668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$141</w:t>
            </w:r>
          </w:p>
        </w:tc>
        <w:tc>
          <w:tcPr>
            <w:tcW w:w="2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w:t>
            </w:r>
          </w:p>
        </w:tc>
        <w:tc>
          <w:tcPr>
            <w:tcW w:w="2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r>
      <w:tr>
        <w:trPr>
          <w:trHeight w:val="21"/>
        </w:trPr>
        <w:tc>
          <w:tcPr>
            <w:tcW w:w="6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left="260" w:hanging="252"/>
        <w:spacing w:after="0" w:line="254" w:lineRule="auto"/>
        <w:tabs>
          <w:tab w:leader="none" w:pos="2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3rd quarter and year to date 2020 net income attributable to Comcast Corporation includes $220 million and $360 million of interest expense, $166 million and $272 million net of tax, respectively, resulting from the early redemption of debt. 3rd quarter and year to date 2019 net income attributable to Comcast Corporation includes $56 million of interest expense, $42 million net of tax, resulting from the early redemption of debt.</w:t>
      </w:r>
    </w:p>
    <w:p>
      <w:pPr>
        <w:spacing w:after="0" w:line="78" w:lineRule="exact"/>
        <w:rPr>
          <w:rFonts w:ascii="Arial" w:cs="Arial" w:eastAsia="Arial" w:hAnsi="Arial"/>
          <w:sz w:val="13"/>
          <w:szCs w:val="13"/>
          <w:color w:val="auto"/>
        </w:rPr>
      </w:pPr>
    </w:p>
    <w:p>
      <w:pPr>
        <w:ind w:left="260" w:hanging="252"/>
        <w:spacing w:after="0" w:line="271" w:lineRule="auto"/>
        <w:tabs>
          <w:tab w:leader="none" w:pos="2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3rd quarter and year to date 2020 net income attributable to Comcast Corporation includes $145 million of income tax expense adjustments related to certain tax law changes. 3rd quarter and year to date 2019 net income attributable to Comcast Corporation includes $125 million of income tax benefits related to the impact of certain state tax adjustments.</w:t>
      </w:r>
    </w:p>
    <w:p>
      <w:pPr>
        <w:spacing w:after="0" w:line="67" w:lineRule="exact"/>
        <w:rPr>
          <w:rFonts w:ascii="Arial" w:cs="Arial" w:eastAsia="Arial" w:hAnsi="Arial"/>
          <w:sz w:val="13"/>
          <w:szCs w:val="13"/>
          <w:color w:val="auto"/>
        </w:rPr>
      </w:pPr>
    </w:p>
    <w:p>
      <w:pPr>
        <w:ind w:left="260" w:right="20" w:hanging="252"/>
        <w:spacing w:after="0" w:line="271" w:lineRule="auto"/>
        <w:tabs>
          <w:tab w:leader="none" w:pos="2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3rd quarter and year to date 2020 net income attributable to Comcast Corporation includes $177 million of other operating and administrative expense, $134 million net of tax, related to a potential legal settlement.</w:t>
      </w:r>
    </w:p>
    <w:p>
      <w:pPr>
        <w:spacing w:after="0" w:line="67" w:lineRule="exact"/>
        <w:rPr>
          <w:rFonts w:ascii="Arial" w:cs="Arial" w:eastAsia="Arial" w:hAnsi="Arial"/>
          <w:sz w:val="13"/>
          <w:szCs w:val="13"/>
          <w:color w:val="auto"/>
        </w:rPr>
      </w:pPr>
    </w:p>
    <w:p>
      <w:pPr>
        <w:jc w:val="both"/>
        <w:ind w:left="260" w:hanging="252"/>
        <w:spacing w:after="0" w:line="249" w:lineRule="auto"/>
        <w:tabs>
          <w:tab w:leader="none" w:pos="2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3rd quarter and year to date 2020 net income attributable to Comcast Corporation includes $10 million and $40 million of operating costs and expenses, $8 million and $32 million net of tax, respectively, related to the Sky transaction, primarily relating to the replacement of share-based compensation awards and costs related to integration activities. 3rd quarter and year to date 2019 net income attributable to Comcast Corporation includes $33 million and $168 million of operating costs and expenses, $27 million and $136 million net of tax, respectively, related to the Sky transaction, primarily relating to the replacement of share-based compensation awards and costs related to integration activities.</w:t>
      </w:r>
    </w:p>
    <w:p>
      <w:pPr>
        <w:spacing w:after="0" w:line="81" w:lineRule="exact"/>
        <w:rPr>
          <w:rFonts w:ascii="Arial" w:cs="Arial" w:eastAsia="Arial" w:hAnsi="Arial"/>
          <w:sz w:val="13"/>
          <w:szCs w:val="13"/>
          <w:color w:val="auto"/>
        </w:rPr>
      </w:pPr>
    </w:p>
    <w:p>
      <w:pPr>
        <w:jc w:val="both"/>
        <w:ind w:left="260" w:hanging="252"/>
        <w:spacing w:after="0" w:line="254" w:lineRule="auto"/>
        <w:tabs>
          <w:tab w:leader="none" w:pos="2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3rd quarter 2019 net income attributable to Comcast Corporation includes a gain of $60 million in other income, $45 million net of tax, related to our investment in Hulu and $34 million of other losses, $25 million net of tax, related to an impairment of an equity method investment. 2019 year to date net income attributable to Comcast Corporation also includes a gain of $159 million in other income, $118 million net of tax, related to our investment in Hulu and $56 million of other losses, $42 million net of tax, related to an impairment of an equity method investment.</w:t>
      </w:r>
    </w:p>
    <w:p>
      <w:pPr>
        <w:spacing w:after="0" w:line="78" w:lineRule="exact"/>
        <w:rPr>
          <w:rFonts w:ascii="Arial" w:cs="Arial" w:eastAsia="Arial" w:hAnsi="Arial"/>
          <w:sz w:val="13"/>
          <w:szCs w:val="13"/>
          <w:color w:val="auto"/>
        </w:rPr>
      </w:pPr>
    </w:p>
    <w:p>
      <w:pPr>
        <w:ind w:left="260" w:hanging="252"/>
        <w:spacing w:after="0" w:line="271" w:lineRule="auto"/>
        <w:tabs>
          <w:tab w:leader="none" w:pos="2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2019 year to date net income attributable to Comcast Corporation includes $53 million of depreciation and amortization expense, $39 million net of tax, related to the 4th quarter 2018, as a result of adjustments to the purchase price allocation of Sky, primarily related to intangible assets and property and equipment.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942" w:right="339"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629285</wp:posOffset>
            </wp:positionV>
            <wp:extent cx="1209040" cy="52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27305</wp:posOffset>
            </wp:positionV>
            <wp:extent cx="7089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207010</wp:posOffset>
            </wp:positionV>
            <wp:extent cx="8890" cy="1491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491615"/>
                    </a:xfrm>
                    <a:prstGeom prst="rect">
                      <a:avLst/>
                    </a:prstGeom>
                    <a:noFill/>
                  </pic:spPr>
                </pic:pic>
              </a:graphicData>
            </a:graphic>
          </wp:anchor>
        </w:drawing>
      </w:r>
    </w:p>
    <w:p>
      <w:pPr>
        <w:sectPr>
          <w:pgSz w:w="11900" w:h="16838" w:orient="portrait"/>
          <w:cols w:equalWidth="0" w:num="1">
            <w:col w:w="11220"/>
          </w:cols>
          <w:pgMar w:left="320" w:top="1104" w:right="359" w:bottom="1440" w:gutter="0" w:footer="0" w:header="0"/>
        </w:sect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314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line="221" w:lineRule="exact"/>
              <w:rPr>
                <w:sz w:val="20"/>
                <w:szCs w:val="20"/>
                <w:color w:val="auto"/>
              </w:rPr>
            </w:pPr>
            <w:r>
              <w:rPr>
                <w:rFonts w:ascii="Arial" w:cs="Arial" w:eastAsia="Arial" w:hAnsi="Arial"/>
                <w:sz w:val="16"/>
                <w:szCs w:val="16"/>
                <w:color w:val="auto"/>
              </w:rPr>
              <w:t>2019</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660" w:type="dxa"/>
            <w:vAlign w:val="bottom"/>
          </w:tcPr>
          <w:p>
            <w:pPr>
              <w:spacing w:after="0"/>
              <w:rPr>
                <w:sz w:val="20"/>
                <w:szCs w:val="20"/>
                <w:color w:val="auto"/>
              </w:rPr>
            </w:pPr>
            <w:r>
              <w:rPr>
                <w:rFonts w:ascii="Arial" w:cs="Arial" w:eastAsia="Arial" w:hAnsi="Arial"/>
                <w:sz w:val="16"/>
                <w:szCs w:val="16"/>
                <w:color w:val="auto"/>
              </w:rPr>
              <w:t>Direct-to-Consumer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$3,943</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6"/>
                <w:szCs w:val="16"/>
                <w:color w:val="auto"/>
              </w:rPr>
              <w:t>Content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388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6"/>
                <w:szCs w:val="16"/>
                <w:color w:val="auto"/>
              </w:rPr>
              <w:t>Advertising</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$4,793</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$4,278</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$515</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Nine Months Ended</w:t>
      </w:r>
    </w:p>
    <w:p>
      <w:pPr>
        <w:jc w:val="center"/>
        <w:ind w:right="-19"/>
        <w:spacing w:after="0"/>
        <w:rPr>
          <w:sz w:val="20"/>
          <w:szCs w:val="20"/>
          <w:color w:val="auto"/>
        </w:rPr>
      </w:pPr>
      <w:r>
        <w:rPr>
          <w:rFonts w:ascii="Arial" w:cs="Arial" w:eastAsia="Arial" w:hAnsi="Arial"/>
          <w:sz w:val="16"/>
          <w:szCs w:val="16"/>
          <w:b w:val="1"/>
          <w:bCs w:val="1"/>
          <w:color w:val="auto"/>
        </w:rPr>
        <w:t>September 30,</w:t>
      </w:r>
    </w:p>
    <w:p>
      <w:pPr>
        <w:spacing w:after="0" w:line="23" w:lineRule="exact"/>
        <w:rPr>
          <w:sz w:val="20"/>
          <w:szCs w:val="20"/>
          <w:color w:val="auto"/>
        </w:rPr>
      </w:pPr>
    </w:p>
    <w:p>
      <w:pPr>
        <w:ind w:left="240"/>
        <w:spacing w:after="0"/>
        <w:tabs>
          <w:tab w:leader="none" w:pos="1140" w:val="left"/>
          <w:tab w:leader="none" w:pos="22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color w:val="auto"/>
        </w:rPr>
        <w:t>2019</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9970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$11,146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$11,504</w:t>
            </w:r>
          </w:p>
        </w:tc>
        <w:tc>
          <w:tcPr>
            <w:tcW w:w="128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6"/>
        </w:trPr>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947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1,057</w:t>
            </w:r>
          </w:p>
        </w:tc>
        <w:tc>
          <w:tcPr>
            <w:tcW w:w="1280" w:type="dxa"/>
            <w:vAlign w:val="bottom"/>
          </w:tcPr>
          <w:p>
            <w:pPr>
              <w:jc w:val="right"/>
              <w:spacing w:after="0"/>
              <w:rPr>
                <w:sz w:val="20"/>
                <w:szCs w:val="20"/>
                <w:color w:val="auto"/>
              </w:rPr>
            </w:pPr>
            <w:r>
              <w:rPr>
                <w:rFonts w:ascii="Arial" w:cs="Arial" w:eastAsia="Arial" w:hAnsi="Arial"/>
                <w:sz w:val="16"/>
                <w:szCs w:val="16"/>
                <w:color w:val="auto"/>
              </w:rPr>
              <w:t>(10.4 %)</w:t>
            </w:r>
          </w:p>
        </w:tc>
      </w:tr>
      <w:tr>
        <w:trPr>
          <w:trHeight w:val="22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1,296</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w:t>
            </w:r>
          </w:p>
        </w:tc>
        <w:tc>
          <w:tcPr>
            <w:tcW w:w="1280" w:type="dxa"/>
            <w:vAlign w:val="bottom"/>
          </w:tcPr>
          <w:p>
            <w:pPr>
              <w:jc w:val="right"/>
              <w:spacing w:after="0"/>
              <w:rPr>
                <w:sz w:val="20"/>
                <w:szCs w:val="20"/>
                <w:color w:val="auto"/>
              </w:rPr>
            </w:pPr>
            <w:r>
              <w:rPr>
                <w:rFonts w:ascii="Arial" w:cs="Arial" w:eastAsia="Arial" w:hAnsi="Arial"/>
                <w:sz w:val="16"/>
                <w:szCs w:val="16"/>
                <w:color w:val="auto"/>
              </w:rPr>
              <w:t>(18.7 %)</w:t>
            </w:r>
          </w:p>
        </w:tc>
      </w:tr>
      <w:tr>
        <w:trPr>
          <w:trHeight w:val="209"/>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$14,156</w:t>
            </w:r>
          </w:p>
        </w:tc>
        <w:tc>
          <w:tcPr>
            <w:tcW w:w="128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3"/>
        </w:trPr>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$11,574</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$11,815</w:t>
            </w:r>
          </w:p>
        </w:tc>
        <w:tc>
          <w:tcPr>
            <w:tcW w:w="128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$1,815</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$2,341</w:t>
            </w:r>
          </w:p>
        </w:tc>
        <w:tc>
          <w:tcPr>
            <w:tcW w:w="1280" w:type="dxa"/>
            <w:vAlign w:val="bottom"/>
          </w:tcPr>
          <w:p>
            <w:pPr>
              <w:jc w:val="right"/>
              <w:spacing w:after="0"/>
              <w:rPr>
                <w:sz w:val="20"/>
                <w:szCs w:val="20"/>
                <w:color w:val="auto"/>
              </w:rPr>
            </w:pPr>
            <w:r>
              <w:rPr>
                <w:rFonts w:ascii="Arial" w:cs="Arial" w:eastAsia="Arial" w:hAnsi="Arial"/>
                <w:sz w:val="16"/>
                <w:szCs w:val="16"/>
                <w:color w:val="auto"/>
              </w:rPr>
              <w:t>(22.5 %)</w:t>
            </w:r>
          </w:p>
        </w:tc>
      </w:tr>
    </w:tbl>
    <w:p>
      <w:pPr>
        <w:spacing w:after="0" w:line="200" w:lineRule="exact"/>
        <w:rPr>
          <w:sz w:val="20"/>
          <w:szCs w:val="20"/>
          <w:color w:val="auto"/>
        </w:rPr>
      </w:pPr>
    </w:p>
    <w:p>
      <w:pPr>
        <w:sectPr>
          <w:pgSz w:w="11900" w:h="16838" w:orient="portrait"/>
          <w:cols w:equalWidth="0" w:num="2">
            <w:col w:w="7820" w:space="280"/>
            <w:col w:w="3120"/>
          </w:cols>
          <w:pgMar w:left="320" w:top="1104" w:right="359" w:bottom="1440" w:gutter="0" w:footer="0" w:header="0"/>
          <w:type w:val="continuous"/>
        </w:sectPr>
      </w:pPr>
    </w:p>
    <w:p>
      <w:pPr>
        <w:spacing w:after="0" w:line="164" w:lineRule="exact"/>
        <w:rPr>
          <w:sz w:val="20"/>
          <w:szCs w:val="20"/>
          <w:color w:val="auto"/>
        </w:rPr>
      </w:pPr>
    </w:p>
    <w:p>
      <w:pPr>
        <w:ind w:left="260" w:hanging="252"/>
        <w:spacing w:after="0" w:line="271" w:lineRule="auto"/>
        <w:tabs>
          <w:tab w:leader="none" w:pos="2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2019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20" w:top="1104"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6080125</wp:posOffset>
            </wp:positionH>
            <wp:positionV relativeFrom="page">
              <wp:posOffset>723265</wp:posOffset>
            </wp:positionV>
            <wp:extent cx="1208405" cy="52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08405" cy="522605"/>
                    </a:xfrm>
                    <a:prstGeom prst="rect">
                      <a:avLst/>
                    </a:prstGeom>
                    <a:noFill/>
                  </pic:spPr>
                </pic:pic>
              </a:graphicData>
            </a:graphic>
          </wp:anchor>
        </w:drawing>
        <w:t>TABLE 7</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828282"/>
        </w:rPr>
        <w:t>Reconciliation of Cable Communications RSN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089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40" w:top="1253" w:right="339" w:bottom="1440" w:gutter="0" w:footer="0" w:header="0"/>
        </w:sectPr>
      </w:pPr>
    </w:p>
    <w:p>
      <w:pPr>
        <w:spacing w:after="0" w:line="239"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Three Months Ended</w:t>
      </w:r>
    </w:p>
    <w:p>
      <w:pPr>
        <w:ind w:left="4040"/>
        <w:spacing w:after="0"/>
        <w:rPr>
          <w:sz w:val="20"/>
          <w:szCs w:val="20"/>
          <w:color w:val="auto"/>
        </w:rPr>
      </w:pPr>
      <w:r>
        <w:rPr>
          <w:rFonts w:ascii="Arial" w:cs="Arial" w:eastAsia="Arial" w:hAnsi="Arial"/>
          <w:sz w:val="16"/>
          <w:szCs w:val="16"/>
          <w:b w:val="1"/>
          <w:bCs w:val="1"/>
          <w:color w:val="auto"/>
        </w:rPr>
        <w:t>September 30, 2020</w:t>
      </w:r>
    </w:p>
    <w:tbl>
      <w:tblPr>
        <w:tblLayout w:type="fixed"/>
        <w:tblInd w:w="0" w:type="dxa"/>
        <w:tblCellMar>
          <w:top w:w="0" w:type="dxa"/>
          <w:left w:w="0" w:type="dxa"/>
          <w:bottom w:w="0" w:type="dxa"/>
          <w:right w:w="0" w:type="dxa"/>
        </w:tblCellMar>
      </w:tblPr>
      <w:tr>
        <w:trPr>
          <w:trHeight w:val="179"/>
        </w:trPr>
        <w:tc>
          <w:tcPr>
            <w:tcW w:w="2740" w:type="dxa"/>
            <w:vAlign w:val="bottom"/>
          </w:tcPr>
          <w:p>
            <w:pPr>
              <w:spacing w:after="0"/>
              <w:rPr>
                <w:sz w:val="15"/>
                <w:szCs w:val="15"/>
                <w:color w:val="auto"/>
              </w:rPr>
            </w:pPr>
          </w:p>
        </w:tc>
        <w:tc>
          <w:tcPr>
            <w:tcW w:w="1360" w:type="dxa"/>
            <w:vAlign w:val="bottom"/>
            <w:gridSpan w:val="2"/>
          </w:tcPr>
          <w:p>
            <w:pPr>
              <w:jc w:val="center"/>
              <w:ind w:right="120"/>
              <w:spacing w:after="0" w:line="179" w:lineRule="exact"/>
              <w:rPr>
                <w:sz w:val="20"/>
                <w:szCs w:val="20"/>
                <w:color w:val="auto"/>
              </w:rPr>
            </w:pPr>
            <w:r>
              <w:rPr>
                <w:rFonts w:ascii="Arial" w:cs="Arial" w:eastAsia="Arial" w:hAnsi="Arial"/>
                <w:sz w:val="16"/>
                <w:szCs w:val="16"/>
                <w:b w:val="1"/>
                <w:bCs w:val="1"/>
                <w:color w:val="auto"/>
              </w:rPr>
              <w:t>Reported</w:t>
            </w:r>
          </w:p>
        </w:tc>
        <w:tc>
          <w:tcPr>
            <w:tcW w:w="1540" w:type="dxa"/>
            <w:vAlign w:val="bottom"/>
            <w:gridSpan w:val="2"/>
          </w:tcPr>
          <w:p>
            <w:pPr>
              <w:jc w:val="center"/>
              <w:ind w:right="140"/>
              <w:spacing w:after="0" w:line="179" w:lineRule="exact"/>
              <w:rPr>
                <w:sz w:val="20"/>
                <w:szCs w:val="20"/>
                <w:color w:val="auto"/>
              </w:rPr>
            </w:pPr>
            <w:r>
              <w:rPr>
                <w:rFonts w:ascii="Arial" w:cs="Arial" w:eastAsia="Arial" w:hAnsi="Arial"/>
                <w:sz w:val="16"/>
                <w:szCs w:val="16"/>
                <w:b w:val="1"/>
                <w:bCs w:val="1"/>
                <w:color w:val="auto"/>
              </w:rPr>
              <w:t>RSN</w:t>
            </w:r>
          </w:p>
        </w:tc>
        <w:tc>
          <w:tcPr>
            <w:tcW w:w="1220" w:type="dxa"/>
            <w:vAlign w:val="bottom"/>
          </w:tcPr>
          <w:p>
            <w:pPr>
              <w:jc w:val="right"/>
              <w:ind w:right="179"/>
              <w:spacing w:after="0" w:line="179" w:lineRule="exact"/>
              <w:rPr>
                <w:sz w:val="20"/>
                <w:szCs w:val="20"/>
                <w:color w:val="auto"/>
              </w:rPr>
            </w:pPr>
            <w:r>
              <w:rPr>
                <w:rFonts w:ascii="Arial" w:cs="Arial" w:eastAsia="Arial" w:hAnsi="Arial"/>
                <w:sz w:val="16"/>
                <w:szCs w:val="16"/>
                <w:b w:val="1"/>
                <w:bCs w:val="1"/>
                <w:color w:val="auto"/>
              </w:rPr>
              <w:t>Adjusted</w:t>
            </w:r>
          </w:p>
        </w:tc>
        <w:tc>
          <w:tcPr>
            <w:tcW w:w="0" w:type="dxa"/>
            <w:vAlign w:val="bottom"/>
          </w:tcPr>
          <w:p>
            <w:pPr>
              <w:spacing w:after="0"/>
              <w:rPr>
                <w:sz w:val="1"/>
                <w:szCs w:val="1"/>
                <w:color w:val="auto"/>
              </w:rPr>
            </w:pPr>
          </w:p>
        </w:tc>
      </w:tr>
      <w:tr>
        <w:trPr>
          <w:trHeight w:val="216"/>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Change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Adjustments</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1"/>
        </w:trPr>
        <w:tc>
          <w:tcPr>
            <w:tcW w:w="2740" w:type="dxa"/>
            <w:vAlign w:val="bottom"/>
            <w:vMerge w:val="continue"/>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80"/>
              <w:spacing w:after="0"/>
              <w:rPr>
                <w:sz w:val="20"/>
                <w:szCs w:val="20"/>
                <w:color w:val="auto"/>
              </w:rPr>
            </w:pPr>
            <w:r>
              <w:rPr>
                <w:rFonts w:ascii="Arial" w:cs="Arial" w:eastAsia="Arial" w:hAnsi="Arial"/>
                <w:sz w:val="16"/>
                <w:szCs w:val="16"/>
                <w:color w:val="auto"/>
              </w:rPr>
              <w:t>High-Speed Internet</w:t>
            </w:r>
          </w:p>
        </w:tc>
        <w:tc>
          <w:tcPr>
            <w:tcW w:w="1240" w:type="dxa"/>
            <w:vAlign w:val="bottom"/>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Pr>
          <w:p>
            <w:pPr>
              <w:spacing w:after="0"/>
              <w:rPr>
                <w:sz w:val="18"/>
                <w:szCs w:val="18"/>
                <w:color w:val="auto"/>
              </w:rPr>
            </w:pPr>
          </w:p>
        </w:tc>
        <w:tc>
          <w:tcPr>
            <w:tcW w:w="1400" w:type="dxa"/>
            <w:vAlign w:val="bottom"/>
          </w:tcPr>
          <w:p>
            <w:pPr>
              <w:jc w:val="center"/>
              <w:ind w:left="759"/>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16"/>
        </w:trPr>
        <w:tc>
          <w:tcPr>
            <w:tcW w:w="2740" w:type="dxa"/>
            <w:vAlign w:val="bottom"/>
          </w:tcPr>
          <w:p>
            <w:pPr>
              <w:ind w:left="280"/>
              <w:spacing w:after="0"/>
              <w:rPr>
                <w:sz w:val="20"/>
                <w:szCs w:val="20"/>
                <w:color w:val="auto"/>
              </w:rPr>
            </w:pPr>
            <w:r>
              <w:rPr>
                <w:rFonts w:ascii="Arial" w:cs="Arial" w:eastAsia="Arial" w:hAnsi="Arial"/>
                <w:sz w:val="16"/>
                <w:szCs w:val="16"/>
                <w:color w:val="auto"/>
              </w:rPr>
              <w:t>Video</w:t>
            </w:r>
          </w:p>
        </w:tc>
        <w:tc>
          <w:tcPr>
            <w:tcW w:w="124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1400" w:type="dxa"/>
            <w:vAlign w:val="bottom"/>
          </w:tcPr>
          <w:p>
            <w:pPr>
              <w:jc w:val="center"/>
              <w:ind w:left="759"/>
              <w:spacing w:after="0"/>
              <w:rPr>
                <w:sz w:val="20"/>
                <w:szCs w:val="20"/>
                <w:color w:val="auto"/>
              </w:rPr>
            </w:pPr>
            <w:r>
              <w:rPr>
                <w:rFonts w:ascii="Arial" w:cs="Arial" w:eastAsia="Arial" w:hAnsi="Arial"/>
                <w:sz w:val="16"/>
                <w:szCs w:val="16"/>
                <w:color w:val="auto"/>
              </w:rPr>
              <w:t>(1.3 %)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9"/>
        </w:trPr>
        <w:tc>
          <w:tcPr>
            <w:tcW w:w="2740" w:type="dxa"/>
            <w:vAlign w:val="bottom"/>
          </w:tcPr>
          <w:p>
            <w:pPr>
              <w:spacing w:after="0"/>
              <w:rPr>
                <w:sz w:val="20"/>
                <w:szCs w:val="20"/>
                <w:color w:val="auto"/>
              </w:rPr>
            </w:pPr>
            <w:r>
              <w:rPr>
                <w:rFonts w:ascii="Arial" w:cs="Arial" w:eastAsia="Arial" w:hAnsi="Arial"/>
                <w:sz w:val="16"/>
                <w:szCs w:val="16"/>
                <w:color w:val="auto"/>
              </w:rPr>
              <w:t>Total Revenue</w:t>
            </w:r>
          </w:p>
        </w:tc>
        <w:tc>
          <w:tcPr>
            <w:tcW w:w="124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9"/>
                <w:szCs w:val="19"/>
                <w:color w:val="auto"/>
              </w:rPr>
            </w:pPr>
          </w:p>
        </w:tc>
        <w:tc>
          <w:tcPr>
            <w:tcW w:w="1400" w:type="dxa"/>
            <w:vAlign w:val="bottom"/>
          </w:tcPr>
          <w:p>
            <w:pPr>
              <w:jc w:val="center"/>
              <w:ind w:left="759"/>
              <w:spacing w:after="0"/>
              <w:rPr>
                <w:sz w:val="20"/>
                <w:szCs w:val="20"/>
                <w:color w:val="auto"/>
              </w:rPr>
            </w:pPr>
            <w:r>
              <w:rPr>
                <w:rFonts w:ascii="Arial" w:cs="Arial" w:eastAsia="Arial" w:hAnsi="Arial"/>
                <w:sz w:val="16"/>
                <w:szCs w:val="16"/>
                <w:color w:val="auto"/>
              </w:rPr>
              <w:t>(1.0 %)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429"/>
        </w:trPr>
        <w:tc>
          <w:tcPr>
            <w:tcW w:w="274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100"/>
              <w:spacing w:after="0"/>
              <w:rPr>
                <w:sz w:val="20"/>
                <w:szCs w:val="20"/>
                <w:color w:val="auto"/>
              </w:rPr>
            </w:pPr>
            <w:r>
              <w:rPr>
                <w:rFonts w:ascii="Arial" w:cs="Arial" w:eastAsia="Arial" w:hAnsi="Arial"/>
                <w:sz w:val="16"/>
                <w:szCs w:val="16"/>
                <w:color w:val="auto"/>
              </w:rPr>
              <w:t>Programming and production</w:t>
            </w:r>
          </w:p>
        </w:tc>
        <w:tc>
          <w:tcPr>
            <w:tcW w:w="124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9"/>
                <w:szCs w:val="19"/>
                <w:color w:val="auto"/>
              </w:rPr>
            </w:pPr>
          </w:p>
        </w:tc>
        <w:tc>
          <w:tcPr>
            <w:tcW w:w="1400" w:type="dxa"/>
            <w:vAlign w:val="bottom"/>
          </w:tcPr>
          <w:p>
            <w:pPr>
              <w:jc w:val="center"/>
              <w:ind w:left="759"/>
              <w:spacing w:after="0"/>
              <w:rPr>
                <w:sz w:val="20"/>
                <w:szCs w:val="20"/>
                <w:color w:val="auto"/>
              </w:rPr>
            </w:pPr>
            <w:r>
              <w:rPr>
                <w:rFonts w:ascii="Arial" w:cs="Arial" w:eastAsia="Arial" w:hAnsi="Arial"/>
                <w:sz w:val="16"/>
                <w:szCs w:val="16"/>
                <w:color w:val="auto"/>
              </w:rPr>
              <w:t>(4.6 %)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427"/>
        </w:trPr>
        <w:tc>
          <w:tcPr>
            <w:tcW w:w="27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40" w:type="dxa"/>
            <w:vAlign w:val="bottom"/>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24"/>
                <w:szCs w:val="24"/>
                <w:color w:val="auto"/>
              </w:rPr>
            </w:pPr>
          </w:p>
        </w:tc>
        <w:tc>
          <w:tcPr>
            <w:tcW w:w="1540" w:type="dxa"/>
            <w:vAlign w:val="bottom"/>
            <w:gridSpan w:val="2"/>
          </w:tcPr>
          <w:p>
            <w:pPr>
              <w:jc w:val="center"/>
              <w:ind w:left="679"/>
              <w:spacing w:after="0"/>
              <w:rPr>
                <w:sz w:val="20"/>
                <w:szCs w:val="20"/>
                <w:color w:val="auto"/>
              </w:rPr>
            </w:pPr>
            <w:r>
              <w:rPr>
                <w:rFonts w:ascii="Arial" w:cs="Arial" w:eastAsia="Arial" w:hAnsi="Arial"/>
                <w:sz w:val="16"/>
                <w:szCs w:val="16"/>
                <w:color w:val="auto"/>
                <w:w w:val="97"/>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6"/>
                <w:szCs w:val="16"/>
                <w:b w:val="1"/>
                <w:bCs w:val="1"/>
                <w:color w:val="auto"/>
              </w:rPr>
              <w:t>Adjusted EBITDA margin</w:t>
            </w:r>
          </w:p>
        </w:tc>
        <w:tc>
          <w:tcPr>
            <w:tcW w:w="1360" w:type="dxa"/>
            <w:vAlign w:val="bottom"/>
            <w:gridSpan w:val="2"/>
          </w:tcPr>
          <w:p>
            <w:pPr>
              <w:ind w:left="640"/>
              <w:spacing w:after="0"/>
              <w:rPr>
                <w:sz w:val="20"/>
                <w:szCs w:val="20"/>
                <w:color w:val="auto"/>
              </w:rPr>
            </w:pPr>
            <w:r>
              <w:rPr>
                <w:rFonts w:ascii="Arial" w:cs="Arial" w:eastAsia="Arial" w:hAnsi="Arial"/>
                <w:sz w:val="16"/>
                <w:szCs w:val="16"/>
                <w:color w:val="auto"/>
              </w:rPr>
              <w:t>290 bps</w:t>
            </w:r>
          </w:p>
        </w:tc>
        <w:tc>
          <w:tcPr>
            <w:tcW w:w="1540" w:type="dxa"/>
            <w:vAlign w:val="bottom"/>
            <w:gridSpan w:val="2"/>
          </w:tcPr>
          <w:p>
            <w:pPr>
              <w:jc w:val="center"/>
              <w:ind w:left="659"/>
              <w:spacing w:after="0"/>
              <w:rPr>
                <w:sz w:val="20"/>
                <w:szCs w:val="20"/>
                <w:color w:val="auto"/>
              </w:rPr>
            </w:pPr>
            <w:r>
              <w:rPr>
                <w:rFonts w:ascii="Arial" w:cs="Arial" w:eastAsia="Arial" w:hAnsi="Arial"/>
                <w:sz w:val="16"/>
                <w:szCs w:val="16"/>
                <w:color w:val="auto"/>
                <w:w w:val="99"/>
              </w:rPr>
              <w:t>40 bps</w:t>
            </w:r>
          </w:p>
        </w:tc>
        <w:tc>
          <w:tcPr>
            <w:tcW w:w="1220" w:type="dxa"/>
            <w:vAlign w:val="bottom"/>
          </w:tcPr>
          <w:p>
            <w:pPr>
              <w:jc w:val="right"/>
              <w:spacing w:after="0"/>
              <w:rPr>
                <w:sz w:val="20"/>
                <w:szCs w:val="20"/>
                <w:color w:val="auto"/>
              </w:rPr>
            </w:pPr>
            <w:r>
              <w:rPr>
                <w:rFonts w:ascii="Arial" w:cs="Arial" w:eastAsia="Arial" w:hAnsi="Arial"/>
                <w:sz w:val="16"/>
                <w:szCs w:val="16"/>
                <w:color w:val="auto"/>
              </w:rPr>
              <w:t>250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-111760</wp:posOffset>
            </wp:positionV>
            <wp:extent cx="8255" cy="1851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8516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6"/>
          <w:szCs w:val="16"/>
          <w:b w:val="1"/>
          <w:bCs w:val="1"/>
          <w:color w:val="auto"/>
        </w:rPr>
        <w:t>September 30, 2020</w:t>
      </w:r>
    </w:p>
    <w:tbl>
      <w:tblPr>
        <w:tblLayout w:type="fixed"/>
        <w:tblInd w:w="0" w:type="dxa"/>
        <w:tblCellMar>
          <w:top w:w="0" w:type="dxa"/>
          <w:left w:w="0" w:type="dxa"/>
          <w:bottom w:w="0" w:type="dxa"/>
          <w:right w:w="0" w:type="dxa"/>
        </w:tblCellMar>
      </w:tblPr>
      <w:tr>
        <w:trPr>
          <w:trHeight w:val="179"/>
        </w:trPr>
        <w:tc>
          <w:tcPr>
            <w:tcW w:w="1380" w:type="dxa"/>
            <w:vAlign w:val="bottom"/>
            <w:gridSpan w:val="2"/>
          </w:tcPr>
          <w:p>
            <w:pPr>
              <w:jc w:val="center"/>
              <w:ind w:right="140"/>
              <w:spacing w:after="0" w:line="179" w:lineRule="exact"/>
              <w:rPr>
                <w:sz w:val="20"/>
                <w:szCs w:val="20"/>
                <w:color w:val="auto"/>
              </w:rPr>
            </w:pPr>
            <w:r>
              <w:rPr>
                <w:rFonts w:ascii="Arial" w:cs="Arial" w:eastAsia="Arial" w:hAnsi="Arial"/>
                <w:sz w:val="16"/>
                <w:szCs w:val="16"/>
                <w:b w:val="1"/>
                <w:bCs w:val="1"/>
                <w:color w:val="auto"/>
              </w:rPr>
              <w:t>Reported</w:t>
            </w:r>
          </w:p>
        </w:tc>
        <w:tc>
          <w:tcPr>
            <w:tcW w:w="1520" w:type="dxa"/>
            <w:vAlign w:val="bottom"/>
            <w:gridSpan w:val="2"/>
          </w:tcPr>
          <w:p>
            <w:pPr>
              <w:jc w:val="center"/>
              <w:ind w:right="140"/>
              <w:spacing w:after="0" w:line="179" w:lineRule="exact"/>
              <w:rPr>
                <w:sz w:val="20"/>
                <w:szCs w:val="20"/>
                <w:color w:val="auto"/>
              </w:rPr>
            </w:pPr>
            <w:r>
              <w:rPr>
                <w:rFonts w:ascii="Arial" w:cs="Arial" w:eastAsia="Arial" w:hAnsi="Arial"/>
                <w:sz w:val="16"/>
                <w:szCs w:val="16"/>
                <w:b w:val="1"/>
                <w:bCs w:val="1"/>
                <w:color w:val="auto"/>
              </w:rPr>
              <w:t>RSN</w:t>
            </w:r>
          </w:p>
        </w:tc>
        <w:tc>
          <w:tcPr>
            <w:tcW w:w="1240" w:type="dxa"/>
            <w:vAlign w:val="bottom"/>
          </w:tcPr>
          <w:p>
            <w:pPr>
              <w:jc w:val="right"/>
              <w:ind w:right="199"/>
              <w:spacing w:after="0" w:line="179" w:lineRule="exact"/>
              <w:rPr>
                <w:sz w:val="20"/>
                <w:szCs w:val="20"/>
                <w:color w:val="auto"/>
              </w:rPr>
            </w:pPr>
            <w:r>
              <w:rPr>
                <w:rFonts w:ascii="Arial" w:cs="Arial" w:eastAsia="Arial" w:hAnsi="Arial"/>
                <w:sz w:val="16"/>
                <w:szCs w:val="16"/>
                <w:b w:val="1"/>
                <w:bCs w:val="1"/>
                <w:color w:val="auto"/>
              </w:rPr>
              <w:t>Adjusted</w:t>
            </w:r>
          </w:p>
        </w:tc>
      </w:tr>
      <w:tr>
        <w:trPr>
          <w:trHeight w:val="216"/>
        </w:trPr>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Change</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Adjustments</w:t>
            </w: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407"/>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140" w:type="dxa"/>
            <w:vAlign w:val="bottom"/>
          </w:tcPr>
          <w:p>
            <w:pPr>
              <w:spacing w:after="0"/>
              <w:rPr>
                <w:sz w:val="24"/>
                <w:szCs w:val="24"/>
                <w:color w:val="auto"/>
              </w:rPr>
            </w:pPr>
          </w:p>
        </w:tc>
        <w:tc>
          <w:tcPr>
            <w:tcW w:w="1380" w:type="dxa"/>
            <w:vAlign w:val="bottom"/>
            <w:tcBorders>
              <w:top w:val="single" w:sz="8" w:color="auto"/>
            </w:tcBorders>
          </w:tcPr>
          <w:p>
            <w:pPr>
              <w:jc w:val="center"/>
              <w:ind w:left="739"/>
              <w:spacing w:after="0"/>
              <w:rPr>
                <w:sz w:val="20"/>
                <w:szCs w:val="20"/>
                <w:color w:val="auto"/>
              </w:rPr>
            </w:pPr>
            <w:r>
              <w:rPr>
                <w:rFonts w:ascii="Arial" w:cs="Arial" w:eastAsia="Arial" w:hAnsi="Arial"/>
                <w:sz w:val="16"/>
                <w:szCs w:val="16"/>
                <w:color w:val="auto"/>
              </w:rPr>
              <w:t>(0.9 %)</w:t>
            </w:r>
          </w:p>
        </w:tc>
        <w:tc>
          <w:tcPr>
            <w:tcW w:w="14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9.8 %</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(1.8 %)</w:t>
            </w:r>
          </w:p>
        </w:tc>
        <w:tc>
          <w:tcPr>
            <w:tcW w:w="140" w:type="dxa"/>
            <w:vAlign w:val="bottom"/>
          </w:tcPr>
          <w:p>
            <w:pPr>
              <w:spacing w:after="0"/>
              <w:rPr>
                <w:sz w:val="18"/>
                <w:szCs w:val="18"/>
                <w:color w:val="auto"/>
              </w:rPr>
            </w:pPr>
          </w:p>
        </w:tc>
        <w:tc>
          <w:tcPr>
            <w:tcW w:w="1380" w:type="dxa"/>
            <w:vAlign w:val="bottom"/>
          </w:tcPr>
          <w:p>
            <w:pPr>
              <w:jc w:val="center"/>
              <w:ind w:left="739"/>
              <w:spacing w:after="0"/>
              <w:rPr>
                <w:sz w:val="20"/>
                <w:szCs w:val="20"/>
                <w:color w:val="auto"/>
              </w:rPr>
            </w:pPr>
            <w:r>
              <w:rPr>
                <w:rFonts w:ascii="Arial" w:cs="Arial" w:eastAsia="Arial" w:hAnsi="Arial"/>
                <w:sz w:val="16"/>
                <w:szCs w:val="16"/>
                <w:color w:val="auto"/>
              </w:rPr>
              <w:t>(1.2 %)</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9"/>
        </w:trPr>
        <w:tc>
          <w:tcPr>
            <w:tcW w:w="1240" w:type="dxa"/>
            <w:vAlign w:val="bottom"/>
          </w:tcPr>
          <w:p>
            <w:pPr>
              <w:jc w:val="right"/>
              <w:spacing w:after="0"/>
              <w:rPr>
                <w:sz w:val="20"/>
                <w:szCs w:val="20"/>
                <w:color w:val="auto"/>
              </w:rPr>
            </w:pPr>
            <w:r>
              <w:rPr>
                <w:rFonts w:ascii="Arial" w:cs="Arial" w:eastAsia="Arial" w:hAnsi="Arial"/>
                <w:sz w:val="16"/>
                <w:szCs w:val="16"/>
                <w:color w:val="auto"/>
              </w:rPr>
              <w:t>2.4 %</w:t>
            </w:r>
          </w:p>
        </w:tc>
        <w:tc>
          <w:tcPr>
            <w:tcW w:w="140" w:type="dxa"/>
            <w:vAlign w:val="bottom"/>
          </w:tcPr>
          <w:p>
            <w:pPr>
              <w:spacing w:after="0"/>
              <w:rPr>
                <w:sz w:val="19"/>
                <w:szCs w:val="19"/>
                <w:color w:val="auto"/>
              </w:rPr>
            </w:pPr>
          </w:p>
        </w:tc>
        <w:tc>
          <w:tcPr>
            <w:tcW w:w="1380" w:type="dxa"/>
            <w:vAlign w:val="bottom"/>
          </w:tcPr>
          <w:p>
            <w:pPr>
              <w:jc w:val="center"/>
              <w:ind w:left="739"/>
              <w:spacing w:after="0"/>
              <w:rPr>
                <w:sz w:val="20"/>
                <w:szCs w:val="20"/>
                <w:color w:val="auto"/>
              </w:rPr>
            </w:pPr>
            <w:r>
              <w:rPr>
                <w:rFonts w:ascii="Arial" w:cs="Arial" w:eastAsia="Arial" w:hAnsi="Arial"/>
                <w:sz w:val="16"/>
                <w:szCs w:val="16"/>
                <w:color w:val="auto"/>
              </w:rPr>
              <w:t>(0.8 %)</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648"/>
        </w:trPr>
        <w:tc>
          <w:tcPr>
            <w:tcW w:w="1240" w:type="dxa"/>
            <w:vAlign w:val="bottom"/>
          </w:tcPr>
          <w:p>
            <w:pPr>
              <w:jc w:val="right"/>
              <w:spacing w:after="0"/>
              <w:rPr>
                <w:sz w:val="20"/>
                <w:szCs w:val="20"/>
                <w:color w:val="auto"/>
              </w:rPr>
            </w:pPr>
            <w:r>
              <w:rPr>
                <w:rFonts w:ascii="Arial" w:cs="Arial" w:eastAsia="Arial" w:hAnsi="Arial"/>
                <w:sz w:val="16"/>
                <w:szCs w:val="16"/>
                <w:color w:val="auto"/>
              </w:rPr>
              <w:t>(1.3 %)</w:t>
            </w:r>
          </w:p>
        </w:tc>
        <w:tc>
          <w:tcPr>
            <w:tcW w:w="140" w:type="dxa"/>
            <w:vAlign w:val="bottom"/>
          </w:tcPr>
          <w:p>
            <w:pPr>
              <w:spacing w:after="0"/>
              <w:rPr>
                <w:sz w:val="24"/>
                <w:szCs w:val="24"/>
                <w:color w:val="auto"/>
              </w:rPr>
            </w:pPr>
          </w:p>
        </w:tc>
        <w:tc>
          <w:tcPr>
            <w:tcW w:w="1380" w:type="dxa"/>
            <w:vAlign w:val="bottom"/>
          </w:tcPr>
          <w:p>
            <w:pPr>
              <w:jc w:val="center"/>
              <w:ind w:left="739"/>
              <w:spacing w:after="0"/>
              <w:rPr>
                <w:sz w:val="20"/>
                <w:szCs w:val="20"/>
                <w:color w:val="auto"/>
              </w:rPr>
            </w:pPr>
            <w:r>
              <w:rPr>
                <w:rFonts w:ascii="Arial" w:cs="Arial" w:eastAsia="Arial" w:hAnsi="Arial"/>
                <w:sz w:val="16"/>
                <w:szCs w:val="16"/>
                <w:color w:val="auto"/>
              </w:rPr>
              <w:t>(3.7 %)</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429"/>
        </w:trPr>
        <w:tc>
          <w:tcPr>
            <w:tcW w:w="1240" w:type="dxa"/>
            <w:vAlign w:val="bottom"/>
          </w:tcPr>
          <w:p>
            <w:pPr>
              <w:jc w:val="right"/>
              <w:spacing w:after="0"/>
              <w:rPr>
                <w:sz w:val="20"/>
                <w:szCs w:val="20"/>
                <w:color w:val="auto"/>
              </w:rPr>
            </w:pPr>
            <w:r>
              <w:rPr>
                <w:rFonts w:ascii="Arial" w:cs="Arial" w:eastAsia="Arial" w:hAnsi="Arial"/>
                <w:sz w:val="16"/>
                <w:szCs w:val="16"/>
                <w:color w:val="auto"/>
              </w:rPr>
              <w:t>7.4 %</w:t>
            </w:r>
          </w:p>
        </w:tc>
        <w:tc>
          <w:tcPr>
            <w:tcW w:w="140" w:type="dxa"/>
            <w:vAlign w:val="bottom"/>
          </w:tcPr>
          <w:p>
            <w:pPr>
              <w:spacing w:after="0"/>
              <w:rPr>
                <w:sz w:val="24"/>
                <w:szCs w:val="24"/>
                <w:color w:val="auto"/>
              </w:rPr>
            </w:pPr>
          </w:p>
        </w:tc>
        <w:tc>
          <w:tcPr>
            <w:tcW w:w="1520" w:type="dxa"/>
            <w:vAlign w:val="bottom"/>
            <w:gridSpan w:val="2"/>
          </w:tcPr>
          <w:p>
            <w:pPr>
              <w:jc w:val="center"/>
              <w:ind w:left="679"/>
              <w:spacing w:after="0"/>
              <w:rPr>
                <w:sz w:val="20"/>
                <w:szCs w:val="20"/>
                <w:color w:val="auto"/>
              </w:rPr>
            </w:pPr>
            <w:r>
              <w:rPr>
                <w:rFonts w:ascii="Arial" w:cs="Arial" w:eastAsia="Arial" w:hAnsi="Arial"/>
                <w:sz w:val="16"/>
                <w:szCs w:val="16"/>
                <w:color w:val="auto"/>
              </w:rPr>
              <w:t>— %</w:t>
            </w:r>
          </w:p>
        </w:tc>
        <w:tc>
          <w:tcPr>
            <w:tcW w:w="124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219"/>
        </w:trPr>
        <w:tc>
          <w:tcPr>
            <w:tcW w:w="1380" w:type="dxa"/>
            <w:vAlign w:val="bottom"/>
            <w:gridSpan w:val="2"/>
          </w:tcPr>
          <w:p>
            <w:pPr>
              <w:ind w:left="640"/>
              <w:spacing w:after="0"/>
              <w:rPr>
                <w:sz w:val="20"/>
                <w:szCs w:val="20"/>
                <w:color w:val="auto"/>
              </w:rPr>
            </w:pPr>
            <w:r>
              <w:rPr>
                <w:rFonts w:ascii="Arial" w:cs="Arial" w:eastAsia="Arial" w:hAnsi="Arial"/>
                <w:sz w:val="16"/>
                <w:szCs w:val="16"/>
                <w:color w:val="auto"/>
              </w:rPr>
              <w:t>200 bps</w:t>
            </w:r>
          </w:p>
        </w:tc>
        <w:tc>
          <w:tcPr>
            <w:tcW w:w="1520" w:type="dxa"/>
            <w:vAlign w:val="bottom"/>
            <w:gridSpan w:val="2"/>
          </w:tcPr>
          <w:p>
            <w:pPr>
              <w:jc w:val="center"/>
              <w:ind w:left="639"/>
              <w:spacing w:after="0"/>
              <w:rPr>
                <w:sz w:val="20"/>
                <w:szCs w:val="20"/>
                <w:color w:val="auto"/>
              </w:rPr>
            </w:pPr>
            <w:r>
              <w:rPr>
                <w:rFonts w:ascii="Arial" w:cs="Arial" w:eastAsia="Arial" w:hAnsi="Arial"/>
                <w:sz w:val="16"/>
                <w:szCs w:val="16"/>
                <w:color w:val="auto"/>
                <w:w w:val="99"/>
              </w:rPr>
              <w:t>40 bps</w:t>
            </w:r>
          </w:p>
        </w:tc>
        <w:tc>
          <w:tcPr>
            <w:tcW w:w="1240" w:type="dxa"/>
            <w:vAlign w:val="bottom"/>
          </w:tcPr>
          <w:p>
            <w:pPr>
              <w:jc w:val="right"/>
              <w:spacing w:after="0"/>
              <w:rPr>
                <w:sz w:val="20"/>
                <w:szCs w:val="20"/>
                <w:color w:val="auto"/>
              </w:rPr>
            </w:pPr>
            <w:r>
              <w:rPr>
                <w:rFonts w:ascii="Arial" w:cs="Arial" w:eastAsia="Arial" w:hAnsi="Arial"/>
                <w:sz w:val="16"/>
                <w:szCs w:val="16"/>
                <w:color w:val="auto"/>
              </w:rPr>
              <w:t>160 bps</w:t>
            </w:r>
          </w:p>
        </w:tc>
      </w:tr>
    </w:tbl>
    <w:p>
      <w:pPr>
        <w:spacing w:after="0" w:line="208" w:lineRule="exact"/>
        <w:rPr>
          <w:sz w:val="20"/>
          <w:szCs w:val="20"/>
          <w:color w:val="auto"/>
        </w:rPr>
      </w:pPr>
    </w:p>
    <w:p>
      <w:pPr>
        <w:sectPr>
          <w:pgSz w:w="11900" w:h="16838" w:orient="portrait"/>
          <w:cols w:equalWidth="0" w:num="2">
            <w:col w:w="6860" w:space="220"/>
            <w:col w:w="4140"/>
          </w:cols>
          <w:pgMar w:left="340" w:top="1253" w:right="33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 Percentages represent year/year growth rates and Adjusted EBITDA margin is presented as year/year basis point change</w:t>
      </w:r>
    </w:p>
    <w:p>
      <w:pPr>
        <w:sectPr>
          <w:pgSz w:w="11900" w:h="16838" w:orient="portrait"/>
          <w:cols w:equalWidth="0" w:num="1">
            <w:col w:w="11220"/>
          </w:cols>
          <w:pgMar w:left="340" w:top="12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40" w:top="1253" w:right="3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89"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5"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203"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2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2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8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20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69"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8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1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1"/>
      <w:numFmt w:val="decimal"/>
      <w:start w:val="110"/>
    </w:lvl>
  </w:abstractNum>
  <w:abstractNum w:abstractNumId="3">
    <w:nsid w:val="66EF438D"/>
    <w:multiLevelType w:val="hybridMultilevel"/>
    <w:lvl w:ilvl="0">
      <w:lvlJc w:val="left"/>
      <w:lvlText w:val="%1"/>
      <w:numFmt w:val="decimal"/>
      <w:start w:val="382"/>
    </w:lvl>
  </w:abstractNum>
  <w:abstractNum w:abstractNumId="4">
    <w:nsid w:val="140E0F76"/>
    <w:multiLevelType w:val="hybridMultilevel"/>
    <w:lvl w:ilvl="0">
      <w:lvlJc w:val="left"/>
      <w:lvlText w:val="%1"/>
      <w:numFmt w:val="decimal"/>
      <w:start w:val="217"/>
    </w:lvl>
  </w:abstractNum>
  <w:abstractNum w:abstractNumId="5">
    <w:nsid w:val="3352255A"/>
    <w:multiLevelType w:val="hybridMultilevel"/>
    <w:lvl w:ilvl="0">
      <w:lvlJc w:val="left"/>
      <w:lvlText w:val="%1"/>
      <w:numFmt w:val="decimal"/>
      <w:start w:val="361"/>
    </w:lvl>
  </w:abstractNum>
  <w:abstractNum w:abstractNumId="6">
    <w:nsid w:val="109CF92E"/>
    <w:multiLevelType w:val="hybridMultilevel"/>
    <w:lvl w:ilvl="0">
      <w:lvlJc w:val="left"/>
      <w:lvlText w:val="%1"/>
      <w:numFmt w:val="decimal"/>
      <w:start w:val="922"/>
    </w:lvl>
    <w:lvl w:ilvl="1">
      <w:lvlJc w:val="left"/>
      <w:lvlText w:val="(%2)"/>
      <w:numFmt w:val="decimal"/>
      <w:start w:val="85"/>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emdash "/>
      <w:numFmt w:val="bullet"/>
      <w:start w:val="1"/>
    </w:lvl>
    <w:lvl w:ilvl="1">
      <w:lvlJc w:val="left"/>
      <w:lvlText w:val="%2"/>
      <w:numFmt w:val="decimal"/>
      <w:start w:val="134"/>
    </w:lvl>
  </w:abstractNum>
  <w:abstractNum w:abstractNumId="10">
    <w:nsid w:val="41A7C4C9"/>
    <w:multiLevelType w:val="hybridMultilevel"/>
    <w:lvl w:ilvl="0">
      <w:lvlJc w:val="left"/>
      <w:lvlText w:val="\emdash "/>
      <w:numFmt w:val="bullet"/>
      <w:start w:val="1"/>
    </w:lvl>
    <w:lvl w:ilvl="1">
      <w:lvlJc w:val="left"/>
      <w:lvlText w:val="%2"/>
      <w:numFmt w:val="decimal"/>
      <w:start w:val="32"/>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317"/>
    </w:lvl>
  </w:abstractNum>
  <w:abstractNum w:abstractNumId="13">
    <w:nsid w:val="25E45D32"/>
    <w:multiLevelType w:val="hybridMultilevel"/>
    <w:lvl w:ilvl="0">
      <w:lvlJc w:val="left"/>
      <w:lvlText w:val="(%1)"/>
      <w:numFmt w:val="decimal"/>
      <w:start w:val="125"/>
    </w:lvl>
  </w:abstractNum>
  <w:abstractNum w:abstractNumId="14">
    <w:nsid w:val="519B500D"/>
    <w:multiLevelType w:val="hybridMultilevel"/>
    <w:lvl w:ilvl="0">
      <w:lvlJc w:val="left"/>
      <w:lvlText w:val="%1"/>
      <w:numFmt w:val="decimal"/>
      <w:start w:val="1"/>
    </w:lvl>
    <w:lvl w:ilvl="1">
      <w:lvlJc w:val="left"/>
      <w:lvlText w:val="%2"/>
      <w:numFmt w:val="decimal"/>
      <w:start w:val="136"/>
    </w:lvl>
  </w:abstractNum>
  <w:abstractNum w:abstractNumId="15">
    <w:nsid w:val="431BD7B7"/>
    <w:multiLevelType w:val="hybridMultilevel"/>
    <w:lvl w:ilvl="0">
      <w:lvlJc w:val="left"/>
      <w:lvlText w:val="(%1)"/>
      <w:numFmt w:val="decimal"/>
      <w:start w:val="96"/>
    </w:lvl>
    <w:lvl w:ilvl="1">
      <w:lvlJc w:val="left"/>
      <w:lvlText w:val="%2"/>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2"/>
    </w:lvl>
  </w:abstractNum>
  <w:abstractNum w:abstractNumId="18">
    <w:nsid w:val="257130A3"/>
    <w:multiLevelType w:val="hybridMultilevel"/>
    <w:lvl w:ilvl="0">
      <w:lvlJc w:val="left"/>
      <w:lvlText w:val="(%1)"/>
      <w:numFmt w:val="decimal"/>
      <w:start w:val="3"/>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2020-10-29T06:06:45Z</dcterms:created>
  <dcterms:modified xsi:type="dcterms:W3CDTF">2020-10-29T06:06:45Z</dcterms:modified>
</cp:coreProperties>
</file>