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6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-225425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-607695</wp:posOffset>
            </wp:positionV>
            <wp:extent cx="57150" cy="6210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3933190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12065</wp:posOffset>
            </wp:positionV>
            <wp:extent cx="6997700" cy="5901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5901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60"/>
            <w:col w:w="8440"/>
          </w:cols>
          <w:pgMar w:left="460" w:top="218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ROBERTS BRIAN L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03/01/2022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720" w:firstLine="9"/>
        <w:spacing w:after="0" w:line="230" w:lineRule="auto"/>
        <w:tabs>
          <w:tab w:leader="none" w:pos="13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19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Chairman of Board, Pres. &amp; CEO</w:t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9" w:space="720"/>
            <w:col w:w="3351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</w:tcPr>
          <w:p>
            <w:pPr>
              <w:jc w:val="center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PHILADELPHIA PA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19103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jc w:val="center"/>
              <w:ind w:righ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03/02/2022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46,743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0.0000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3,687,323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03/02/2022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22,596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46.38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3,664,727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480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13,712,646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286,044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7,404,817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5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40" w:type="dxa"/>
            <w:vAlign w:val="bottom"/>
            <w:gridSpan w:val="11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6"/>
              </w:rPr>
              <w:t>962,545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46.39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7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962,545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8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02/29/2032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16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962,545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46,743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7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46,743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20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61,047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-1973580</wp:posOffset>
            </wp:positionV>
            <wp:extent cx="28575" cy="19786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78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date of the grant was March 1, 2022, and the stock options vest as follows: 20% vest on the 1st, 2nd, 3rd, 4th and 5th anniversaries of the date of the grant.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2. Each restricted stock unit represents a contigent right to receive one share of Class A Common Stock.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3. These restricted stock units vest on the transaction date.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Elizabeth Wideman, Attorney-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03/03/2022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1"/>
              </w:rPr>
              <w:t>in-fact</w:t>
            </w: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2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2022-03-03T15:33:15Z</dcterms:created>
  <dcterms:modified xsi:type="dcterms:W3CDTF">2022-03-03T15:33:15Z</dcterms:modified>
</cp:coreProperties>
</file>