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2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2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1,941,134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37.46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1,941,134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1,941,134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800" w:firstLine="3"/>
        <w:spacing w:after="0" w:line="34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options were granted on March 17, 2017. With respect to (i) 768,800 options, 30% becomes exercisable on the 2nd anniversary of the date of grant; an additional 15% on each of the 3rd, 4th and 5th anniversaries of the date of grant; and an additional 5% on each of the 6th, 7th, 8th, 9th and 9.5th anniversaries of the date of grant and (ii) 1,172,334 options, 100% become exercisable on August 14, 2023.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2160" w:type="dxa"/>
            <w:vAlign w:val="bottom"/>
            <w:gridSpan w:val="3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2019-12-04T00:45:38Z</dcterms:created>
  <dcterms:modified xsi:type="dcterms:W3CDTF">2019-12-04T00:45:38Z</dcterms:modified>
</cp:coreProperties>
</file>