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11-K</w:t>
      </w:r>
    </w:p>
    <w:p>
      <w:pPr>
        <w:spacing w:after="0" w:line="172"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ANNUAL REPORT</w:t>
      </w:r>
    </w:p>
    <w:p>
      <w:pPr>
        <w:spacing w:after="0" w:line="152"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Pursuant to Section 15(d)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99060</wp:posOffset>
            </wp:positionV>
            <wp:extent cx="30873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73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227965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7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2006.</w:t>
      </w:r>
    </w:p>
    <w:p>
      <w:pPr>
        <w:spacing w:after="0" w:line="17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COMCAST CORPORATION RETIREMENT-INVESTMENT PLAN</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1500 Market Street</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Philadelphia, PA 19102-2148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80"/>
          </w:cols>
          <w:pgMar w:left="240" w:top="230" w:right="6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COMCAST CORPORATION RETIREMENT- INVESTMENT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and 2005 and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as of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Report of Independent Registered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Firm</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 MENT-INVESTMENT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9"/>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6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28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2006 and 2005</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2006</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900" w:type="dxa"/>
            <w:vAlign w:val="bottom"/>
            <w:tcBorders>
              <w:top w:val="single" w:sz="8" w:color="0000EE"/>
            </w:tcBorders>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36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94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H - Line 4i - Schedule of Assets (Held at End of Year) as of December 31, 2006</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10-11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CONSENT OF INDEPENDENT REGISTERED PUBLIC ACCOUNTING FIRM</w:t>
              </w:r>
            </w:hyperlink>
          </w:p>
        </w:tc>
        <w:tc>
          <w:tcPr>
            <w:tcW w:w="5120" w:type="dxa"/>
            <w:vAlign w:val="bottom"/>
            <w:gridSpan w:val="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0940" w:type="dxa"/>
            <w:vAlign w:val="bottom"/>
            <w:gridSpan w:val="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SIGNATURE</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 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jc w:val="both"/>
        <w:ind w:right="36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Comcast Corporation Retirement-Investment Plan (the “Plan”) as of December 31, 2006 and 2005, and the related statement of changes in net assets available for benefits for the year ended December 31, 2006.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and evaluating the overall financial statement presentation. We believe our audits provide a reasonable basis for our opinion.</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2006 and 2005, and the changes in net assets available for benefits for the year ended December 31, 2006 in conformity with accounting principles generally accepted in the United States of America.</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audits were conducted for the purpose of forming an opinion on the Plan’s financial statements taken as a whole. The accompanying supplemental schedule of assets (held at end of year) as of December 31, 2006 (Schedule H - Line 4i)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audits of the financial statements and, in our opinion, is fairly stated in all material respects, in relation to the financial statements taken as a whole.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2006 AND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Contributions receivable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2,190,908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1,756,639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receivable from participants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tcPr>
          <w:p>
            <w:pPr>
              <w:spacing w:after="0"/>
              <w:rPr>
                <w:sz w:val="20"/>
                <w:szCs w:val="20"/>
                <w:color w:val="auto"/>
              </w:rPr>
            </w:pPr>
            <w:r>
              <w:rPr>
                <w:rFonts w:ascii="Arial" w:cs="Arial" w:eastAsia="Arial" w:hAnsi="Arial"/>
                <w:sz w:val="18"/>
                <w:szCs w:val="18"/>
                <w:color w:val="auto"/>
              </w:rPr>
              <w:t>NET ASSETS AVAILABLE FOR BENEFITS AT FAIR VALUE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2,258,618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1,814,019</w:t>
            </w:r>
          </w:p>
        </w:tc>
        <w:tc>
          <w:tcPr>
            <w:tcW w:w="0" w:type="dxa"/>
            <w:vAlign w:val="bottom"/>
          </w:tcPr>
          <w:p>
            <w:pPr>
              <w:spacing w:after="0"/>
              <w:rPr>
                <w:sz w:val="1"/>
                <w:szCs w:val="1"/>
                <w:color w:val="auto"/>
              </w:rPr>
            </w:pPr>
          </w:p>
        </w:tc>
      </w:tr>
      <w:tr>
        <w:trPr>
          <w:trHeight w:val="110"/>
        </w:trPr>
        <w:tc>
          <w:tcPr>
            <w:tcW w:w="9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2,266,190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1,823,155</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 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4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5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and unrealized appreciation in fair value of investments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40" w:type="dxa"/>
            <w:vAlign w:val="bottom"/>
          </w:tcPr>
          <w:p>
            <w:pPr>
              <w:ind w:left="860"/>
              <w:spacing w:after="0"/>
              <w:rPr>
                <w:sz w:val="20"/>
                <w:szCs w:val="20"/>
                <w:color w:val="auto"/>
              </w:rPr>
            </w:pPr>
            <w:r>
              <w:rPr>
                <w:rFonts w:ascii="Arial" w:cs="Arial" w:eastAsia="Arial" w:hAnsi="Arial"/>
                <w:sz w:val="18"/>
                <w:szCs w:val="18"/>
                <w:color w:val="auto"/>
              </w:rPr>
              <w:t>Interest and dividends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Participant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tcPr>
          <w:p>
            <w:pPr>
              <w:ind w:left="860"/>
              <w:spacing w:after="0"/>
              <w:rPr>
                <w:sz w:val="20"/>
                <w:szCs w:val="20"/>
                <w:color w:val="auto"/>
              </w:rPr>
            </w:pPr>
            <w:r>
              <w:rPr>
                <w:rFonts w:ascii="Arial" w:cs="Arial" w:eastAsia="Arial" w:hAnsi="Arial"/>
                <w:sz w:val="18"/>
                <w:szCs w:val="18"/>
                <w:color w:val="auto"/>
              </w:rPr>
              <w:t>Employer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122,680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Rollover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0560" w:type="dxa"/>
            <w:vAlign w:val="bottom"/>
            <w:gridSpan w:val="2"/>
          </w:tcPr>
          <w:p>
            <w:pPr>
              <w:spacing w:after="0"/>
              <w:rPr>
                <w:sz w:val="20"/>
                <w:szCs w:val="20"/>
                <w:color w:val="auto"/>
              </w:rPr>
            </w:pPr>
            <w:r>
              <w:rPr>
                <w:rFonts w:ascii="Arial" w:cs="Arial" w:eastAsia="Arial" w:hAnsi="Arial"/>
                <w:sz w:val="18"/>
                <w:szCs w:val="18"/>
                <w:color w:val="auto"/>
              </w:rPr>
              <w:t>DEDUCTIONS FROM NET ASSETS ATTRIBUTED TO:</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 to participants or beneficiaries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(208,716)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0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(208,716)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Net increase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56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1,823,155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End of year</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2,266,190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60" w:right="9220" w:hanging="452"/>
        <w:spacing w:after="0" w:line="391" w:lineRule="auto"/>
        <w:tabs>
          <w:tab w:leader="none" w:pos="4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DESCRIPTION </w:t>
      </w:r>
      <w:r>
        <w:rPr>
          <w:rFonts w:ascii="Arial" w:cs="Arial" w:eastAsia="Arial" w:hAnsi="Arial"/>
          <w:sz w:val="16"/>
          <w:szCs w:val="16"/>
          <w:u w:val="single" w:color="auto"/>
          <w:color w:val="auto"/>
        </w:rPr>
        <w:t>General</w:t>
      </w:r>
    </w:p>
    <w:p>
      <w:pPr>
        <w:ind w:left="460" w:right="2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Comcast Corporation (“Comcast”, the “Company” or the “Plan Administrator”). Generally, all costs associated with administering the Plan are paid by the Plan Administrator.</w:t>
      </w:r>
    </w:p>
    <w:p>
      <w:pPr>
        <w:spacing w:after="0" w:line="62" w:lineRule="exact"/>
        <w:rPr>
          <w:rFonts w:ascii="Arial" w:cs="Arial" w:eastAsia="Arial" w:hAnsi="Arial"/>
          <w:sz w:val="16"/>
          <w:szCs w:val="16"/>
          <w:b w:val="1"/>
          <w:bCs w:val="1"/>
          <w:color w:val="auto"/>
        </w:rPr>
      </w:pPr>
    </w:p>
    <w:p>
      <w:pPr>
        <w:ind w:left="460" w:right="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The Plan is a defined contribution plan qualified under Internal Revenue Code (the “Code”) Sections 401(a), 401(k)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25" w:lineRule="exact"/>
        <w:rPr>
          <w:rFonts w:ascii="Arial" w:cs="Arial" w:eastAsia="Arial" w:hAnsi="Arial"/>
          <w:sz w:val="16"/>
          <w:szCs w:val="16"/>
          <w:b w:val="1"/>
          <w:bCs w:val="1"/>
          <w:color w:val="auto"/>
        </w:rPr>
      </w:pPr>
    </w:p>
    <w:p>
      <w:pPr>
        <w:ind w:left="460" w:right="8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Full-time employees become eligible to participate in the Plan after completion of six months of service and part-time employees become eligible to participate in the Plan after one year and completion of 1,000 hours of service. The maximum amount of eligible compensation that may be deferred is 50%, subject to certain limits imposed by the Code. The Company matches 100% of the participant’s contribution up to 6% of the participant’s eligible compensation for such payroll period except for certain collectively bargained employees. Rollover contributions represent amounts transferred to the Plan from other qualified retirement plans.</w:t>
      </w:r>
    </w:p>
    <w:p>
      <w:pPr>
        <w:spacing w:after="0" w:line="61" w:lineRule="exact"/>
        <w:rPr>
          <w:rFonts w:ascii="Arial" w:cs="Arial" w:eastAsia="Arial" w:hAnsi="Arial"/>
          <w:sz w:val="16"/>
          <w:szCs w:val="16"/>
          <w:b w:val="1"/>
          <w:bCs w:val="1"/>
          <w:color w:val="auto"/>
        </w:rPr>
      </w:pPr>
    </w:p>
    <w:p>
      <w:pPr>
        <w:ind w:left="460" w:right="2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for Plan years beginning after December 31, 2000 are fully and immediately vested. Company matching contributions for Plan years ended on or prior to December 31, 2000 vested according to years of service.</w:t>
      </w:r>
    </w:p>
    <w:p>
      <w:pPr>
        <w:spacing w:after="0" w:line="59" w:lineRule="exact"/>
        <w:rPr>
          <w:rFonts w:ascii="Arial" w:cs="Arial" w:eastAsia="Arial" w:hAnsi="Arial"/>
          <w:sz w:val="16"/>
          <w:szCs w:val="16"/>
          <w:b w:val="1"/>
          <w:bCs w:val="1"/>
          <w:color w:val="auto"/>
        </w:rPr>
      </w:pPr>
    </w:p>
    <w:p>
      <w:pPr>
        <w:ind w:left="4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w:t>
      </w:r>
    </w:p>
    <w:p>
      <w:pPr>
        <w:spacing w:after="0" w:line="59" w:lineRule="exact"/>
        <w:rPr>
          <w:rFonts w:ascii="Arial" w:cs="Arial" w:eastAsia="Arial" w:hAnsi="Arial"/>
          <w:sz w:val="16"/>
          <w:szCs w:val="16"/>
          <w:b w:val="1"/>
          <w:bCs w:val="1"/>
          <w:color w:val="auto"/>
        </w:rPr>
      </w:pPr>
    </w:p>
    <w:p>
      <w:pPr>
        <w:ind w:left="460" w:right="4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Amounts contributed by the Company which are forfeited by participants as a result of the participants’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 used for the years ended December 31, 2006 and 2005 amounted to $136,500 and $722,095, respectively. Outstanding forfeitures at December 31, 2006 and 2005 were $28,275 and $22,449, respectively.</w:t>
      </w:r>
    </w:p>
    <w:p>
      <w:pPr>
        <w:spacing w:after="0" w:line="39" w:lineRule="exact"/>
        <w:rPr>
          <w:rFonts w:ascii="Arial" w:cs="Arial" w:eastAsia="Arial" w:hAnsi="Arial"/>
          <w:sz w:val="16"/>
          <w:szCs w:val="16"/>
          <w:b w:val="1"/>
          <w:bCs w:val="1"/>
          <w:color w:val="auto"/>
        </w:rPr>
      </w:pPr>
    </w:p>
    <w:p>
      <w:pPr>
        <w:ind w:left="460" w:right="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Any participant who has a separation from service for any reason except death, disability or attainment of age 65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 rollover into another qualified plan, or any combination of the foregoing.</w:t>
      </w:r>
    </w:p>
    <w:p>
      <w:pPr>
        <w:spacing w:after="0" w:line="129" w:lineRule="exact"/>
        <w:rPr>
          <w:rFonts w:ascii="Arial" w:cs="Arial" w:eastAsia="Arial" w:hAnsi="Arial"/>
          <w:sz w:val="16"/>
          <w:szCs w:val="16"/>
          <w:b w:val="1"/>
          <w:bCs w:val="1"/>
          <w:color w:val="auto"/>
        </w:rPr>
      </w:pPr>
    </w:p>
    <w:p>
      <w:pPr>
        <w:ind w:left="5680" w:hanging="112"/>
        <w:spacing w:after="0"/>
        <w:tabs>
          <w:tab w:leader="none" w:pos="5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2006 and 2005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4" w:lineRule="exact"/>
        <w:rPr>
          <w:sz w:val="20"/>
          <w:szCs w:val="20"/>
          <w:color w:val="auto"/>
        </w:rPr>
      </w:pPr>
    </w:p>
    <w:p>
      <w:pPr>
        <w:jc w:val="both"/>
        <w:ind w:left="460" w:right="300"/>
        <w:spacing w:after="0" w:line="259" w:lineRule="auto"/>
        <w:rPr>
          <w:sz w:val="20"/>
          <w:szCs w:val="20"/>
          <w:color w:val="auto"/>
        </w:rPr>
      </w:pPr>
      <w:r>
        <w:rPr>
          <w:rFonts w:ascii="Arial" w:cs="Arial" w:eastAsia="Arial" w:hAnsi="Arial"/>
          <w:sz w:val="18"/>
          <w:szCs w:val="18"/>
          <w:color w:val="auto"/>
        </w:rPr>
        <w:t>Effective on June 1, 2005, the Plan was amended to adopt the IRS Mandatory Cash Out Regulations. On December 13, 2005, the Plan was amended to provide that employee compensation shall not be deemed eligible Plan compensation when paid more than 75 days after an employee’s separation from service. This amendment became effective January 1, 2006.</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Fidelity Management Trust Company is the appointed Trustee of the Plan.</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financial statements of the Plan are presented using the accrual basis of accounting. Contributions receivable at December 31, 2006 represent amounts due to the Plan relating to December 31, 2006 participant and employer matching contributions not remitted to the Plan until subsequent to year-end. Investments in mutual funds and the Comcast Corporation Stock Fund are carried at fair value. Fair value is determined by the last sale or closing price as of the last trading day of the Plan year for investments in securities traded on a securities exchange or the Nasdaq National Market. Investment contracts, which are included in the Comcast Stable Value Fund, are fully benefit-responsive and are carried at contract value.</w:t>
      </w:r>
    </w:p>
    <w:p>
      <w:pPr>
        <w:spacing w:after="0" w:line="34" w:lineRule="exact"/>
        <w:rPr>
          <w:rFonts w:ascii="Arial" w:cs="Arial" w:eastAsia="Arial" w:hAnsi="Arial"/>
          <w:sz w:val="18"/>
          <w:szCs w:val="18"/>
          <w:b w:val="1"/>
          <w:bCs w:val="1"/>
          <w:color w:val="auto"/>
        </w:rPr>
      </w:pPr>
    </w:p>
    <w:p>
      <w:pPr>
        <w:ind w:left="4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As described in Financial Accounting Standards Board Staff Position FSP AAG INV-1 and SOP 94-4-1, </w:t>
      </w:r>
      <w:r>
        <w:rPr>
          <w:rFonts w:ascii="Arial" w:cs="Arial" w:eastAsia="Arial" w:hAnsi="Arial"/>
          <w:sz w:val="16"/>
          <w:szCs w:val="16"/>
          <w:i w:val="1"/>
          <w:iCs w:val="1"/>
          <w:color w:val="auto"/>
        </w:rPr>
        <w:t>Reporting of Fully Benefit-Responsive Investment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Held by Certain Investment Companies Subject to the AICPA Investment Company Guide and Defined-Contribution Health and Welfare and Pension Plans </w:t>
      </w:r>
      <w:r>
        <w:rPr>
          <w:rFonts w:ascii="Arial" w:cs="Arial" w:eastAsia="Arial" w:hAnsi="Arial"/>
          <w:sz w:val="16"/>
          <w:szCs w:val="16"/>
          <w:color w:val="auto"/>
        </w:rPr>
        <w:t>(the “FSP”), investment contracts, such as those included in the Comcast Stable Value Fund, are required to be reported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contract value is the relevant measure of fully benefit-responsive investment contracts since that is the amount participants would receive if they were to initiate permitted transactions under the terms of the Plan. As required by the FSP, the Statements of Net Assets Available for Benefits present investments at fair value as well as an additional line item showing the adjustment of fully benefit-responsive investment contracts from fair value to contract value. The Statement of Changes in Net Assets Available for Benefits is presented on a contract value basis and is not affected by the FSP.</w:t>
      </w:r>
    </w:p>
    <w:p>
      <w:pPr>
        <w:spacing w:after="0" w:line="37" w:lineRule="exact"/>
        <w:rPr>
          <w:rFonts w:ascii="Arial" w:cs="Arial" w:eastAsia="Arial" w:hAnsi="Arial"/>
          <w:sz w:val="18"/>
          <w:szCs w:val="18"/>
          <w:b w:val="1"/>
          <w:bCs w:val="1"/>
          <w:color w:val="auto"/>
        </w:rPr>
      </w:pPr>
    </w:p>
    <w:p>
      <w:pPr>
        <w:jc w:val="both"/>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Benefits are recorded when paid.</w:t>
      </w:r>
    </w:p>
    <w:p>
      <w:pPr>
        <w:spacing w:after="0" w:line="25"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amounts reported in the statement of net assets available for benefits.</w:t>
      </w:r>
    </w:p>
    <w:p>
      <w:pPr>
        <w:spacing w:after="0" w:line="59"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and changes therein, and disclosure of contingent assets and liabilities. Actual results could differ from those estimates.</w:t>
      </w:r>
    </w:p>
    <w:p>
      <w:pPr>
        <w:spacing w:after="0" w:line="126" w:lineRule="exact"/>
        <w:rPr>
          <w:rFonts w:ascii="Arial" w:cs="Arial" w:eastAsia="Arial" w:hAnsi="Arial"/>
          <w:sz w:val="18"/>
          <w:szCs w:val="18"/>
          <w:b w:val="1"/>
          <w:bCs w:val="1"/>
          <w:color w:val="auto"/>
        </w:rPr>
      </w:pPr>
    </w:p>
    <w:p>
      <w:pPr>
        <w:ind w:left="5680" w:hanging="112"/>
        <w:spacing w:after="0"/>
        <w:tabs>
          <w:tab w:leader="none" w:pos="5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2006 and 2005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96"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Plan’s investments are held by a trust fund and are presented in the following table (dollars in thousands, units/shares rounded to nearest whole unit or share).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 2006</w:t>
            </w:r>
          </w:p>
        </w:tc>
      </w:tr>
      <w:tr>
        <w:trPr>
          <w:trHeight w:val="129"/>
        </w:trPr>
        <w:tc>
          <w:tcPr>
            <w:tcW w:w="96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1680" w:type="dxa"/>
            <w:vAlign w:val="bottom"/>
            <w:tcBorders>
              <w:top w:val="single" w:sz="8" w:color="auto"/>
            </w:tcBorders>
            <w:gridSpan w:val="3"/>
          </w:tcPr>
          <w:p>
            <w:pPr>
              <w:jc w:val="right"/>
              <w:ind w:right="700"/>
              <w:spacing w:after="0" w:line="129" w:lineRule="exact"/>
              <w:rPr>
                <w:sz w:val="20"/>
                <w:szCs w:val="20"/>
                <w:color w:val="auto"/>
              </w:rPr>
            </w:pPr>
            <w:r>
              <w:rPr>
                <w:rFonts w:ascii="Arial" w:cs="Arial" w:eastAsia="Arial" w:hAnsi="Arial"/>
                <w:sz w:val="14"/>
                <w:szCs w:val="14"/>
                <w:b w:val="1"/>
                <w:bCs w:val="1"/>
                <w:color w:val="auto"/>
              </w:rPr>
              <w:t>Number of</w:t>
            </w: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5"/>
        </w:trPr>
        <w:tc>
          <w:tcPr>
            <w:tcW w:w="96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6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Units/Shares</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Ariel Fund</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1,175,581 units   $</w:t>
            </w:r>
          </w:p>
        </w:tc>
        <w:tc>
          <w:tcPr>
            <w:tcW w:w="740" w:type="dxa"/>
            <w:vAlign w:val="bottom"/>
          </w:tcPr>
          <w:p>
            <w:pPr>
              <w:jc w:val="right"/>
              <w:spacing w:after="0"/>
              <w:rPr>
                <w:sz w:val="20"/>
                <w:szCs w:val="20"/>
                <w:color w:val="auto"/>
              </w:rPr>
            </w:pPr>
            <w:r>
              <w:rPr>
                <w:rFonts w:ascii="Arial" w:cs="Arial" w:eastAsia="Arial" w:hAnsi="Arial"/>
                <w:sz w:val="18"/>
                <w:szCs w:val="18"/>
                <w:color w:val="auto"/>
              </w:rPr>
              <w:t>60,907</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Dodge and Cox Balanced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1,910,777 units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166,391*</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Fidelity Blue Chip Growth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4,173,128 units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184,911*</w:t>
            </w: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Diversified International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4,681,981 units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172,999*</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Fidelity Freedom 2010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2,046,801 units</w:t>
            </w:r>
          </w:p>
        </w:tc>
        <w:tc>
          <w:tcPr>
            <w:tcW w:w="740" w:type="dxa"/>
            <w:vAlign w:val="bottom"/>
          </w:tcPr>
          <w:p>
            <w:pPr>
              <w:jc w:val="right"/>
              <w:spacing w:after="0"/>
              <w:rPr>
                <w:sz w:val="20"/>
                <w:szCs w:val="20"/>
                <w:color w:val="auto"/>
              </w:rPr>
            </w:pPr>
            <w:r>
              <w:rPr>
                <w:rFonts w:ascii="Arial" w:cs="Arial" w:eastAsia="Arial" w:hAnsi="Arial"/>
                <w:sz w:val="18"/>
                <w:szCs w:val="18"/>
                <w:color w:val="auto"/>
              </w:rPr>
              <w:t>29,924</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Freedom 2020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4,984,953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77,416</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Fidelity Freedom 2030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4,383,718 units</w:t>
            </w:r>
          </w:p>
        </w:tc>
        <w:tc>
          <w:tcPr>
            <w:tcW w:w="740" w:type="dxa"/>
            <w:vAlign w:val="bottom"/>
          </w:tcPr>
          <w:p>
            <w:pPr>
              <w:jc w:val="right"/>
              <w:spacing w:after="0"/>
              <w:rPr>
                <w:sz w:val="20"/>
                <w:szCs w:val="20"/>
                <w:color w:val="auto"/>
              </w:rPr>
            </w:pPr>
            <w:r>
              <w:rPr>
                <w:rFonts w:ascii="Arial" w:cs="Arial" w:eastAsia="Arial" w:hAnsi="Arial"/>
                <w:sz w:val="18"/>
                <w:szCs w:val="18"/>
                <w:color w:val="auto"/>
              </w:rPr>
              <w:t>70,271</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Freedom 2040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3,292,068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31,209</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Fidelity Freedom 2050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126,744 units</w:t>
            </w:r>
          </w:p>
        </w:tc>
        <w:tc>
          <w:tcPr>
            <w:tcW w:w="74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Freedom Income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462,550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Fidelity Growth Company</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240,410 units</w:t>
            </w:r>
          </w:p>
        </w:tc>
        <w:tc>
          <w:tcPr>
            <w:tcW w:w="740" w:type="dxa"/>
            <w:vAlign w:val="bottom"/>
          </w:tcPr>
          <w:p>
            <w:pPr>
              <w:jc w:val="right"/>
              <w:spacing w:after="0"/>
              <w:rPr>
                <w:sz w:val="20"/>
                <w:szCs w:val="20"/>
                <w:color w:val="auto"/>
              </w:rPr>
            </w:pPr>
            <w:r>
              <w:rPr>
                <w:rFonts w:ascii="Arial" w:cs="Arial" w:eastAsia="Arial" w:hAnsi="Arial"/>
                <w:sz w:val="18"/>
                <w:szCs w:val="18"/>
                <w:color w:val="auto"/>
              </w:rPr>
              <w:t>16,759</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Small Cap Stock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4,933,140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93,779</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Fidelity US Bond Index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2,395,451 units</w:t>
            </w:r>
          </w:p>
        </w:tc>
        <w:tc>
          <w:tcPr>
            <w:tcW w:w="740" w:type="dxa"/>
            <w:vAlign w:val="bottom"/>
          </w:tcPr>
          <w:p>
            <w:pPr>
              <w:jc w:val="right"/>
              <w:spacing w:after="0"/>
              <w:rPr>
                <w:sz w:val="20"/>
                <w:szCs w:val="20"/>
                <w:color w:val="auto"/>
              </w:rPr>
            </w:pPr>
            <w:r>
              <w:rPr>
                <w:rFonts w:ascii="Arial" w:cs="Arial" w:eastAsia="Arial" w:hAnsi="Arial"/>
                <w:sz w:val="18"/>
                <w:szCs w:val="18"/>
                <w:color w:val="auto"/>
              </w:rPr>
              <w:t>26,015</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Pimco Total Return Institutional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4,168,218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43,266</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Spartan International Index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608,742 units</w:t>
            </w:r>
          </w:p>
        </w:tc>
        <w:tc>
          <w:tcPr>
            <w:tcW w:w="740" w:type="dxa"/>
            <w:vAlign w:val="bottom"/>
          </w:tcPr>
          <w:p>
            <w:pPr>
              <w:jc w:val="right"/>
              <w:spacing w:after="0"/>
              <w:rPr>
                <w:sz w:val="20"/>
                <w:szCs w:val="20"/>
                <w:color w:val="auto"/>
              </w:rPr>
            </w:pPr>
            <w:r>
              <w:rPr>
                <w:rFonts w:ascii="Arial" w:cs="Arial" w:eastAsia="Arial" w:hAnsi="Arial"/>
                <w:sz w:val="18"/>
                <w:szCs w:val="18"/>
                <w:color w:val="auto"/>
              </w:rPr>
              <w:t>26,870</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Spartan US Equity Index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3,353,855 units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168,296*</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Templeton World Fund, Class A</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2,334,907 units</w:t>
            </w:r>
          </w:p>
        </w:tc>
        <w:tc>
          <w:tcPr>
            <w:tcW w:w="740" w:type="dxa"/>
            <w:vAlign w:val="bottom"/>
          </w:tcPr>
          <w:p>
            <w:pPr>
              <w:jc w:val="right"/>
              <w:spacing w:after="0"/>
              <w:rPr>
                <w:sz w:val="20"/>
                <w:szCs w:val="20"/>
                <w:color w:val="auto"/>
              </w:rPr>
            </w:pPr>
            <w:r>
              <w:rPr>
                <w:rFonts w:ascii="Arial" w:cs="Arial" w:eastAsia="Arial" w:hAnsi="Arial"/>
                <w:sz w:val="18"/>
                <w:szCs w:val="18"/>
                <w:color w:val="auto"/>
              </w:rPr>
              <w:t>45,344</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Vanguard SM Cap Index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1,126,839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36,791</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Vanguard Total Stock Market Index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670,821 units</w:t>
            </w:r>
          </w:p>
        </w:tc>
        <w:tc>
          <w:tcPr>
            <w:tcW w:w="740" w:type="dxa"/>
            <w:vAlign w:val="bottom"/>
          </w:tcPr>
          <w:p>
            <w:pPr>
              <w:jc w:val="right"/>
              <w:spacing w:after="0"/>
              <w:rPr>
                <w:sz w:val="20"/>
                <w:szCs w:val="20"/>
                <w:color w:val="auto"/>
              </w:rPr>
            </w:pPr>
            <w:r>
              <w:rPr>
                <w:rFonts w:ascii="Arial" w:cs="Arial" w:eastAsia="Arial" w:hAnsi="Arial"/>
                <w:sz w:val="18"/>
                <w:szCs w:val="18"/>
                <w:color w:val="auto"/>
              </w:rPr>
              <w:t>22,875</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Vanguard Windsor II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1,786,221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110,192</w:t>
            </w:r>
          </w:p>
        </w:tc>
        <w:tc>
          <w:tcPr>
            <w:tcW w:w="100" w:type="dxa"/>
            <w:vAlign w:val="bottom"/>
            <w:shd w:val="clear" w:color="auto" w:fill="CCEEFF"/>
          </w:tcPr>
          <w:p>
            <w:pPr>
              <w:spacing w:after="0"/>
              <w:rPr>
                <w:sz w:val="18"/>
                <w:szCs w:val="18"/>
                <w:color w:val="auto"/>
              </w:rPr>
            </w:pPr>
          </w:p>
        </w:tc>
      </w:tr>
      <w:tr>
        <w:trPr>
          <w:trHeight w:val="223"/>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Wells Fargo Advantage Small Company Value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1,271,992 units</w:t>
            </w:r>
          </w:p>
        </w:tc>
        <w:tc>
          <w:tcPr>
            <w:tcW w:w="740" w:type="dxa"/>
            <w:vAlign w:val="bottom"/>
          </w:tcPr>
          <w:p>
            <w:pPr>
              <w:jc w:val="right"/>
              <w:spacing w:after="0"/>
              <w:rPr>
                <w:sz w:val="20"/>
                <w:szCs w:val="20"/>
                <w:color w:val="auto"/>
              </w:rPr>
            </w:pPr>
            <w:r>
              <w:rPr>
                <w:rFonts w:ascii="Arial" w:cs="Arial" w:eastAsia="Arial" w:hAnsi="Arial"/>
                <w:sz w:val="18"/>
                <w:szCs w:val="18"/>
                <w:color w:val="auto"/>
              </w:rPr>
              <w:t>20,110</w:t>
            </w:r>
          </w:p>
        </w:tc>
        <w:tc>
          <w:tcPr>
            <w:tcW w:w="100" w:type="dxa"/>
            <w:vAlign w:val="bottom"/>
          </w:tcPr>
          <w:p>
            <w:pPr>
              <w:spacing w:after="0"/>
              <w:rPr>
                <w:sz w:val="19"/>
                <w:szCs w:val="19"/>
                <w:color w:val="auto"/>
              </w:rPr>
            </w:pPr>
          </w:p>
        </w:tc>
      </w:tr>
      <w:tr>
        <w:trPr>
          <w:trHeight w:val="216"/>
        </w:trPr>
        <w:tc>
          <w:tcPr>
            <w:tcW w:w="96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1,411,026</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Comcast Corporation Stock Fund (at fair value)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Class A Common Stock</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4"/>
              </w:rPr>
              <w:t>5,157,366 shares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218,311*</w:t>
            </w:r>
          </w:p>
        </w:tc>
      </w:tr>
      <w:tr>
        <w:trPr>
          <w:trHeight w:val="223"/>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Class A Special Common Stock</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w w:val="94"/>
              </w:rPr>
              <w:t>1,783,380 shares</w:t>
            </w:r>
          </w:p>
        </w:tc>
        <w:tc>
          <w:tcPr>
            <w:tcW w:w="740" w:type="dxa"/>
            <w:vAlign w:val="bottom"/>
          </w:tcPr>
          <w:p>
            <w:pPr>
              <w:jc w:val="right"/>
              <w:spacing w:after="0"/>
              <w:rPr>
                <w:sz w:val="20"/>
                <w:szCs w:val="20"/>
                <w:color w:val="auto"/>
              </w:rPr>
            </w:pPr>
            <w:r>
              <w:rPr>
                <w:rFonts w:ascii="Arial" w:cs="Arial" w:eastAsia="Arial" w:hAnsi="Arial"/>
                <w:sz w:val="18"/>
                <w:szCs w:val="18"/>
                <w:color w:val="auto"/>
              </w:rPr>
              <w:t>74,688</w:t>
            </w:r>
          </w:p>
        </w:tc>
        <w:tc>
          <w:tcPr>
            <w:tcW w:w="100" w:type="dxa"/>
            <w:vAlign w:val="bottom"/>
          </w:tcPr>
          <w:p>
            <w:pPr>
              <w:spacing w:after="0"/>
              <w:rPr>
                <w:sz w:val="19"/>
                <w:szCs w:val="19"/>
                <w:color w:val="auto"/>
              </w:rPr>
            </w:pPr>
          </w:p>
        </w:tc>
      </w:tr>
      <w:tr>
        <w:trPr>
          <w:trHeight w:val="216"/>
        </w:trPr>
        <w:tc>
          <w:tcPr>
            <w:tcW w:w="96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292,999</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Comcast Stable Value Fund (at fair value)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Short Term Investment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9,960,536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Canada Life Insurance</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1,883,033 units</w:t>
            </w:r>
          </w:p>
        </w:tc>
        <w:tc>
          <w:tcPr>
            <w:tcW w:w="74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Prudential Insurance Company of America</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3,616,843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Travelers Insurance Company</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2,861,122 units</w:t>
            </w:r>
          </w:p>
        </w:tc>
        <w:tc>
          <w:tcPr>
            <w:tcW w:w="74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Bank of America, N.A.</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119,034,491 units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117,145*</w:t>
            </w:r>
          </w:p>
        </w:tc>
      </w:tr>
      <w:tr>
        <w:trPr>
          <w:trHeight w:val="216"/>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State Street Bank and Trust Company Boston</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119,034,488 units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117,145*</w:t>
            </w:r>
          </w:p>
        </w:tc>
      </w:tr>
      <w:tr>
        <w:trPr>
          <w:trHeight w:val="216"/>
        </w:trPr>
        <w:tc>
          <w:tcPr>
            <w:tcW w:w="8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Morgan Guaranty</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119,034,237 units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117,145*</w:t>
            </w:r>
          </w:p>
        </w:tc>
      </w:tr>
      <w:tr>
        <w:trPr>
          <w:trHeight w:val="223"/>
        </w:trPr>
        <w:tc>
          <w:tcPr>
            <w:tcW w:w="8900" w:type="dxa"/>
            <w:vAlign w:val="bottom"/>
            <w:gridSpan w:val="2"/>
          </w:tcPr>
          <w:p>
            <w:pPr>
              <w:ind w:left="440"/>
              <w:spacing w:after="0"/>
              <w:rPr>
                <w:sz w:val="20"/>
                <w:szCs w:val="20"/>
                <w:color w:val="auto"/>
              </w:rPr>
            </w:pPr>
            <w:r>
              <w:rPr>
                <w:rFonts w:ascii="Arial" w:cs="Arial" w:eastAsia="Arial" w:hAnsi="Arial"/>
                <w:sz w:val="18"/>
                <w:szCs w:val="18"/>
                <w:color w:val="auto"/>
              </w:rPr>
              <w:t>Rabobank Nederland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119,030,309 units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117,145*</w:t>
            </w:r>
          </w:p>
        </w:tc>
      </w:tr>
      <w:tr>
        <w:trPr>
          <w:trHeight w:val="216"/>
        </w:trPr>
        <w:tc>
          <w:tcPr>
            <w:tcW w:w="96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486,883</w:t>
            </w:r>
          </w:p>
        </w:tc>
        <w:tc>
          <w:tcPr>
            <w:tcW w:w="100" w:type="dxa"/>
            <w:vAlign w:val="bottom"/>
            <w:shd w:val="clear" w:color="auto" w:fill="CCEEFF"/>
          </w:tcPr>
          <w:p>
            <w:pPr>
              <w:spacing w:after="0"/>
              <w:rPr>
                <w:sz w:val="18"/>
                <w:szCs w:val="18"/>
                <w:color w:val="auto"/>
              </w:rPr>
            </w:pPr>
          </w:p>
        </w:tc>
      </w:tr>
      <w:tr>
        <w:trPr>
          <w:trHeight w:val="222"/>
        </w:trPr>
        <w:tc>
          <w:tcPr>
            <w:tcW w:w="96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2,190,908</w:t>
            </w:r>
          </w:p>
        </w:tc>
        <w:tc>
          <w:tcPr>
            <w:tcW w:w="10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79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amounts greater than 5% of the Plan’s net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2006 and 2005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During 2006, the Plan’s investments (including gains and losses on investments bought and sold, as well as held during the year) appreciated in value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89,148</w:t>
            </w:r>
          </w:p>
        </w:tc>
        <w:tc>
          <w:tcPr>
            <w:tcW w:w="20" w:type="dxa"/>
            <w:vAlign w:val="bottom"/>
          </w:tcPr>
          <w:p>
            <w:pPr>
              <w:spacing w:after="0"/>
              <w:rPr>
                <w:sz w:val="18"/>
                <w:szCs w:val="18"/>
                <w:color w:val="auto"/>
              </w:rPr>
            </w:pPr>
          </w:p>
        </w:tc>
      </w:tr>
      <w:tr>
        <w:trPr>
          <w:trHeight w:val="223"/>
        </w:trPr>
        <w:tc>
          <w:tcPr>
            <w:tcW w:w="982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117,636</w:t>
            </w:r>
          </w:p>
        </w:tc>
        <w:tc>
          <w:tcPr>
            <w:tcW w:w="20" w:type="dxa"/>
            <w:vAlign w:val="bottom"/>
          </w:tcPr>
          <w:p>
            <w:pPr>
              <w:spacing w:after="0"/>
              <w:rPr>
                <w:sz w:val="19"/>
                <w:szCs w:val="19"/>
                <w:color w:val="auto"/>
              </w:rPr>
            </w:pPr>
          </w:p>
        </w:tc>
      </w:tr>
      <w:tr>
        <w:trPr>
          <w:trHeight w:val="216"/>
        </w:trPr>
        <w:tc>
          <w:tcPr>
            <w:tcW w:w="9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206,784</w:t>
            </w:r>
          </w:p>
        </w:tc>
        <w:tc>
          <w:tcPr>
            <w:tcW w:w="20" w:type="dxa"/>
            <w:vAlign w:val="bottom"/>
          </w:tcPr>
          <w:p>
            <w:pPr>
              <w:spacing w:after="0"/>
              <w:rPr>
                <w:sz w:val="18"/>
                <w:szCs w:val="18"/>
                <w:color w:val="auto"/>
              </w:rPr>
            </w:pPr>
          </w:p>
        </w:tc>
      </w:tr>
      <w:tr>
        <w:trPr>
          <w:trHeight w:val="20"/>
        </w:trPr>
        <w:tc>
          <w:tcPr>
            <w:tcW w:w="9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 2005</w:t>
            </w: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1680" w:type="dxa"/>
            <w:vAlign w:val="bottom"/>
            <w:tcBorders>
              <w:top w:val="single" w:sz="8" w:color="auto"/>
            </w:tcBorders>
            <w:gridSpan w:val="3"/>
          </w:tcPr>
          <w:p>
            <w:pPr>
              <w:jc w:val="right"/>
              <w:ind w:right="700"/>
              <w:spacing w:after="0" w:line="129" w:lineRule="exact"/>
              <w:rPr>
                <w:sz w:val="20"/>
                <w:szCs w:val="20"/>
                <w:color w:val="auto"/>
              </w:rPr>
            </w:pPr>
            <w:r>
              <w:rPr>
                <w:rFonts w:ascii="Arial" w:cs="Arial" w:eastAsia="Arial" w:hAnsi="Arial"/>
                <w:sz w:val="14"/>
                <w:szCs w:val="14"/>
                <w:b w:val="1"/>
                <w:bCs w:val="1"/>
                <w:color w:val="auto"/>
              </w:rPr>
              <w:t>Number of</w:t>
            </w: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6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Units/Shares</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Ariel Fund</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1,343,692 units   $</w:t>
            </w:r>
          </w:p>
        </w:tc>
        <w:tc>
          <w:tcPr>
            <w:tcW w:w="740" w:type="dxa"/>
            <w:vAlign w:val="bottom"/>
          </w:tcPr>
          <w:p>
            <w:pPr>
              <w:jc w:val="right"/>
              <w:spacing w:after="0"/>
              <w:rPr>
                <w:sz w:val="20"/>
                <w:szCs w:val="20"/>
                <w:color w:val="auto"/>
              </w:rPr>
            </w:pPr>
            <w:r>
              <w:rPr>
                <w:rFonts w:ascii="Arial" w:cs="Arial" w:eastAsia="Arial" w:hAnsi="Arial"/>
                <w:sz w:val="18"/>
                <w:szCs w:val="18"/>
                <w:color w:val="auto"/>
              </w:rPr>
              <w:t>67,279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Dodge and Cox Balanced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1,533,757 units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124,756*</w:t>
            </w: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Fidelity Blue Chip Growth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4,086,204 units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176,361*</w:t>
            </w: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Fidelity Diversified International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3,510,013 units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114,216*</w:t>
            </w: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Fidelity Freedom 2010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1,512,207 units</w:t>
            </w:r>
          </w:p>
        </w:tc>
        <w:tc>
          <w:tcPr>
            <w:tcW w:w="740" w:type="dxa"/>
            <w:vAlign w:val="bottom"/>
          </w:tcPr>
          <w:p>
            <w:pPr>
              <w:jc w:val="right"/>
              <w:spacing w:after="0"/>
              <w:rPr>
                <w:sz w:val="20"/>
                <w:szCs w:val="20"/>
                <w:color w:val="auto"/>
              </w:rPr>
            </w:pPr>
            <w:r>
              <w:rPr>
                <w:rFonts w:ascii="Arial" w:cs="Arial" w:eastAsia="Arial" w:hAnsi="Arial"/>
                <w:sz w:val="18"/>
                <w:szCs w:val="18"/>
                <w:color w:val="auto"/>
              </w:rPr>
              <w:t>21,247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Fidelity Freedom 2020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3,769,738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Fidelity Freedom 2030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3,203,495 units</w:t>
            </w:r>
          </w:p>
        </w:tc>
        <w:tc>
          <w:tcPr>
            <w:tcW w:w="740" w:type="dxa"/>
            <w:vAlign w:val="bottom"/>
          </w:tcPr>
          <w:p>
            <w:pPr>
              <w:jc w:val="right"/>
              <w:spacing w:after="0"/>
              <w:rPr>
                <w:sz w:val="20"/>
                <w:szCs w:val="20"/>
                <w:color w:val="auto"/>
              </w:rPr>
            </w:pPr>
            <w:r>
              <w:rPr>
                <w:rFonts w:ascii="Arial" w:cs="Arial" w:eastAsia="Arial" w:hAnsi="Arial"/>
                <w:sz w:val="18"/>
                <w:szCs w:val="18"/>
                <w:color w:val="auto"/>
              </w:rPr>
              <w:t>48,116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Fidelity Freedom 2040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1,940,863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Fidelity Freedom Income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278,800 units</w:t>
            </w:r>
          </w:p>
        </w:tc>
        <w:tc>
          <w:tcPr>
            <w:tcW w:w="740" w:type="dxa"/>
            <w:vAlign w:val="bottom"/>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Fidelity Growth Company</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47,402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Fidelity Small Cap Stock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4,102,162 units</w:t>
            </w:r>
          </w:p>
        </w:tc>
        <w:tc>
          <w:tcPr>
            <w:tcW w:w="740" w:type="dxa"/>
            <w:vAlign w:val="bottom"/>
          </w:tcPr>
          <w:p>
            <w:pPr>
              <w:jc w:val="right"/>
              <w:spacing w:after="0"/>
              <w:rPr>
                <w:sz w:val="20"/>
                <w:szCs w:val="20"/>
                <w:color w:val="auto"/>
              </w:rPr>
            </w:pPr>
            <w:r>
              <w:rPr>
                <w:rFonts w:ascii="Arial" w:cs="Arial" w:eastAsia="Arial" w:hAnsi="Arial"/>
                <w:sz w:val="18"/>
                <w:szCs w:val="18"/>
                <w:color w:val="auto"/>
              </w:rPr>
              <w:t>75,070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Fidelity US Bond Index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2,114,083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Pimco Total Return Institutional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3,720,318 units</w:t>
            </w:r>
          </w:p>
        </w:tc>
        <w:tc>
          <w:tcPr>
            <w:tcW w:w="740" w:type="dxa"/>
            <w:vAlign w:val="bottom"/>
          </w:tcPr>
          <w:p>
            <w:pPr>
              <w:jc w:val="right"/>
              <w:spacing w:after="0"/>
              <w:rPr>
                <w:sz w:val="20"/>
                <w:szCs w:val="20"/>
                <w:color w:val="auto"/>
              </w:rPr>
            </w:pPr>
            <w:r>
              <w:rPr>
                <w:rFonts w:ascii="Arial" w:cs="Arial" w:eastAsia="Arial" w:hAnsi="Arial"/>
                <w:sz w:val="18"/>
                <w:szCs w:val="18"/>
                <w:color w:val="auto"/>
              </w:rPr>
              <w:t>39,063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Spartan International Index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249,028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Spartan US Equity Index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3,450,699 units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152,383*</w:t>
            </w: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Templeton World Fund, Class A</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1,644,076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Vanguard SM Cap Index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935,432 units</w:t>
            </w:r>
          </w:p>
        </w:tc>
        <w:tc>
          <w:tcPr>
            <w:tcW w:w="740" w:type="dxa"/>
            <w:vAlign w:val="bottom"/>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Vanguard Total Stock Market Index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522,245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Vanguard Windsor II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1,547,892 units</w:t>
            </w:r>
          </w:p>
        </w:tc>
        <w:tc>
          <w:tcPr>
            <w:tcW w:w="740" w:type="dxa"/>
            <w:vAlign w:val="bottom"/>
          </w:tcPr>
          <w:p>
            <w:pPr>
              <w:jc w:val="right"/>
              <w:spacing w:after="0"/>
              <w:rPr>
                <w:sz w:val="20"/>
                <w:szCs w:val="20"/>
                <w:color w:val="auto"/>
              </w:rPr>
            </w:pPr>
            <w:r>
              <w:rPr>
                <w:rFonts w:ascii="Arial" w:cs="Arial" w:eastAsia="Arial" w:hAnsi="Arial"/>
                <w:sz w:val="18"/>
                <w:szCs w:val="18"/>
                <w:color w:val="auto"/>
              </w:rPr>
              <w:t>86,094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Wells Fargo Advantage Small Company Value Fund</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410,097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1,092,976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Comcast Corporation Stock Fund (at fair value)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Class A Common Stock</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w w:val="94"/>
              </w:rPr>
              <w:t>5,368,743 shares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139,158*</w:t>
            </w: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A Special Common Stock</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4"/>
              </w:rPr>
              <w:t>2,178,717 shares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195,129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Comcast Stable Value Fund (at fair value)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Fidelity Short Term Investment Fund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7,268,991 units</w:t>
            </w:r>
          </w:p>
        </w:tc>
        <w:tc>
          <w:tcPr>
            <w:tcW w:w="740" w:type="dxa"/>
            <w:vAlign w:val="bottom"/>
          </w:tcPr>
          <w:p>
            <w:pPr>
              <w:jc w:val="right"/>
              <w:spacing w:after="0"/>
              <w:rPr>
                <w:sz w:val="20"/>
                <w:szCs w:val="20"/>
                <w:color w:val="auto"/>
              </w:rPr>
            </w:pPr>
            <w:r>
              <w:rPr>
                <w:rFonts w:ascii="Arial" w:cs="Arial" w:eastAsia="Arial" w:hAnsi="Arial"/>
                <w:sz w:val="18"/>
                <w:szCs w:val="18"/>
                <w:color w:val="auto"/>
              </w:rPr>
              <w:t>7,269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Canada Life Insurance</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3,592,204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Prudential Insurance Company of America</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3,461,757 units</w:t>
            </w:r>
          </w:p>
        </w:tc>
        <w:tc>
          <w:tcPr>
            <w:tcW w:w="740" w:type="dxa"/>
            <w:vAlign w:val="bottom"/>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Travelers Insurance Company</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4,117,907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John Hancock Mutual Life Insurance</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818,772 units</w:t>
            </w:r>
          </w:p>
        </w:tc>
        <w:tc>
          <w:tcPr>
            <w:tcW w:w="7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of America, N.A.</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114,604,319 units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112,326*</w:t>
            </w:r>
          </w:p>
        </w:tc>
      </w:tr>
      <w:tr>
        <w:trPr>
          <w:trHeight w:val="216"/>
        </w:trPr>
        <w:tc>
          <w:tcPr>
            <w:tcW w:w="20" w:type="dxa"/>
            <w:vAlign w:val="bottom"/>
          </w:tcPr>
          <w:p>
            <w:pPr>
              <w:spacing w:after="0"/>
              <w:rPr>
                <w:sz w:val="18"/>
                <w:szCs w:val="18"/>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State Street Bank and Trust Company Boston</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114,604,317 units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112,326*</w:t>
            </w: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Morgan Guaranty</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114,604,366 units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112,326*</w:t>
            </w:r>
          </w:p>
        </w:tc>
      </w:tr>
      <w:tr>
        <w:trPr>
          <w:trHeight w:val="223"/>
        </w:trPr>
        <w:tc>
          <w:tcPr>
            <w:tcW w:w="20" w:type="dxa"/>
            <w:vAlign w:val="bottom"/>
          </w:tcPr>
          <w:p>
            <w:pPr>
              <w:spacing w:after="0"/>
              <w:rPr>
                <w:sz w:val="19"/>
                <w:szCs w:val="19"/>
                <w:color w:val="auto"/>
              </w:rPr>
            </w:pPr>
          </w:p>
        </w:tc>
        <w:tc>
          <w:tcPr>
            <w:tcW w:w="8880" w:type="dxa"/>
            <w:vAlign w:val="bottom"/>
            <w:gridSpan w:val="2"/>
          </w:tcPr>
          <w:p>
            <w:pPr>
              <w:ind w:left="420"/>
              <w:spacing w:after="0"/>
              <w:rPr>
                <w:sz w:val="20"/>
                <w:szCs w:val="20"/>
                <w:color w:val="auto"/>
              </w:rPr>
            </w:pPr>
            <w:r>
              <w:rPr>
                <w:rFonts w:ascii="Arial" w:cs="Arial" w:eastAsia="Arial" w:hAnsi="Arial"/>
                <w:sz w:val="18"/>
                <w:szCs w:val="18"/>
                <w:color w:val="auto"/>
              </w:rPr>
              <w:t>Rabobank Nederland</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114,598,381 units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112,326*</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468,534</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1,756,639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9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amounts greater than 5% of the Plan’s net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2006 and 2005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ind w:left="460" w:right="220"/>
        <w:spacing w:after="0" w:line="256" w:lineRule="auto"/>
        <w:rPr>
          <w:sz w:val="20"/>
          <w:szCs w:val="20"/>
          <w:color w:val="auto"/>
        </w:rPr>
      </w:pPr>
      <w:r>
        <w:rPr>
          <w:rFonts w:ascii="Arial" w:cs="Arial" w:eastAsia="Arial" w:hAnsi="Arial"/>
          <w:sz w:val="18"/>
          <w:szCs w:val="18"/>
          <w:color w:val="auto"/>
        </w:rPr>
        <w:t>As described in the Summary of Significant Accounting Policies,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62" w:lineRule="exact"/>
        <w:rPr>
          <w:sz w:val="20"/>
          <w:szCs w:val="20"/>
          <w:color w:val="auto"/>
        </w:rPr>
      </w:pPr>
    </w:p>
    <w:p>
      <w:pPr>
        <w:ind w:left="460" w:right="100"/>
        <w:spacing w:after="0" w:line="357" w:lineRule="auto"/>
        <w:rPr>
          <w:sz w:val="20"/>
          <w:szCs w:val="20"/>
          <w:color w:val="auto"/>
        </w:rPr>
      </w:pPr>
      <w:r>
        <w:rPr>
          <w:rFonts w:ascii="Arial" w:cs="Arial" w:eastAsia="Arial" w:hAnsi="Arial"/>
          <w:sz w:val="15"/>
          <w:szCs w:val="15"/>
          <w:color w:val="auto"/>
        </w:rPr>
        <w:t>The average yield of investment contracts held as of December 31, 2006 and 2005 was 4.09% and 3.66%, respectively. When adjusted to reflect the actual interest credited to the Plan, the average yield of investment contracts held as of December 31, 2006 and 2005 was 4.15% and 3.64%, respectively.</w:t>
      </w:r>
    </w:p>
    <w:p>
      <w:pPr>
        <w:ind w:left="460" w:right="240"/>
        <w:spacing w:after="0" w:line="268" w:lineRule="auto"/>
        <w:rPr>
          <w:sz w:val="20"/>
          <w:szCs w:val="20"/>
          <w:color w:val="auto"/>
        </w:rPr>
      </w:pPr>
      <w:r>
        <w:rPr>
          <w:rFonts w:ascii="Arial" w:cs="Arial" w:eastAsia="Arial" w:hAnsi="Arial"/>
          <w:sz w:val="18"/>
          <w:szCs w:val="18"/>
          <w:color w:val="auto"/>
        </w:rPr>
        <w:t>The following table summarizes the adjustments from fair value to contract value related to the fully benefit-responsive investment contracts included in the Comcast Stable Value Fund: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Credit Rating</w:t>
            </w: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0"/>
        </w:trPr>
        <w:tc>
          <w:tcPr>
            <w:tcW w:w="7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Canada Life Insurance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AA</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Prudential Insurance Company of America</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AA-</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10</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Travelers Insurance Company</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AA</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John Hancock Mutual Life Insurance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AA+</w:t>
            </w:r>
          </w:p>
        </w:tc>
        <w:tc>
          <w:tcPr>
            <w:tcW w:w="24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AA</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State Street Bank and Trust Company Boston</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AA</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1,890</w:t>
            </w:r>
          </w:p>
        </w:tc>
        <w:tc>
          <w:tcPr>
            <w:tcW w:w="500" w:type="dxa"/>
            <w:vAlign w:val="bottom"/>
          </w:tcPr>
          <w:p>
            <w:pPr>
              <w:jc w:val="right"/>
              <w:spacing w:after="0"/>
              <w:rPr>
                <w:sz w:val="20"/>
                <w:szCs w:val="20"/>
                <w:color w:val="auto"/>
              </w:rPr>
            </w:pPr>
            <w:r>
              <w:rPr>
                <w:rFonts w:ascii="Arial" w:cs="Arial" w:eastAsia="Arial" w:hAnsi="Arial"/>
                <w:sz w:val="18"/>
                <w:szCs w:val="18"/>
                <w:color w:val="auto"/>
              </w:rPr>
              <w:t>2,278</w:t>
            </w:r>
          </w:p>
        </w:tc>
        <w:tc>
          <w:tcPr>
            <w:tcW w:w="6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Morgan Guaranty</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AA-</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6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Rabobank Nederland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AAA</w:t>
            </w:r>
          </w:p>
        </w:tc>
        <w:tc>
          <w:tcPr>
            <w:tcW w:w="2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1,885</w:t>
            </w:r>
          </w:p>
        </w:tc>
        <w:tc>
          <w:tcPr>
            <w:tcW w:w="500" w:type="dxa"/>
            <w:vAlign w:val="bottom"/>
          </w:tcPr>
          <w:p>
            <w:pPr>
              <w:jc w:val="right"/>
              <w:spacing w:after="0"/>
              <w:rPr>
                <w:sz w:val="20"/>
                <w:szCs w:val="20"/>
                <w:color w:val="auto"/>
              </w:rPr>
            </w:pPr>
            <w:r>
              <w:rPr>
                <w:rFonts w:ascii="Arial" w:cs="Arial" w:eastAsia="Arial" w:hAnsi="Arial"/>
                <w:sz w:val="18"/>
                <w:szCs w:val="18"/>
                <w:color w:val="auto"/>
              </w:rPr>
              <w:t>2,272</w:t>
            </w:r>
          </w:p>
        </w:tc>
        <w:tc>
          <w:tcPr>
            <w:tcW w:w="60" w:type="dxa"/>
            <w:vAlign w:val="bottom"/>
          </w:tcPr>
          <w:p>
            <w:pPr>
              <w:spacing w:after="0"/>
              <w:rPr>
                <w:sz w:val="18"/>
                <w:szCs w:val="18"/>
                <w:color w:val="auto"/>
              </w:rPr>
            </w:pPr>
          </w:p>
        </w:tc>
      </w:tr>
      <w:tr>
        <w:trPr>
          <w:trHeight w:val="27"/>
        </w:trPr>
        <w:tc>
          <w:tcPr>
            <w:tcW w:w="7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9,136</w:t>
            </w:r>
          </w:p>
        </w:tc>
        <w:tc>
          <w:tcPr>
            <w:tcW w:w="60" w:type="dxa"/>
            <w:vAlign w:val="bottom"/>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There are certain events, such as the Plan’s failure to qualify under Section 401 (a) or 401 (k) of the Code, which can limit the fund’s ability to transact at contract value. At this time, the occurrence of any such limiting event is not probable.</w:t>
      </w:r>
    </w:p>
    <w:p>
      <w:pPr>
        <w:spacing w:after="0" w:line="51"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 LOANS AND HARDSHIP WITHDRAWALS</w:t>
      </w:r>
    </w:p>
    <w:p>
      <w:pPr>
        <w:spacing w:after="0" w:line="96"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the prime rate plus 1% of the month the loan application is approved. Principal and interest are paid through payroll deductions or participant initiated payments. Interest rates ranged from 4.25% to 13.0% for the years ended December 31, 2006 and 2005, respectively. Maturities on active outstanding loans ranged from 2004 to 2024 for the years ended December 31, 2006 and 2005. Loan transactions are treated as a transfer from (to) the investment fund to (from) the participant loan fund.</w:t>
      </w:r>
    </w:p>
    <w:p>
      <w:pPr>
        <w:spacing w:after="0" w:line="37"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for the year in which the default occurs.</w:t>
      </w:r>
    </w:p>
    <w:p>
      <w:pPr>
        <w:spacing w:after="0" w:line="118" w:lineRule="exact"/>
        <w:rPr>
          <w:rFonts w:ascii="Arial" w:cs="Arial" w:eastAsia="Arial" w:hAnsi="Arial"/>
          <w:sz w:val="18"/>
          <w:szCs w:val="18"/>
          <w:b w:val="1"/>
          <w:bCs w:val="1"/>
          <w:color w:val="auto"/>
        </w:rPr>
      </w:pPr>
    </w:p>
    <w:p>
      <w:pPr>
        <w:ind w:left="5680" w:hanging="112"/>
        <w:spacing w:after="0"/>
        <w:tabs>
          <w:tab w:leader="none" w:pos="5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2006 and 2005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A participant may withdraw all or a portion of his/her benefits derived from salary reduction, rollovers or the vested portion of pre-January 1, 2001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22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20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96" w:lineRule="exact"/>
        <w:rPr>
          <w:rFonts w:ascii="Arial" w:cs="Arial" w:eastAsia="Arial" w:hAnsi="Arial"/>
          <w:sz w:val="18"/>
          <w:szCs w:val="18"/>
          <w:b w:val="1"/>
          <w:bCs w:val="1"/>
          <w:color w:val="auto"/>
        </w:rPr>
      </w:pPr>
    </w:p>
    <w:p>
      <w:pPr>
        <w:ind w:left="1480" w:right="140" w:hanging="567"/>
        <w:spacing w:after="0" w:line="298"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 Status of the Plan</w:t>
      </w:r>
      <w:r>
        <w:rPr>
          <w:rFonts w:ascii="Arial" w:cs="Arial" w:eastAsia="Arial" w:hAnsi="Arial"/>
          <w:sz w:val="16"/>
          <w:szCs w:val="16"/>
          <w:color w:val="auto"/>
        </w:rPr>
        <w:t>—On July 26, 2006, the Plan received an updated determination letter in which the IRS stated that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amended and restated July 1, 2003, is qualified and that the trust established under the Plan is tax-exempt. The Plan has been amended since receiving the determination letter. The Company believes that the Plan continues to comply in form and operation with the applicable requirements of the Code. Therefore, no provision for income taxes has been included in the Plan’s financial statements.</w:t>
      </w:r>
    </w:p>
    <w:p>
      <w:pPr>
        <w:spacing w:after="0" w:line="31" w:lineRule="exact"/>
        <w:rPr>
          <w:rFonts w:ascii="Arial" w:cs="Arial" w:eastAsia="Arial" w:hAnsi="Arial"/>
          <w:sz w:val="16"/>
          <w:szCs w:val="16"/>
          <w:color w:val="auto"/>
        </w:rPr>
      </w:pPr>
    </w:p>
    <w:p>
      <w:pPr>
        <w:ind w:left="1480" w:right="2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—Matching contributions and salary reduction contributions, as well as earnings on Plan assets, are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subject to federal income tax until distributed from a qualified plan that meets the requirements of Sections 401(a), 401(k) and 401(m) of the Code.</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PLAN AMENDMENTS</w:t>
      </w:r>
    </w:p>
    <w:p>
      <w:pPr>
        <w:spacing w:after="0" w:line="96"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May 22, 2007, the Plan was amended, effective July 1, 2007, to provide that all employees who are hired on or after June 30, 2007 shall be automatically enrolled in the Plan so that they will automatically contribute two percent of eligible compensation to the Plan on a pre-tax basis. Automatically-enrolled participants may thereafter increase, decrease or opt out of Plan participation. In addition, also effective July 1, 2007, the Plan was amended to reduce the eligibility waiting period for new hires (full-time and part-time) from the first of the month following six months of service to the first of the month following three months of service.</w:t>
      </w:r>
    </w:p>
    <w:p>
      <w:pPr>
        <w:spacing w:after="0" w:line="129" w:lineRule="exact"/>
        <w:rPr>
          <w:rFonts w:ascii="Arial" w:cs="Arial" w:eastAsia="Arial" w:hAnsi="Arial"/>
          <w:sz w:val="18"/>
          <w:szCs w:val="18"/>
          <w:b w:val="1"/>
          <w:bCs w:val="1"/>
          <w:color w:val="auto"/>
        </w:rPr>
      </w:pPr>
    </w:p>
    <w:p>
      <w:pPr>
        <w:ind w:left="5680" w:hanging="112"/>
        <w:spacing w:after="0"/>
        <w:tabs>
          <w:tab w:leader="none" w:pos="5680" w:val="left"/>
        </w:tabs>
        <w:numPr>
          <w:ilvl w:val="2"/>
          <w:numId w:val="7"/>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 LINE 4i - 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FEIN #27-0000798</w:t>
            </w:r>
          </w:p>
        </w:tc>
      </w:tr>
      <w:tr>
        <w:trPr>
          <w:trHeight w:val="228"/>
        </w:trPr>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7"/>
              </w:rPr>
              <w:t>PLAN #001</w:t>
            </w:r>
          </w:p>
        </w:tc>
      </w:tr>
      <w:tr>
        <w:trPr>
          <w:trHeight w:val="340"/>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(c) Description of</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Investment,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Rate of Interest, Collateral,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80" w:type="dxa"/>
            <w:vAlign w:val="bottom"/>
          </w:tcPr>
          <w:p>
            <w:pPr>
              <w:ind w:left="2620"/>
              <w:spacing w:after="0" w:line="149" w:lineRule="exact"/>
              <w:rPr>
                <w:sz w:val="20"/>
                <w:szCs w:val="20"/>
                <w:color w:val="auto"/>
              </w:rPr>
            </w:pPr>
            <w:r>
              <w:rPr>
                <w:rFonts w:ascii="Arial" w:cs="Arial" w:eastAsia="Arial" w:hAnsi="Arial"/>
                <w:sz w:val="14"/>
                <w:szCs w:val="14"/>
                <w:b w:val="1"/>
                <w:bCs w:val="1"/>
                <w:color w:val="auto"/>
                <w:w w:val="87"/>
              </w:rPr>
              <w:t>(b) Identity of Issue, Borrower, Lessor,</w:t>
            </w: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 or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68"/>
        </w:trPr>
        <w:tc>
          <w:tcPr>
            <w:tcW w:w="220" w:type="dxa"/>
            <w:vAlign w:val="bottom"/>
          </w:tcPr>
          <w:p>
            <w:pPr>
              <w:spacing w:after="0"/>
              <w:rPr>
                <w:sz w:val="20"/>
                <w:szCs w:val="20"/>
                <w:color w:val="auto"/>
              </w:rPr>
            </w:pPr>
            <w:r>
              <w:rPr>
                <w:rFonts w:ascii="Arial" w:cs="Arial" w:eastAsia="Arial" w:hAnsi="Arial"/>
                <w:sz w:val="14"/>
                <w:szCs w:val="14"/>
                <w:b w:val="1"/>
                <w:bCs w:val="1"/>
                <w:color w:val="auto"/>
              </w:rPr>
              <w:t>(a)</w:t>
            </w:r>
          </w:p>
        </w:tc>
        <w:tc>
          <w:tcPr>
            <w:tcW w:w="400" w:type="dxa"/>
            <w:vAlign w:val="bottom"/>
          </w:tcPr>
          <w:p>
            <w:pPr>
              <w:spacing w:after="0"/>
              <w:rPr>
                <w:sz w:val="14"/>
                <w:szCs w:val="14"/>
                <w:color w:val="auto"/>
              </w:rPr>
            </w:pPr>
          </w:p>
        </w:tc>
        <w:tc>
          <w:tcPr>
            <w:tcW w:w="4880" w:type="dxa"/>
            <w:vAlign w:val="bottom"/>
          </w:tcPr>
          <w:p>
            <w:pPr>
              <w:ind w:left="3260"/>
              <w:spacing w:after="0"/>
              <w:rPr>
                <w:sz w:val="20"/>
                <w:szCs w:val="20"/>
                <w:color w:val="auto"/>
              </w:rPr>
            </w:pPr>
            <w:r>
              <w:rPr>
                <w:rFonts w:ascii="Arial" w:cs="Arial" w:eastAsia="Arial" w:hAnsi="Arial"/>
                <w:sz w:val="14"/>
                <w:szCs w:val="14"/>
                <w:b w:val="1"/>
                <w:bCs w:val="1"/>
                <w:color w:val="auto"/>
              </w:rPr>
              <w:t>or Similar Party</w:t>
            </w:r>
          </w:p>
        </w:tc>
        <w:tc>
          <w:tcPr>
            <w:tcW w:w="2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Maturity Value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Value</w:t>
            </w:r>
          </w:p>
        </w:tc>
      </w:tr>
      <w:tr>
        <w:trPr>
          <w:trHeight w:val="149"/>
        </w:trPr>
        <w:tc>
          <w:tcPr>
            <w:tcW w:w="2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88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2"/>
                <w:szCs w:val="12"/>
                <w:color w:val="auto"/>
              </w:rPr>
            </w:pPr>
          </w:p>
        </w:tc>
      </w:tr>
      <w:tr>
        <w:trPr>
          <w:trHeight w:val="216"/>
        </w:trPr>
        <w:tc>
          <w:tcPr>
            <w:tcW w:w="2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Mutual Funds (at fair value)</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Ariel Fund</w:t>
            </w: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1,175,581 units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60,907</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Dodge and Cox Balanced Fund</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1,910,777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166,391</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Fidelity Blue Chip Growth Fund</w:t>
            </w: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4,173,128 units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184,911</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Diversified International Fund</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4,681,981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172,999</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Fidelity Freedom 2010 Fund</w:t>
            </w: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2,046,801 units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29,924</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Freedom 2020 Fund</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4,984,953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77,416</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Fidelity Freedom 2030 Fund</w:t>
            </w: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4,383,718 units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70,271</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Freedom 2040 Fund</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3,292,068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31,209</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Fidelity Freedom 2050 Fund</w:t>
            </w: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126,744 units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1,363</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Freedom Income Fund</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462,550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Fidelity Growth Company</w:t>
            </w: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240,410 units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16,759</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Small Cap Stock Fund</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4,933,140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93,779</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Fidelity US Bond Index Fund</w:t>
            </w: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2,395,451 units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26,015</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Pimco Total Return Institutional Fund</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4,168,218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43,266</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Spartan International Index Fund</w:t>
            </w: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608,742 units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26,870</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Spartan US Equity Index Fund</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3,353,855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168,296</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Templeton World Fund, Class A</w:t>
            </w: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2,334,907 units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45,344</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Vanguard SM Cap Index Fund</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1,126,839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36,791</w:t>
            </w: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Vanguard Total Stock Market Index Fund</w:t>
            </w:r>
          </w:p>
        </w:tc>
        <w:tc>
          <w:tcPr>
            <w:tcW w:w="2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670,821 units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22,875</w:t>
            </w:r>
          </w:p>
        </w:tc>
        <w:tc>
          <w:tcPr>
            <w:tcW w:w="20" w:type="dxa"/>
            <w:vAlign w:val="bottom"/>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Vanguard Windsor II Fund</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1,786,221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110,192</w:t>
            </w:r>
          </w:p>
        </w:tc>
        <w:tc>
          <w:tcPr>
            <w:tcW w:w="20" w:type="dxa"/>
            <w:vAlign w:val="bottom"/>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Wells Fargo Advantage Small Company Value Fund</w:t>
            </w:r>
          </w:p>
        </w:tc>
        <w:tc>
          <w:tcPr>
            <w:tcW w:w="2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1,271,992 units</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20,110</w:t>
            </w:r>
          </w:p>
        </w:tc>
        <w:tc>
          <w:tcPr>
            <w:tcW w:w="20" w:type="dxa"/>
            <w:vAlign w:val="bottom"/>
          </w:tcPr>
          <w:p>
            <w:pPr>
              <w:spacing w:after="0"/>
              <w:rPr>
                <w:sz w:val="19"/>
                <w:szCs w:val="19"/>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1,411,026</w:t>
            </w:r>
          </w:p>
        </w:tc>
        <w:tc>
          <w:tcPr>
            <w:tcW w:w="20" w:type="dxa"/>
            <w:vAlign w:val="bottom"/>
          </w:tcPr>
          <w:p>
            <w:pPr>
              <w:spacing w:after="0"/>
              <w:rPr>
                <w:sz w:val="18"/>
                <w:szCs w:val="18"/>
                <w:color w:val="auto"/>
              </w:rPr>
            </w:pPr>
          </w:p>
        </w:tc>
      </w:tr>
      <w:tr>
        <w:trPr>
          <w:trHeight w:val="221"/>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400"/>
              <w:spacing w:after="0"/>
              <w:rPr>
                <w:sz w:val="20"/>
                <w:szCs w:val="20"/>
                <w:color w:val="auto"/>
              </w:rPr>
            </w:pPr>
            <w:r>
              <w:rPr>
                <w:rFonts w:ascii="Arial" w:cs="Arial" w:eastAsia="Arial" w:hAnsi="Arial"/>
                <w:sz w:val="18"/>
                <w:szCs w:val="18"/>
                <w:color w:val="auto"/>
              </w:rPr>
              <w:t>Comcast Corporation Stock Fund (at fair value)</w:t>
            </w:r>
          </w:p>
        </w:tc>
        <w:tc>
          <w:tcPr>
            <w:tcW w:w="2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5,157,366 shares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218,311</w:t>
            </w:r>
          </w:p>
        </w:tc>
        <w:tc>
          <w:tcPr>
            <w:tcW w:w="20" w:type="dxa"/>
            <w:vAlign w:val="bottom"/>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Class A Special Common Stock</w:t>
            </w:r>
          </w:p>
        </w:tc>
        <w:tc>
          <w:tcPr>
            <w:tcW w:w="2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1,783,380 shares</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74,688</w:t>
            </w:r>
          </w:p>
        </w:tc>
        <w:tc>
          <w:tcPr>
            <w:tcW w:w="20" w:type="dxa"/>
            <w:vAlign w:val="bottom"/>
          </w:tcPr>
          <w:p>
            <w:pPr>
              <w:spacing w:after="0"/>
              <w:rPr>
                <w:sz w:val="19"/>
                <w:szCs w:val="19"/>
                <w:color w:val="auto"/>
              </w:rPr>
            </w:pPr>
          </w:p>
        </w:tc>
      </w:tr>
      <w:tr>
        <w:trPr>
          <w:trHeight w:val="216"/>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292,999</w:t>
            </w:r>
          </w:p>
        </w:tc>
        <w:tc>
          <w:tcPr>
            <w:tcW w:w="20" w:type="dxa"/>
            <w:vAlign w:val="bottom"/>
          </w:tcPr>
          <w:p>
            <w:pPr>
              <w:spacing w:after="0"/>
              <w:rPr>
                <w:sz w:val="18"/>
                <w:szCs w:val="18"/>
                <w:color w:val="auto"/>
              </w:rPr>
            </w:pPr>
          </w:p>
        </w:tc>
      </w:tr>
      <w:tr>
        <w:trPr>
          <w:trHeight w:val="221"/>
        </w:trPr>
        <w:tc>
          <w:tcPr>
            <w:tcW w:w="220" w:type="dxa"/>
            <w:vAlign w:val="bottom"/>
          </w:tcPr>
          <w:p>
            <w:pPr>
              <w:spacing w:after="0"/>
              <w:rPr>
                <w:sz w:val="19"/>
                <w:szCs w:val="19"/>
                <w:color w:val="auto"/>
              </w:rPr>
            </w:pPr>
          </w:p>
        </w:tc>
        <w:tc>
          <w:tcPr>
            <w:tcW w:w="5280" w:type="dxa"/>
            <w:vAlign w:val="bottom"/>
            <w:gridSpan w:val="2"/>
          </w:tcPr>
          <w:p>
            <w:pPr>
              <w:ind w:left="400"/>
              <w:spacing w:after="0"/>
              <w:rPr>
                <w:sz w:val="20"/>
                <w:szCs w:val="20"/>
                <w:color w:val="auto"/>
              </w:rPr>
            </w:pPr>
            <w:r>
              <w:rPr>
                <w:rFonts w:ascii="Arial" w:cs="Arial" w:eastAsia="Arial" w:hAnsi="Arial"/>
                <w:sz w:val="18"/>
                <w:szCs w:val="18"/>
                <w:color w:val="auto"/>
              </w:rPr>
              <w:t>Comcast Stable Value Fund (at contract value)</w:t>
            </w:r>
          </w:p>
        </w:tc>
        <w:tc>
          <w:tcPr>
            <w:tcW w:w="2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Short Term Investment Fund; 5.22%</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9,960,536 units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20" w:type="dxa"/>
            <w:vAlign w:val="bottom"/>
          </w:tcPr>
          <w:p>
            <w:pPr>
              <w:spacing w:after="0"/>
              <w:rPr>
                <w:sz w:val="18"/>
                <w:szCs w:val="18"/>
                <w:color w:val="auto"/>
              </w:rPr>
            </w:pPr>
          </w:p>
        </w:tc>
      </w:tr>
      <w:tr>
        <w:trPr>
          <w:trHeight w:val="221"/>
        </w:trPr>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Traditional Investment Contracts:</w:t>
            </w:r>
          </w:p>
        </w:tc>
        <w:tc>
          <w:tcPr>
            <w:tcW w:w="2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Travelers Insurance Company; 03/01/07 Maturity; 4.22%</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2,861,122 units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80" w:type="dxa"/>
            <w:vAlign w:val="bottom"/>
          </w:tcPr>
          <w:p>
            <w:pPr>
              <w:ind w:left="440"/>
              <w:spacing w:after="0"/>
              <w:rPr>
                <w:sz w:val="20"/>
                <w:szCs w:val="20"/>
                <w:color w:val="auto"/>
              </w:rPr>
            </w:pPr>
            <w:r>
              <w:rPr>
                <w:rFonts w:ascii="Arial" w:cs="Arial" w:eastAsia="Arial" w:hAnsi="Arial"/>
                <w:sz w:val="18"/>
                <w:szCs w:val="18"/>
                <w:color w:val="auto"/>
              </w:rPr>
              <w:t>Canada Life Insurance; 06/01/07 Maturity; 4.84%</w:t>
            </w:r>
          </w:p>
        </w:tc>
        <w:tc>
          <w:tcPr>
            <w:tcW w:w="2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1,883,033 units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1,882</w:t>
            </w:r>
          </w:p>
        </w:tc>
        <w:tc>
          <w:tcPr>
            <w:tcW w:w="20" w:type="dxa"/>
            <w:vAlign w:val="bottom"/>
          </w:tcPr>
          <w:p>
            <w:pPr>
              <w:spacing w:after="0"/>
              <w:rPr>
                <w:sz w:val="19"/>
                <w:szCs w:val="19"/>
                <w:color w:val="auto"/>
              </w:rPr>
            </w:pPr>
          </w:p>
        </w:tc>
      </w:tr>
      <w:tr>
        <w:trPr>
          <w:trHeight w:val="356"/>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580" w:type="dxa"/>
            <w:vAlign w:val="bottom"/>
          </w:tcPr>
          <w:p>
            <w:pPr>
              <w:jc w:val="right"/>
              <w:ind w:right="2092"/>
              <w:spacing w:after="0"/>
              <w:rPr>
                <w:sz w:val="20"/>
                <w:szCs w:val="20"/>
                <w:color w:val="auto"/>
              </w:rPr>
            </w:pPr>
            <w:r>
              <w:rPr>
                <w:rFonts w:ascii="Arial" w:cs="Arial" w:eastAsia="Arial" w:hAnsi="Arial"/>
                <w:sz w:val="18"/>
                <w:szCs w:val="18"/>
                <w:color w:val="auto"/>
                <w:w w:val="90"/>
              </w:rPr>
              <w:t>- 10 -</w:t>
            </w: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 LINE 4i - 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2006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FEIN # 27-0000798</w:t>
            </w:r>
          </w:p>
        </w:tc>
      </w:tr>
      <w:tr>
        <w:trPr>
          <w:trHeight w:val="228"/>
        </w:trPr>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7"/>
              </w:rPr>
              <w:t>PLAN #001</w:t>
            </w:r>
          </w:p>
        </w:tc>
      </w:tr>
      <w:tr>
        <w:trPr>
          <w:trHeight w:val="286"/>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3"/>
          </w:tcPr>
          <w:p>
            <w:pPr>
              <w:jc w:val="center"/>
              <w:ind w:right="382"/>
              <w:spacing w:after="0"/>
              <w:rPr>
                <w:sz w:val="20"/>
                <w:szCs w:val="20"/>
                <w:color w:val="auto"/>
              </w:rPr>
            </w:pPr>
            <w:r>
              <w:rPr>
                <w:rFonts w:ascii="Arial" w:cs="Arial" w:eastAsia="Arial" w:hAnsi="Arial"/>
                <w:sz w:val="14"/>
                <w:szCs w:val="14"/>
                <w:b w:val="1"/>
                <w:bCs w:val="1"/>
                <w:color w:val="auto"/>
                <w:w w:val="86"/>
              </w:rPr>
              <w:t>(c) Description of</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gridSpan w:val="3"/>
          </w:tcPr>
          <w:p>
            <w:pPr>
              <w:jc w:val="center"/>
              <w:ind w:right="382"/>
              <w:spacing w:after="0" w:line="149" w:lineRule="exact"/>
              <w:rPr>
                <w:sz w:val="20"/>
                <w:szCs w:val="20"/>
                <w:color w:val="auto"/>
              </w:rPr>
            </w:pPr>
            <w:r>
              <w:rPr>
                <w:rFonts w:ascii="Arial" w:cs="Arial" w:eastAsia="Arial" w:hAnsi="Arial"/>
                <w:sz w:val="14"/>
                <w:szCs w:val="14"/>
                <w:b w:val="1"/>
                <w:bCs w:val="1"/>
                <w:color w:val="auto"/>
                <w:w w:val="87"/>
              </w:rPr>
              <w:t>Investment,</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gridSpan w:val="3"/>
          </w:tcPr>
          <w:p>
            <w:pPr>
              <w:jc w:val="center"/>
              <w:ind w:right="382"/>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gridSpan w:val="3"/>
          </w:tcPr>
          <w:p>
            <w:pPr>
              <w:jc w:val="right"/>
              <w:ind w:right="382"/>
              <w:spacing w:after="0" w:line="149" w:lineRule="exact"/>
              <w:rPr>
                <w:sz w:val="20"/>
                <w:szCs w:val="20"/>
                <w:color w:val="auto"/>
              </w:rPr>
            </w:pPr>
            <w:r>
              <w:rPr>
                <w:rFonts w:ascii="Arial" w:cs="Arial" w:eastAsia="Arial" w:hAnsi="Arial"/>
                <w:sz w:val="14"/>
                <w:szCs w:val="14"/>
                <w:b w:val="1"/>
                <w:bCs w:val="1"/>
                <w:color w:val="auto"/>
                <w:w w:val="86"/>
              </w:rPr>
              <w:t>Rate of Interest, Collateral,</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80" w:type="dxa"/>
            <w:vAlign w:val="bottom"/>
          </w:tcPr>
          <w:p>
            <w:pPr>
              <w:jc w:val="center"/>
              <w:ind w:right="392"/>
              <w:spacing w:after="0" w:line="149" w:lineRule="exact"/>
              <w:rPr>
                <w:sz w:val="20"/>
                <w:szCs w:val="20"/>
                <w:color w:val="auto"/>
              </w:rPr>
            </w:pPr>
            <w:r>
              <w:rPr>
                <w:rFonts w:ascii="Arial" w:cs="Arial" w:eastAsia="Arial" w:hAnsi="Arial"/>
                <w:sz w:val="14"/>
                <w:szCs w:val="14"/>
                <w:b w:val="1"/>
                <w:bCs w:val="1"/>
                <w:color w:val="auto"/>
                <w:w w:val="86"/>
              </w:rPr>
              <w:t>(b) Identity of Issue, Borrower, Lessor,</w:t>
            </w:r>
          </w:p>
        </w:tc>
        <w:tc>
          <w:tcPr>
            <w:tcW w:w="340" w:type="dxa"/>
            <w:vAlign w:val="bottom"/>
          </w:tcPr>
          <w:p>
            <w:pPr>
              <w:spacing w:after="0"/>
              <w:rPr>
                <w:sz w:val="12"/>
                <w:szCs w:val="12"/>
                <w:color w:val="auto"/>
              </w:rPr>
            </w:pPr>
          </w:p>
        </w:tc>
        <w:tc>
          <w:tcPr>
            <w:tcW w:w="2020" w:type="dxa"/>
            <w:vAlign w:val="bottom"/>
            <w:gridSpan w:val="3"/>
          </w:tcPr>
          <w:p>
            <w:pPr>
              <w:jc w:val="center"/>
              <w:ind w:right="382"/>
              <w:spacing w:after="0" w:line="149" w:lineRule="exact"/>
              <w:rPr>
                <w:sz w:val="20"/>
                <w:szCs w:val="20"/>
                <w:color w:val="auto"/>
              </w:rPr>
            </w:pPr>
            <w:r>
              <w:rPr>
                <w:rFonts w:ascii="Arial" w:cs="Arial" w:eastAsia="Arial" w:hAnsi="Arial"/>
                <w:sz w:val="14"/>
                <w:szCs w:val="14"/>
                <w:b w:val="1"/>
                <w:bCs w:val="1"/>
                <w:color w:val="auto"/>
                <w:w w:val="90"/>
              </w:rPr>
              <w:t>Par, or</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68"/>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80" w:type="dxa"/>
            <w:vAlign w:val="bottom"/>
          </w:tcPr>
          <w:p>
            <w:pPr>
              <w:jc w:val="center"/>
              <w:ind w:right="392"/>
              <w:spacing w:after="0"/>
              <w:rPr>
                <w:sz w:val="20"/>
                <w:szCs w:val="20"/>
                <w:color w:val="auto"/>
              </w:rPr>
            </w:pPr>
            <w:r>
              <w:rPr>
                <w:rFonts w:ascii="Arial" w:cs="Arial" w:eastAsia="Arial" w:hAnsi="Arial"/>
                <w:sz w:val="14"/>
                <w:szCs w:val="14"/>
                <w:b w:val="1"/>
                <w:bCs w:val="1"/>
                <w:color w:val="auto"/>
                <w:w w:val="90"/>
              </w:rPr>
              <w:t>or Similar Party</w:t>
            </w:r>
          </w:p>
        </w:tc>
        <w:tc>
          <w:tcPr>
            <w:tcW w:w="340" w:type="dxa"/>
            <w:vAlign w:val="bottom"/>
          </w:tcPr>
          <w:p>
            <w:pPr>
              <w:spacing w:after="0"/>
              <w:rPr>
                <w:sz w:val="14"/>
                <w:szCs w:val="14"/>
                <w:color w:val="auto"/>
              </w:rPr>
            </w:pPr>
          </w:p>
        </w:tc>
        <w:tc>
          <w:tcPr>
            <w:tcW w:w="2020" w:type="dxa"/>
            <w:vAlign w:val="bottom"/>
            <w:gridSpan w:val="3"/>
          </w:tcPr>
          <w:p>
            <w:pPr>
              <w:jc w:val="center"/>
              <w:ind w:right="382"/>
              <w:spacing w:after="0"/>
              <w:rPr>
                <w:sz w:val="20"/>
                <w:szCs w:val="20"/>
                <w:color w:val="auto"/>
              </w:rPr>
            </w:pPr>
            <w:r>
              <w:rPr>
                <w:rFonts w:ascii="Arial" w:cs="Arial" w:eastAsia="Arial" w:hAnsi="Arial"/>
                <w:sz w:val="14"/>
                <w:szCs w:val="14"/>
                <w:b w:val="1"/>
                <w:bCs w:val="1"/>
                <w:color w:val="auto"/>
                <w:w w:val="91"/>
              </w:rPr>
              <w:t>Maturity Value</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Value</w:t>
            </w:r>
          </w:p>
        </w:tc>
      </w:tr>
      <w:tr>
        <w:trPr>
          <w:trHeight w:val="149"/>
        </w:trPr>
        <w:tc>
          <w:tcPr>
            <w:tcW w:w="1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2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Prudential Insurance Company of America; 08/01/07 Maturity; 4.48%</w:t>
            </w: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3,616,843 units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2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8,360</w:t>
            </w:r>
          </w:p>
        </w:tc>
      </w:tr>
      <w:tr>
        <w:trPr>
          <w:trHeight w:val="216"/>
        </w:trPr>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Security-Backed Investment Contracts:</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Bank of America; 4.35%</w:t>
            </w:r>
          </w:p>
        </w:tc>
        <w:tc>
          <w:tcPr>
            <w:tcW w:w="340" w:type="dxa"/>
            <w:vAlign w:val="bottom"/>
          </w:tcPr>
          <w:p>
            <w:pPr>
              <w:spacing w:after="0"/>
              <w:rPr>
                <w:sz w:val="18"/>
                <w:szCs w:val="18"/>
                <w:color w:val="auto"/>
              </w:rPr>
            </w:pPr>
          </w:p>
        </w:tc>
        <w:tc>
          <w:tcPr>
            <w:tcW w:w="2020" w:type="dxa"/>
            <w:vAlign w:val="bottom"/>
            <w:gridSpan w:val="3"/>
          </w:tcPr>
          <w:p>
            <w:pPr>
              <w:jc w:val="right"/>
              <w:ind w:right="362"/>
              <w:spacing w:after="0"/>
              <w:rPr>
                <w:sz w:val="20"/>
                <w:szCs w:val="20"/>
                <w:color w:val="auto"/>
              </w:rPr>
            </w:pPr>
            <w:r>
              <w:rPr>
                <w:rFonts w:ascii="Arial" w:cs="Arial" w:eastAsia="Arial" w:hAnsi="Arial"/>
                <w:sz w:val="18"/>
                <w:szCs w:val="18"/>
                <w:color w:val="auto"/>
              </w:rPr>
              <w:t>119,034,491 units</w:t>
            </w:r>
          </w:p>
        </w:tc>
        <w:tc>
          <w:tcPr>
            <w:tcW w:w="820" w:type="dxa"/>
            <w:vAlign w:val="bottom"/>
          </w:tcPr>
          <w:p>
            <w:pPr>
              <w:jc w:val="right"/>
              <w:spacing w:after="0"/>
              <w:rPr>
                <w:sz w:val="20"/>
                <w:szCs w:val="20"/>
                <w:color w:val="auto"/>
              </w:rPr>
            </w:pPr>
            <w:r>
              <w:rPr>
                <w:rFonts w:ascii="Arial" w:cs="Arial" w:eastAsia="Arial" w:hAnsi="Arial"/>
                <w:sz w:val="18"/>
                <w:szCs w:val="18"/>
                <w:color w:val="auto"/>
              </w:rPr>
              <w:t>119,035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Morgan Guaranty; 4.35%</w:t>
            </w:r>
          </w:p>
        </w:tc>
        <w:tc>
          <w:tcPr>
            <w:tcW w:w="34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62"/>
              <w:spacing w:after="0"/>
              <w:rPr>
                <w:sz w:val="20"/>
                <w:szCs w:val="20"/>
                <w:color w:val="auto"/>
              </w:rPr>
            </w:pPr>
            <w:r>
              <w:rPr>
                <w:rFonts w:ascii="Arial" w:cs="Arial" w:eastAsia="Arial" w:hAnsi="Arial"/>
                <w:sz w:val="18"/>
                <w:szCs w:val="18"/>
                <w:color w:val="auto"/>
              </w:rPr>
              <w:t>119,034,237 units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119,034</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Rabobank Nederland; 4.35%</w:t>
            </w:r>
          </w:p>
        </w:tc>
        <w:tc>
          <w:tcPr>
            <w:tcW w:w="340" w:type="dxa"/>
            <w:vAlign w:val="bottom"/>
          </w:tcPr>
          <w:p>
            <w:pPr>
              <w:spacing w:after="0"/>
              <w:rPr>
                <w:sz w:val="18"/>
                <w:szCs w:val="18"/>
                <w:color w:val="auto"/>
              </w:rPr>
            </w:pPr>
          </w:p>
        </w:tc>
        <w:tc>
          <w:tcPr>
            <w:tcW w:w="2020" w:type="dxa"/>
            <w:vAlign w:val="bottom"/>
            <w:gridSpan w:val="3"/>
          </w:tcPr>
          <w:p>
            <w:pPr>
              <w:jc w:val="right"/>
              <w:ind w:right="362"/>
              <w:spacing w:after="0"/>
              <w:rPr>
                <w:sz w:val="20"/>
                <w:szCs w:val="20"/>
                <w:color w:val="auto"/>
              </w:rPr>
            </w:pPr>
            <w:r>
              <w:rPr>
                <w:rFonts w:ascii="Arial" w:cs="Arial" w:eastAsia="Arial" w:hAnsi="Arial"/>
                <w:sz w:val="18"/>
                <w:szCs w:val="18"/>
                <w:color w:val="auto"/>
              </w:rPr>
              <w:t>119,030,309 units</w:t>
            </w:r>
          </w:p>
        </w:tc>
        <w:tc>
          <w:tcPr>
            <w:tcW w:w="820" w:type="dxa"/>
            <w:vAlign w:val="bottom"/>
          </w:tcPr>
          <w:p>
            <w:pPr>
              <w:jc w:val="right"/>
              <w:spacing w:after="0"/>
              <w:rPr>
                <w:sz w:val="20"/>
                <w:szCs w:val="20"/>
                <w:color w:val="auto"/>
              </w:rPr>
            </w:pPr>
            <w:r>
              <w:rPr>
                <w:rFonts w:ascii="Arial" w:cs="Arial" w:eastAsia="Arial" w:hAnsi="Arial"/>
                <w:sz w:val="18"/>
                <w:szCs w:val="18"/>
                <w:color w:val="auto"/>
              </w:rPr>
              <w:t>119,030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 Street Bank and Trust Company Boston; 4.35%</w:t>
            </w: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119,034,488 units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119,035</w:t>
            </w:r>
          </w:p>
        </w:tc>
        <w:tc>
          <w:tcPr>
            <w:tcW w:w="2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476,134</w:t>
            </w:r>
          </w:p>
        </w:tc>
      </w:tr>
      <w:tr>
        <w:trPr>
          <w:trHeight w:val="216"/>
        </w:trPr>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494,455</w:t>
            </w:r>
          </w:p>
        </w:tc>
        <w:tc>
          <w:tcPr>
            <w:tcW w:w="20" w:type="dxa"/>
            <w:vAlign w:val="bottom"/>
          </w:tcPr>
          <w:p>
            <w:pPr>
              <w:spacing w:after="0"/>
              <w:rPr>
                <w:sz w:val="18"/>
                <w:szCs w:val="18"/>
                <w:color w:val="auto"/>
              </w:rPr>
            </w:pPr>
          </w:p>
        </w:tc>
      </w:tr>
      <w:tr>
        <w:trPr>
          <w:trHeight w:val="215"/>
        </w:trPr>
        <w:tc>
          <w:tcPr>
            <w:tcW w:w="180" w:type="dxa"/>
            <w:vAlign w:val="bottom"/>
          </w:tcPr>
          <w:p>
            <w:pPr>
              <w:spacing w:after="0"/>
              <w:rPr>
                <w:sz w:val="18"/>
                <w:szCs w:val="18"/>
                <w:color w:val="auto"/>
              </w:rPr>
            </w:pPr>
          </w:p>
        </w:tc>
        <w:tc>
          <w:tcPr>
            <w:tcW w:w="8060" w:type="dxa"/>
            <w:vAlign w:val="bottom"/>
            <w:gridSpan w:val="3"/>
          </w:tcPr>
          <w:p>
            <w:pPr>
              <w:ind w:left="320"/>
              <w:spacing w:after="0"/>
              <w:rPr>
                <w:sz w:val="20"/>
                <w:szCs w:val="20"/>
                <w:color w:val="auto"/>
              </w:rPr>
            </w:pPr>
            <w:r>
              <w:rPr>
                <w:rFonts w:ascii="Arial" w:cs="Arial" w:eastAsia="Arial" w:hAnsi="Arial"/>
                <w:sz w:val="18"/>
                <w:szCs w:val="18"/>
                <w:color w:val="auto"/>
                <w:w w:val="98"/>
              </w:rPr>
              <w:t>Participant Loan Fund (at cost, which approximates fair value) (interest rates from 4.25% to 13.0%;</w:t>
            </w: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40" w:type="dxa"/>
            <w:vAlign w:val="bottom"/>
            <w:gridSpan w:val="2"/>
          </w:tcPr>
          <w:p>
            <w:pPr>
              <w:ind w:left="220"/>
              <w:spacing w:after="0"/>
              <w:rPr>
                <w:sz w:val="20"/>
                <w:szCs w:val="20"/>
                <w:color w:val="auto"/>
              </w:rPr>
            </w:pPr>
            <w:r>
              <w:rPr>
                <w:rFonts w:ascii="Arial" w:cs="Arial" w:eastAsia="Arial" w:hAnsi="Arial"/>
                <w:sz w:val="18"/>
                <w:szCs w:val="18"/>
                <w:color w:val="auto"/>
              </w:rPr>
              <w:t>maturities from 2004 to 2018)</w:t>
            </w: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67,495</w:t>
            </w:r>
          </w:p>
        </w:tc>
        <w:tc>
          <w:tcPr>
            <w:tcW w:w="2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2,265,975</w:t>
            </w:r>
          </w:p>
        </w:tc>
        <w:tc>
          <w:tcPr>
            <w:tcW w:w="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consent to the incorporation by reference in the Registration Statement No. 333-101295 of Comcast Corporation on Form S-8 of our report dated June 26, 2007, relating to the statements of net assets available for benefits as of December 31, 2006 and 2005, the related statement of changes in net assets available for benefits for the year ended December 31, 2006 and the related supplemental information of Schedule H - Line 4i - schedule of assets (held at end of year) as of December 31, 2006, which report appears in the December 31, 2006 Annual Report on Form 11-K of the Comcast Corporation Retirement-Investment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2007</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RETIREMENT-INVESTMENT PLAN</w:t>
      </w:r>
    </w:p>
    <w:p>
      <w:pPr>
        <w:spacing w:after="0" w:line="2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Comcast Corporation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Plan Administrator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27, 2007</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6985</wp:posOffset>
            </wp:positionV>
            <wp:extent cx="31813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Senior Vice President, Chief Accounting Officer and Controller</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- 13 -</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
      <w:numFmt w:val="bullet"/>
      <w:start w:val="1"/>
    </w:lvl>
  </w:abstractNum>
  <w:abstractNum w:abstractNumId="3">
    <w:nsid w:val="3D1B58BA"/>
    <w:multiLevelType w:val="hybridMultilevel"/>
    <w:lvl w:ilvl="0">
      <w:lvlJc w:val="left"/>
      <w:lvlText w:val="%1."/>
      <w:numFmt w:val="decimal"/>
      <w:start w:val="2"/>
    </w:lvl>
    <w:lvl w:ilvl="1">
      <w:lvlJc w:val="left"/>
      <w:lvlText w:val="-"/>
      <w:numFmt w:val="bullet"/>
      <w:start w:val="1"/>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lvl w:ilvl="1">
      <w:lvlJc w:val="left"/>
      <w:lvlText w:val="-"/>
      <w:numFmt w:val="bullet"/>
      <w:start w:val="1"/>
    </w:lvl>
  </w:abstractNum>
  <w:abstractNum w:abstractNumId="6">
    <w:nsid w:val="41B71EF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2019-12-15T06:52:51Z</dcterms:created>
  <dcterms:modified xsi:type="dcterms:W3CDTF">2019-12-15T06:52:51Z</dcterms:modified>
</cp:coreProperties>
</file>