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______________</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SCHEDULE 13G</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338"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(Amendment No. 1)*</w:t>
      </w:r>
    </w:p>
    <w:p>
      <w:pPr>
        <w:spacing w:after="0" w:line="338"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DTS, Inc.</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(formerly Digital Theater Systems, Inc.)</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Common Stock, $.0001 par value per share</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Class of Securities)</w:t>
      </w:r>
    </w:p>
    <w:p>
      <w:pPr>
        <w:spacing w:after="0" w:line="200" w:lineRule="exact"/>
        <w:rPr>
          <w:sz w:val="24"/>
          <w:szCs w:val="24"/>
          <w:color w:val="auto"/>
        </w:rPr>
      </w:pPr>
    </w:p>
    <w:p>
      <w:pPr>
        <w:spacing w:after="0" w:line="304"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23335C-10-1</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(CUSIP Number)</w:t>
      </w:r>
    </w:p>
    <w:p>
      <w:pPr>
        <w:spacing w:after="0" w:line="338"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December 31, 2005</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Event Which Requires Filing of this Statement)</w:t>
      </w:r>
    </w:p>
    <w:p>
      <w:pPr>
        <w:spacing w:after="0" w:line="338" w:lineRule="exact"/>
        <w:rPr>
          <w:sz w:val="24"/>
          <w:szCs w:val="24"/>
          <w:color w:val="auto"/>
        </w:rPr>
      </w:pPr>
    </w:p>
    <w:p>
      <w:pPr>
        <w:ind w:right="4720"/>
        <w:spacing w:after="0" w:line="255" w:lineRule="auto"/>
        <w:rPr>
          <w:sz w:val="20"/>
          <w:szCs w:val="20"/>
          <w:color w:val="auto"/>
        </w:rPr>
      </w:pPr>
      <w:r>
        <w:rPr>
          <w:rFonts w:ascii="Courier New" w:cs="Courier New" w:eastAsia="Courier New" w:hAnsi="Courier New"/>
          <w:sz w:val="14"/>
          <w:szCs w:val="14"/>
          <w:color w:val="auto"/>
        </w:rPr>
        <w:t>Check the appropriate box to designate the rule pursuant to which this Schedule is filed:</w:t>
      </w:r>
    </w:p>
    <w:p>
      <w:pPr>
        <w:spacing w:after="0" w:line="160" w:lineRule="exact"/>
        <w:rPr>
          <w:sz w:val="24"/>
          <w:szCs w:val="24"/>
          <w:color w:val="auto"/>
        </w:rPr>
      </w:pPr>
    </w:p>
    <w:p>
      <w:pPr>
        <w:ind w:left="1820" w:hanging="261"/>
        <w:spacing w:after="0"/>
        <w:tabs>
          <w:tab w:leader="none" w:pos="18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Rule 13d-1(b)</w:t>
      </w:r>
    </w:p>
    <w:p>
      <w:pPr>
        <w:spacing w:after="0" w:line="172" w:lineRule="exact"/>
        <w:rPr>
          <w:rFonts w:ascii="Courier New" w:cs="Courier New" w:eastAsia="Courier New" w:hAnsi="Courier New"/>
          <w:sz w:val="14"/>
          <w:szCs w:val="14"/>
          <w:color w:val="auto"/>
        </w:rPr>
      </w:pPr>
    </w:p>
    <w:p>
      <w:pPr>
        <w:ind w:left="1560" w:right="8440" w:hanging="1"/>
        <w:spacing w:after="0" w:line="501" w:lineRule="auto"/>
        <w:tabs>
          <w:tab w:leader="none" w:pos="181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Rule 13d-1(c) [X] Rule 13d-1(d)</w:t>
      </w:r>
    </w:p>
    <w:p>
      <w:pPr>
        <w:ind w:right="4640"/>
        <w:spacing w:after="0" w:line="252" w:lineRule="auto"/>
        <w:rPr>
          <w:sz w:val="20"/>
          <w:szCs w:val="20"/>
          <w:color w:val="auto"/>
        </w:rPr>
      </w:pPr>
      <w:r>
        <w:rPr>
          <w:rFonts w:ascii="Courier New" w:cs="Courier New" w:eastAsia="Courier New" w:hAnsi="Courier New"/>
          <w:sz w:val="14"/>
          <w:szCs w:val="14"/>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Explanatory Note:</w:t>
      </w:r>
    </w:p>
    <w:p>
      <w:pPr>
        <w:spacing w:after="0" w:line="173" w:lineRule="exact"/>
        <w:rPr>
          <w:sz w:val="24"/>
          <w:szCs w:val="24"/>
          <w:color w:val="auto"/>
        </w:rPr>
      </w:pPr>
    </w:p>
    <w:p>
      <w:pPr>
        <w:ind w:left="860" w:right="4720"/>
        <w:spacing w:after="0" w:line="251" w:lineRule="auto"/>
        <w:rPr>
          <w:sz w:val="20"/>
          <w:szCs w:val="20"/>
          <w:color w:val="auto"/>
        </w:rPr>
      </w:pPr>
      <w:r>
        <w:rPr>
          <w:rFonts w:ascii="Courier New" w:cs="Courier New" w:eastAsia="Courier New" w:hAnsi="Courier New"/>
          <w:sz w:val="14"/>
          <w:szCs w:val="14"/>
          <w:color w:val="auto"/>
        </w:rPr>
        <w:t>The initial Schedule 13G was filed on February 13, 2004, by Universal City Studios LLLP, Vivendi Universal Entertainment LLLP, and Vivendi Universal S.A. NBC Universal, Inc. became the successor beneficial owner of the shares reported herein as a result of certain transactions with Vivendi Universal S. A. occurring in May 2004. This Amendment No. 1 is being filed by NBC Universal, Inc., National Broadcasting Company Holding, Inc., and General Electric Company.</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CUSIP No. 23335C-10-1</w:t>
            </w:r>
          </w:p>
        </w:tc>
        <w:tc>
          <w:tcPr>
            <w:tcW w:w="2120" w:type="dxa"/>
            <w:vAlign w:val="bottom"/>
          </w:tcPr>
          <w:p>
            <w:pPr>
              <w:ind w:left="820"/>
              <w:spacing w:after="0"/>
              <w:rPr>
                <w:sz w:val="20"/>
                <w:szCs w:val="20"/>
                <w:color w:val="auto"/>
              </w:rPr>
            </w:pPr>
            <w:r>
              <w:rPr>
                <w:rFonts w:ascii="Courier New" w:cs="Courier New" w:eastAsia="Courier New" w:hAnsi="Courier New"/>
                <w:sz w:val="14"/>
                <w:szCs w:val="14"/>
                <w:color w:val="auto"/>
              </w:rPr>
              <w:t>13G</w:t>
            </w:r>
          </w:p>
        </w:tc>
        <w:tc>
          <w:tcPr>
            <w:tcW w:w="46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Page 2</w:t>
            </w:r>
          </w:p>
        </w:tc>
      </w:tr>
      <w:tr>
        <w:trPr>
          <w:trHeight w:val="166"/>
        </w:trPr>
        <w:tc>
          <w:tcPr>
            <w:tcW w:w="47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4"/>
          <w:szCs w:val="2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1NAMES OF REPORTING PERSONS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 OF ABOVE PERSONS (ENTITIES ONLY)</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NBC Universal, Inc.</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14-1682529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4"/>
          <w:szCs w:val="24"/>
          <w:color w:val="auto"/>
        </w:rPr>
      </w:pPr>
    </w:p>
    <w:tbl>
      <w:tblPr>
        <w:tblLayout w:type="fixed"/>
        <w:tblInd w:w="520" w:type="dxa"/>
        <w:tblCellMar>
          <w:top w:w="0" w:type="dxa"/>
          <w:left w:w="0" w:type="dxa"/>
          <w:bottom w:w="0" w:type="dxa"/>
          <w:right w:w="0" w:type="dxa"/>
        </w:tblCellMar>
      </w:tblPr>
      <w:tr>
        <w:trPr>
          <w:trHeight w:val="162"/>
        </w:trPr>
        <w:tc>
          <w:tcPr>
            <w:tcW w:w="4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2</w:t>
            </w:r>
          </w:p>
        </w:tc>
        <w:tc>
          <w:tcPr>
            <w:tcW w:w="6420" w:type="dxa"/>
            <w:vAlign w:val="bottom"/>
          </w:tcPr>
          <w:p>
            <w:pPr>
              <w:ind w:left="340"/>
              <w:spacing w:after="0"/>
              <w:rPr>
                <w:sz w:val="20"/>
                <w:szCs w:val="20"/>
                <w:color w:val="auto"/>
              </w:rPr>
            </w:pPr>
            <w:r>
              <w:rPr>
                <w:rFonts w:ascii="Courier New" w:cs="Courier New" w:eastAsia="Courier New" w:hAnsi="Courier New"/>
                <w:sz w:val="14"/>
                <w:szCs w:val="14"/>
                <w:color w:val="auto"/>
              </w:rPr>
              <w:t>CHECK THE APPROPRIATE BOX IF A MEMBER OF A GROUP</w:t>
            </w:r>
          </w:p>
        </w:tc>
        <w:tc>
          <w:tcPr>
            <w:tcW w:w="2320" w:type="dxa"/>
            <w:vAlign w:val="bottom"/>
          </w:tcPr>
          <w:p>
            <w:pPr>
              <w:ind w:left="1940"/>
              <w:spacing w:after="0"/>
              <w:rPr>
                <w:sz w:val="20"/>
                <w:szCs w:val="20"/>
                <w:color w:val="auto"/>
              </w:rPr>
            </w:pPr>
            <w:r>
              <w:rPr>
                <w:rFonts w:ascii="Courier New" w:cs="Courier New" w:eastAsia="Courier New" w:hAnsi="Courier New"/>
                <w:sz w:val="14"/>
                <w:szCs w:val="14"/>
                <w:color w:val="auto"/>
              </w:rPr>
              <w:t>(a)</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 ]</w:t>
            </w:r>
          </w:p>
        </w:tc>
      </w:tr>
      <w:tr>
        <w:trPr>
          <w:trHeight w:val="166"/>
        </w:trPr>
        <w:tc>
          <w:tcPr>
            <w:tcW w:w="4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20" w:type="dxa"/>
            <w:vAlign w:val="bottom"/>
          </w:tcPr>
          <w:p>
            <w:pPr>
              <w:ind w:left="1940"/>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[X]</w:t>
            </w:r>
          </w:p>
        </w:tc>
      </w:tr>
    </w:tbl>
    <w:p>
      <w:pPr>
        <w:spacing w:after="0" w:line="4" w:lineRule="exact"/>
        <w:rPr>
          <w:sz w:val="24"/>
          <w:szCs w:val="2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4CITIZENSHIP OR PLACE OF ORGANIZATION</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5SOLE VOTING POWER</w:t>
      </w:r>
    </w:p>
    <w:p>
      <w:pPr>
        <w:spacing w:after="0" w:line="173" w:lineRule="exact"/>
        <w:rPr>
          <w:sz w:val="24"/>
          <w:szCs w:val="24"/>
          <w:color w:val="auto"/>
        </w:rPr>
      </w:pPr>
    </w:p>
    <w:p>
      <w:pPr>
        <w:ind w:left="3800"/>
        <w:spacing w:after="0"/>
        <w:rPr>
          <w:sz w:val="20"/>
          <w:szCs w:val="20"/>
          <w:color w:val="auto"/>
        </w:rPr>
      </w:pPr>
      <w:r>
        <w:rPr>
          <w:rFonts w:ascii="Courier New" w:cs="Courier New" w:eastAsia="Courier New" w:hAnsi="Courier New"/>
          <w:sz w:val="14"/>
          <w:szCs w:val="14"/>
          <w:color w:val="auto"/>
        </w:rPr>
        <w:t>485,650</w:t>
      </w:r>
    </w:p>
    <w:p>
      <w:pPr>
        <w:spacing w:after="0" w:line="7" w:lineRule="exact"/>
        <w:rPr>
          <w:sz w:val="24"/>
          <w:szCs w:val="24"/>
          <w:color w:val="auto"/>
        </w:rPr>
      </w:pPr>
    </w:p>
    <w:p>
      <w:pPr>
        <w:jc w:val="center"/>
        <w:ind w:right="920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4"/>
          <w:szCs w:val="24"/>
          <w:color w:val="auto"/>
        </w:rPr>
      </w:pPr>
    </w:p>
    <w:p>
      <w:pPr>
        <w:jc w:val="center"/>
        <w:ind w:right="928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4"/>
          <w:szCs w:val="24"/>
          <w:color w:val="auto"/>
        </w:rPr>
      </w:pPr>
    </w:p>
    <w:p>
      <w:pPr>
        <w:jc w:val="center"/>
        <w:ind w:right="9280"/>
        <w:spacing w:after="0"/>
        <w:rPr>
          <w:sz w:val="20"/>
          <w:szCs w:val="20"/>
          <w:color w:val="auto"/>
        </w:rPr>
      </w:pPr>
      <w:r>
        <w:rPr>
          <w:rFonts w:ascii="Courier New" w:cs="Courier New" w:eastAsia="Courier New" w:hAnsi="Courier New"/>
          <w:sz w:val="14"/>
          <w:szCs w:val="14"/>
          <w:color w:val="auto"/>
        </w:rPr>
        <w:t>BENEFICIALLY</w:t>
      </w:r>
    </w:p>
    <w:p>
      <w:pPr>
        <w:spacing w:after="0" w:line="7" w:lineRule="exact"/>
        <w:rPr>
          <w:sz w:val="24"/>
          <w:szCs w:val="24"/>
          <w:color w:val="auto"/>
        </w:rPr>
      </w:pPr>
    </w:p>
    <w:p>
      <w:pPr>
        <w:jc w:val="center"/>
        <w:ind w:right="9280"/>
        <w:spacing w:after="0"/>
        <w:rPr>
          <w:sz w:val="20"/>
          <w:szCs w:val="20"/>
          <w:color w:val="auto"/>
        </w:rPr>
      </w:pPr>
      <w:r>
        <w:rPr>
          <w:rFonts w:ascii="Courier New" w:cs="Courier New" w:eastAsia="Courier New" w:hAnsi="Courier New"/>
          <w:sz w:val="14"/>
          <w:szCs w:val="14"/>
          <w:color w:val="auto"/>
        </w:rPr>
        <w:t>OWNED BY</w:t>
      </w:r>
    </w:p>
    <w:p>
      <w:pPr>
        <w:sectPr>
          <w:pgSz w:w="11900" w:h="16838" w:orient="portrait"/>
          <w:cols w:equalWidth="0" w:num="1">
            <w:col w:w="11540"/>
          </w:cols>
          <w:pgMar w:left="220" w:top="230" w:right="139" w:bottom="0" w:gutter="0" w:footer="0" w:header="0"/>
        </w:sectPr>
      </w:pPr>
    </w:p>
    <w:bookmarkStart w:id="1" w:name="page2"/>
    <w:bookmarkEnd w:id="1"/>
    <w:p>
      <w:pPr>
        <w:ind w:left="952"/>
        <w:spacing w:after="0"/>
        <w:rPr>
          <w:sz w:val="20"/>
          <w:szCs w:val="20"/>
          <w:color w:val="auto"/>
        </w:rPr>
      </w:pPr>
      <w:r>
        <w:rPr>
          <w:rFonts w:ascii="Courier New" w:cs="Courier New" w:eastAsia="Courier New" w:hAnsi="Courier New"/>
          <w:sz w:val="14"/>
          <w:szCs w:val="14"/>
          <w:color w:val="auto"/>
        </w:rPr>
        <w:t>EACH</w:t>
      </w:r>
    </w:p>
    <w:p>
      <w:pPr>
        <w:spacing w:after="0" w:line="7"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REPORTING</w:t>
      </w:r>
    </w:p>
    <w:p>
      <w:pPr>
        <w:spacing w:after="0" w:line="7" w:lineRule="exact"/>
        <w:rPr>
          <w:sz w:val="20"/>
          <w:szCs w:val="20"/>
          <w:color w:val="auto"/>
        </w:rPr>
      </w:pPr>
    </w:p>
    <w:p>
      <w:pPr>
        <w:ind w:left="852"/>
        <w:spacing w:after="0"/>
        <w:rPr>
          <w:sz w:val="20"/>
          <w:szCs w:val="20"/>
          <w:color w:val="auto"/>
        </w:rPr>
      </w:pPr>
      <w:r>
        <w:rPr>
          <w:rFonts w:ascii="Courier New" w:cs="Courier New" w:eastAsia="Courier New" w:hAnsi="Courier New"/>
          <w:sz w:val="14"/>
          <w:szCs w:val="14"/>
          <w:color w:val="auto"/>
        </w:rPr>
        <w:t>PERSON</w:t>
      </w:r>
    </w:p>
    <w:p>
      <w:pPr>
        <w:spacing w:after="0" w:line="7" w:lineRule="exact"/>
        <w:rPr>
          <w:sz w:val="20"/>
          <w:szCs w:val="20"/>
          <w:color w:val="auto"/>
        </w:rPr>
      </w:pPr>
    </w:p>
    <w:p>
      <w:pPr>
        <w:ind w:left="952"/>
        <w:spacing w:after="0"/>
        <w:rPr>
          <w:sz w:val="20"/>
          <w:szCs w:val="20"/>
          <w:color w:val="auto"/>
        </w:rPr>
      </w:pPr>
      <w:r>
        <w:rPr>
          <w:rFonts w:ascii="Courier New" w:cs="Courier New" w:eastAsia="Courier New" w:hAnsi="Courier New"/>
          <w:sz w:val="14"/>
          <w:szCs w:val="14"/>
          <w:color w:val="auto"/>
        </w:rPr>
        <w:t>WITH</w:t>
      </w:r>
    </w:p>
    <w:p>
      <w:pPr>
        <w:spacing w:after="0" w:line="7" w:lineRule="exact"/>
        <w:rPr>
          <w:sz w:val="20"/>
          <w:szCs w:val="20"/>
          <w:color w:val="auto"/>
        </w:rPr>
      </w:pPr>
    </w:p>
    <w:p>
      <w:pPr>
        <w:ind w:left="172" w:hanging="172"/>
        <w:spacing w:after="0"/>
        <w:tabs>
          <w:tab w:leader="none" w:pos="1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6SHARED VOTING POWER</w:t>
      </w:r>
    </w:p>
    <w:p>
      <w:pPr>
        <w:spacing w:after="0" w:line="173" w:lineRule="exact"/>
        <w:rPr>
          <w:sz w:val="20"/>
          <w:szCs w:val="20"/>
          <w:color w:val="auto"/>
        </w:rPr>
      </w:pPr>
    </w:p>
    <w:p>
      <w:pPr>
        <w:ind w:left="3792"/>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72" w:hanging="172"/>
        <w:spacing w:after="0"/>
        <w:tabs>
          <w:tab w:leader="none" w:pos="17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DISPOSITIVE POWER</w:t>
      </w:r>
    </w:p>
    <w:p>
      <w:pPr>
        <w:spacing w:after="0" w:line="173" w:lineRule="exact"/>
        <w:rPr>
          <w:sz w:val="20"/>
          <w:szCs w:val="20"/>
          <w:color w:val="auto"/>
        </w:rPr>
      </w:pPr>
    </w:p>
    <w:p>
      <w:pPr>
        <w:ind w:left="3792"/>
        <w:spacing w:after="0"/>
        <w:rPr>
          <w:sz w:val="20"/>
          <w:szCs w:val="20"/>
          <w:color w:val="auto"/>
        </w:rPr>
      </w:pPr>
      <w:r>
        <w:rPr>
          <w:rFonts w:ascii="Courier New" w:cs="Courier New" w:eastAsia="Courier New" w:hAnsi="Courier New"/>
          <w:sz w:val="14"/>
          <w:szCs w:val="14"/>
          <w:color w:val="auto"/>
        </w:rPr>
        <w:t>485,650</w:t>
      </w:r>
    </w:p>
    <w:p>
      <w:pPr>
        <w:spacing w:after="0" w:line="7" w:lineRule="exact"/>
        <w:rPr>
          <w:sz w:val="20"/>
          <w:szCs w:val="20"/>
          <w:color w:val="auto"/>
        </w:rPr>
      </w:pPr>
    </w:p>
    <w:p>
      <w:pPr>
        <w:ind w:left="172" w:hanging="172"/>
        <w:spacing w:after="0"/>
        <w:tabs>
          <w:tab w:leader="none" w:pos="17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8SHARED DISPOSITIVE POWER</w:t>
      </w:r>
    </w:p>
    <w:p>
      <w:pPr>
        <w:spacing w:after="0" w:line="173" w:lineRule="exact"/>
        <w:rPr>
          <w:sz w:val="20"/>
          <w:szCs w:val="20"/>
          <w:color w:val="auto"/>
        </w:rPr>
      </w:pPr>
    </w:p>
    <w:p>
      <w:pPr>
        <w:ind w:left="3792"/>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72" w:hanging="172"/>
        <w:spacing w:after="0"/>
        <w:tabs>
          <w:tab w:leader="none" w:pos="17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9AGGREGATE AMOUNT BENEFICIALLY OWNED BY EACH REPORTING PERSON</w:t>
      </w:r>
    </w:p>
    <w:p>
      <w:pPr>
        <w:spacing w:after="0" w:line="173"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485,650</w:t>
      </w:r>
    </w:p>
    <w:p>
      <w:pPr>
        <w:spacing w:after="0" w:line="7" w:lineRule="exact"/>
        <w:rPr>
          <w:sz w:val="20"/>
          <w:szCs w:val="20"/>
          <w:color w:val="auto"/>
        </w:rPr>
      </w:pPr>
    </w:p>
    <w:p>
      <w:pPr>
        <w:ind w:left="172" w:hanging="172"/>
        <w:spacing w:after="0"/>
        <w:tabs>
          <w:tab w:leader="none" w:pos="17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10CHECK BOX IF THE AGGREGATE AMOUNT IN ROW (9) EXCLUDES CERTAIN SHARES</w:t>
      </w:r>
    </w:p>
    <w:p>
      <w:pPr>
        <w:spacing w:after="0" w:line="7" w:lineRule="exact"/>
        <w:rPr>
          <w:sz w:val="20"/>
          <w:szCs w:val="20"/>
          <w:color w:val="auto"/>
        </w:rPr>
      </w:pPr>
    </w:p>
    <w:p>
      <w:pPr>
        <w:ind w:left="10072"/>
        <w:spacing w:after="0"/>
        <w:tabs>
          <w:tab w:leader="none" w:pos="10311"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172" w:hanging="172"/>
        <w:spacing w:after="0"/>
        <w:tabs>
          <w:tab w:leader="none" w:pos="17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11PERCENT OF CLASS REPRESENTED BY AMOUNT IN ROW 9</w:t>
      </w:r>
    </w:p>
    <w:p>
      <w:pPr>
        <w:spacing w:after="0" w:line="173"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172" w:hanging="172"/>
        <w:spacing w:after="0"/>
        <w:tabs>
          <w:tab w:leader="none" w:pos="17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12TYPE OF REPORTING PERSON</w:t>
      </w:r>
    </w:p>
    <w:p>
      <w:pPr>
        <w:spacing w:after="0" w:line="173"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CO</w:t>
      </w:r>
    </w:p>
    <w:p>
      <w:pPr>
        <w:spacing w:after="0" w:line="7" w:lineRule="exact"/>
        <w:rPr>
          <w:sz w:val="20"/>
          <w:szCs w:val="20"/>
          <w:color w:val="auto"/>
        </w:rPr>
      </w:pPr>
    </w:p>
    <w:p>
      <w:pPr>
        <w:ind w:left="172" w:hanging="172"/>
        <w:spacing w:after="0"/>
        <w:tabs>
          <w:tab w:leader="none" w:pos="17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8" w:lineRule="exact"/>
        <w:rPr>
          <w:rFonts w:ascii="Courier New" w:cs="Courier New" w:eastAsia="Courier New" w:hAnsi="Courier New"/>
          <w:sz w:val="14"/>
          <w:szCs w:val="14"/>
          <w:color w:val="auto"/>
        </w:rPr>
      </w:pPr>
    </w:p>
    <w:p>
      <w:pPr>
        <w:ind w:left="33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w:t>
      </w:r>
    </w:p>
    <w:p>
      <w:pPr>
        <w:sectPr>
          <w:pgSz w:w="11900" w:h="16838" w:orient="portrait"/>
          <w:cols w:equalWidth="0" w:num="1">
            <w:col w:w="11532"/>
          </w:cols>
          <w:pgMar w:left="228" w:top="141"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47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CUSIP No. 23335C-10-1</w:t>
            </w:r>
          </w:p>
        </w:tc>
        <w:tc>
          <w:tcPr>
            <w:tcW w:w="2120" w:type="dxa"/>
            <w:vAlign w:val="bottom"/>
          </w:tcPr>
          <w:p>
            <w:pPr>
              <w:ind w:left="820"/>
              <w:spacing w:after="0"/>
              <w:rPr>
                <w:sz w:val="20"/>
                <w:szCs w:val="20"/>
                <w:color w:val="auto"/>
              </w:rPr>
            </w:pPr>
            <w:r>
              <w:rPr>
                <w:rFonts w:ascii="Courier New" w:cs="Courier New" w:eastAsia="Courier New" w:hAnsi="Courier New"/>
                <w:sz w:val="14"/>
                <w:szCs w:val="14"/>
                <w:color w:val="auto"/>
              </w:rPr>
              <w:t>13G</w:t>
            </w:r>
          </w:p>
        </w:tc>
        <w:tc>
          <w:tcPr>
            <w:tcW w:w="46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Page 3</w:t>
            </w:r>
          </w:p>
        </w:tc>
      </w:tr>
      <w:tr>
        <w:trPr>
          <w:trHeight w:val="166"/>
        </w:trPr>
        <w:tc>
          <w:tcPr>
            <w:tcW w:w="47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1NAMES OF REPORTING PERSONS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 OF ABOVE PERSONS (ENTITIES ONLY)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National Broadcasting Company Holding,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13-3448662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2</w:t>
            </w:r>
          </w:p>
        </w:tc>
        <w:tc>
          <w:tcPr>
            <w:tcW w:w="6420" w:type="dxa"/>
            <w:vAlign w:val="bottom"/>
          </w:tcPr>
          <w:p>
            <w:pPr>
              <w:ind w:left="340"/>
              <w:spacing w:after="0"/>
              <w:rPr>
                <w:sz w:val="20"/>
                <w:szCs w:val="20"/>
                <w:color w:val="auto"/>
              </w:rPr>
            </w:pPr>
            <w:r>
              <w:rPr>
                <w:rFonts w:ascii="Courier New" w:cs="Courier New" w:eastAsia="Courier New" w:hAnsi="Courier New"/>
                <w:sz w:val="14"/>
                <w:szCs w:val="14"/>
                <w:color w:val="auto"/>
              </w:rPr>
              <w:t>CHECK THE APPROPRIATE BOX IF A MEMBER OF A GROUP</w:t>
            </w:r>
          </w:p>
        </w:tc>
        <w:tc>
          <w:tcPr>
            <w:tcW w:w="2320" w:type="dxa"/>
            <w:vAlign w:val="bottom"/>
          </w:tcPr>
          <w:p>
            <w:pPr>
              <w:ind w:left="1940"/>
              <w:spacing w:after="0"/>
              <w:rPr>
                <w:sz w:val="20"/>
                <w:szCs w:val="20"/>
                <w:color w:val="auto"/>
              </w:rPr>
            </w:pPr>
            <w:r>
              <w:rPr>
                <w:rFonts w:ascii="Courier New" w:cs="Courier New" w:eastAsia="Courier New" w:hAnsi="Courier New"/>
                <w:sz w:val="14"/>
                <w:szCs w:val="14"/>
                <w:color w:val="auto"/>
              </w:rPr>
              <w:t>(a)</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 ]</w:t>
            </w:r>
          </w:p>
        </w:tc>
      </w:tr>
      <w:tr>
        <w:trPr>
          <w:trHeight w:val="166"/>
        </w:trPr>
        <w:tc>
          <w:tcPr>
            <w:tcW w:w="4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20" w:type="dxa"/>
            <w:vAlign w:val="bottom"/>
          </w:tcPr>
          <w:p>
            <w:pPr>
              <w:ind w:left="1940"/>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[X]</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4CITIZENSHIP OR PLACE OF ORGANIZATION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5SOLE VOTING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BENEFICIALLY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OWNED BY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EACH</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REPORTING</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PERSON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WITH</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6SHARED VOTING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DISPOSITIVE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8SHARED DISPOSITIVE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9AGGREGATE AMOUNT BENEFICIALLY OWNED BY EACH REPORTING PERSON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Beneficial ownership of all shares is disclaimed by National Broadcasting Company Holding, Inc.</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10CHECK BOX IF THE AGGREGATE AMOUNT IN ROW (9) EXCLUDES CERTAIN SHARES</w:t>
      </w:r>
    </w:p>
    <w:p>
      <w:pPr>
        <w:spacing w:after="0" w:line="7" w:lineRule="exact"/>
        <w:rPr>
          <w:sz w:val="20"/>
          <w:szCs w:val="20"/>
          <w:color w:val="auto"/>
        </w:rPr>
      </w:pPr>
    </w:p>
    <w:p>
      <w:pPr>
        <w:ind w:left="10080"/>
        <w:spacing w:after="0"/>
        <w:tabs>
          <w:tab w:leader="none" w:pos="103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11PERCENT OF CLASS REPRESENTED BY AMOUNT IN ROW 9</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 applicable (see 9 above)</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12TYPE OF REPORTING PERSON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1540"/>
          </w:cols>
          <w:pgMar w:left="220" w:top="616" w:right="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47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CUSIP No. 23335C-10-1</w:t>
            </w:r>
          </w:p>
        </w:tc>
        <w:tc>
          <w:tcPr>
            <w:tcW w:w="2120" w:type="dxa"/>
            <w:vAlign w:val="bottom"/>
          </w:tcPr>
          <w:p>
            <w:pPr>
              <w:ind w:left="820"/>
              <w:spacing w:after="0"/>
              <w:rPr>
                <w:sz w:val="20"/>
                <w:szCs w:val="20"/>
                <w:color w:val="auto"/>
              </w:rPr>
            </w:pPr>
            <w:r>
              <w:rPr>
                <w:rFonts w:ascii="Courier New" w:cs="Courier New" w:eastAsia="Courier New" w:hAnsi="Courier New"/>
                <w:sz w:val="14"/>
                <w:szCs w:val="14"/>
                <w:color w:val="auto"/>
              </w:rPr>
              <w:t>13G</w:t>
            </w:r>
          </w:p>
        </w:tc>
        <w:tc>
          <w:tcPr>
            <w:tcW w:w="46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Page 4</w:t>
            </w:r>
          </w:p>
        </w:tc>
      </w:tr>
      <w:tr>
        <w:trPr>
          <w:trHeight w:val="166"/>
        </w:trPr>
        <w:tc>
          <w:tcPr>
            <w:tcW w:w="47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1NAMES OF REPORTING PERSONS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 OF ABOVE PERSONS (ENTITIES ONLY)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General Electric Company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14-0689340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2</w:t>
            </w:r>
          </w:p>
        </w:tc>
        <w:tc>
          <w:tcPr>
            <w:tcW w:w="6420" w:type="dxa"/>
            <w:vAlign w:val="bottom"/>
          </w:tcPr>
          <w:p>
            <w:pPr>
              <w:ind w:left="340"/>
              <w:spacing w:after="0"/>
              <w:rPr>
                <w:sz w:val="20"/>
                <w:szCs w:val="20"/>
                <w:color w:val="auto"/>
              </w:rPr>
            </w:pPr>
            <w:r>
              <w:rPr>
                <w:rFonts w:ascii="Courier New" w:cs="Courier New" w:eastAsia="Courier New" w:hAnsi="Courier New"/>
                <w:sz w:val="14"/>
                <w:szCs w:val="14"/>
                <w:color w:val="auto"/>
              </w:rPr>
              <w:t>CHECK THE APPROPRIATE BOX IF A MEMBER OF A GROUP</w:t>
            </w:r>
          </w:p>
        </w:tc>
        <w:tc>
          <w:tcPr>
            <w:tcW w:w="2320" w:type="dxa"/>
            <w:vAlign w:val="bottom"/>
          </w:tcPr>
          <w:p>
            <w:pPr>
              <w:ind w:left="1940"/>
              <w:spacing w:after="0"/>
              <w:rPr>
                <w:sz w:val="20"/>
                <w:szCs w:val="20"/>
                <w:color w:val="auto"/>
              </w:rPr>
            </w:pPr>
            <w:r>
              <w:rPr>
                <w:rFonts w:ascii="Courier New" w:cs="Courier New" w:eastAsia="Courier New" w:hAnsi="Courier New"/>
                <w:sz w:val="14"/>
                <w:szCs w:val="14"/>
                <w:color w:val="auto"/>
              </w:rPr>
              <w:t>(a)</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 ]</w:t>
            </w:r>
          </w:p>
        </w:tc>
      </w:tr>
      <w:tr>
        <w:trPr>
          <w:trHeight w:val="166"/>
        </w:trPr>
        <w:tc>
          <w:tcPr>
            <w:tcW w:w="4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20" w:type="dxa"/>
            <w:vAlign w:val="bottom"/>
          </w:tcPr>
          <w:p>
            <w:pPr>
              <w:ind w:left="1940"/>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[X]</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3SEC USE ONLY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4CITIZENSHIP OR PLACE OF ORGANIZATION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New York</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5SOLE VOTING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BENEFICIALLY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OWNED BY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EACH</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REPORTING</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PERSON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WITH</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6SHARED VOTING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7SOLE DISPOSITIVE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8SHARED DISPOSITIVE POWER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Disclaimed (see 9 below)</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9AGGREGATE AMOUNT BENEFICIALLY OWNED BY EACH REPORTING PERSON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Beneficial ownership of all shares is disclaimed by General Electric Company.</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10CHECK BOX IF THE AGGREGATE AMOUNT IN ROW (9) EXCLUDES CERTAIN SHARES</w:t>
      </w:r>
    </w:p>
    <w:p>
      <w:pPr>
        <w:spacing w:after="0" w:line="7" w:lineRule="exact"/>
        <w:rPr>
          <w:sz w:val="20"/>
          <w:szCs w:val="20"/>
          <w:color w:val="auto"/>
        </w:rPr>
      </w:pPr>
    </w:p>
    <w:p>
      <w:pPr>
        <w:ind w:left="10080"/>
        <w:spacing w:after="0"/>
        <w:tabs>
          <w:tab w:leader="none" w:pos="103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11PERCENT OF CLASS REPRESENTED BY AMOUNT IN ROW 9</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 applicable (see 9 above)</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12TYPE OF REPORTING PERSON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 HC</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ectPr>
          <w:pgSz w:w="11900" w:h="16838" w:orient="portrait"/>
          <w:cols w:equalWidth="0" w:num="1">
            <w:col w:w="11540"/>
          </w:cols>
          <w:pgMar w:left="220" w:top="616" w:right="139" w:bottom="1440" w:gutter="0" w:footer="0" w:header="0"/>
        </w:sectPr>
      </w:pPr>
    </w:p>
    <w:bookmarkStart w:id="4" w:name="page5"/>
    <w:bookmarkEnd w:id="4"/>
    <w:p>
      <w:pPr>
        <w:spacing w:after="0"/>
        <w:tabs>
          <w:tab w:leader="none" w:pos="1020" w:val="left"/>
        </w:tabs>
        <w:rPr>
          <w:sz w:val="20"/>
          <w:szCs w:val="20"/>
          <w:color w:val="auto"/>
        </w:rPr>
      </w:pPr>
      <w:r>
        <w:rPr>
          <w:rFonts w:ascii="Courier New" w:cs="Courier New" w:eastAsia="Courier New" w:hAnsi="Courier New"/>
          <w:sz w:val="14"/>
          <w:szCs w:val="14"/>
          <w:color w:val="auto"/>
        </w:rPr>
        <w:t>ITEM 1(a).</w:t>
        <w:tab/>
        <w:t>NAME OF ISSUER:</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DTS, Inc. (the "Issuer"), formerly Digital Theater Systems, Inc.</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1(b).</w:t>
        <w:tab/>
        <w:t>ADDRESS OF ISSUER'S PRINCIPAL EXECUTIVE OFFICES: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5171 Clareton Drive, Agoura Hills, California 91301</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2(A).</w:t>
        <w:tab/>
        <w:t>NAME OF PERSON FILING:</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This statement is being filed by each of:</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NBC Universal, Inc. ("NBCU")</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National Broadcasting Company Holding, Inc. ("NBCH")</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General Electric Company ("GE")</w:t>
      </w:r>
    </w:p>
    <w:p>
      <w:pPr>
        <w:spacing w:after="0" w:line="173" w:lineRule="exact"/>
        <w:rPr>
          <w:sz w:val="20"/>
          <w:szCs w:val="20"/>
          <w:color w:val="auto"/>
        </w:rPr>
      </w:pPr>
    </w:p>
    <w:p>
      <w:pPr>
        <w:ind w:right="3419" w:firstLine="947"/>
        <w:spacing w:after="0" w:line="255" w:lineRule="auto"/>
        <w:rPr>
          <w:sz w:val="20"/>
          <w:szCs w:val="20"/>
          <w:color w:val="auto"/>
        </w:rPr>
      </w:pPr>
      <w:r>
        <w:rPr>
          <w:rFonts w:ascii="Courier New" w:cs="Courier New" w:eastAsia="Courier New" w:hAnsi="Courier New"/>
          <w:sz w:val="14"/>
          <w:szCs w:val="14"/>
          <w:color w:val="auto"/>
        </w:rPr>
        <w:t>NBCU is an approximately 80%-owned subsidiary of NBCH, and NBCH is a wholly-owned subsidiary of GE.</w:t>
      </w:r>
    </w:p>
    <w:p>
      <w:pPr>
        <w:spacing w:after="0" w:line="160" w:lineRule="exact"/>
        <w:rPr>
          <w:sz w:val="20"/>
          <w:szCs w:val="20"/>
          <w:color w:val="auto"/>
        </w:rPr>
      </w:pPr>
    </w:p>
    <w:p>
      <w:pPr>
        <w:ind w:right="4119" w:firstLine="947"/>
        <w:spacing w:after="0" w:line="255" w:lineRule="auto"/>
        <w:rPr>
          <w:sz w:val="20"/>
          <w:szCs w:val="20"/>
          <w:color w:val="auto"/>
        </w:rPr>
      </w:pPr>
      <w:r>
        <w:rPr>
          <w:rFonts w:ascii="Courier New" w:cs="Courier New" w:eastAsia="Courier New" w:hAnsi="Courier New"/>
          <w:sz w:val="14"/>
          <w:szCs w:val="14"/>
          <w:color w:val="auto"/>
        </w:rPr>
        <w:t>NBCU, NBCH and GE are referred to herein collectively as the "Reporting Persons".</w:t>
      </w:r>
    </w:p>
    <w:p>
      <w:pPr>
        <w:spacing w:after="0" w:line="160" w:lineRule="exact"/>
        <w:rPr>
          <w:sz w:val="20"/>
          <w:szCs w:val="20"/>
          <w:color w:val="auto"/>
        </w:rPr>
      </w:pPr>
    </w:p>
    <w:p>
      <w:pPr>
        <w:ind w:right="3339" w:firstLine="947"/>
        <w:spacing w:after="0" w:line="255" w:lineRule="auto"/>
        <w:rPr>
          <w:sz w:val="20"/>
          <w:szCs w:val="20"/>
          <w:color w:val="auto"/>
        </w:rPr>
      </w:pPr>
      <w:r>
        <w:rPr>
          <w:rFonts w:ascii="Courier New" w:cs="Courier New" w:eastAsia="Courier New" w:hAnsi="Courier New"/>
          <w:sz w:val="14"/>
          <w:szCs w:val="14"/>
          <w:color w:val="auto"/>
        </w:rPr>
        <w:t>An agreement among the Reporting Persons that this statement be filed on behalf of each of them is attached hereto as Exhibit 1.</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Following the creation of NBCU in May 2004, Vivendi Universal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ceased to be a reporting person.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2(b). ADDRESS OF PRINCIPAL BUSINESS OFFICE OR, IF NONE, RESIDENCE:</w:t>
      </w:r>
    </w:p>
    <w:p>
      <w:pPr>
        <w:spacing w:after="0" w:line="173" w:lineRule="exact"/>
        <w:rPr>
          <w:sz w:val="20"/>
          <w:szCs w:val="20"/>
          <w:color w:val="auto"/>
        </w:rPr>
      </w:pPr>
    </w:p>
    <w:p>
      <w:pPr>
        <w:ind w:right="3339" w:firstLine="947"/>
        <w:spacing w:after="0" w:line="252" w:lineRule="auto"/>
        <w:rPr>
          <w:sz w:val="20"/>
          <w:szCs w:val="20"/>
          <w:color w:val="auto"/>
        </w:rPr>
      </w:pPr>
      <w:r>
        <w:rPr>
          <w:rFonts w:ascii="Courier New" w:cs="Courier New" w:eastAsia="Courier New" w:hAnsi="Courier New"/>
          <w:sz w:val="14"/>
          <w:szCs w:val="14"/>
          <w:color w:val="auto"/>
        </w:rPr>
        <w:t>The principal business offices of NBCU and NBCH are located at 30 Rockefeller Plaza, New York, New York 10112. The principal business office of GE is located at 3135 Easton Turnpike, Fairfield, Connecticut 06431.</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2(c).</w:t>
        <w:tab/>
        <w:t>CITIZENSHIP:</w:t>
      </w:r>
    </w:p>
    <w:p>
      <w:pPr>
        <w:spacing w:after="0" w:line="173" w:lineRule="exact"/>
        <w:rPr>
          <w:sz w:val="20"/>
          <w:szCs w:val="20"/>
          <w:color w:val="auto"/>
        </w:rPr>
      </w:pPr>
    </w:p>
    <w:p>
      <w:pPr>
        <w:ind w:right="3679" w:firstLine="947"/>
        <w:spacing w:after="0" w:line="255" w:lineRule="auto"/>
        <w:rPr>
          <w:sz w:val="20"/>
          <w:szCs w:val="20"/>
          <w:color w:val="auto"/>
        </w:rPr>
      </w:pPr>
      <w:r>
        <w:rPr>
          <w:rFonts w:ascii="Courier New" w:cs="Courier New" w:eastAsia="Courier New" w:hAnsi="Courier New"/>
          <w:sz w:val="14"/>
          <w:szCs w:val="14"/>
          <w:color w:val="auto"/>
        </w:rPr>
        <w:t>Each of NBCU and NBCH is a Delaware corporation. GE is a New York corporation.</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2(d).</w:t>
        <w:tab/>
        <w:t>TITLE AND CLASS OF SECURITIES: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Common stock, $.0001 par value per share, of the Issuer (the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2(E).</w:t>
        <w:tab/>
        <w:t>CUSIP NUMBER:</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23335C-10-1</w:t>
      </w:r>
    </w:p>
    <w:p>
      <w:pPr>
        <w:spacing w:after="0" w:line="173" w:lineRule="exact"/>
        <w:rPr>
          <w:sz w:val="20"/>
          <w:szCs w:val="20"/>
          <w:color w:val="auto"/>
        </w:rPr>
      </w:pPr>
    </w:p>
    <w:p>
      <w:pPr>
        <w:ind w:left="1040" w:right="3419" w:hanging="1033"/>
        <w:spacing w:after="0" w:line="255" w:lineRule="auto"/>
        <w:tabs>
          <w:tab w:leader="none" w:pos="10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IF THIS STATEMENT IS FILED PURSUANT TO RULE 13D-1(B) OR 13D-2(B) OR (C), CHECK WHETHER THE PERSON FILING IS A:</w:t>
      </w:r>
    </w:p>
    <w:p>
      <w:pPr>
        <w:spacing w:after="0" w:line="160" w:lineRule="exact"/>
        <w:rPr>
          <w:sz w:val="20"/>
          <w:szCs w:val="20"/>
          <w:color w:val="auto"/>
        </w:rPr>
      </w:pPr>
    </w:p>
    <w:p>
      <w:pPr>
        <w:ind w:left="1300" w:hanging="344"/>
        <w:spacing w:after="0"/>
        <w:tabs>
          <w:tab w:leader="none" w:pos="13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Broker or dealer registered under Section 15 of the Act</w:t>
      </w:r>
    </w:p>
    <w:p>
      <w:pPr>
        <w:spacing w:after="0" w:line="172" w:lineRule="exact"/>
        <w:rPr>
          <w:rFonts w:ascii="Courier New" w:cs="Courier New" w:eastAsia="Courier New" w:hAnsi="Courier New"/>
          <w:sz w:val="14"/>
          <w:szCs w:val="14"/>
          <w:color w:val="auto"/>
        </w:rPr>
      </w:pPr>
    </w:p>
    <w:p>
      <w:pPr>
        <w:ind w:left="1300" w:hanging="344"/>
        <w:spacing w:after="0"/>
        <w:tabs>
          <w:tab w:leader="none" w:pos="13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Bank as defined in Section 3(a)(6) of the Act</w:t>
      </w:r>
    </w:p>
    <w:p>
      <w:pPr>
        <w:spacing w:after="0" w:line="172" w:lineRule="exact"/>
        <w:rPr>
          <w:rFonts w:ascii="Courier New" w:cs="Courier New" w:eastAsia="Courier New" w:hAnsi="Courier New"/>
          <w:sz w:val="14"/>
          <w:szCs w:val="14"/>
          <w:color w:val="auto"/>
        </w:rPr>
      </w:pPr>
    </w:p>
    <w:p>
      <w:pPr>
        <w:ind w:left="1300" w:hanging="344"/>
        <w:spacing w:after="0"/>
        <w:tabs>
          <w:tab w:leader="none" w:pos="13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Insurance company as defined in Section 3(a)(19) of the Act</w:t>
      </w:r>
    </w:p>
    <w:p>
      <w:pPr>
        <w:spacing w:after="0" w:line="172" w:lineRule="exact"/>
        <w:rPr>
          <w:rFonts w:ascii="Courier New" w:cs="Courier New" w:eastAsia="Courier New" w:hAnsi="Courier New"/>
          <w:sz w:val="14"/>
          <w:szCs w:val="14"/>
          <w:color w:val="auto"/>
        </w:rPr>
      </w:pPr>
    </w:p>
    <w:p>
      <w:pPr>
        <w:ind w:left="1640" w:right="4119" w:hanging="684"/>
        <w:spacing w:after="0" w:line="255" w:lineRule="auto"/>
        <w:tabs>
          <w:tab w:leader="none" w:pos="129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w:t>
      </w:r>
    </w:p>
    <w:p>
      <w:pPr>
        <w:spacing w:after="0" w:line="159" w:lineRule="exact"/>
        <w:rPr>
          <w:rFonts w:ascii="Courier New" w:cs="Courier New" w:eastAsia="Courier New" w:hAnsi="Courier New"/>
          <w:sz w:val="14"/>
          <w:szCs w:val="14"/>
          <w:color w:val="auto"/>
        </w:rPr>
      </w:pPr>
    </w:p>
    <w:p>
      <w:pPr>
        <w:ind w:left="1300" w:hanging="344"/>
        <w:spacing w:after="0"/>
        <w:tabs>
          <w:tab w:leader="none" w:pos="13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investment adviser in accordance with Rule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13d-1(b)(1)(ii)(E)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5" w:name="page6"/>
    <w:bookmarkEnd w:id="5"/>
    <w:p>
      <w:pPr>
        <w:ind w:left="1640" w:right="3779" w:hanging="684"/>
        <w:spacing w:after="0" w:line="255" w:lineRule="auto"/>
        <w:tabs>
          <w:tab w:leader="none" w:pos="129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Rule 13d-1(b)(1)(ii)(F)</w:t>
      </w:r>
    </w:p>
    <w:p>
      <w:pPr>
        <w:spacing w:after="0" w:line="159" w:lineRule="exact"/>
        <w:rPr>
          <w:rFonts w:ascii="Courier New" w:cs="Courier New" w:eastAsia="Courier New" w:hAnsi="Courier New"/>
          <w:sz w:val="14"/>
          <w:szCs w:val="14"/>
          <w:color w:val="auto"/>
        </w:rPr>
      </w:pPr>
    </w:p>
    <w:p>
      <w:pPr>
        <w:ind w:left="1640" w:right="3779" w:hanging="684"/>
        <w:spacing w:after="0" w:line="255" w:lineRule="auto"/>
        <w:tabs>
          <w:tab w:leader="none" w:pos="129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Rule 13d-1(b)(1)(ii)(G)</w:t>
      </w:r>
    </w:p>
    <w:p>
      <w:pPr>
        <w:spacing w:after="0" w:line="159" w:lineRule="exact"/>
        <w:rPr>
          <w:rFonts w:ascii="Courier New" w:cs="Courier New" w:eastAsia="Courier New" w:hAnsi="Courier New"/>
          <w:sz w:val="14"/>
          <w:szCs w:val="14"/>
          <w:color w:val="auto"/>
        </w:rPr>
      </w:pPr>
    </w:p>
    <w:p>
      <w:pPr>
        <w:ind w:left="1640" w:right="3859" w:hanging="684"/>
        <w:spacing w:after="0" w:line="255" w:lineRule="auto"/>
        <w:tabs>
          <w:tab w:leader="none" w:pos="129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w:t>
      </w:r>
    </w:p>
    <w:p>
      <w:pPr>
        <w:spacing w:after="0" w:line="159" w:lineRule="exact"/>
        <w:rPr>
          <w:rFonts w:ascii="Courier New" w:cs="Courier New" w:eastAsia="Courier New" w:hAnsi="Courier New"/>
          <w:sz w:val="14"/>
          <w:szCs w:val="14"/>
          <w:color w:val="auto"/>
        </w:rPr>
      </w:pPr>
    </w:p>
    <w:p>
      <w:pPr>
        <w:ind w:left="1640" w:right="3519" w:hanging="684"/>
        <w:spacing w:after="0" w:line="252" w:lineRule="auto"/>
        <w:tabs>
          <w:tab w:leader="none" w:pos="129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w:t>
      </w:r>
    </w:p>
    <w:p>
      <w:pPr>
        <w:spacing w:after="0" w:line="162" w:lineRule="exact"/>
        <w:rPr>
          <w:rFonts w:ascii="Courier New" w:cs="Courier New" w:eastAsia="Courier New" w:hAnsi="Courier New"/>
          <w:sz w:val="14"/>
          <w:szCs w:val="14"/>
          <w:color w:val="auto"/>
        </w:rPr>
      </w:pPr>
    </w:p>
    <w:p>
      <w:pPr>
        <w:ind w:left="1300" w:hanging="344"/>
        <w:spacing w:after="0"/>
        <w:tabs>
          <w:tab w:leader="none" w:pos="13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Group, in accordance with Rule 13d-1(b)(1)(ii)(J)</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OWNERSHIP.</w:t>
      </w:r>
    </w:p>
    <w:p>
      <w:pPr>
        <w:spacing w:after="0" w:line="173" w:lineRule="exact"/>
        <w:rPr>
          <w:sz w:val="20"/>
          <w:szCs w:val="20"/>
          <w:color w:val="auto"/>
        </w:rPr>
      </w:pPr>
    </w:p>
    <w:p>
      <w:pPr>
        <w:jc w:val="both"/>
        <w:ind w:right="3599" w:firstLine="956"/>
        <w:spacing w:after="0" w:line="255" w:lineRule="auto"/>
        <w:tabs>
          <w:tab w:leader="none" w:pos="12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responses of the Reporting Persons to Row (9) of the cover pages of this statement on Schedule 13G are incorporated herein by reference.</w:t>
      </w:r>
    </w:p>
    <w:p>
      <w:pPr>
        <w:spacing w:after="0" w:line="159" w:lineRule="exact"/>
        <w:rPr>
          <w:rFonts w:ascii="Courier New" w:cs="Courier New" w:eastAsia="Courier New" w:hAnsi="Courier New"/>
          <w:sz w:val="14"/>
          <w:szCs w:val="14"/>
          <w:color w:val="auto"/>
        </w:rPr>
      </w:pPr>
    </w:p>
    <w:p>
      <w:pPr>
        <w:ind w:right="3339" w:firstLine="956"/>
        <w:spacing w:after="0" w:line="251" w:lineRule="auto"/>
        <w:tabs>
          <w:tab w:leader="none" w:pos="12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responses of the Reporting Persons to Row (11) of the cover pages of this statement on Schedule 13G are incorporated herein by reference. As of December 31, 2005, NBCU beneficially owned in the aggregate 485,650 shares of Common Stock, representing approximately 2.8% of the Common Stock (based on the number of shares outstanding as of October 31, 2005 (17,440,217 shares), as reported in the Issuer's Form 10-Q for the quarterly period ended September 30, 2005), determined in accordance with Rule 13d-3(d)(1).</w:t>
      </w:r>
    </w:p>
    <w:p>
      <w:pPr>
        <w:spacing w:after="0" w:line="164" w:lineRule="exact"/>
        <w:rPr>
          <w:rFonts w:ascii="Courier New" w:cs="Courier New" w:eastAsia="Courier New" w:hAnsi="Courier New"/>
          <w:sz w:val="14"/>
          <w:szCs w:val="14"/>
          <w:color w:val="auto"/>
        </w:rPr>
      </w:pPr>
    </w:p>
    <w:p>
      <w:pPr>
        <w:ind w:right="3339" w:firstLine="956"/>
        <w:spacing w:after="0" w:line="252" w:lineRule="auto"/>
        <w:tabs>
          <w:tab w:leader="none" w:pos="12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responses of the Reporting Persons to Rows (5) through (8) of the cover pages of this statement on Schedule 13G are incorporated herein by reference.</w:t>
      </w:r>
    </w:p>
    <w:p>
      <w:pPr>
        <w:spacing w:after="0" w:line="163" w:lineRule="exact"/>
        <w:rPr>
          <w:sz w:val="20"/>
          <w:szCs w:val="20"/>
          <w:color w:val="auto"/>
        </w:rPr>
      </w:pPr>
    </w:p>
    <w:p>
      <w:pPr>
        <w:ind w:right="3679" w:firstLine="947"/>
        <w:spacing w:after="0" w:line="255" w:lineRule="auto"/>
        <w:rPr>
          <w:sz w:val="20"/>
          <w:szCs w:val="20"/>
          <w:color w:val="auto"/>
        </w:rPr>
      </w:pPr>
      <w:r>
        <w:rPr>
          <w:rFonts w:ascii="Courier New" w:cs="Courier New" w:eastAsia="Courier New" w:hAnsi="Courier New"/>
          <w:sz w:val="14"/>
          <w:szCs w:val="14"/>
          <w:color w:val="auto"/>
        </w:rPr>
        <w:t>NBCH and GE disclaim beneficial ownership of the shares of Common Stock beneficially owned by NBCU.</w:t>
      </w:r>
    </w:p>
    <w:p>
      <w:pPr>
        <w:spacing w:after="0" w:line="160" w:lineRule="exact"/>
        <w:rPr>
          <w:sz w:val="20"/>
          <w:szCs w:val="20"/>
          <w:color w:val="auto"/>
        </w:rPr>
      </w:pPr>
    </w:p>
    <w:p>
      <w:pPr>
        <w:ind w:right="3339" w:firstLine="947"/>
        <w:spacing w:after="0" w:line="252" w:lineRule="auto"/>
        <w:rPr>
          <w:sz w:val="20"/>
          <w:szCs w:val="20"/>
          <w:color w:val="auto"/>
        </w:rPr>
      </w:pPr>
      <w:r>
        <w:rPr>
          <w:rFonts w:ascii="Courier New" w:cs="Courier New" w:eastAsia="Courier New" w:hAnsi="Courier New"/>
          <w:sz w:val="14"/>
          <w:szCs w:val="14"/>
          <w:color w:val="auto"/>
        </w:rPr>
        <w:t>Neither the filing of this Schedule 13G or any amendment thereto, not anything contained herein is intended as, or should be construed as, an admission that NBCH or GE is the beneficial owner of any shares of Common Stock.</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OWNERSHIP OF FIVE PERCENT OR LESS OF A CLASS.</w:t>
      </w:r>
    </w:p>
    <w:p>
      <w:pPr>
        <w:spacing w:after="0" w:line="173" w:lineRule="exact"/>
        <w:rPr>
          <w:sz w:val="20"/>
          <w:szCs w:val="20"/>
          <w:color w:val="auto"/>
        </w:rPr>
      </w:pPr>
    </w:p>
    <w:p>
      <w:pPr>
        <w:ind w:right="3519" w:firstLine="947"/>
        <w:spacing w:after="0" w:line="252" w:lineRule="auto"/>
        <w:rPr>
          <w:sz w:val="20"/>
          <w:szCs w:val="20"/>
          <w:color w:val="auto"/>
        </w:rPr>
      </w:pPr>
      <w:r>
        <w:rPr>
          <w:rFonts w:ascii="Courier New" w:cs="Courier New" w:eastAsia="Courier New" w:hAnsi="Courier New"/>
          <w:sz w:val="14"/>
          <w:szCs w:val="14"/>
          <w:color w:val="auto"/>
        </w:rPr>
        <w:t>If this statement is being filed to report the fact that as of the date hereof the reporting person has ceased to be the beneficial owner of more than five percent of the class of securities, check the following [X].</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OWNERSHIP OF MORE THAN FIVE PERCENT ON BEHALF OF ANOTHER PERSON.</w:t>
      </w:r>
    </w:p>
    <w:p>
      <w:pPr>
        <w:spacing w:after="0" w:line="173" w:lineRule="exact"/>
        <w:rPr>
          <w:sz w:val="20"/>
          <w:szCs w:val="20"/>
          <w:color w:val="auto"/>
        </w:rPr>
      </w:pPr>
    </w:p>
    <w:p>
      <w:pPr>
        <w:ind w:right="4199" w:firstLine="947"/>
        <w:spacing w:after="0" w:line="255" w:lineRule="auto"/>
        <w:rPr>
          <w:sz w:val="20"/>
          <w:szCs w:val="20"/>
          <w:color w:val="auto"/>
        </w:rPr>
      </w:pPr>
      <w:r>
        <w:rPr>
          <w:rFonts w:ascii="Courier New" w:cs="Courier New" w:eastAsia="Courier New" w:hAnsi="Courier New"/>
          <w:sz w:val="14"/>
          <w:szCs w:val="14"/>
          <w:color w:val="auto"/>
        </w:rPr>
        <w:t>The information set forth in Item 2(b) and Item 4 hereof is incorporated herein by reference.</w:t>
      </w:r>
    </w:p>
    <w:p>
      <w:pPr>
        <w:spacing w:after="0" w:line="160" w:lineRule="exact"/>
        <w:rPr>
          <w:sz w:val="20"/>
          <w:szCs w:val="20"/>
          <w:color w:val="auto"/>
        </w:rPr>
      </w:pPr>
    </w:p>
    <w:p>
      <w:pPr>
        <w:ind w:left="780" w:right="341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ITEM 7.</w:t>
        <w:tab/>
        <w:t>IDENTIFICATION AND CLASSIFICATION OF THE SUBSIDIARY WHICH ACQUIRED THE SECURITY BEING REPORTED ON BY THE PARENT HOLDING COMPANY OR CONTROL PERSON.</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IDENTIFICATION AND CLASSIFICATION OF MEMBERS OF THE GROUP.</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NOTICE OF DISSOLUTION OF GROUP.</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CERTIFICATION.</w:t>
      </w:r>
    </w:p>
    <w:p>
      <w:pPr>
        <w:spacing w:after="0" w:line="173" w:lineRule="exact"/>
        <w:rPr>
          <w:sz w:val="20"/>
          <w:szCs w:val="20"/>
          <w:color w:val="auto"/>
        </w:rPr>
      </w:pPr>
    </w:p>
    <w:p>
      <w:pPr>
        <w:ind w:left="1300" w:hanging="344"/>
        <w:spacing w:after="0"/>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1300" w:hanging="344"/>
        <w:spacing w:after="0"/>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6" w:name="page7"/>
    <w:bookmarkEnd w:id="6"/>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947"/>
        <w:spacing w:after="0" w:line="252"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16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February 14, 2006</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NBC UNIVERSAL, INC.</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780" w:val="left"/>
        </w:tabs>
        <w:rPr>
          <w:sz w:val="20"/>
          <w:szCs w:val="20"/>
          <w:color w:val="auto"/>
        </w:rPr>
      </w:pPr>
      <w:r>
        <w:rPr>
          <w:rFonts w:ascii="Courier New" w:cs="Courier New" w:eastAsia="Courier New" w:hAnsi="Courier New"/>
          <w:sz w:val="14"/>
          <w:szCs w:val="14"/>
          <w:color w:val="auto"/>
        </w:rPr>
        <w:t>Name:</w:t>
        <w:tab/>
        <w:t>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Executive Vice President</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NATIONAL BROADCASTING COMPANY HOLDING, INC.</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Elizabeth Newell</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780" w:val="left"/>
        </w:tabs>
        <w:rPr>
          <w:sz w:val="20"/>
          <w:szCs w:val="20"/>
          <w:color w:val="auto"/>
        </w:rPr>
      </w:pPr>
      <w:r>
        <w:rPr>
          <w:rFonts w:ascii="Courier New" w:cs="Courier New" w:eastAsia="Courier New" w:hAnsi="Courier New"/>
          <w:sz w:val="14"/>
          <w:szCs w:val="14"/>
          <w:color w:val="auto"/>
        </w:rPr>
        <w:t>Name:</w:t>
        <w:tab/>
        <w:t>Elizabeth Newell</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GENERAL ELECTRIC COMPANY</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780" w:val="left"/>
        </w:tabs>
        <w:rPr>
          <w:sz w:val="20"/>
          <w:szCs w:val="20"/>
          <w:color w:val="auto"/>
        </w:rPr>
      </w:pPr>
      <w:r>
        <w:rPr>
          <w:rFonts w:ascii="Courier New" w:cs="Courier New" w:eastAsia="Courier New" w:hAnsi="Courier New"/>
          <w:sz w:val="14"/>
          <w:szCs w:val="14"/>
          <w:color w:val="auto"/>
        </w:rPr>
        <w:t>Name:</w:t>
        <w:tab/>
        <w:t>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7" w:name="page8"/>
    <w:bookmarkEnd w:id="7"/>
    <w:p>
      <w:pPr>
        <w:ind w:left="232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9619"/>
          </w:cols>
          <w:pgMar w:left="840" w:top="45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940" w:space="720"/>
            <w:col w:w="6959"/>
          </w:cols>
          <w:pgMar w:left="840" w:top="451" w:right="1440" w:bottom="1440" w:gutter="0" w:footer="0" w:header="0"/>
          <w:type w:val="continuous"/>
        </w:sectPr>
      </w:pPr>
    </w:p>
    <w:p>
      <w:pPr>
        <w:ind w:left="1360" w:right="4199" w:hanging="938"/>
        <w:spacing w:after="0" w:line="255" w:lineRule="auto"/>
        <w:tabs>
          <w:tab w:leader="none" w:pos="127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Filing Agreement, dated February 14, 2006, among NBCU, NBCH and 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619"/>
          </w:cols>
          <w:pgMar w:left="840" w:top="451" w:right="1440" w:bottom="1440" w:gutter="0" w:footer="0" w:header="0"/>
          <w:type w:val="continuous"/>
        </w:sectPr>
      </w:pPr>
    </w:p>
    <w:bookmarkStart w:id="8" w:name="page9"/>
    <w:bookmarkEnd w:id="8"/>
    <w:p>
      <w:pPr>
        <w:jc w:val="right"/>
        <w:ind w:right="3339"/>
        <w:spacing w:after="0"/>
        <w:rPr>
          <w:sz w:val="20"/>
          <w:szCs w:val="20"/>
          <w:color w:val="auto"/>
        </w:rPr>
      </w:pPr>
      <w:r>
        <w:rPr>
          <w:rFonts w:ascii="Courier New" w:cs="Courier New" w:eastAsia="Courier New" w:hAnsi="Courier New"/>
          <w:sz w:val="14"/>
          <w:szCs w:val="14"/>
          <w:color w:val="auto"/>
        </w:rPr>
        <w:t>Exhibit 1</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JOINT FILING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will confirm the agreement by and among all the undersigned that the Schedule 13G filed on or about this date and any amendments thereto with respect to beneficial ownership by the undersigned of shares of the common stock, par value $0.0001 per share, of DTS, Inc. is being filed on behalf of each of the undersigned in accordance with Rule 13d 1(k)(1) under the Securities Exchange Act of 1934. This agreement may be executed in two or more counterparts, each of which shall be deemed an original, but all of which together shall constitute one and the same instrument.</w:t>
      </w:r>
    </w:p>
    <w:p>
      <w:pPr>
        <w:spacing w:after="0" w:line="16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February 14, 2006</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NBC UNIVERSAL, INC.</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780" w:val="left"/>
        </w:tabs>
        <w:rPr>
          <w:sz w:val="20"/>
          <w:szCs w:val="20"/>
          <w:color w:val="auto"/>
        </w:rPr>
      </w:pPr>
      <w:r>
        <w:rPr>
          <w:rFonts w:ascii="Courier New" w:cs="Courier New" w:eastAsia="Courier New" w:hAnsi="Courier New"/>
          <w:sz w:val="14"/>
          <w:szCs w:val="14"/>
          <w:color w:val="auto"/>
        </w:rPr>
        <w:t>Name:</w:t>
        <w:tab/>
        <w:t>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Executive Vice President</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NATIONAL BROADCASTING COMPANY HOLDING, INC.</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Elizabeth Newell</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780" w:val="left"/>
        </w:tabs>
        <w:rPr>
          <w:sz w:val="20"/>
          <w:szCs w:val="20"/>
          <w:color w:val="auto"/>
        </w:rPr>
      </w:pPr>
      <w:r>
        <w:rPr>
          <w:rFonts w:ascii="Courier New" w:cs="Courier New" w:eastAsia="Courier New" w:hAnsi="Courier New"/>
          <w:sz w:val="14"/>
          <w:szCs w:val="14"/>
          <w:color w:val="auto"/>
        </w:rPr>
        <w:t>Name:</w:t>
        <w:tab/>
        <w:t>Elizabeth Newell</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GENERAL ELECTRIC COMPANY</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780" w:val="left"/>
        </w:tabs>
        <w:rPr>
          <w:sz w:val="20"/>
          <w:szCs w:val="20"/>
          <w:color w:val="auto"/>
        </w:rPr>
      </w:pPr>
      <w:r>
        <w:rPr>
          <w:rFonts w:ascii="Courier New" w:cs="Courier New" w:eastAsia="Courier New" w:hAnsi="Courier New"/>
          <w:sz w:val="14"/>
          <w:szCs w:val="14"/>
          <w:color w:val="auto"/>
        </w:rPr>
        <w:t>Name:</w:t>
        <w:tab/>
        <w:t>Richard Cotton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lvl w:ilvl="1">
      <w:lvlJc w:val="left"/>
      <w:lvlText w:val="%2"/>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lvl w:ilvl="1">
      <w:lvlJc w:val="left"/>
      <w:lvlText w:val="%2"/>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lvl w:ilvl="1">
      <w:lvlJc w:val="left"/>
      <w:lvlText w:val="%2"/>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6"/>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2019-12-16T08:18:32Z</dcterms:created>
  <dcterms:modified xsi:type="dcterms:W3CDTF">2019-12-16T08:18:32Z</dcterms:modified>
</cp:coreProperties>
</file>