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333-174175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NBCUniversal Media, LLC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5"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4660" w:type="dxa"/>
            <w:vAlign w:val="bottom"/>
          </w:tcPr>
          <w:p>
            <w:pPr>
              <w:jc w:val="center"/>
              <w:ind w:right="1812"/>
              <w:spacing w:after="0"/>
              <w:rPr>
                <w:sz w:val="20"/>
                <w:szCs w:val="20"/>
                <w:color w:val="auto"/>
              </w:rPr>
            </w:pPr>
            <w:r>
              <w:rPr>
                <w:rFonts w:ascii="Times New Roman" w:cs="Times New Roman" w:eastAsia="Times New Roman" w:hAnsi="Times New Roman"/>
                <w:sz w:val="18"/>
                <w:szCs w:val="18"/>
                <w:b w:val="1"/>
                <w:bCs w:val="1"/>
                <w:color w:val="auto"/>
                <w:w w:val="94"/>
              </w:rPr>
              <w:t>DELAWARE</w:t>
            </w:r>
          </w:p>
        </w:tc>
        <w:tc>
          <w:tcPr>
            <w:tcW w:w="320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14-1682529</w:t>
            </w:r>
          </w:p>
        </w:tc>
      </w:tr>
      <w:tr>
        <w:trPr>
          <w:trHeight w:val="216"/>
        </w:trPr>
        <w:tc>
          <w:tcPr>
            <w:tcW w:w="4660" w:type="dxa"/>
            <w:vAlign w:val="bottom"/>
          </w:tcPr>
          <w:p>
            <w:pPr>
              <w:jc w:val="center"/>
              <w:ind w:right="181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3200" w:type="dxa"/>
            <w:vAlign w:val="bottom"/>
          </w:tcPr>
          <w:p>
            <w:pPr>
              <w:jc w:val="center"/>
              <w:ind w:left="17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4660" w:type="dxa"/>
            <w:vAlign w:val="bottom"/>
          </w:tcPr>
          <w:p>
            <w:pPr>
              <w:jc w:val="center"/>
              <w:ind w:right="181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3200" w:type="dxa"/>
            <w:vAlign w:val="bottom"/>
          </w:tcPr>
          <w:p>
            <w:pPr>
              <w:jc w:val="center"/>
              <w:ind w:left="17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8"/>
        </w:trPr>
        <w:tc>
          <w:tcPr>
            <w:tcW w:w="4660" w:type="dxa"/>
            <w:vAlign w:val="bottom"/>
          </w:tcPr>
          <w:p>
            <w:pPr>
              <w:jc w:val="center"/>
              <w:ind w:right="1792"/>
              <w:spacing w:after="0"/>
              <w:rPr>
                <w:sz w:val="20"/>
                <w:szCs w:val="20"/>
                <w:color w:val="auto"/>
              </w:rPr>
            </w:pPr>
            <w:r>
              <w:rPr>
                <w:rFonts w:ascii="Times New Roman" w:cs="Times New Roman" w:eastAsia="Times New Roman" w:hAnsi="Times New Roman"/>
                <w:sz w:val="18"/>
                <w:szCs w:val="18"/>
                <w:b w:val="1"/>
                <w:bCs w:val="1"/>
                <w:color w:val="auto"/>
                <w:w w:val="97"/>
              </w:rPr>
              <w:t>30 Rockefeller Plaza,</w:t>
            </w:r>
          </w:p>
        </w:tc>
        <w:tc>
          <w:tcPr>
            <w:tcW w:w="3200" w:type="dxa"/>
            <w:vAlign w:val="bottom"/>
          </w:tcPr>
          <w:p>
            <w:pPr>
              <w:spacing w:after="0"/>
              <w:rPr>
                <w:sz w:val="24"/>
                <w:szCs w:val="24"/>
                <w:color w:val="auto"/>
              </w:rPr>
            </w:pPr>
          </w:p>
        </w:tc>
      </w:tr>
      <w:tr>
        <w:trPr>
          <w:trHeight w:val="232"/>
        </w:trPr>
        <w:tc>
          <w:tcPr>
            <w:tcW w:w="4660" w:type="dxa"/>
            <w:vAlign w:val="bottom"/>
          </w:tcPr>
          <w:p>
            <w:pPr>
              <w:jc w:val="center"/>
              <w:ind w:right="1812"/>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320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10112-0015</w:t>
            </w:r>
          </w:p>
        </w:tc>
      </w:tr>
      <w:tr>
        <w:trPr>
          <w:trHeight w:val="228"/>
        </w:trPr>
        <w:tc>
          <w:tcPr>
            <w:tcW w:w="4660" w:type="dxa"/>
            <w:vAlign w:val="bottom"/>
          </w:tcPr>
          <w:p>
            <w:pPr>
              <w:jc w:val="center"/>
              <w:ind w:right="179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200" w:type="dxa"/>
            <w:vAlign w:val="bottom"/>
          </w:tcPr>
          <w:p>
            <w:pPr>
              <w:jc w:val="center"/>
              <w:ind w:left="1792"/>
              <w:spacing w:after="0"/>
              <w:rPr>
                <w:sz w:val="20"/>
                <w:szCs w:val="20"/>
                <w:color w:val="auto"/>
              </w:rPr>
            </w:pPr>
            <w:r>
              <w:rPr>
                <w:rFonts w:ascii="Times New Roman" w:cs="Times New Roman" w:eastAsia="Times New Roman" w:hAnsi="Times New Roman"/>
                <w:sz w:val="18"/>
                <w:szCs w:val="18"/>
                <w:color w:val="auto"/>
                <w:w w:val="95"/>
              </w:rPr>
              <w:t>(Zip Code)</w:t>
            </w:r>
          </w:p>
        </w:tc>
      </w:tr>
    </w:tbl>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ind w:right="3520"/>
        <w:spacing w:after="0" w:line="270"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ind w:left="52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practical date: Not applicable</w:t>
      </w:r>
    </w:p>
    <w:p>
      <w:pPr>
        <w:spacing w:after="0" w:line="75"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640" w:type="dxa"/>
            <w:vAlign w:val="bottom"/>
            <w:gridSpan w:val="19"/>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00" w:type="dxa"/>
            <w:vAlign w:val="bottom"/>
            <w:gridSpan w:val="2"/>
          </w:tcPr>
          <w:p>
            <w:pPr>
              <w:ind w:left="800"/>
              <w:spacing w:after="0" w:line="152" w:lineRule="exact"/>
              <w:rPr>
                <w:sz w:val="20"/>
                <w:szCs w:val="20"/>
                <w:color w:val="auto"/>
              </w:rPr>
            </w:pPr>
            <w:r>
              <w:rPr>
                <w:rFonts w:ascii="Times New Roman" w:cs="Times New Roman" w:eastAsia="Times New Roman" w:hAnsi="Times New Roman"/>
                <w:sz w:val="14"/>
                <w:szCs w:val="14"/>
                <w:b w:val="1"/>
                <w:bCs w:val="1"/>
                <w:color w:val="auto"/>
              </w:rPr>
              <w:t>Item 1.</w:t>
            </w:r>
          </w:p>
        </w:tc>
        <w:tc>
          <w:tcPr>
            <w:tcW w:w="8540" w:type="dxa"/>
            <w:vAlign w:val="bottom"/>
            <w:gridSpan w:val="17"/>
          </w:tcPr>
          <w:p>
            <w:pPr>
              <w:spacing w:after="0" w:line="152" w:lineRule="exact"/>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Financial Statements</w:t>
              </w:r>
            </w:hyperlink>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560" w:type="dxa"/>
            <w:vAlign w:val="bottom"/>
            <w:tcBorders>
              <w:bottom w:val="single" w:sz="8" w:color="0000EE"/>
            </w:tcBorders>
            <w:gridSpan w:val="11"/>
          </w:tcPr>
          <w:p>
            <w:pPr>
              <w:spacing w:after="0" w:line="129" w:lineRule="exact"/>
              <w:rPr>
                <w:rFonts w:ascii="Times New Roman" w:cs="Times New Roman" w:eastAsia="Times New Roman" w:hAnsi="Times New Roman"/>
                <w:sz w:val="14"/>
                <w:szCs w:val="14"/>
                <w:color w:val="0000EE"/>
                <w:w w:val="95"/>
              </w:rPr>
            </w:pPr>
            <w:hyperlink w:anchor="page3">
              <w:r>
                <w:rPr>
                  <w:rFonts w:ascii="Times New Roman" w:cs="Times New Roman" w:eastAsia="Times New Roman" w:hAnsi="Times New Roman"/>
                  <w:sz w:val="14"/>
                  <w:szCs w:val="14"/>
                  <w:color w:val="0000EE"/>
                  <w:w w:val="95"/>
                </w:rPr>
                <w:t>Condensed Consolidated Balance Sheet as of September 30, 2012 and December 31, 2011 (Unaudited)</w:t>
              </w:r>
            </w:hyperlink>
          </w:p>
        </w:tc>
        <w:tc>
          <w:tcPr>
            <w:tcW w:w="2980" w:type="dxa"/>
            <w:vAlign w:val="bottom"/>
            <w:gridSpan w:val="6"/>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540" w:type="dxa"/>
            <w:vAlign w:val="bottom"/>
            <w:gridSpan w:val="17"/>
          </w:tcPr>
          <w:p>
            <w:pPr>
              <w:spacing w:after="0" w:line="129" w:lineRule="exact"/>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Condensed Consolidated Statement of Income for the Three Months Ended September 30, 2012 and 2011 (Unaudited)</w:t>
              </w:r>
            </w:hyperlink>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0" w:type="dxa"/>
            <w:vAlign w:val="bottom"/>
            <w:tcBorders>
              <w:top w:val="single" w:sz="8" w:color="0000EE"/>
            </w:tcBorders>
            <w:gridSpan w:val="12"/>
          </w:tcPr>
          <w:p>
            <w:pPr>
              <w:spacing w:after="0" w:line="129" w:lineRule="exact"/>
              <w:rPr>
                <w:rFonts w:ascii="Times New Roman" w:cs="Times New Roman" w:eastAsia="Times New Roman" w:hAnsi="Times New Roman"/>
                <w:sz w:val="14"/>
                <w:szCs w:val="14"/>
                <w:color w:val="0000EE"/>
                <w:w w:val="96"/>
              </w:rPr>
            </w:pPr>
            <w:hyperlink w:anchor="page5">
              <w:r>
                <w:rPr>
                  <w:rFonts w:ascii="Times New Roman" w:cs="Times New Roman" w:eastAsia="Times New Roman" w:hAnsi="Times New Roman"/>
                  <w:sz w:val="14"/>
                  <w:szCs w:val="14"/>
                  <w:color w:val="0000EE"/>
                  <w:w w:val="96"/>
                </w:rPr>
                <w:t>Condensed Consolidated Statement of Income for the Nine Months Ended September 30, 2012 and the Periods Ended</w:t>
              </w:r>
            </w:hyperlink>
          </w:p>
        </w:tc>
        <w:tc>
          <w:tcPr>
            <w:tcW w:w="2140" w:type="dxa"/>
            <w:vAlign w:val="bottom"/>
            <w:gridSpan w:val="5"/>
          </w:tcPr>
          <w:p>
            <w:pPr>
              <w:spacing w:after="0" w:line="129"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September 30, 2011 and January</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160" w:type="dxa"/>
            <w:vAlign w:val="bottom"/>
            <w:tcBorders>
              <w:top w:val="single" w:sz="8" w:color="0000EE"/>
            </w:tcBorders>
            <w:gridSpan w:val="15"/>
          </w:tcPr>
          <w:p>
            <w:pPr>
              <w:spacing w:after="0" w:line="129" w:lineRule="exact"/>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28, 2011 (Unaudited)</w:t>
              </w:r>
            </w:hyperlink>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540" w:type="dxa"/>
            <w:vAlign w:val="bottom"/>
            <w:gridSpan w:val="17"/>
          </w:tcPr>
          <w:p>
            <w:pPr>
              <w:spacing w:after="0" w:line="129" w:lineRule="exact"/>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Condensed Consolidated Statement of Comprehensive Income for the Three Months Ended September 30, 2012 and 2011, the Nine Months Ended</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980" w:type="dxa"/>
            <w:vAlign w:val="bottom"/>
            <w:tcBorders>
              <w:top w:val="single" w:sz="8" w:color="0000EE"/>
            </w:tcBorders>
            <w:gridSpan w:val="14"/>
          </w:tcPr>
          <w:p>
            <w:pPr>
              <w:spacing w:after="0" w:line="129" w:lineRule="exact"/>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September 30, 2012 and the Periods Ended September 30, 2011 and January 28, 2011 (Unaudited)</w:t>
              </w:r>
            </w:hyperlink>
          </w:p>
        </w:tc>
        <w:tc>
          <w:tcPr>
            <w:tcW w:w="32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300" w:type="dxa"/>
            <w:vAlign w:val="bottom"/>
            <w:tcBorders>
              <w:top w:val="single" w:sz="8" w:color="0000EE"/>
            </w:tcBorders>
            <w:gridSpan w:val="10"/>
          </w:tcPr>
          <w:p>
            <w:pPr>
              <w:spacing w:after="0" w:line="129" w:lineRule="exact"/>
              <w:rPr>
                <w:rFonts w:ascii="Times New Roman" w:cs="Times New Roman" w:eastAsia="Times New Roman" w:hAnsi="Times New Roman"/>
                <w:sz w:val="14"/>
                <w:szCs w:val="14"/>
                <w:color w:val="0000EE"/>
                <w:w w:val="94"/>
              </w:rPr>
            </w:pPr>
            <w:hyperlink w:anchor="page7">
              <w:r>
                <w:rPr>
                  <w:rFonts w:ascii="Times New Roman" w:cs="Times New Roman" w:eastAsia="Times New Roman" w:hAnsi="Times New Roman"/>
                  <w:sz w:val="14"/>
                  <w:szCs w:val="14"/>
                  <w:color w:val="0000EE"/>
                  <w:w w:val="94"/>
                </w:rPr>
                <w:t>Condensed Consolidated Statement of Cash Flows for the Nine Months Ended September 30, 2012</w:t>
              </w:r>
            </w:hyperlink>
          </w:p>
        </w:tc>
        <w:tc>
          <w:tcPr>
            <w:tcW w:w="3240" w:type="dxa"/>
            <w:vAlign w:val="bottom"/>
            <w:gridSpan w:val="7"/>
          </w:tcPr>
          <w:p>
            <w:pPr>
              <w:ind w:left="100"/>
              <w:spacing w:after="0" w:line="129" w:lineRule="exact"/>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and the Periods Ended September 30, 2011 and</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940" w:type="dxa"/>
            <w:vAlign w:val="bottom"/>
            <w:tcBorders>
              <w:top w:val="single" w:sz="8" w:color="0000EE"/>
            </w:tcBorders>
            <w:gridSpan w:val="13"/>
          </w:tcPr>
          <w:p>
            <w:pPr>
              <w:spacing w:after="0" w:line="129" w:lineRule="exact"/>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January 28, 2011 (Unaudited)</w:t>
              </w:r>
            </w:hyperlink>
          </w:p>
        </w:tc>
        <w:tc>
          <w:tcPr>
            <w:tcW w:w="360" w:type="dxa"/>
            <w:vAlign w:val="bottom"/>
            <w:gridSpan w:val="3"/>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540" w:type="dxa"/>
            <w:vAlign w:val="bottom"/>
            <w:gridSpan w:val="17"/>
          </w:tcPr>
          <w:p>
            <w:pPr>
              <w:spacing w:after="0" w:line="129" w:lineRule="exact"/>
              <w:rPr>
                <w:rFonts w:ascii="Times New Roman" w:cs="Times New Roman" w:eastAsia="Times New Roman" w:hAnsi="Times New Roman"/>
                <w:sz w:val="14"/>
                <w:szCs w:val="14"/>
                <w:color w:val="0000EE"/>
                <w:w w:val="98"/>
              </w:rPr>
            </w:pPr>
            <w:hyperlink w:anchor="page8">
              <w:r>
                <w:rPr>
                  <w:rFonts w:ascii="Times New Roman" w:cs="Times New Roman" w:eastAsia="Times New Roman" w:hAnsi="Times New Roman"/>
                  <w:sz w:val="14"/>
                  <w:szCs w:val="14"/>
                  <w:color w:val="0000EE"/>
                  <w:w w:val="98"/>
                </w:rPr>
                <w:t>Condensed Consolidated Statement of Changes in Equity for the Nine Months Ended September 30, 2012 and the Periods Ended September 30, 2011 and</w:t>
              </w:r>
            </w:hyperlink>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tcBorders>
              <w:top w:val="single" w:sz="8" w:color="0000EE"/>
            </w:tcBorders>
            <w:gridSpan w:val="16"/>
          </w:tcPr>
          <w:p>
            <w:pPr>
              <w:spacing w:after="0" w:line="129" w:lineRule="exact"/>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January 28, 2011 (Unaudited)</w:t>
              </w:r>
            </w:hyperlink>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8540" w:type="dxa"/>
            <w:vAlign w:val="bottom"/>
            <w:gridSpan w:val="17"/>
          </w:tcPr>
          <w:p>
            <w:pPr>
              <w:spacing w:after="0" w:line="129" w:lineRule="exact"/>
              <w:rPr>
                <w:rFonts w:ascii="Times New Roman" w:cs="Times New Roman" w:eastAsia="Times New Roman" w:hAnsi="Times New Roman"/>
                <w:sz w:val="14"/>
                <w:szCs w:val="14"/>
                <w:color w:val="0000EE"/>
              </w:rPr>
            </w:pPr>
            <w:hyperlink w:anchor="page9">
              <w:r>
                <w:rPr>
                  <w:rFonts w:ascii="Times New Roman" w:cs="Times New Roman" w:eastAsia="Times New Roman" w:hAnsi="Times New Roman"/>
                  <w:sz w:val="14"/>
                  <w:szCs w:val="14"/>
                  <w:color w:val="0000EE"/>
                </w:rPr>
                <w:t>Notes to Condensed Consolidated Financial Statements (Unaudited)</w:t>
              </w:r>
            </w:hyperlink>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8"/>
          </w:tcPr>
          <w:p>
            <w:pPr>
              <w:spacing w:after="0" w:line="129" w:lineRule="exact"/>
              <w:rPr>
                <w:rFonts w:ascii="Times New Roman" w:cs="Times New Roman" w:eastAsia="Times New Roman" w:hAnsi="Times New Roman"/>
                <w:sz w:val="14"/>
                <w:szCs w:val="14"/>
                <w:color w:val="0000EE"/>
                <w:w w:val="96"/>
              </w:rPr>
            </w:pPr>
            <w:hyperlink w:anchor="page31">
              <w:r>
                <w:rPr>
                  <w:rFonts w:ascii="Times New Roman" w:cs="Times New Roman" w:eastAsia="Times New Roman" w:hAnsi="Times New Roman"/>
                  <w:sz w:val="14"/>
                  <w:szCs w:val="14"/>
                  <w:color w:val="0000EE"/>
                  <w:w w:val="96"/>
                </w:rPr>
                <w:t>Management’s Discussion and Analysis of Financial Condition and</w:t>
              </w:r>
            </w:hyperlink>
          </w:p>
        </w:tc>
        <w:tc>
          <w:tcPr>
            <w:tcW w:w="4860" w:type="dxa"/>
            <w:vAlign w:val="bottom"/>
            <w:gridSpan w:val="9"/>
          </w:tcPr>
          <w:p>
            <w:pPr>
              <w:spacing w:after="0" w:line="129" w:lineRule="exact"/>
              <w:rPr>
                <w:rFonts w:ascii="Times New Roman" w:cs="Times New Roman" w:eastAsia="Times New Roman" w:hAnsi="Times New Roman"/>
                <w:sz w:val="14"/>
                <w:szCs w:val="14"/>
                <w:color w:val="0000EE"/>
              </w:rPr>
            </w:pPr>
            <w:hyperlink w:anchor="page31">
              <w:r>
                <w:rPr>
                  <w:rFonts w:ascii="Times New Roman" w:cs="Times New Roman" w:eastAsia="Times New Roman" w:hAnsi="Times New Roman"/>
                  <w:sz w:val="14"/>
                  <w:szCs w:val="14"/>
                  <w:color w:val="0000EE"/>
                </w:rPr>
                <w:t>Results of Operations</w:t>
              </w:r>
            </w:hyperlink>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4.</w:t>
            </w:r>
          </w:p>
        </w:tc>
        <w:tc>
          <w:tcPr>
            <w:tcW w:w="4840" w:type="dxa"/>
            <w:vAlign w:val="bottom"/>
            <w:tcBorders>
              <w:top w:val="single" w:sz="8" w:color="0000EE"/>
            </w:tcBorders>
            <w:gridSpan w:val="9"/>
          </w:tcPr>
          <w:p>
            <w:pPr>
              <w:spacing w:after="0" w:line="129" w:lineRule="exact"/>
              <w:rPr>
                <w:rFonts w:ascii="Times New Roman" w:cs="Times New Roman" w:eastAsia="Times New Roman" w:hAnsi="Times New Roman"/>
                <w:sz w:val="14"/>
                <w:szCs w:val="14"/>
                <w:color w:val="0000EE"/>
              </w:rPr>
            </w:pPr>
            <w:hyperlink w:anchor="page41">
              <w:r>
                <w:rPr>
                  <w:rFonts w:ascii="Times New Roman" w:cs="Times New Roman" w:eastAsia="Times New Roman" w:hAnsi="Times New Roman"/>
                  <w:sz w:val="14"/>
                  <w:szCs w:val="14"/>
                  <w:color w:val="0000EE"/>
                </w:rPr>
                <w:t>Controls and Procedures</w:t>
              </w:r>
            </w:hyperlink>
          </w:p>
        </w:tc>
        <w:tc>
          <w:tcPr>
            <w:tcW w:w="3700" w:type="dxa"/>
            <w:vAlign w:val="bottom"/>
            <w:gridSpan w:val="8"/>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25"/>
        </w:trPr>
        <w:tc>
          <w:tcPr>
            <w:tcW w:w="21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PART II. OTHER INFORMATION</w:t>
            </w:r>
          </w:p>
        </w:tc>
        <w:tc>
          <w:tcPr>
            <w:tcW w:w="4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00" w:type="dxa"/>
            <w:vAlign w:val="bottom"/>
            <w:gridSpan w:val="2"/>
          </w:tcPr>
          <w:p>
            <w:pPr>
              <w:ind w:left="800"/>
              <w:spacing w:after="0" w:line="152" w:lineRule="exact"/>
              <w:rPr>
                <w:sz w:val="20"/>
                <w:szCs w:val="20"/>
                <w:color w:val="auto"/>
              </w:rPr>
            </w:pPr>
            <w:r>
              <w:rPr>
                <w:rFonts w:ascii="Times New Roman" w:cs="Times New Roman" w:eastAsia="Times New Roman" w:hAnsi="Times New Roman"/>
                <w:sz w:val="14"/>
                <w:szCs w:val="14"/>
                <w:b w:val="1"/>
                <w:bCs w:val="1"/>
                <w:color w:val="auto"/>
              </w:rPr>
              <w:t>Item 1.</w:t>
            </w:r>
          </w:p>
        </w:tc>
        <w:tc>
          <w:tcPr>
            <w:tcW w:w="8540" w:type="dxa"/>
            <w:vAlign w:val="bottom"/>
            <w:gridSpan w:val="17"/>
          </w:tcPr>
          <w:p>
            <w:pPr>
              <w:spacing w:after="0" w:line="152" w:lineRule="exact"/>
              <w:rPr>
                <w:rFonts w:ascii="Times New Roman" w:cs="Times New Roman" w:eastAsia="Times New Roman" w:hAnsi="Times New Roman"/>
                <w:sz w:val="14"/>
                <w:szCs w:val="14"/>
                <w:color w:val="0000EE"/>
              </w:rPr>
            </w:pPr>
            <w:hyperlink w:anchor="page41">
              <w:r>
                <w:rPr>
                  <w:rFonts w:ascii="Times New Roman" w:cs="Times New Roman" w:eastAsia="Times New Roman" w:hAnsi="Times New Roman"/>
                  <w:sz w:val="14"/>
                  <w:szCs w:val="14"/>
                  <w:color w:val="0000EE"/>
                </w:rPr>
                <w:t>Legal Proceedings</w:t>
              </w:r>
            </w:hyperlink>
          </w:p>
        </w:tc>
        <w:tc>
          <w:tcPr>
            <w:tcW w:w="7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Times New Roman" w:cs="Times New Roman" w:eastAsia="Times New Roman" w:hAnsi="Times New Roman"/>
                <w:sz w:val="14"/>
                <w:szCs w:val="14"/>
                <w:color w:val="0000EE"/>
              </w:rPr>
            </w:pPr>
            <w:hyperlink w:anchor="page41">
              <w:r>
                <w:rPr>
                  <w:rFonts w:ascii="Times New Roman" w:cs="Times New Roman" w:eastAsia="Times New Roman" w:hAnsi="Times New Roman"/>
                  <w:sz w:val="14"/>
                  <w:szCs w:val="14"/>
                  <w:color w:val="0000EE"/>
                </w:rPr>
                <w:t>Risk Factors</w:t>
              </w:r>
            </w:hyperlink>
          </w:p>
        </w:tc>
        <w:tc>
          <w:tcPr>
            <w:tcW w:w="7540" w:type="dxa"/>
            <w:vAlign w:val="bottom"/>
            <w:gridSpan w:val="14"/>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Times New Roman" w:cs="Times New Roman" w:eastAsia="Times New Roman" w:hAnsi="Times New Roman"/>
                <w:sz w:val="14"/>
                <w:szCs w:val="14"/>
                <w:b w:val="1"/>
                <w:bCs w:val="1"/>
                <w:color w:val="auto"/>
              </w:rPr>
              <w:t>Item 6.</w:t>
            </w:r>
          </w:p>
        </w:tc>
        <w:tc>
          <w:tcPr>
            <w:tcW w:w="680" w:type="dxa"/>
            <w:vAlign w:val="bottom"/>
            <w:tcBorders>
              <w:top w:val="single" w:sz="8" w:color="0000EE"/>
            </w:tcBorders>
            <w:gridSpan w:val="2"/>
          </w:tcPr>
          <w:p>
            <w:pPr>
              <w:spacing w:after="0" w:line="129" w:lineRule="exact"/>
              <w:rPr>
                <w:rFonts w:ascii="Times New Roman" w:cs="Times New Roman" w:eastAsia="Times New Roman" w:hAnsi="Times New Roman"/>
                <w:sz w:val="14"/>
                <w:szCs w:val="14"/>
                <w:color w:val="0000EE"/>
              </w:rPr>
            </w:pPr>
            <w:hyperlink w:anchor="page41">
              <w:r>
                <w:rPr>
                  <w:rFonts w:ascii="Times New Roman" w:cs="Times New Roman" w:eastAsia="Times New Roman" w:hAnsi="Times New Roman"/>
                  <w:sz w:val="14"/>
                  <w:szCs w:val="14"/>
                  <w:color w:val="0000EE"/>
                </w:rPr>
                <w:t>Exhibits</w:t>
              </w:r>
            </w:hyperlink>
          </w:p>
        </w:tc>
        <w:tc>
          <w:tcPr>
            <w:tcW w:w="7860" w:type="dxa"/>
            <w:vAlign w:val="bottom"/>
            <w:gridSpan w:val="15"/>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29"/>
        </w:trPr>
        <w:tc>
          <w:tcPr>
            <w:tcW w:w="2120" w:type="dxa"/>
            <w:vAlign w:val="bottom"/>
            <w:gridSpan w:val="3"/>
          </w:tcPr>
          <w:p>
            <w:pPr>
              <w:spacing w:after="0" w:line="129" w:lineRule="exact"/>
              <w:rPr>
                <w:rFonts w:ascii="Times New Roman" w:cs="Times New Roman" w:eastAsia="Times New Roman" w:hAnsi="Times New Roman"/>
                <w:sz w:val="14"/>
                <w:szCs w:val="14"/>
                <w:b w:val="1"/>
                <w:bCs w:val="1"/>
                <w:color w:val="0000EE"/>
              </w:rPr>
            </w:pPr>
            <w:hyperlink w:anchor="page42">
              <w:r>
                <w:rPr>
                  <w:rFonts w:ascii="Times New Roman" w:cs="Times New Roman" w:eastAsia="Times New Roman" w:hAnsi="Times New Roman"/>
                  <w:sz w:val="14"/>
                  <w:szCs w:val="14"/>
                  <w:b w:val="1"/>
                  <w:bCs w:val="1"/>
                  <w:color w:val="0000EE"/>
                </w:rPr>
                <w:t>SIGNATURES</w:t>
              </w:r>
            </w:hyperlink>
          </w:p>
        </w:tc>
        <w:tc>
          <w:tcPr>
            <w:tcW w:w="440" w:type="dxa"/>
            <w:vAlign w:val="bottom"/>
            <w:tcBorders>
              <w:top w:val="single" w:sz="8" w:color="0000EE"/>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This Quarterly Report on Form 10-Q is for the three and nine months ended September 30,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4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currently face a wide range of competition, and our business and results of operations could be adversely affected if we do not compete effectively</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behavior driven by new technologies may adversely affect our competitive position, businesses and results of operations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regulation by federal, state, local and foreign authorities, which may impose additional costs and restrictions on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economic conditions may have a negative impact on our results of operations and financial condition</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advertising expenditures or changes in advertising markets could negatively impact our results of operations</w:t>
      </w:r>
    </w:p>
    <w:p>
      <w:pPr>
        <w:spacing w:after="0" w:line="55" w:lineRule="exact"/>
        <w:rPr>
          <w:rFonts w:ascii="Times New Roman" w:cs="Times New Roman" w:eastAsia="Times New Roman" w:hAnsi="Times New Roman"/>
          <w:sz w:val="14"/>
          <w:szCs w:val="14"/>
          <w:color w:val="auto"/>
        </w:rPr>
      </w:pPr>
    </w:p>
    <w:p>
      <w:pPr>
        <w:ind w:left="1020" w:right="124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41" w:lineRule="exact"/>
        <w:rPr>
          <w:rFonts w:ascii="Times New Roman" w:cs="Times New Roman" w:eastAsia="Times New Roman" w:hAnsi="Times New Roman"/>
          <w:sz w:val="14"/>
          <w:szCs w:val="14"/>
          <w:color w:val="auto"/>
        </w:rPr>
      </w:pPr>
    </w:p>
    <w:p>
      <w:pPr>
        <w:ind w:left="1020" w:right="124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our programming distribution agreements, or the renewal of these agreements on less favorable terms, could adversely affect our businesses and results of operations</w:t>
      </w:r>
    </w:p>
    <w:p>
      <w:pPr>
        <w:spacing w:after="0" w:line="41"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depend on using and protecting certain intellectual property rights and on not infringing the intellectual property rights of others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depend on keeping pace with technological developments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DVDs have been declining</w:t>
      </w:r>
    </w:p>
    <w:p>
      <w:pPr>
        <w:spacing w:after="0" w:line="55" w:lineRule="exact"/>
        <w:rPr>
          <w:rFonts w:ascii="Times New Roman" w:cs="Times New Roman" w:eastAsia="Times New Roman" w:hAnsi="Times New Roman"/>
          <w:sz w:val="14"/>
          <w:szCs w:val="14"/>
          <w:color w:val="auto"/>
        </w:rPr>
      </w:pPr>
    </w:p>
    <w:p>
      <w:pPr>
        <w:ind w:left="1020" w:right="124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1"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obtain necessary hardware, software and operational support</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disputes, whether involving employees or sports organizations, may disrupt our operations and adversely affect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management personnel or popular on-air and creative talent could have an adverse effect on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relating to doing business internationally that could adversely affect our businesses</w:t>
      </w:r>
    </w:p>
    <w:p>
      <w:pPr>
        <w:spacing w:after="0" w:line="55"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controlled by Comcast, and GE has certain approval rights</w:t>
      </w:r>
    </w:p>
    <w:p>
      <w:pPr>
        <w:spacing w:after="0" w:line="55" w:lineRule="exact"/>
        <w:rPr>
          <w:rFonts w:ascii="Times New Roman" w:cs="Times New Roman" w:eastAsia="Times New Roman" w:hAnsi="Times New Roman"/>
          <w:sz w:val="14"/>
          <w:szCs w:val="14"/>
          <w:color w:val="auto"/>
        </w:rPr>
      </w:pPr>
    </w:p>
    <w:p>
      <w:pPr>
        <w:ind w:left="1020" w:right="1260" w:hanging="215"/>
        <w:spacing w:after="0" w:line="241" w:lineRule="auto"/>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Holdings may be required to purchase all or part of GE’s interests in NBCUniversal Holdings and may cause us to make distributions or loans to it to fund these purchases</w:t>
      </w:r>
    </w:p>
    <w:p>
      <w:pPr>
        <w:spacing w:after="0" w:line="41" w:lineRule="exact"/>
        <w:rPr>
          <w:rFonts w:ascii="Times New Roman" w:cs="Times New Roman" w:eastAsia="Times New Roman" w:hAnsi="Times New Roman"/>
          <w:sz w:val="14"/>
          <w:szCs w:val="14"/>
          <w:color w:val="auto"/>
        </w:rPr>
      </w:pPr>
    </w:p>
    <w:p>
      <w:pPr>
        <w:ind w:left="1020" w:hanging="21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Comcast and GE may compete with us in certain cases and have the ability on their own to pursue opportunities that might be attractive to us</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Successor</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vMerge w:val="continue"/>
          </w:tcPr>
          <w:p>
            <w:pPr>
              <w:spacing w:after="0"/>
              <w:rPr>
                <w:sz w:val="12"/>
                <w:szCs w:val="12"/>
                <w:color w:val="auto"/>
              </w:rPr>
            </w:pPr>
          </w:p>
        </w:tc>
        <w:tc>
          <w:tcPr>
            <w:tcW w:w="2220" w:type="dxa"/>
            <w:vAlign w:val="bottom"/>
            <w:tcBorders>
              <w:bottom w:val="single" w:sz="8" w:color="auto"/>
            </w:tcBorders>
            <w:gridSpan w:val="2"/>
          </w:tcPr>
          <w:p>
            <w:pPr>
              <w:ind w:left="960"/>
              <w:spacing w:after="0" w:line="142" w:lineRule="exact"/>
              <w:rPr>
                <w:sz w:val="20"/>
                <w:szCs w:val="20"/>
                <w:color w:val="auto"/>
              </w:rPr>
            </w:pPr>
            <w:r>
              <w:rPr>
                <w:rFonts w:ascii="Times New Roman" w:cs="Times New Roman" w:eastAsia="Times New Roman" w:hAnsi="Times New Roman"/>
                <w:sz w:val="14"/>
                <w:szCs w:val="14"/>
                <w:color w:val="auto"/>
              </w:rPr>
              <w:t>September 30, 2012</w:t>
            </w:r>
          </w:p>
        </w:tc>
        <w:tc>
          <w:tcPr>
            <w:tcW w:w="2200" w:type="dxa"/>
            <w:vAlign w:val="bottom"/>
            <w:tcBorders>
              <w:bottom w:val="single" w:sz="8" w:color="auto"/>
            </w:tcBorders>
            <w:gridSpan w:val="2"/>
          </w:tcPr>
          <w:p>
            <w:pPr>
              <w:ind w:left="920"/>
              <w:spacing w:after="0" w:line="142" w:lineRule="exact"/>
              <w:rPr>
                <w:sz w:val="20"/>
                <w:szCs w:val="20"/>
                <w:color w:val="auto"/>
              </w:rPr>
            </w:pPr>
            <w:r>
              <w:rPr>
                <w:rFonts w:ascii="Times New Roman" w:cs="Times New Roman" w:eastAsia="Times New Roman" w:hAnsi="Times New Roman"/>
                <w:sz w:val="14"/>
                <w:szCs w:val="14"/>
                <w:color w:val="auto"/>
              </w:rPr>
              <w:t>December 31, 2011</w:t>
            </w:r>
          </w:p>
        </w:tc>
        <w:tc>
          <w:tcPr>
            <w:tcW w:w="0" w:type="dxa"/>
            <w:vAlign w:val="bottom"/>
          </w:tcPr>
          <w:p>
            <w:pPr>
              <w:spacing w:after="0"/>
              <w:rPr>
                <w:sz w:val="1"/>
                <w:szCs w:val="1"/>
                <w:color w:val="auto"/>
              </w:rPr>
            </w:pPr>
          </w:p>
        </w:tc>
      </w:tr>
      <w:tr>
        <w:trPr>
          <w:trHeight w:val="210"/>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shd w:val="clear" w:color="auto" w:fill="E5E5E5"/>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4,214</w:t>
            </w:r>
          </w:p>
        </w:tc>
        <w:tc>
          <w:tcPr>
            <w:tcW w:w="1260" w:type="dxa"/>
            <w:vAlign w:val="bottom"/>
            <w:shd w:val="clear" w:color="auto" w:fill="E5E5E5"/>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4,265</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Programming rights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970</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372</w:t>
            </w: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0"/>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9,821</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4,920</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1,195</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1,038</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$980 and $637</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5,213</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14,872</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$3,038 and $2,462</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15,502</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177</w:t>
            </w: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bottom w:val="single" w:sz="8" w:color="auto"/>
            </w:tcBorders>
            <w:shd w:val="clear" w:color="auto" w:fill="E5E5E5"/>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52,738</w:t>
            </w:r>
          </w:p>
        </w:tc>
        <w:tc>
          <w:tcPr>
            <w:tcW w:w="1260" w:type="dxa"/>
            <w:vAlign w:val="bottom"/>
            <w:tcBorders>
              <w:bottom w:val="single" w:sz="8" w:color="auto"/>
            </w:tcBorders>
            <w:shd w:val="clear" w:color="auto" w:fill="E5E5E5"/>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2,464</w:t>
            </w:r>
          </w:p>
        </w:tc>
        <w:tc>
          <w:tcPr>
            <w:tcW w:w="1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1,282</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Program obligations</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556</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760</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1,315</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458</w:t>
            </w:r>
          </w:p>
        </w:tc>
        <w:tc>
          <w:tcPr>
            <w:tcW w:w="12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6,835</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9,235</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891</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242</w:t>
            </w:r>
          </w:p>
        </w:tc>
        <w:tc>
          <w:tcPr>
            <w:tcW w:w="12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2,979</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133</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Member’s capital</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31,685</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29,798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7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13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31,624</w:t>
            </w:r>
          </w:p>
        </w:tc>
        <w:tc>
          <w:tcPr>
            <w:tcW w:w="1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29,720</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417</w:t>
            </w: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32,041</w:t>
            </w:r>
          </w:p>
        </w:tc>
        <w:tc>
          <w:tcPr>
            <w:tcW w:w="12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52,738</w:t>
            </w:r>
          </w:p>
        </w:tc>
        <w:tc>
          <w:tcPr>
            <w:tcW w:w="1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Successor</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3"/>
          </w:tcPr>
          <w:p>
            <w:pPr>
              <w:jc w:val="right"/>
              <w:ind w:right="473"/>
              <w:spacing w:after="0" w:line="142" w:lineRule="exact"/>
              <w:rPr>
                <w:sz w:val="20"/>
                <w:szCs w:val="20"/>
                <w:color w:val="auto"/>
              </w:rPr>
            </w:pPr>
            <w:r>
              <w:rPr>
                <w:rFonts w:ascii="Times New Roman" w:cs="Times New Roman" w:eastAsia="Times New Roman" w:hAnsi="Times New Roman"/>
                <w:sz w:val="14"/>
                <w:szCs w:val="14"/>
                <w:color w:val="auto"/>
              </w:rPr>
              <w:t>Three Months Ended September 30</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0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10"/>
        </w:trPr>
        <w:tc>
          <w:tcPr>
            <w:tcW w:w="7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6,822</w:t>
            </w:r>
          </w:p>
        </w:tc>
        <w:tc>
          <w:tcPr>
            <w:tcW w:w="1080" w:type="dxa"/>
            <w:vAlign w:val="bottom"/>
            <w:shd w:val="clear" w:color="auto" w:fill="E5E5E5"/>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1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5,682</w:t>
            </w:r>
          </w:p>
        </w:tc>
        <w:tc>
          <w:tcPr>
            <w:tcW w:w="10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12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196</w:t>
            </w:r>
          </w:p>
        </w:tc>
        <w:tc>
          <w:tcPr>
            <w:tcW w:w="10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6,019</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10"/>
        </w:trPr>
        <w:tc>
          <w:tcPr>
            <w:tcW w:w="75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803</w:t>
            </w:r>
          </w:p>
        </w:tc>
        <w:tc>
          <w:tcPr>
            <w:tcW w:w="10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11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75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1,061</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990</w:t>
            </w:r>
          </w:p>
        </w:tc>
        <w:tc>
          <w:tcPr>
            <w:tcW w:w="10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1,793</w:t>
            </w:r>
          </w:p>
        </w:tc>
        <w:tc>
          <w:tcPr>
            <w:tcW w:w="10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1,721</w:t>
            </w:r>
          </w:p>
        </w:tc>
        <w:tc>
          <w:tcPr>
            <w:tcW w:w="10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1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0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1,672</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469</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5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66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center"/>
              <w:ind w:right="13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5120" w:type="dxa"/>
            <w:vAlign w:val="bottom"/>
          </w:tcPr>
          <w:p>
            <w:pPr>
              <w:spacing w:after="0"/>
              <w:rPr>
                <w:sz w:val="12"/>
                <w:szCs w:val="12"/>
                <w:color w:val="auto"/>
              </w:rPr>
            </w:pPr>
          </w:p>
        </w:tc>
        <w:tc>
          <w:tcPr>
            <w:tcW w:w="220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860" w:type="dxa"/>
            <w:vAlign w:val="bottom"/>
            <w:tcBorders>
              <w:right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600" w:type="dxa"/>
            <w:vAlign w:val="bottom"/>
          </w:tcPr>
          <w:p>
            <w:pPr>
              <w:spacing w:after="0"/>
              <w:rPr>
                <w:sz w:val="12"/>
                <w:szCs w:val="12"/>
                <w:color w:val="auto"/>
              </w:rPr>
            </w:pPr>
          </w:p>
        </w:tc>
        <w:tc>
          <w:tcPr>
            <w:tcW w:w="1640" w:type="dxa"/>
            <w:vAlign w:val="bottom"/>
            <w:gridSpan w:val="2"/>
          </w:tcPr>
          <w:p>
            <w:pPr>
              <w:jc w:val="center"/>
              <w:ind w:left="35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r>
      <w:tr>
        <w:trPr>
          <w:trHeight w:val="161"/>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 2012</w:t>
            </w:r>
          </w:p>
        </w:tc>
        <w:tc>
          <w:tcPr>
            <w:tcW w:w="18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September 30, 2011</w:t>
            </w: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37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5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60" w:type="dxa"/>
            <w:vAlign w:val="bottom"/>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17,798</w:t>
            </w:r>
          </w:p>
        </w:tc>
        <w:tc>
          <w:tcPr>
            <w:tcW w:w="1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13,290</w:t>
            </w:r>
          </w:p>
        </w:tc>
        <w:tc>
          <w:tcPr>
            <w:tcW w:w="660" w:type="dxa"/>
            <w:vAlign w:val="bottom"/>
            <w:tcBorders>
              <w:right w:val="single" w:sz="8" w:color="auto"/>
            </w:tcBorders>
            <w:shd w:val="clear" w:color="auto" w:fill="E5E5E5"/>
          </w:tcPr>
          <w:p>
            <w:pPr>
              <w:spacing w:after="0"/>
              <w:rPr>
                <w:sz w:val="18"/>
                <w:szCs w:val="18"/>
                <w:color w:val="auto"/>
              </w:rPr>
            </w:pPr>
          </w:p>
        </w:tc>
        <w:tc>
          <w:tcPr>
            <w:tcW w:w="12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14,863</w:t>
            </w:r>
          </w:p>
        </w:tc>
        <w:tc>
          <w:tcPr>
            <w:tcW w:w="1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10,946</w:t>
            </w:r>
          </w:p>
        </w:tc>
        <w:tc>
          <w:tcPr>
            <w:tcW w:w="660" w:type="dxa"/>
            <w:vAlign w:val="bottom"/>
            <w:tcBorders>
              <w:right w:val="single" w:sz="8" w:color="auto"/>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w:t>
            </w:r>
          </w:p>
        </w:tc>
        <w:tc>
          <w:tcPr>
            <w:tcW w:w="6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1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tcBorders>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511</w:t>
            </w:r>
          </w:p>
        </w:tc>
        <w:tc>
          <w:tcPr>
            <w:tcW w:w="660" w:type="dxa"/>
            <w:vAlign w:val="bottom"/>
            <w:tcBorders>
              <w:bottom w:val="single" w:sz="8" w:color="auto"/>
              <w:right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15,832</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11,719</w:t>
            </w:r>
          </w:p>
        </w:tc>
        <w:tc>
          <w:tcPr>
            <w:tcW w:w="6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1,198</w:t>
            </w:r>
          </w:p>
        </w:tc>
      </w:tr>
      <w:tr>
        <w:trPr>
          <w:trHeight w:val="210"/>
        </w:trPr>
        <w:tc>
          <w:tcPr>
            <w:tcW w:w="5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1,571</w:t>
            </w:r>
          </w:p>
        </w:tc>
        <w:tc>
          <w:tcPr>
            <w:tcW w:w="660" w:type="dxa"/>
            <w:vAlign w:val="bottom"/>
            <w:tcBorders>
              <w:right w:val="single" w:sz="8" w:color="auto"/>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8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tcBorders>
              <w:right w:val="single" w:sz="8" w:color="auto"/>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8"/>
                <w:szCs w:val="18"/>
                <w:color w:val="auto"/>
              </w:rPr>
            </w:pPr>
          </w:p>
        </w:tc>
        <w:tc>
          <w:tcPr>
            <w:tcW w:w="13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1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right w:val="single" w:sz="8" w:color="auto"/>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1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tcBorders>
            <w:shd w:val="clear" w:color="auto" w:fill="E5E5E5"/>
          </w:tcPr>
          <w:p>
            <w:pPr>
              <w:jc w:val="right"/>
              <w:ind w:right="513"/>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60" w:type="dxa"/>
            <w:vAlign w:val="bottom"/>
            <w:tcBorders>
              <w:bottom w:val="single" w:sz="8" w:color="auto"/>
              <w:right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1,456</w:t>
            </w:r>
          </w:p>
        </w:tc>
        <w:tc>
          <w:tcPr>
            <w:tcW w:w="6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1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6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tcBorders>
            <w:shd w:val="clear" w:color="auto" w:fill="E5E5E5"/>
          </w:tcPr>
          <w:p>
            <w:pPr>
              <w:jc w:val="right"/>
              <w:ind w:right="453"/>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60" w:type="dxa"/>
            <w:vAlign w:val="bottom"/>
            <w:tcBorders>
              <w:bottom w:val="single" w:sz="8" w:color="auto"/>
              <w:right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1,307</w:t>
            </w:r>
          </w:p>
        </w:tc>
        <w:tc>
          <w:tcPr>
            <w:tcW w:w="6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1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6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tcBorders>
            <w:shd w:val="clear" w:color="auto" w:fill="E5E5E5"/>
          </w:tcPr>
          <w:p>
            <w:pPr>
              <w:jc w:val="right"/>
              <w:ind w:right="453"/>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tcBorders>
              <w:bottom w:val="single" w:sz="8" w:color="auto"/>
              <w:right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2,570</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1,189</w:t>
            </w:r>
          </w:p>
        </w:tc>
        <w:tc>
          <w:tcPr>
            <w:tcW w:w="6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96"/>
              </w:rPr>
              <w:t>Successor</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gridSpan w:val="3"/>
          </w:tcPr>
          <w:p>
            <w:pPr>
              <w:jc w:val="center"/>
              <w:ind w:right="174"/>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0" w:type="dxa"/>
            <w:vAlign w:val="bottom"/>
          </w:tcPr>
          <w:p>
            <w:pPr>
              <w:spacing w:after="0"/>
              <w:rPr>
                <w:sz w:val="1"/>
                <w:szCs w:val="1"/>
                <w:color w:val="auto"/>
              </w:rPr>
            </w:pPr>
          </w:p>
        </w:tc>
      </w:tr>
      <w:tr>
        <w:trPr>
          <w:trHeight w:val="161"/>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95"/>
              </w:rPr>
              <w:t>September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0" w:type="dxa"/>
            <w:vAlign w:val="bottom"/>
          </w:tcPr>
          <w:p>
            <w:pPr>
              <w:spacing w:after="0"/>
              <w:rPr>
                <w:sz w:val="1"/>
                <w:szCs w:val="1"/>
                <w:color w:val="auto"/>
              </w:rPr>
            </w:pPr>
          </w:p>
        </w:tc>
      </w:tr>
      <w:tr>
        <w:trPr>
          <w:trHeight w:val="210"/>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300" w:type="dxa"/>
            <w:vAlign w:val="bottom"/>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$1,721</w:t>
            </w: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obligations, net</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Currency translation adjustments, net</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300" w:type="dxa"/>
            <w:vAlign w:val="bottom"/>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300" w:type="dxa"/>
            <w:vAlign w:val="bottom"/>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1,755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3"/>
        </w:trPr>
        <w:tc>
          <w:tcPr>
            <w:tcW w:w="522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w:t>
            </w:r>
          </w:p>
        </w:tc>
        <w:tc>
          <w:tcPr>
            <w:tcW w:w="90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20" w:type="dxa"/>
            <w:vAlign w:val="bottom"/>
            <w:tcBorders>
              <w:right w:val="single" w:sz="8" w:color="E5E5E5"/>
            </w:tcBorders>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2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NBCUniversal</w:t>
            </w:r>
          </w:p>
        </w:tc>
        <w:tc>
          <w:tcPr>
            <w:tcW w:w="900" w:type="dxa"/>
            <w:vAlign w:val="bottom"/>
            <w:tcBorders>
              <w:bottom w:val="single" w:sz="8" w:color="auto"/>
            </w:tcBorders>
            <w:shd w:val="clear" w:color="auto" w:fill="E5E5E5"/>
          </w:tcPr>
          <w:p>
            <w:pPr>
              <w:spacing w:after="0"/>
              <w:rPr>
                <w:sz w:val="20"/>
                <w:szCs w:val="20"/>
                <w:color w:val="auto"/>
              </w:rPr>
            </w:pPr>
          </w:p>
        </w:tc>
        <w:tc>
          <w:tcPr>
            <w:tcW w:w="1280" w:type="dxa"/>
            <w:vAlign w:val="bottom"/>
            <w:tcBorders>
              <w:bottom w:val="single" w:sz="8" w:color="auto"/>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1080" w:type="dxa"/>
            <w:vAlign w:val="bottom"/>
            <w:tcBorders>
              <w:bottom w:val="single" w:sz="8" w:color="auto"/>
            </w:tcBorders>
            <w:shd w:val="clear" w:color="auto" w:fill="E5E5E5"/>
          </w:tcPr>
          <w:p>
            <w:pPr>
              <w:spacing w:after="0"/>
              <w:rPr>
                <w:sz w:val="20"/>
                <w:szCs w:val="20"/>
                <w:color w:val="auto"/>
              </w:rPr>
            </w:pPr>
          </w:p>
        </w:tc>
        <w:tc>
          <w:tcPr>
            <w:tcW w:w="500" w:type="dxa"/>
            <w:vAlign w:val="bottom"/>
            <w:tcBorders>
              <w:bottom w:val="single" w:sz="8" w:color="auto"/>
            </w:tcBorders>
            <w:shd w:val="clear" w:color="auto" w:fill="E5E5E5"/>
          </w:tcPr>
          <w:p>
            <w:pPr>
              <w:spacing w:after="0"/>
              <w:rPr>
                <w:sz w:val="20"/>
                <w:szCs w:val="20"/>
                <w:color w:val="auto"/>
              </w:rPr>
            </w:pPr>
          </w:p>
        </w:tc>
        <w:tc>
          <w:tcPr>
            <w:tcW w:w="1300" w:type="dxa"/>
            <w:vAlign w:val="bottom"/>
            <w:tcBorders>
              <w:bottom w:val="single" w:sz="8" w:color="auto"/>
            </w:tcBorders>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$1,706</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457</w:t>
            </w:r>
          </w:p>
        </w:tc>
        <w:tc>
          <w:tcPr>
            <w:tcW w:w="0" w:type="dxa"/>
            <w:vAlign w:val="bottom"/>
          </w:tcPr>
          <w:p>
            <w:pPr>
              <w:spacing w:after="0"/>
              <w:rPr>
                <w:sz w:val="1"/>
                <w:szCs w:val="1"/>
                <w:color w:val="auto"/>
              </w:rPr>
            </w:pPr>
          </w:p>
        </w:tc>
      </w:tr>
      <w:tr>
        <w:trPr>
          <w:trHeight w:val="351"/>
        </w:trPr>
        <w:tc>
          <w:tcPr>
            <w:tcW w:w="5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4"/>
                <w:szCs w:val="14"/>
                <w:color w:val="auto"/>
                <w:w w:val="98"/>
              </w:rPr>
              <w:t>Predecessor</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9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jc w:val="center"/>
              <w:ind w:right="13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18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12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3"/>
          </w:tcPr>
          <w:p>
            <w:pPr>
              <w:jc w:val="center"/>
              <w:ind w:left="31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c>
          <w:tcPr>
            <w:tcW w:w="0" w:type="dxa"/>
            <w:vAlign w:val="bottom"/>
          </w:tcPr>
          <w:p>
            <w:pPr>
              <w:spacing w:after="0"/>
              <w:rPr>
                <w:sz w:val="1"/>
                <w:szCs w:val="1"/>
                <w:color w:val="auto"/>
              </w:rPr>
            </w:pPr>
          </w:p>
        </w:tc>
      </w:tr>
      <w:tr>
        <w:trPr>
          <w:trHeight w:val="161"/>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September 30, 2012</w:t>
            </w: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September 30, 2011</w:t>
            </w:r>
          </w:p>
        </w:tc>
        <w:tc>
          <w:tcPr>
            <w:tcW w:w="1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5"/>
              </w:rPr>
              <w:t>January 28, 2011</w:t>
            </w:r>
          </w:p>
        </w:tc>
        <w:tc>
          <w:tcPr>
            <w:tcW w:w="0" w:type="dxa"/>
            <w:vAlign w:val="bottom"/>
          </w:tcPr>
          <w:p>
            <w:pPr>
              <w:spacing w:after="0"/>
              <w:rPr>
                <w:sz w:val="1"/>
                <w:szCs w:val="1"/>
                <w:color w:val="auto"/>
              </w:rPr>
            </w:pPr>
          </w:p>
        </w:tc>
      </w:tr>
      <w:tr>
        <w:trPr>
          <w:trHeight w:val="210"/>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11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obligations, net</w:t>
            </w:r>
          </w:p>
        </w:tc>
        <w:tc>
          <w:tcPr>
            <w:tcW w:w="900" w:type="dxa"/>
            <w:vAlign w:val="bottom"/>
          </w:tcPr>
          <w:p>
            <w:pPr>
              <w:spacing w:after="0"/>
              <w:rPr>
                <w:sz w:val="18"/>
                <w:szCs w:val="18"/>
                <w:color w:val="auto"/>
              </w:rPr>
            </w:pPr>
          </w:p>
        </w:tc>
        <w:tc>
          <w:tcPr>
            <w:tcW w:w="12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Currency translation adjustments, net</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color w:val="auto"/>
              </w:rPr>
              <w:t>2,704</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color w:val="auto"/>
              </w:rPr>
              <w:t>1,294</w:t>
            </w:r>
          </w:p>
        </w:tc>
        <w:tc>
          <w:tcPr>
            <w:tcW w:w="500" w:type="dxa"/>
            <w:vAlign w:val="bottom"/>
            <w:shd w:val="clear" w:color="auto" w:fill="E5E5E5"/>
          </w:tcPr>
          <w:p>
            <w:pPr>
              <w:spacing w:after="0"/>
              <w:rPr>
                <w:sz w:val="18"/>
                <w:szCs w:val="18"/>
                <w:color w:val="auto"/>
              </w:rPr>
            </w:pPr>
          </w:p>
        </w:tc>
        <w:tc>
          <w:tcPr>
            <w:tcW w:w="1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NBCUniversal</w:t>
            </w:r>
          </w:p>
        </w:tc>
        <w:tc>
          <w:tcPr>
            <w:tcW w:w="90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E5E5E5"/>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2,587</w:t>
            </w:r>
          </w:p>
        </w:tc>
        <w:tc>
          <w:tcPr>
            <w:tcW w:w="140" w:type="dxa"/>
            <w:vAlign w:val="bottom"/>
            <w:tcBorders>
              <w:bottom w:val="single" w:sz="8" w:color="auto"/>
            </w:tcBorders>
            <w:shd w:val="clear" w:color="auto" w:fill="E5E5E5"/>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1,176</w:t>
            </w:r>
          </w:p>
        </w:tc>
        <w:tc>
          <w:tcPr>
            <w:tcW w:w="5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right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5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93"/>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6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jc w:val="center"/>
              <w:ind w:right="13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5220" w:type="dxa"/>
            <w:vAlign w:val="bottom"/>
          </w:tcPr>
          <w:p>
            <w:pPr>
              <w:spacing w:after="0"/>
              <w:rPr>
                <w:sz w:val="12"/>
                <w:szCs w:val="12"/>
                <w:color w:val="auto"/>
              </w:rPr>
            </w:pPr>
          </w:p>
        </w:tc>
        <w:tc>
          <w:tcPr>
            <w:tcW w:w="218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840" w:type="dxa"/>
            <w:vAlign w:val="bottom"/>
            <w:tcBorders>
              <w:right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580" w:type="dxa"/>
            <w:vAlign w:val="bottom"/>
          </w:tcPr>
          <w:p>
            <w:pPr>
              <w:spacing w:after="0"/>
              <w:rPr>
                <w:sz w:val="12"/>
                <w:szCs w:val="12"/>
                <w:color w:val="auto"/>
              </w:rPr>
            </w:pPr>
          </w:p>
        </w:tc>
        <w:tc>
          <w:tcPr>
            <w:tcW w:w="1600" w:type="dxa"/>
            <w:vAlign w:val="bottom"/>
            <w:gridSpan w:val="2"/>
          </w:tcPr>
          <w:p>
            <w:pPr>
              <w:jc w:val="center"/>
              <w:ind w:left="31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r>
      <w:tr>
        <w:trPr>
          <w:trHeight w:val="161"/>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September 30, 2012</w:t>
            </w:r>
          </w:p>
        </w:tc>
        <w:tc>
          <w:tcPr>
            <w:tcW w:w="1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September 30, 2011</w:t>
            </w: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33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86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E5E5E5"/>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2,529</w:t>
            </w:r>
          </w:p>
        </w:tc>
        <w:tc>
          <w:tcPr>
            <w:tcW w:w="140" w:type="dxa"/>
            <w:vAlign w:val="bottom"/>
            <w:tcBorders>
              <w:bottom w:val="single" w:sz="8" w:color="auto"/>
            </w:tcBorders>
            <w:shd w:val="clear" w:color="auto" w:fill="E5E5E5"/>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1,712</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33"/>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860" w:type="dxa"/>
            <w:vAlign w:val="bottom"/>
          </w:tcPr>
          <w:p>
            <w:pPr>
              <w:spacing w:after="0"/>
              <w:rPr>
                <w:sz w:val="18"/>
                <w:szCs w:val="18"/>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33"/>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 of businesses and investments</w:t>
            </w:r>
          </w:p>
        </w:tc>
        <w:tc>
          <w:tcPr>
            <w:tcW w:w="86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33"/>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8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2,314</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315</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33"/>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949</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860" w:type="dxa"/>
            <w:vAlign w:val="bottom"/>
          </w:tcPr>
          <w:p>
            <w:pPr>
              <w:spacing w:after="0"/>
              <w:rPr>
                <w:sz w:val="18"/>
                <w:szCs w:val="18"/>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borrowings from Comcast</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decrease in short-term loans to GE, net</w:t>
            </w:r>
          </w:p>
        </w:tc>
        <w:tc>
          <w:tcPr>
            <w:tcW w:w="86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8,072</w:t>
            </w: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Dividends paid</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Distributions to member</w:t>
            </w:r>
          </w:p>
        </w:tc>
        <w:tc>
          <w:tcPr>
            <w:tcW w:w="860" w:type="dxa"/>
            <w:vAlign w:val="bottom"/>
          </w:tcPr>
          <w:p>
            <w:pPr>
              <w:spacing w:after="0"/>
              <w:rPr>
                <w:sz w:val="18"/>
                <w:szCs w:val="18"/>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Repurchase of preferred stock interest</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E5E5"/>
          </w:tcPr>
          <w:p>
            <w:pPr>
              <w:spacing w:after="0"/>
              <w:rPr>
                <w:sz w:val="18"/>
                <w:szCs w:val="18"/>
                <w:color w:val="auto"/>
              </w:rPr>
            </w:pPr>
          </w:p>
        </w:tc>
        <w:tc>
          <w:tcPr>
            <w:tcW w:w="1700" w:type="dxa"/>
            <w:vAlign w:val="bottom"/>
            <w:tcBorders>
              <w:right w:val="single" w:sz="8" w:color="auto"/>
            </w:tcBorders>
            <w:gridSpan w:val="2"/>
            <w:shd w:val="clear" w:color="auto" w:fill="E5E5E5"/>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86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2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86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33"/>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Purchases of noncontrolling interests</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(1,437)</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6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3,406</w:t>
            </w: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538</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6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493"/>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508</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1,084</w:t>
            </w:r>
          </w:p>
        </w:tc>
      </w:tr>
      <w:tr>
        <w:trPr>
          <w:trHeight w:val="217"/>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4,214</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1,046</w:t>
            </w:r>
          </w:p>
        </w:tc>
        <w:tc>
          <w:tcPr>
            <w:tcW w:w="6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470</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color w:val="auto"/>
                <w:w w:val="96"/>
              </w:rPr>
              <w:t>Accumulated</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center"/>
              <w:ind w:right="354"/>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4"/>
                <w:szCs w:val="14"/>
                <w:color w:val="auto"/>
              </w:rPr>
              <w:t>(in millions)</w:t>
            </w:r>
          </w:p>
        </w:tc>
        <w:tc>
          <w:tcPr>
            <w:tcW w:w="8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1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60" w:type="dxa"/>
            <w:vAlign w:val="bottom"/>
            <w:gridSpan w:val="2"/>
          </w:tcPr>
          <w:p>
            <w:pPr>
              <w:jc w:val="center"/>
              <w:ind w:left="23"/>
              <w:spacing w:after="0" w:line="149" w:lineRule="exact"/>
              <w:rPr>
                <w:sz w:val="20"/>
                <w:szCs w:val="20"/>
                <w:color w:val="auto"/>
              </w:rPr>
            </w:pPr>
            <w:r>
              <w:rPr>
                <w:rFonts w:ascii="Times New Roman" w:cs="Times New Roman" w:eastAsia="Times New Roman" w:hAnsi="Times New Roman"/>
                <w:sz w:val="14"/>
                <w:szCs w:val="14"/>
                <w:color w:val="auto"/>
                <w:w w:val="95"/>
              </w:rPr>
              <w:t>Comprehensive</w:t>
            </w:r>
          </w:p>
        </w:tc>
        <w:tc>
          <w:tcPr>
            <w:tcW w:w="14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940" w:type="dxa"/>
            <w:vAlign w:val="bottom"/>
          </w:tcPr>
          <w:p>
            <w:pPr>
              <w:jc w:val="center"/>
              <w:ind w:left="55"/>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1"/>
        </w:trPr>
        <w:tc>
          <w:tcPr>
            <w:tcW w:w="4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color w:val="auto"/>
              </w:rPr>
              <w:t>Capital</w:t>
            </w:r>
          </w:p>
        </w:tc>
        <w:tc>
          <w:tcPr>
            <w:tcW w:w="11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Earnings</w:t>
            </w:r>
          </w:p>
        </w:tc>
        <w:tc>
          <w:tcPr>
            <w:tcW w:w="1460" w:type="dxa"/>
            <w:vAlign w:val="bottom"/>
            <w:tcBorders>
              <w:bottom w:val="single" w:sz="8" w:color="auto"/>
            </w:tcBorders>
            <w:gridSpan w:val="2"/>
          </w:tcPr>
          <w:p>
            <w:pPr>
              <w:jc w:val="center"/>
              <w:ind w:left="23"/>
              <w:spacing w:after="0"/>
              <w:rPr>
                <w:sz w:val="20"/>
                <w:szCs w:val="20"/>
                <w:color w:val="auto"/>
              </w:rPr>
            </w:pPr>
            <w:r>
              <w:rPr>
                <w:rFonts w:ascii="Times New Roman" w:cs="Times New Roman" w:eastAsia="Times New Roman" w:hAnsi="Times New Roman"/>
                <w:sz w:val="14"/>
                <w:szCs w:val="14"/>
                <w:color w:val="auto"/>
                <w:w w:val="98"/>
              </w:rPr>
              <w:t>Income (Loss)</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Interests</w:t>
            </w:r>
          </w:p>
        </w:tc>
        <w:tc>
          <w:tcPr>
            <w:tcW w:w="94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210"/>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January 1, 2011</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$23,592</w:t>
            </w:r>
          </w:p>
        </w:tc>
        <w:tc>
          <w:tcPr>
            <w:tcW w:w="680" w:type="dxa"/>
            <w:vAlign w:val="bottom"/>
            <w:shd w:val="clear" w:color="auto" w:fill="E5E5E5"/>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88"/>
              </w:rPr>
              <w:t>320</w:t>
            </w:r>
          </w:p>
        </w:tc>
        <w:tc>
          <w:tcPr>
            <w:tcW w:w="54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5E5E5"/>
          </w:tcPr>
          <w:p>
            <w:pPr>
              <w:jc w:val="right"/>
              <w:ind w:right="114"/>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$23,817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140" w:type="dxa"/>
            <w:vAlign w:val="bottom"/>
            <w:gridSpan w:val="2"/>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(297)</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9"/>
              </w:rPr>
              <w:t>(23)</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January 28, 2011</w:t>
            </w:r>
          </w:p>
        </w:tc>
        <w:tc>
          <w:tcPr>
            <w:tcW w:w="16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$15,463</w:t>
            </w:r>
          </w:p>
        </w:tc>
        <w:tc>
          <w:tcPr>
            <w:tcW w:w="680" w:type="dxa"/>
            <w:vAlign w:val="bottom"/>
            <w:tcBorders>
              <w:bottom w:val="single" w:sz="8" w:color="auto"/>
            </w:tcBorders>
            <w:shd w:val="clear" w:color="auto" w:fill="E5E5E5"/>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E5E5E5"/>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(10)</w:t>
            </w:r>
          </w:p>
        </w:tc>
        <w:tc>
          <w:tcPr>
            <w:tcW w:w="44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(82)</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$15,371</w:t>
            </w:r>
          </w:p>
        </w:tc>
        <w:tc>
          <w:tcPr>
            <w:tcW w:w="0" w:type="dxa"/>
            <w:vAlign w:val="bottom"/>
          </w:tcPr>
          <w:p>
            <w:pPr>
              <w:spacing w:after="0"/>
              <w:rPr>
                <w:sz w:val="1"/>
                <w:szCs w:val="1"/>
                <w:color w:val="auto"/>
              </w:rPr>
            </w:pPr>
          </w:p>
        </w:tc>
      </w:tr>
      <w:tr>
        <w:trPr>
          <w:trHeight w:val="271"/>
        </w:trPr>
        <w:tc>
          <w:tcPr>
            <w:tcW w:w="4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gridSpan w:val="2"/>
          </w:tcPr>
          <w:p>
            <w:pPr>
              <w:jc w:val="center"/>
              <w:ind w:right="254"/>
              <w:spacing w:after="0"/>
              <w:rPr>
                <w:sz w:val="20"/>
                <w:szCs w:val="20"/>
                <w:color w:val="auto"/>
              </w:rPr>
            </w:pPr>
            <w:r>
              <w:rPr>
                <w:rFonts w:ascii="Times New Roman" w:cs="Times New Roman" w:eastAsia="Times New Roman" w:hAnsi="Times New Roman"/>
                <w:sz w:val="14"/>
                <w:szCs w:val="14"/>
                <w:color w:val="auto"/>
                <w:w w:val="96"/>
              </w:rPr>
              <w:t>Accumulated</w:t>
            </w: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center"/>
              <w:ind w:right="234"/>
              <w:spacing w:after="0" w:line="149" w:lineRule="exact"/>
              <w:rPr>
                <w:sz w:val="20"/>
                <w:szCs w:val="20"/>
                <w:color w:val="auto"/>
              </w:rPr>
            </w:pPr>
            <w:r>
              <w:rPr>
                <w:rFonts w:ascii="Times New Roman" w:cs="Times New Roman" w:eastAsia="Times New Roman" w:hAnsi="Times New Roman"/>
                <w:sz w:val="14"/>
                <w:szCs w:val="14"/>
                <w:color w:val="auto"/>
                <w:w w:val="93"/>
              </w:rPr>
              <w:t>Other</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Member’s</w:t>
            </w:r>
          </w:p>
        </w:tc>
        <w:tc>
          <w:tcPr>
            <w:tcW w:w="460" w:type="dxa"/>
            <w:vAlign w:val="bottom"/>
          </w:tcPr>
          <w:p>
            <w:pPr>
              <w:spacing w:after="0"/>
              <w:rPr>
                <w:sz w:val="12"/>
                <w:szCs w:val="12"/>
                <w:color w:val="auto"/>
              </w:rPr>
            </w:pPr>
          </w:p>
        </w:tc>
        <w:tc>
          <w:tcPr>
            <w:tcW w:w="1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940" w:type="dxa"/>
            <w:vAlign w:val="bottom"/>
          </w:tcPr>
          <w:p>
            <w:pPr>
              <w:jc w:val="center"/>
              <w:ind w:left="55"/>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1"/>
        </w:trPr>
        <w:tc>
          <w:tcPr>
            <w:tcW w:w="4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Capital</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34"/>
              <w:spacing w:after="0"/>
              <w:rPr>
                <w:sz w:val="20"/>
                <w:szCs w:val="20"/>
                <w:color w:val="auto"/>
              </w:rPr>
            </w:pPr>
            <w:r>
              <w:rPr>
                <w:rFonts w:ascii="Times New Roman" w:cs="Times New Roman" w:eastAsia="Times New Roman" w:hAnsi="Times New Roman"/>
                <w:sz w:val="14"/>
                <w:szCs w:val="14"/>
                <w:color w:val="auto"/>
                <w:w w:val="95"/>
              </w:rPr>
              <w:t>Income (Loss)</w:t>
            </w:r>
          </w:p>
        </w:tc>
        <w:tc>
          <w:tcPr>
            <w:tcW w:w="1440" w:type="dxa"/>
            <w:vAlign w:val="bottom"/>
            <w:tcBorders>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4"/>
                <w:szCs w:val="14"/>
                <w:color w:val="auto"/>
              </w:rPr>
              <w:t>Interests</w:t>
            </w:r>
          </w:p>
        </w:tc>
        <w:tc>
          <w:tcPr>
            <w:tcW w:w="94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210"/>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Member’s equity, remeasured at January 28, 2011</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5E5E5"/>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262</w:t>
            </w:r>
          </w:p>
        </w:tc>
        <w:tc>
          <w:tcPr>
            <w:tcW w:w="94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$24,351</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Contribution of Comcast Content Business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10"/>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member’s equity at January 28, 2011</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28,433</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color w:val="auto"/>
              </w:rPr>
              <w:t>319</w:t>
            </w:r>
          </w:p>
        </w:tc>
        <w:tc>
          <w:tcPr>
            <w:tcW w:w="94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28,752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2"/>
        </w:trPr>
        <w:tc>
          <w:tcPr>
            <w:tcW w:w="46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subsidiary shares to noncontrolling</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4"/>
        </w:trPr>
        <w:tc>
          <w:tcPr>
            <w:tcW w:w="4640" w:type="dxa"/>
            <w:vAlign w:val="bottom"/>
            <w:shd w:val="clear" w:color="auto" w:fill="E5E5E5"/>
          </w:tcPr>
          <w:p>
            <w:pPr>
              <w:spacing w:after="0" w:line="204" w:lineRule="exact"/>
              <w:rPr>
                <w:sz w:val="20"/>
                <w:szCs w:val="20"/>
                <w:color w:val="auto"/>
              </w:rPr>
            </w:pPr>
            <w:r>
              <w:rPr>
                <w:rFonts w:ascii="Times New Roman" w:cs="Times New Roman" w:eastAsia="Times New Roman" w:hAnsi="Times New Roman"/>
                <w:sz w:val="18"/>
                <w:szCs w:val="18"/>
                <w:color w:val="auto"/>
              </w:rPr>
              <w:t>Contributions from (distributions to)</w:t>
            </w:r>
          </w:p>
        </w:tc>
        <w:tc>
          <w:tcPr>
            <w:tcW w:w="1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noncontrolling interests, net</w:t>
            </w:r>
          </w:p>
        </w:tc>
        <w:tc>
          <w:tcPr>
            <w:tcW w:w="16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46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4"/>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2011</w:t>
            </w:r>
          </w:p>
        </w:tc>
        <w:tc>
          <w:tcPr>
            <w:tcW w:w="1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$29,369</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E5E5E5"/>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(13)</w:t>
            </w:r>
          </w:p>
        </w:tc>
        <w:tc>
          <w:tcPr>
            <w:tcW w:w="4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347</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$29,703</w:t>
            </w:r>
          </w:p>
        </w:tc>
        <w:tc>
          <w:tcPr>
            <w:tcW w:w="0" w:type="dxa"/>
            <w:vAlign w:val="bottom"/>
          </w:tcPr>
          <w:p>
            <w:pPr>
              <w:spacing w:after="0"/>
              <w:rPr>
                <w:sz w:val="1"/>
                <w:szCs w:val="1"/>
                <w:color w:val="auto"/>
              </w:rPr>
            </w:pPr>
          </w:p>
        </w:tc>
      </w:tr>
      <w:tr>
        <w:trPr>
          <w:trHeight w:val="30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$29,798</w:t>
            </w:r>
          </w:p>
        </w:tc>
        <w:tc>
          <w:tcPr>
            <w:tcW w:w="46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361</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8"/>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Compensation plans</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w w:val="98"/>
              </w:rPr>
              <w:t>Contributions from (distributions to) noncontrolling interests, net</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(134)</w:t>
            </w: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4"/>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2012</w:t>
            </w:r>
          </w:p>
        </w:tc>
        <w:tc>
          <w:tcPr>
            <w:tcW w:w="1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$31,685</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E5E5E5"/>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(61)</w:t>
            </w:r>
          </w:p>
        </w:tc>
        <w:tc>
          <w:tcPr>
            <w:tcW w:w="4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417</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$32,041</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80"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The results of operations of the businesses contributed by Comcast to NBCUniversal (the “Comcast Content Business”) and the results of operations of Universal Orlando have been consolidated with our results following their respective transaction dates. For a more complete discussion of the Joint Venture and Universal Orlando transactions, refer to our consolidated financial statements included in our 2011 Annual Report on Form 10-K.</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change in control of our company on January 28, 2011, Comcast has applied the acquisition method of accounting with respect to the assets and liabilities of the NBCUniversal businesses it acquired (the “NBCUniversal contributed businesses”), which have been remeasured to fair value as of the date of the Joint Venture transaction. Our condensed consolidated financial statements for periods following the close of the Joint Venture transaction are labeled “Successor” and reflect both Comcast’s basis of accounting in the new fair values of the assets and liabilities of the NBCUniversal contributed businesses and the consolidation of the Comcast Content Business at historical cost. All periods prior to the closing of the Joint Venture transaction reflect the historical accounting basis in our assets and liabilities and are labeled “Predecessor.” Our condensed consolidated financial statements and footnotes include a black line division, which appears between the columns titled Predecessor and Successor, which signifies that the amounts shown for the periods prior to and following the Joint Venture transaction are not comparable.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Related Party Transactions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enter into transactions with Comcast and GE. We generate revenue from Comcast primarily from the distribution of our cable network programming and, to a lesser extent, the sale of advertising and our owned programming, and we incur expenses primarily related to various support services provided by Comcast to us. We generate revenue from transactions with GE and its affiliates primarily from the sale of advertising and incur expenses primarily related to leased assets and our monetization program previously held with GE and its affiliates. In addition, we are required to make distributions to NBCUniversal Holdings on a quarterly basis to enable its indirect owners (Comcast and GE) to meet their obligations to pay taxes on taxable income generated by our businesses.</w:t>
      </w:r>
    </w:p>
    <w:p>
      <w:pPr>
        <w:spacing w:after="0" w:line="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2012, we made tax distributions to NBCUniversal Holdings of $693 million, of which $353 million was attributable to Comcast and $340 million was attributable to GE. During the period January 29, 2011 through September 30, 2011, we made tax distributions to NBCUniversal Holdings of $176 million, of which $90 million was attributable to Comcast and $86 million was attributable to 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provide management services to, and receive license fees from, certain of our equity method investees.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related party transactions included in our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ind w:left="600"/>
              <w:spacing w:after="0" w:line="142" w:lineRule="exact"/>
              <w:rPr>
                <w:sz w:val="20"/>
                <w:szCs w:val="20"/>
                <w:color w:val="auto"/>
              </w:rPr>
            </w:pPr>
            <w:r>
              <w:rPr>
                <w:rFonts w:ascii="Times New Roman" w:cs="Times New Roman" w:eastAsia="Times New Roman" w:hAnsi="Times New Roman"/>
                <w:sz w:val="14"/>
                <w:szCs w:val="14"/>
                <w:color w:val="auto"/>
                <w:w w:val="99"/>
              </w:rPr>
              <w:t>September 30, 2012</w:t>
            </w:r>
          </w:p>
        </w:tc>
        <w:tc>
          <w:tcPr>
            <w:tcW w:w="6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520"/>
              <w:spacing w:after="0" w:line="142" w:lineRule="exact"/>
              <w:rPr>
                <w:sz w:val="20"/>
                <w:szCs w:val="20"/>
                <w:color w:val="auto"/>
              </w:rPr>
            </w:pPr>
            <w:r>
              <w:rPr>
                <w:rFonts w:ascii="Times New Roman" w:cs="Times New Roman" w:eastAsia="Times New Roman" w:hAnsi="Times New Roman"/>
                <w:sz w:val="14"/>
                <w:szCs w:val="14"/>
                <w:color w:val="auto"/>
              </w:rPr>
              <w:t>December 31, 2011</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E5E5E5"/>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gridSpan w:val="2"/>
            <w:shd w:val="clear" w:color="auto" w:fill="E5E5E5"/>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GE and Affiliates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E5E5E5"/>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gridSpan w:val="2"/>
            <w:shd w:val="clear" w:color="auto" w:fill="E5E5E5"/>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gridSpan w:val="2"/>
            <w:shd w:val="clear" w:color="auto" w:fill="E5E5E5"/>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4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E5E5E5"/>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2"/>
            <w:shd w:val="clear" w:color="auto" w:fill="E5E5E5"/>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09"/>
        </w:trPr>
        <w:tc>
          <w:tcPr>
            <w:tcW w:w="8400" w:type="dxa"/>
            <w:vAlign w:val="bottom"/>
            <w:gridSpan w:val="8"/>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72"/>
              <w:spacing w:after="0"/>
              <w:rPr>
                <w:sz w:val="20"/>
                <w:szCs w:val="20"/>
                <w:color w:val="auto"/>
              </w:rPr>
            </w:pPr>
            <w:r>
              <w:rPr>
                <w:rFonts w:ascii="Times New Roman" w:cs="Times New Roman" w:eastAsia="Times New Roman" w:hAnsi="Times New Roman"/>
                <w:sz w:val="14"/>
                <w:szCs w:val="14"/>
                <w:color w:val="auto"/>
                <w:w w:val="96"/>
              </w:rPr>
              <w:t>Successor</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3"/>
          </w:tcPr>
          <w:p>
            <w:pPr>
              <w:jc w:val="center"/>
              <w:ind w:left="294"/>
              <w:spacing w:after="0" w:line="142" w:lineRule="exact"/>
              <w:rPr>
                <w:sz w:val="20"/>
                <w:szCs w:val="20"/>
                <w:color w:val="auto"/>
              </w:rPr>
            </w:pPr>
            <w:r>
              <w:rPr>
                <w:rFonts w:ascii="Times New Roman" w:cs="Times New Roman" w:eastAsia="Times New Roman" w:hAnsi="Times New Roman"/>
                <w:sz w:val="14"/>
                <w:szCs w:val="14"/>
                <w:color w:val="auto"/>
                <w:w w:val="96"/>
              </w:rPr>
              <w:t>Three Months Ended September 30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w w:val="99"/>
              </w:rPr>
              <w:t>2011</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E5E5E5"/>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40" w:type="dxa"/>
            <w:vAlign w:val="bottom"/>
            <w:tcBorders>
              <w:bottom w:val="single" w:sz="8" w:color="auto"/>
            </w:tcBorders>
            <w:gridSpan w:val="2"/>
            <w:shd w:val="clear" w:color="auto" w:fill="E5E5E5"/>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 with GE and Affiliates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40" w:type="dxa"/>
            <w:vAlign w:val="bottom"/>
            <w:gridSpan w:val="2"/>
            <w:shd w:val="clear" w:color="auto" w:fill="E5E5E5"/>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Borders>
              <w:bottom w:val="single" w:sz="8" w:color="auto"/>
            </w:tcBorders>
            <w:gridSpan w:val="2"/>
            <w:shd w:val="clear" w:color="auto" w:fill="E5E5E5"/>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tcBorders>
              <w:bottom w:val="single" w:sz="8" w:color="auto"/>
            </w:tcBorders>
            <w:gridSpan w:val="2"/>
            <w:shd w:val="clear" w:color="auto" w:fill="E5E5E5"/>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7"/>
        </w:trPr>
        <w:tc>
          <w:tcPr>
            <w:tcW w:w="4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Successor</w:t>
            </w:r>
          </w:p>
        </w:tc>
        <w:tc>
          <w:tcPr>
            <w:tcW w:w="10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rPr>
              <w:t>Predecessor</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0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2"/>
          </w:tcPr>
          <w:p>
            <w:pPr>
              <w:jc w:val="right"/>
              <w:ind w:right="133"/>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w w:val="99"/>
              </w:rPr>
              <w:t>Nine 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70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January 1, 2011 to</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w w:val="99"/>
              </w:rPr>
              <w:t>September 30, 2012</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September 30, 2011</w:t>
            </w:r>
          </w:p>
        </w:tc>
        <w:tc>
          <w:tcPr>
            <w:tcW w:w="7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January 28, 2011</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773</w:t>
            </w:r>
          </w:p>
        </w:tc>
        <w:tc>
          <w:tcPr>
            <w:tcW w:w="7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40" w:type="dxa"/>
            <w:vAlign w:val="bottom"/>
            <w:tcBorders>
              <w:bottom w:val="single" w:sz="8" w:color="auto"/>
            </w:tcBorders>
            <w:gridSpan w:val="3"/>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 with GE and Affiliates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40" w:type="dxa"/>
            <w:vAlign w:val="bottom"/>
            <w:gridSpan w:val="3"/>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Borders>
              <w:right w:val="single" w:sz="8" w:color="auto"/>
            </w:tcBorders>
            <w:shd w:val="clear" w:color="auto" w:fill="E5E5E5"/>
          </w:tcPr>
          <w:p>
            <w:pPr>
              <w:spacing w:after="0"/>
              <w:rPr>
                <w:sz w:val="18"/>
                <w:szCs w:val="18"/>
                <w:color w:val="auto"/>
              </w:rPr>
            </w:pPr>
          </w:p>
        </w:tc>
        <w:tc>
          <w:tcPr>
            <w:tcW w:w="1640" w:type="dxa"/>
            <w:vAlign w:val="bottom"/>
            <w:gridSpan w:val="2"/>
            <w:shd w:val="clear" w:color="auto" w:fill="E5E5E5"/>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00" w:type="dxa"/>
            <w:vAlign w:val="bottom"/>
            <w:tcBorders>
              <w:right w:val="single" w:sz="8" w:color="auto"/>
            </w:tcBorders>
          </w:tcPr>
          <w:p>
            <w:pPr>
              <w:spacing w:after="0"/>
              <w:rPr>
                <w:sz w:val="18"/>
                <w:szCs w:val="18"/>
                <w:color w:val="auto"/>
              </w:rPr>
            </w:pPr>
          </w:p>
        </w:tc>
        <w:tc>
          <w:tcPr>
            <w:tcW w:w="1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Borders>
              <w:bottom w:val="single" w:sz="8" w:color="auto"/>
            </w:tcBorders>
            <w:gridSpan w:val="3"/>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640" w:type="dxa"/>
            <w:vAlign w:val="bottom"/>
            <w:tcBorders>
              <w:bottom w:val="single" w:sz="8" w:color="auto"/>
            </w:tcBorders>
            <w:gridSpan w:val="2"/>
            <w:shd w:val="clear" w:color="auto" w:fill="E5E5E5"/>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 with Other Related Parties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40" w:type="dxa"/>
            <w:vAlign w:val="bottom"/>
            <w:tcBorders>
              <w:bottom w:val="single" w:sz="8" w:color="auto"/>
            </w:tcBorders>
            <w:gridSpan w:val="3"/>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640" w:type="dxa"/>
            <w:vAlign w:val="bottom"/>
            <w:tcBorders>
              <w:bottom w:val="single" w:sz="8" w:color="auto"/>
            </w:tcBorders>
            <w:gridSpan w:val="2"/>
            <w:shd w:val="clear" w:color="auto" w:fill="E5E5E5"/>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60"/>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752"/>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Borders>
              <w:bottom w:val="single" w:sz="8" w:color="auto"/>
            </w:tcBorders>
            <w:vMerge w:val="continue"/>
          </w:tcPr>
          <w:p>
            <w:pPr>
              <w:spacing w:after="0"/>
              <w:rPr>
                <w:sz w:val="12"/>
                <w:szCs w:val="12"/>
                <w:color w:val="auto"/>
              </w:rPr>
            </w:pPr>
          </w:p>
        </w:tc>
        <w:tc>
          <w:tcPr>
            <w:tcW w:w="2300" w:type="dxa"/>
            <w:vAlign w:val="bottom"/>
            <w:tcBorders>
              <w:bottom w:val="single" w:sz="8" w:color="auto"/>
            </w:tcBorders>
            <w:gridSpan w:val="2"/>
          </w:tcPr>
          <w:p>
            <w:pPr>
              <w:ind w:left="1060"/>
              <w:spacing w:after="0" w:line="142" w:lineRule="exact"/>
              <w:rPr>
                <w:sz w:val="20"/>
                <w:szCs w:val="20"/>
                <w:color w:val="auto"/>
              </w:rPr>
            </w:pPr>
            <w:r>
              <w:rPr>
                <w:rFonts w:ascii="Times New Roman" w:cs="Times New Roman" w:eastAsia="Times New Roman" w:hAnsi="Times New Roman"/>
                <w:sz w:val="14"/>
                <w:szCs w:val="14"/>
                <w:color w:val="auto"/>
              </w:rPr>
              <w:t>September 30, 2012</w:t>
            </w:r>
          </w:p>
        </w:tc>
        <w:tc>
          <w:tcPr>
            <w:tcW w:w="2100" w:type="dxa"/>
            <w:vAlign w:val="bottom"/>
            <w:tcBorders>
              <w:bottom w:val="single" w:sz="8" w:color="auto"/>
            </w:tcBorders>
            <w:gridSpan w:val="2"/>
          </w:tcPr>
          <w:p>
            <w:pPr>
              <w:ind w:left="98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70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Film Costs:</w:t>
            </w: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1,518</w:t>
            </w: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7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Completed, not released</w:t>
            </w: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137</w:t>
            </w:r>
          </w:p>
        </w:tc>
        <w:tc>
          <w:tcPr>
            <w:tcW w:w="13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1,020</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0"/>
        </w:trPr>
        <w:tc>
          <w:tcPr>
            <w:tcW w:w="702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2,675</w:t>
            </w:r>
          </w:p>
        </w:tc>
        <w:tc>
          <w:tcPr>
            <w:tcW w:w="13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Television Costs:</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1,013</w:t>
            </w:r>
          </w:p>
        </w:tc>
        <w:tc>
          <w:tcPr>
            <w:tcW w:w="13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203</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0"/>
        </w:trPr>
        <w:tc>
          <w:tcPr>
            <w:tcW w:w="702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1,216</w:t>
            </w:r>
          </w:p>
        </w:tc>
        <w:tc>
          <w:tcPr>
            <w:tcW w:w="13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Programming rights, less amortization</w:t>
            </w: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1,999</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10"/>
        </w:trPr>
        <w:tc>
          <w:tcPr>
            <w:tcW w:w="702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5,890</w:t>
            </w:r>
          </w:p>
        </w:tc>
        <w:tc>
          <w:tcPr>
            <w:tcW w:w="13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970</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1460" w:type="dxa"/>
            <w:vAlign w:val="bottom"/>
            <w:tcBorders>
              <w:bottom w:val="single" w:sz="8" w:color="auto"/>
            </w:tcBorders>
            <w:shd w:val="clear" w:color="auto" w:fill="E5E5E5"/>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4,920</w:t>
            </w:r>
          </w:p>
        </w:tc>
        <w:tc>
          <w:tcPr>
            <w:tcW w:w="1360" w:type="dxa"/>
            <w:vAlign w:val="bottom"/>
            <w:tcBorders>
              <w:bottom w:val="single" w:sz="8" w:color="auto"/>
            </w:tcBorders>
            <w:shd w:val="clear" w:color="auto" w:fill="E5E5E5"/>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5,227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vMerge w:val="continue"/>
          </w:tcPr>
          <w:p>
            <w:pPr>
              <w:spacing w:after="0"/>
              <w:rPr>
                <w:sz w:val="12"/>
                <w:szCs w:val="12"/>
                <w:color w:val="auto"/>
              </w:rPr>
            </w:pPr>
          </w:p>
        </w:tc>
        <w:tc>
          <w:tcPr>
            <w:tcW w:w="2300" w:type="dxa"/>
            <w:vAlign w:val="bottom"/>
            <w:tcBorders>
              <w:bottom w:val="single" w:sz="8" w:color="auto"/>
            </w:tcBorders>
            <w:gridSpan w:val="2"/>
          </w:tcPr>
          <w:p>
            <w:pPr>
              <w:ind w:left="1060"/>
              <w:spacing w:after="0" w:line="142" w:lineRule="exact"/>
              <w:rPr>
                <w:sz w:val="20"/>
                <w:szCs w:val="20"/>
                <w:color w:val="auto"/>
              </w:rPr>
            </w:pPr>
            <w:r>
              <w:rPr>
                <w:rFonts w:ascii="Times New Roman" w:cs="Times New Roman" w:eastAsia="Times New Roman" w:hAnsi="Times New Roman"/>
                <w:sz w:val="14"/>
                <w:szCs w:val="14"/>
                <w:color w:val="auto"/>
              </w:rPr>
              <w:t>September 30, 2012</w:t>
            </w:r>
          </w:p>
        </w:tc>
        <w:tc>
          <w:tcPr>
            <w:tcW w:w="2140" w:type="dxa"/>
            <w:vAlign w:val="bottom"/>
            <w:tcBorders>
              <w:bottom w:val="single" w:sz="8" w:color="auto"/>
            </w:tcBorders>
            <w:gridSpan w:val="2"/>
          </w:tcPr>
          <w:p>
            <w:pPr>
              <w:ind w:left="102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69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60" w:type="dxa"/>
            <w:vAlign w:val="bottom"/>
            <w:shd w:val="clear" w:color="auto" w:fill="E5E5E5"/>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shd w:val="clear" w:color="auto" w:fill="E5E5E5"/>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A&amp;E Television Networks</w:t>
            </w: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Weather Channel</w:t>
            </w:r>
          </w:p>
        </w:tc>
        <w:tc>
          <w:tcPr>
            <w:tcW w:w="146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69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MSNBC.com</w:t>
            </w: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522</w:t>
            </w: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0"/>
        </w:trPr>
        <w:tc>
          <w:tcPr>
            <w:tcW w:w="698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991</w:t>
            </w:r>
          </w:p>
        </w:tc>
        <w:tc>
          <w:tcPr>
            <w:tcW w:w="14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method</w:t>
            </w: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183</w:t>
            </w: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7"/>
        </w:trPr>
        <w:tc>
          <w:tcPr>
            <w:tcW w:w="69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60" w:type="dxa"/>
            <w:vAlign w:val="bottom"/>
            <w:tcBorders>
              <w:bottom w:val="single" w:sz="8" w:color="auto"/>
            </w:tcBorders>
            <w:shd w:val="clear" w:color="auto" w:fill="E5E5E5"/>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1,195</w:t>
            </w:r>
          </w:p>
        </w:tc>
        <w:tc>
          <w:tcPr>
            <w:tcW w:w="1400" w:type="dxa"/>
            <w:vAlign w:val="bottom"/>
            <w:tcBorders>
              <w:bottom w:val="single" w:sz="8" w:color="auto"/>
            </w:tcBorders>
            <w:shd w:val="clear" w:color="auto" w:fill="E5E5E5"/>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3,430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A&amp;E Television Networks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March 2012, we exercised an option that required A&amp;E Television Networks LLC (“A&amp;E Television Networks”) to redeem a substantial portion of our equity interest in A&amp;E Television Networks. In July 2012, we entered into a redemption agreement with A&amp;E Television Networks whereby A&amp;E Television Networks agreed to redeem our entire 15.8% equity interest for $3 billion.</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August 2012, we closed this transaction, received cash proceeds of $3 billion and recognized a pretax gain of $1 billion, which is included in other income (expense), net in our condensed consolidated statement of income. We used a portion of the cash proceeds to make tax distributions of $323 million to NBCUniversal Holdings in the three months ended September 30, 2012, for taxes incurred by Comcast and GE associated with this transaction.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MSNBC.com</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July 2012, we acquired the remaining 50% equity interest in MNSBC Interactive News, LLC and other related entities (“MSNBC.com”) that we did not already own. The total purchase price was $195 million, which was net of $100 million of cash and cash equivalents held at MSNBC.com that were acquired in the transaction, which were not previously attributable to us. MSNBC.com is now a wholly owned consolidated subsidiary.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820" w:type="dxa"/>
            <w:vAlign w:val="bottom"/>
          </w:tcPr>
          <w:p>
            <w:pPr>
              <w:jc w:val="right"/>
              <w:ind w:right="359"/>
              <w:spacing w:after="0"/>
              <w:rPr>
                <w:sz w:val="20"/>
                <w:szCs w:val="20"/>
                <w:color w:val="auto"/>
              </w:rPr>
            </w:pPr>
            <w:r>
              <w:rPr>
                <w:rFonts w:ascii="Times New Roman" w:cs="Times New Roman" w:eastAsia="Times New Roman" w:hAnsi="Times New Roman"/>
                <w:sz w:val="14"/>
                <w:szCs w:val="14"/>
                <w:color w:val="auto"/>
              </w:rPr>
              <w:t>Cable</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Broadcast</w:t>
            </w:r>
          </w:p>
        </w:tc>
        <w:tc>
          <w:tcPr>
            <w:tcW w:w="400" w:type="dxa"/>
            <w:vAlign w:val="bottom"/>
          </w:tcPr>
          <w:p>
            <w:pPr>
              <w:spacing w:after="0"/>
              <w:rPr>
                <w:sz w:val="13"/>
                <w:szCs w:val="13"/>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Filmed</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Theme</w:t>
            </w:r>
          </w:p>
        </w:tc>
        <w:tc>
          <w:tcPr>
            <w:tcW w:w="940" w:type="dxa"/>
            <w:vAlign w:val="bottom"/>
          </w:tcPr>
          <w:p>
            <w:pPr>
              <w:spacing w:after="0"/>
              <w:rPr>
                <w:sz w:val="13"/>
                <w:szCs w:val="13"/>
                <w:color w:val="auto"/>
              </w:rPr>
            </w:pPr>
          </w:p>
        </w:tc>
      </w:tr>
      <w:tr>
        <w:trPr>
          <w:trHeight w:val="161"/>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2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color w:val="auto"/>
              </w:rPr>
              <w:t>Networks</w:t>
            </w:r>
          </w:p>
        </w:tc>
        <w:tc>
          <w:tcPr>
            <w:tcW w:w="1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Television</w:t>
            </w:r>
          </w:p>
        </w:tc>
        <w:tc>
          <w:tcPr>
            <w:tcW w:w="13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Entertainment</w:t>
            </w: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Parks</w:t>
            </w:r>
          </w:p>
        </w:tc>
        <w:tc>
          <w:tcPr>
            <w:tcW w:w="9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40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2820" w:type="dxa"/>
            <w:vAlign w:val="bottom"/>
            <w:shd w:val="clear" w:color="auto" w:fill="E5E5E5"/>
          </w:tcPr>
          <w:p>
            <w:pPr>
              <w:jc w:val="right"/>
              <w:ind w:right="239"/>
              <w:spacing w:after="0"/>
              <w:rPr>
                <w:sz w:val="20"/>
                <w:szCs w:val="20"/>
                <w:color w:val="auto"/>
              </w:rPr>
            </w:pPr>
            <w:r>
              <w:rPr>
                <w:rFonts w:ascii="Times New Roman" w:cs="Times New Roman" w:eastAsia="Times New Roman" w:hAnsi="Times New Roman"/>
                <w:sz w:val="18"/>
                <w:szCs w:val="18"/>
                <w:color w:val="auto"/>
              </w:rPr>
              <w:t>$12,744</w:t>
            </w:r>
          </w:p>
        </w:tc>
        <w:tc>
          <w:tcPr>
            <w:tcW w:w="4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ind w:right="232"/>
              <w:spacing w:after="0"/>
              <w:rPr>
                <w:sz w:val="20"/>
                <w:szCs w:val="20"/>
                <w:color w:val="auto"/>
              </w:rPr>
            </w:pPr>
            <w:r>
              <w:rPr>
                <w:rFonts w:ascii="Times New Roman" w:cs="Times New Roman" w:eastAsia="Times New Roman" w:hAnsi="Times New Roman"/>
                <w:sz w:val="18"/>
                <w:szCs w:val="18"/>
                <w:color w:val="auto"/>
              </w:rPr>
              <w:t>772</w:t>
            </w:r>
          </w:p>
        </w:tc>
        <w:tc>
          <w:tcPr>
            <w:tcW w:w="40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E5E5E5"/>
          </w:tcPr>
          <w:p>
            <w:pPr>
              <w:jc w:val="right"/>
              <w:ind w:right="239"/>
              <w:spacing w:after="0"/>
              <w:rPr>
                <w:sz w:val="20"/>
                <w:szCs w:val="20"/>
                <w:color w:val="auto"/>
              </w:rPr>
            </w:pPr>
            <w:r>
              <w:rPr>
                <w:rFonts w:ascii="Times New Roman" w:cs="Times New Roman" w:eastAsia="Times New Roman" w:hAnsi="Times New Roman"/>
                <w:sz w:val="18"/>
                <w:szCs w:val="18"/>
                <w:color w:val="auto"/>
              </w:rPr>
              <w:t>$1,140</w:t>
            </w:r>
          </w:p>
        </w:tc>
        <w:tc>
          <w:tcPr>
            <w:tcW w:w="94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$14,657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8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18"/>
                <w:szCs w:val="18"/>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40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820" w:type="dxa"/>
            <w:vAlign w:val="bottom"/>
            <w:tcBorders>
              <w:bottom w:val="single" w:sz="8" w:color="auto"/>
            </w:tcBorders>
            <w:shd w:val="clear" w:color="auto" w:fill="E5E5E5"/>
          </w:tcPr>
          <w:p>
            <w:pPr>
              <w:jc w:val="right"/>
              <w:ind w:right="179"/>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5E5E5"/>
          </w:tcPr>
          <w:p>
            <w:pPr>
              <w:jc w:val="right"/>
              <w:ind w:right="199"/>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7"/>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2012</w:t>
            </w:r>
          </w:p>
        </w:tc>
        <w:tc>
          <w:tcPr>
            <w:tcW w:w="2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$13,031</w:t>
            </w: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761</w:t>
            </w:r>
          </w:p>
        </w:tc>
        <w:tc>
          <w:tcPr>
            <w:tcW w:w="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1</w:t>
            </w: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$1,079</w:t>
            </w: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$14,872</w:t>
            </w:r>
          </w:p>
        </w:tc>
      </w:tr>
    </w:tbl>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goodwill in our Cable Networks segment primarily relates to $232 million of goodwill associated with the acquisition of MSNBC.com and $71 million of goodwill associated with the acquisition of a controlling interest in a previously held equity method investment based in Brazil. The preliminary allocation of purchase price for these acquisitions, including the changes in goodwill, are not yet final and are subject to change. We will finalize the amounts recognized as we obtain the information necessary to complete the analyses, but no later than July 2013 and May 2013,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September 30, 2012, our debt had an estimated fair value of $11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2012, we issued $1 billion aggregate principal amount of 2.875% senior notes due 2023 and $1 billion aggregate principal amount of 4.450% senior notes due 2043. A portion of the proceeds from this issuance will be used to redeem in November 2012 the $260 million aggregate principal amount outstanding of Universal Orlando’s 8.875% senior notes due 2015 and the $146 million aggregate principal amount outstanding of Universal Orlando’s 10.875% senior subordinated notes due 2016. The carrying amount of these senior notes and senior subordinated notes was recorded in the current portion of long-term debt in our condensed consolidated balance sheet as of September 30, 2012.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2012, our net repayments of commercial paper were $550 million.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derivative financial instruments to manage our exposure to the risks associated with fluctuations in foreign exchange rates and interest rates.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manage our exposure to fluctuations in foreign exchange rates by using foreign exchange contracts such as forward contracts and currency options, and we manage our exposure to fluctuations in interest rates primarily by using interest rate exchange agreements (“swaps”).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manage the credit risks associated with our derivative financial instruments through diversification and the evaluation and monitoring of the creditworthiness of counterparties. Although we may be exposed to losses in the event of nonperformance by the counterparties, we do not expect such losses, if any, to be significant.</w:t>
      </w:r>
    </w:p>
    <w:p>
      <w:pPr>
        <w:spacing w:after="0" w:line="3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During the three and nine months ended September 30, 2012, there were no significant changes in the composition of any of our derivative financial instruments or their classification in our condensed consolidated balance sheet. In addition, the impact of our derivative financial instruments on our condensed consolidated financial statements was not material for the three and nine months ended September 30, 2012 or for any of the prior year periods presented.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additional information on the fair value of our derivative financial instruments as of September 30, 2012 and December 31, 2011.</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Fair Value as of</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6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652"/>
              <w:spacing w:after="0" w:line="142" w:lineRule="exact"/>
              <w:rPr>
                <w:sz w:val="20"/>
                <w:szCs w:val="20"/>
                <w:color w:val="auto"/>
              </w:rPr>
            </w:pPr>
            <w:r>
              <w:rPr>
                <w:rFonts w:ascii="Times New Roman" w:cs="Times New Roman" w:eastAsia="Times New Roman" w:hAnsi="Times New Roman"/>
                <w:sz w:val="14"/>
                <w:szCs w:val="14"/>
                <w:color w:val="auto"/>
                <w:w w:val="97"/>
              </w:rPr>
              <w:t>September 30, 2012</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1000" w:type="dxa"/>
            <w:vAlign w:val="bottom"/>
            <w:tcBorders>
              <w:bottom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1260" w:type="dxa"/>
            <w:vAlign w:val="bottom"/>
            <w:tcBorders>
              <w:bottom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660" w:type="dxa"/>
            <w:vAlign w:val="bottom"/>
            <w:tcBorders>
              <w:bottom w:val="single" w:sz="8" w:color="auto"/>
            </w:tcBorders>
            <w:gridSpan w:val="2"/>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66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65</w:t>
            </w:r>
          </w:p>
        </w:tc>
        <w:tc>
          <w:tcPr>
            <w:tcW w:w="5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660" w:type="dxa"/>
            <w:vAlign w:val="bottom"/>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984</w:t>
            </w:r>
          </w:p>
        </w:tc>
        <w:tc>
          <w:tcPr>
            <w:tcW w:w="5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E5E5E5"/>
          </w:tcPr>
          <w:p>
            <w:pPr>
              <w:jc w:val="right"/>
              <w:ind w:right="195"/>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shd w:val="clear" w:color="auto" w:fill="E5E5E5"/>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999</w:t>
            </w:r>
          </w:p>
        </w:tc>
        <w:tc>
          <w:tcPr>
            <w:tcW w:w="5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of the contractual obligations are primarily based on certain expected future discounted cash flows, the determination of which involves the use of significant unobservable inputs. The most significant unobservable input we use is our estimate of the future revenue we expect to generate from certain of our entities. The discount rates used in the measurements of fair value were between 11% and 13% and are based on the underlying risk associated with our estimate of future revenue, as well as the terms of the respective contracts. The fair value adjustments to these financial liabilities are recorded in other income (expense), net in our condensed consolidated statement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tcPr>
          <w:p>
            <w:pPr>
              <w:spacing w:after="0"/>
              <w:rPr>
                <w:sz w:val="21"/>
                <w:szCs w:val="21"/>
                <w:color w:val="auto"/>
              </w:rPr>
            </w:pPr>
          </w:p>
        </w:tc>
        <w:tc>
          <w:tcPr>
            <w:tcW w:w="7520" w:type="dxa"/>
            <w:vAlign w:val="bottom"/>
          </w:tcPr>
          <w:p>
            <w:pPr>
              <w:jc w:val="right"/>
              <w:ind w:right="3612"/>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1"/>
                <w:szCs w:val="21"/>
                <w:color w:val="auto"/>
              </w:rPr>
            </w:pPr>
          </w:p>
        </w:tc>
      </w:tr>
      <w:tr>
        <w:trPr>
          <w:trHeight w:val="2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 (in millions)</w:t>
            </w:r>
          </w:p>
        </w:tc>
        <w:tc>
          <w:tcPr>
            <w:tcW w:w="7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10"/>
        </w:trPr>
        <w:tc>
          <w:tcPr>
            <w:tcW w:w="3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7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w w:val="98"/>
              </w:rPr>
              <w:t>1,004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7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75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w:t>
            </w:r>
          </w:p>
        </w:tc>
        <w:tc>
          <w:tcPr>
            <w:tcW w:w="7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7"/>
        </w:trPr>
        <w:tc>
          <w:tcPr>
            <w:tcW w:w="3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2012</w:t>
            </w:r>
          </w:p>
        </w:tc>
        <w:tc>
          <w:tcPr>
            <w:tcW w:w="7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984</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assets and liabilities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Fair value adjustments of $155 million were recorded during the nine months ended September 30, 2012.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changes in equity resulting from net income (loss) attributable to NBCUniversal and transfers to or from noncontrolling interests.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32"/>
              <w:spacing w:after="0"/>
              <w:rPr>
                <w:sz w:val="20"/>
                <w:szCs w:val="20"/>
                <w:color w:val="auto"/>
              </w:rPr>
            </w:pPr>
            <w:r>
              <w:rPr>
                <w:rFonts w:ascii="Times New Roman" w:cs="Times New Roman" w:eastAsia="Times New Roman" w:hAnsi="Times New Roman"/>
                <w:sz w:val="14"/>
                <w:szCs w:val="14"/>
                <w:color w:val="auto"/>
                <w:w w:val="98"/>
              </w:rPr>
              <w:t>Predecessor</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6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jc w:val="center"/>
              <w:ind w:right="13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1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62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3"/>
          </w:tcPr>
          <w:p>
            <w:pPr>
              <w:jc w:val="center"/>
              <w:ind w:left="31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c>
          <w:tcPr>
            <w:tcW w:w="0" w:type="dxa"/>
            <w:vAlign w:val="bottom"/>
          </w:tcPr>
          <w:p>
            <w:pPr>
              <w:spacing w:after="0"/>
              <w:rPr>
                <w:sz w:val="1"/>
                <w:szCs w:val="1"/>
                <w:color w:val="auto"/>
              </w:rPr>
            </w:pPr>
          </w:p>
        </w:tc>
      </w:tr>
      <w:tr>
        <w:trPr>
          <w:trHeight w:val="161"/>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color w:val="auto"/>
              </w:rPr>
              <w:t>September 30, 2012</w:t>
            </w: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w w:val="99"/>
              </w:rPr>
              <w:t>September 30, 2011</w:t>
            </w:r>
          </w:p>
        </w:tc>
        <w:tc>
          <w:tcPr>
            <w:tcW w:w="6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5"/>
              </w:rPr>
              <w:t>January 28, 2011</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NBCUniversal</w:t>
            </w:r>
          </w:p>
        </w:tc>
        <w:tc>
          <w:tcPr>
            <w:tcW w:w="900" w:type="dxa"/>
            <w:vAlign w:val="bottom"/>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5E5E5"/>
          </w:tcPr>
          <w:p>
            <w:pPr>
              <w:jc w:val="right"/>
              <w:ind w:right="457"/>
              <w:spacing w:after="0"/>
              <w:rPr>
                <w:sz w:val="20"/>
                <w:szCs w:val="20"/>
                <w:color w:val="auto"/>
              </w:rPr>
            </w:pPr>
            <w:r>
              <w:rPr>
                <w:rFonts w:ascii="Times New Roman" w:cs="Times New Roman" w:eastAsia="Times New Roman" w:hAnsi="Times New Roman"/>
                <w:sz w:val="18"/>
                <w:szCs w:val="18"/>
                <w:color w:val="auto"/>
              </w:rPr>
              <w:t>2,570</w:t>
            </w:r>
          </w:p>
        </w:tc>
        <w:tc>
          <w:tcPr>
            <w:tcW w:w="1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620" w:type="dxa"/>
            <w:vAlign w:val="bottom"/>
            <w:tcBorders>
              <w:right w:val="single" w:sz="8" w:color="auto"/>
            </w:tcBorders>
            <w:shd w:val="clear" w:color="auto" w:fill="E5E5E5"/>
          </w:tcPr>
          <w:p>
            <w:pPr>
              <w:spacing w:after="0"/>
              <w:rPr>
                <w:sz w:val="18"/>
                <w:szCs w:val="18"/>
                <w:color w:val="auto"/>
              </w:rPr>
            </w:pPr>
          </w:p>
        </w:tc>
        <w:tc>
          <w:tcPr>
            <w:tcW w:w="11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Transfers from (to) noncontrolling interests: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E5E5E5"/>
          </w:tcPr>
          <w:p>
            <w:pPr>
              <w:ind w:left="440"/>
              <w:spacing w:after="0" w:line="201" w:lineRule="exact"/>
              <w:rPr>
                <w:sz w:val="20"/>
                <w:szCs w:val="20"/>
                <w:color w:val="auto"/>
              </w:rPr>
            </w:pPr>
            <w:r>
              <w:rPr>
                <w:rFonts w:ascii="Times New Roman" w:cs="Times New Roman" w:eastAsia="Times New Roman" w:hAnsi="Times New Roman"/>
                <w:sz w:val="18"/>
                <w:szCs w:val="18"/>
                <w:color w:val="auto"/>
              </w:rPr>
              <w:t>Increase in NBCUniversal member’s capital resulting from the</w:t>
            </w:r>
          </w:p>
        </w:tc>
        <w:tc>
          <w:tcPr>
            <w:tcW w:w="90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620" w:type="dxa"/>
            <w:vAlign w:val="bottom"/>
            <w:tcBorders>
              <w:right w:val="single" w:sz="8" w:color="auto"/>
            </w:tcBorders>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20" w:type="dxa"/>
            <w:vAlign w:val="bottom"/>
            <w:tcBorders>
              <w:bottom w:val="single" w:sz="8" w:color="auto"/>
            </w:tcBorders>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purchases of noncontrolling equity interest</w:t>
            </w:r>
          </w:p>
        </w:tc>
        <w:tc>
          <w:tcPr>
            <w:tcW w:w="900" w:type="dxa"/>
            <w:vAlign w:val="bottom"/>
            <w:tcBorders>
              <w:bottom w:val="single" w:sz="8" w:color="auto"/>
            </w:tcBorders>
            <w:shd w:val="clear" w:color="auto" w:fill="E5E5E5"/>
          </w:tcPr>
          <w:p>
            <w:pPr>
              <w:spacing w:after="0"/>
              <w:rPr>
                <w:sz w:val="19"/>
                <w:szCs w:val="19"/>
                <w:color w:val="auto"/>
              </w:rPr>
            </w:pPr>
          </w:p>
        </w:tc>
        <w:tc>
          <w:tcPr>
            <w:tcW w:w="1240" w:type="dxa"/>
            <w:vAlign w:val="bottom"/>
            <w:tcBorders>
              <w:bottom w:val="single" w:sz="8" w:color="auto"/>
            </w:tcBorders>
            <w:shd w:val="clear" w:color="auto" w:fill="E5E5E5"/>
          </w:tcPr>
          <w:p>
            <w:pPr>
              <w:jc w:val="right"/>
              <w:ind w:right="457"/>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shd w:val="clear" w:color="auto" w:fill="E5E5E5"/>
          </w:tcPr>
          <w:p>
            <w:pPr>
              <w:spacing w:after="0"/>
              <w:rPr>
                <w:sz w:val="19"/>
                <w:szCs w:val="19"/>
                <w:color w:val="auto"/>
              </w:rPr>
            </w:pPr>
          </w:p>
        </w:tc>
        <w:tc>
          <w:tcPr>
            <w:tcW w:w="60" w:type="dxa"/>
            <w:vAlign w:val="bottom"/>
            <w:tcBorders>
              <w:bottom w:val="single" w:sz="8" w:color="auto"/>
            </w:tcBorders>
            <w:shd w:val="clear" w:color="auto" w:fill="E5E5E5"/>
          </w:tcPr>
          <w:p>
            <w:pPr>
              <w:spacing w:after="0"/>
              <w:rPr>
                <w:sz w:val="19"/>
                <w:szCs w:val="19"/>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tcBorders>
              <w:bottom w:val="single" w:sz="8" w:color="auto"/>
              <w:right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spacing w:after="0"/>
              <w:rPr>
                <w:sz w:val="19"/>
                <w:szCs w:val="19"/>
                <w:color w:val="auto"/>
              </w:rPr>
            </w:pP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53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Changes in member’s equity from net income (loss) attributable to</w:t>
            </w: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NBCUniversal and transfers from (to) noncontrolling interests</w:t>
            </w: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2,574</w:t>
            </w: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6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415"/>
        </w:trPr>
        <w:tc>
          <w:tcPr>
            <w:tcW w:w="7460" w:type="dxa"/>
            <w:vAlign w:val="bottom"/>
            <w:gridSpan w:val="3"/>
          </w:tcPr>
          <w:p>
            <w:pPr>
              <w:ind w:left="4160"/>
              <w:spacing w:after="0"/>
              <w:rPr>
                <w:sz w:val="20"/>
                <w:szCs w:val="20"/>
                <w:color w:val="auto"/>
              </w:rPr>
            </w:pPr>
            <w:r>
              <w:rPr>
                <w:rFonts w:ascii="Arial" w:cs="Arial" w:eastAsia="Arial" w:hAnsi="Arial"/>
                <w:sz w:val="18"/>
                <w:szCs w:val="18"/>
                <w:b w:val="1"/>
                <w:bCs w:val="1"/>
                <w:color w:val="auto"/>
              </w:rPr>
              <w:t>Redeemable Noncontrolling Interests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Successor</w:t>
            </w: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right"/>
              <w:ind w:right="84"/>
              <w:spacing w:after="0" w:line="142" w:lineRule="exact"/>
              <w:rPr>
                <w:sz w:val="20"/>
                <w:szCs w:val="20"/>
                <w:color w:val="auto"/>
              </w:rPr>
            </w:pPr>
            <w:r>
              <w:rPr>
                <w:rFonts w:ascii="Times New Roman" w:cs="Times New Roman" w:eastAsia="Times New Roman" w:hAnsi="Times New Roman"/>
                <w:sz w:val="14"/>
                <w:szCs w:val="14"/>
                <w:color w:val="auto"/>
              </w:rPr>
              <w:t>Three Months Ended September 30</w:t>
            </w: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5E5E5"/>
          </w:tcPr>
          <w:p>
            <w:pPr>
              <w:jc w:val="right"/>
              <w:ind w:right="419"/>
              <w:spacing w:after="0"/>
              <w:rPr>
                <w:sz w:val="20"/>
                <w:szCs w:val="20"/>
                <w:color w:val="auto"/>
              </w:rPr>
            </w:pPr>
            <w:r>
              <w:rPr>
                <w:rFonts w:ascii="Times New Roman" w:cs="Times New Roman" w:eastAsia="Times New Roman" w:hAnsi="Times New Roman"/>
                <w:sz w:val="18"/>
                <w:szCs w:val="18"/>
                <w:color w:val="auto"/>
              </w:rPr>
              <w:t>131</w:t>
            </w: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8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w w:val="96"/>
              </w:rPr>
              <w:t>144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3"/>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90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800" w:type="dxa"/>
            <w:vAlign w:val="bottom"/>
            <w:gridSpan w:val="3"/>
            <w:shd w:val="clear" w:color="auto" w:fill="E5E5E5"/>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00" w:type="dxa"/>
            <w:vAlign w:val="bottom"/>
            <w:tcBorders>
              <w:bottom w:val="single" w:sz="8" w:color="auto"/>
            </w:tcBorders>
            <w:shd w:val="clear" w:color="auto" w:fill="E5E5E5"/>
          </w:tcPr>
          <w:p>
            <w:pPr>
              <w:spacing w:after="0"/>
              <w:rPr>
                <w:sz w:val="18"/>
                <w:szCs w:val="18"/>
                <w:color w:val="auto"/>
              </w:rPr>
            </w:pPr>
          </w:p>
        </w:tc>
        <w:tc>
          <w:tcPr>
            <w:tcW w:w="12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2"/>
            <w:shd w:val="clear" w:color="auto" w:fill="E5E5E5"/>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133</w:t>
            </w:r>
          </w:p>
        </w:tc>
        <w:tc>
          <w:tcPr>
            <w:tcW w:w="6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182</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Successor</w:t>
            </w:r>
          </w:p>
        </w:tc>
        <w:tc>
          <w:tcPr>
            <w:tcW w:w="1060" w:type="dxa"/>
            <w:vAlign w:val="bottom"/>
            <w:tcBorders>
              <w:bottom w:val="single" w:sz="8" w:color="auto"/>
            </w:tcBorders>
          </w:tcPr>
          <w:p>
            <w:pPr>
              <w:spacing w:after="0"/>
              <w:rPr>
                <w:sz w:val="14"/>
                <w:szCs w:val="14"/>
                <w:color w:val="auto"/>
              </w:rPr>
            </w:pPr>
          </w:p>
        </w:tc>
      </w:tr>
      <w:tr>
        <w:trPr>
          <w:trHeight w:val="129"/>
        </w:trPr>
        <w:tc>
          <w:tcPr>
            <w:tcW w:w="6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6660" w:type="dxa"/>
            <w:vAlign w:val="bottom"/>
          </w:tcPr>
          <w:p>
            <w:pPr>
              <w:spacing w:after="0"/>
              <w:rPr>
                <w:sz w:val="12"/>
                <w:szCs w:val="12"/>
                <w:color w:val="auto"/>
              </w:rPr>
            </w:pPr>
          </w:p>
        </w:tc>
        <w:tc>
          <w:tcPr>
            <w:tcW w:w="2480" w:type="dxa"/>
            <w:vAlign w:val="bottom"/>
            <w:gridSpan w:val="2"/>
          </w:tcPr>
          <w:p>
            <w:pPr>
              <w:ind w:left="118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228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r>
      <w:tr>
        <w:trPr>
          <w:trHeight w:val="161"/>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4"/>
                <w:szCs w:val="14"/>
                <w:color w:val="auto"/>
              </w:rPr>
              <w:t>September 30, 2012</w:t>
            </w:r>
          </w:p>
        </w:tc>
        <w:tc>
          <w:tcPr>
            <w:tcW w:w="228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4"/>
                <w:szCs w:val="14"/>
                <w:color w:val="auto"/>
              </w:rPr>
              <w:t>September 30, 2011</w:t>
            </w:r>
          </w:p>
        </w:tc>
      </w:tr>
      <w:tr>
        <w:trPr>
          <w:trHeight w:val="210"/>
        </w:trPr>
        <w:tc>
          <w:tcPr>
            <w:tcW w:w="6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40" w:type="dxa"/>
            <w:vAlign w:val="bottom"/>
            <w:shd w:val="clear" w:color="auto" w:fill="E5E5E5"/>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184</w:t>
            </w:r>
          </w:p>
        </w:tc>
        <w:tc>
          <w:tcPr>
            <w:tcW w:w="1220" w:type="dxa"/>
            <w:vAlign w:val="bottom"/>
            <w:shd w:val="clear" w:color="auto" w:fill="E5E5E5"/>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6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16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6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133</w:t>
            </w:r>
          </w:p>
        </w:tc>
        <w:tc>
          <w:tcPr>
            <w:tcW w:w="12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182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tables below present the components of net periodic benefit expense related to the pension plans and postretirement benefit plans that we established following the close of the Joint Venture transaction.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Successor</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29"/>
        </w:trPr>
        <w:tc>
          <w:tcPr>
            <w:tcW w:w="3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Three Months Ended</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66"/>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420" w:type="dxa"/>
            <w:vAlign w:val="bottom"/>
          </w:tcPr>
          <w:p>
            <w:pPr>
              <w:spacing w:after="0"/>
              <w:rPr>
                <w:sz w:val="11"/>
                <w:szCs w:val="11"/>
                <w:color w:val="auto"/>
              </w:rPr>
            </w:pPr>
          </w:p>
        </w:tc>
      </w:tr>
      <w:tr>
        <w:trPr>
          <w:trHeight w:val="161"/>
        </w:trPr>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September 30, 2012</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color w:val="auto"/>
                <w:w w:val="96"/>
              </w:rPr>
              <w:t>September 30, 2011</w:t>
            </w:r>
          </w:p>
        </w:tc>
        <w:tc>
          <w:tcPr>
            <w:tcW w:w="420" w:type="dxa"/>
            <w:vAlign w:val="bottom"/>
            <w:tcBorders>
              <w:bottom w:val="single" w:sz="8" w:color="auto"/>
            </w:tcBorders>
          </w:tcPr>
          <w:p>
            <w:pPr>
              <w:spacing w:after="0"/>
              <w:rPr>
                <w:sz w:val="14"/>
                <w:szCs w:val="14"/>
                <w:color w:val="auto"/>
              </w:rPr>
            </w:pPr>
          </w:p>
        </w:tc>
      </w:tr>
      <w:tr>
        <w:trPr>
          <w:trHeight w:val="129"/>
        </w:trPr>
        <w:tc>
          <w:tcPr>
            <w:tcW w:w="3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80" w:type="dxa"/>
            <w:vAlign w:val="bottom"/>
            <w:gridSpan w:val="2"/>
          </w:tcPr>
          <w:p>
            <w:pPr>
              <w:ind w:left="720"/>
              <w:spacing w:after="0" w:line="129" w:lineRule="exact"/>
              <w:rPr>
                <w:sz w:val="20"/>
                <w:szCs w:val="20"/>
                <w:color w:val="auto"/>
              </w:rPr>
            </w:pPr>
            <w:r>
              <w:rPr>
                <w:rFonts w:ascii="Times New Roman" w:cs="Times New Roman" w:eastAsia="Times New Roman" w:hAnsi="Times New Roman"/>
                <w:sz w:val="14"/>
                <w:szCs w:val="14"/>
                <w:color w:val="auto"/>
                <w:w w:val="99"/>
              </w:rPr>
              <w:t>Pension</w:t>
            </w:r>
          </w:p>
        </w:tc>
        <w:tc>
          <w:tcPr>
            <w:tcW w:w="1660" w:type="dxa"/>
            <w:vAlign w:val="bottom"/>
            <w:gridSpan w:val="2"/>
          </w:tcPr>
          <w:p>
            <w:pPr>
              <w:ind w:left="800"/>
              <w:spacing w:after="0" w:line="129" w:lineRule="exact"/>
              <w:rPr>
                <w:sz w:val="20"/>
                <w:szCs w:val="20"/>
                <w:color w:val="auto"/>
              </w:rPr>
            </w:pPr>
            <w:r>
              <w:rPr>
                <w:rFonts w:ascii="Times New Roman" w:cs="Times New Roman" w:eastAsia="Times New Roman" w:hAnsi="Times New Roman"/>
                <w:sz w:val="14"/>
                <w:szCs w:val="14"/>
                <w:color w:val="auto"/>
              </w:rPr>
              <w:t>Postretirement</w:t>
            </w:r>
          </w:p>
        </w:tc>
        <w:tc>
          <w:tcPr>
            <w:tcW w:w="1220" w:type="dxa"/>
            <w:vAlign w:val="bottom"/>
            <w:gridSpan w:val="2"/>
          </w:tcPr>
          <w:p>
            <w:pPr>
              <w:ind w:left="760"/>
              <w:spacing w:after="0" w:line="129" w:lineRule="exact"/>
              <w:rPr>
                <w:sz w:val="20"/>
                <w:szCs w:val="20"/>
                <w:color w:val="auto"/>
              </w:rPr>
            </w:pPr>
            <w:r>
              <w:rPr>
                <w:rFonts w:ascii="Times New Roman" w:cs="Times New Roman" w:eastAsia="Times New Roman" w:hAnsi="Times New Roman"/>
                <w:sz w:val="14"/>
                <w:szCs w:val="14"/>
                <w:color w:val="auto"/>
                <w:w w:val="99"/>
              </w:rPr>
              <w:t>Pension</w:t>
            </w:r>
          </w:p>
        </w:tc>
        <w:tc>
          <w:tcPr>
            <w:tcW w:w="1700" w:type="dxa"/>
            <w:vAlign w:val="bottom"/>
            <w:gridSpan w:val="2"/>
          </w:tcPr>
          <w:p>
            <w:pPr>
              <w:ind w:left="820"/>
              <w:spacing w:after="0" w:line="129" w:lineRule="exact"/>
              <w:rPr>
                <w:sz w:val="20"/>
                <w:szCs w:val="20"/>
                <w:color w:val="auto"/>
              </w:rPr>
            </w:pPr>
            <w:r>
              <w:rPr>
                <w:rFonts w:ascii="Times New Roman" w:cs="Times New Roman" w:eastAsia="Times New Roman" w:hAnsi="Times New Roman"/>
                <w:sz w:val="14"/>
                <w:szCs w:val="14"/>
                <w:color w:val="auto"/>
              </w:rPr>
              <w:t>Postretirement</w:t>
            </w:r>
          </w:p>
        </w:tc>
      </w:tr>
      <w:tr>
        <w:trPr>
          <w:trHeight w:val="161"/>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color w:val="auto"/>
                <w:w w:val="94"/>
              </w:rPr>
              <w:t>Benefits</w:t>
            </w:r>
          </w:p>
        </w:tc>
        <w:tc>
          <w:tcPr>
            <w:tcW w:w="166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Benefits</w:t>
            </w:r>
          </w:p>
        </w:tc>
        <w:tc>
          <w:tcPr>
            <w:tcW w:w="12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w w:val="94"/>
              </w:rPr>
              <w:t>Benefits</w:t>
            </w:r>
          </w:p>
        </w:tc>
        <w:tc>
          <w:tcPr>
            <w:tcW w:w="170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Benefits</w:t>
            </w:r>
          </w:p>
        </w:tc>
      </w:tr>
      <w:tr>
        <w:trPr>
          <w:trHeight w:val="210"/>
        </w:trPr>
        <w:tc>
          <w:tcPr>
            <w:tcW w:w="36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920" w:type="dxa"/>
            <w:vAlign w:val="bottom"/>
            <w:gridSpan w:val="2"/>
            <w:shd w:val="clear" w:color="auto" w:fill="E5E5E5"/>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80" w:type="dxa"/>
            <w:vAlign w:val="bottom"/>
            <w:shd w:val="clear" w:color="auto" w:fill="E5E5E5"/>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E5E5E5"/>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shd w:val="clear" w:color="auto" w:fill="E5E5E5"/>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benefits expense</w:t>
            </w:r>
          </w:p>
        </w:tc>
        <w:tc>
          <w:tcPr>
            <w:tcW w:w="2920" w:type="dxa"/>
            <w:vAlign w:val="bottom"/>
            <w:tcBorders>
              <w:bottom w:val="single" w:sz="8" w:color="auto"/>
            </w:tcBorders>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67"/>
        </w:trPr>
        <w:tc>
          <w:tcPr>
            <w:tcW w:w="3640" w:type="dxa"/>
            <w:vAlign w:val="bottom"/>
          </w:tcPr>
          <w:p>
            <w:pPr>
              <w:spacing w:after="0"/>
              <w:rPr>
                <w:sz w:val="24"/>
                <w:szCs w:val="24"/>
                <w:color w:val="auto"/>
              </w:rPr>
            </w:pPr>
          </w:p>
        </w:tc>
        <w:tc>
          <w:tcPr>
            <w:tcW w:w="2920" w:type="dxa"/>
            <w:vAlign w:val="bottom"/>
            <w:gridSpan w:val="2"/>
          </w:tcPr>
          <w:p>
            <w:pPr>
              <w:jc w:val="right"/>
              <w:ind w:right="67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Successor</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47"/>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2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color w:val="auto"/>
                <w:w w:val="95"/>
              </w:rPr>
              <w:t>January 29, 2011 to</w:t>
            </w:r>
          </w:p>
        </w:tc>
        <w:tc>
          <w:tcPr>
            <w:tcW w:w="420" w:type="dxa"/>
            <w:vAlign w:val="bottom"/>
          </w:tcPr>
          <w:p>
            <w:pPr>
              <w:spacing w:after="0"/>
              <w:rPr>
                <w:sz w:val="12"/>
                <w:szCs w:val="12"/>
                <w:color w:val="auto"/>
              </w:rPr>
            </w:pPr>
          </w:p>
        </w:tc>
      </w:tr>
      <w:tr>
        <w:trPr>
          <w:trHeight w:val="161"/>
        </w:trPr>
        <w:tc>
          <w:tcPr>
            <w:tcW w:w="5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September 30, 2012</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color w:val="auto"/>
                <w:w w:val="96"/>
              </w:rPr>
              <w:t>September 30, 2011</w:t>
            </w:r>
          </w:p>
        </w:tc>
        <w:tc>
          <w:tcPr>
            <w:tcW w:w="420" w:type="dxa"/>
            <w:vAlign w:val="bottom"/>
            <w:tcBorders>
              <w:bottom w:val="single" w:sz="8" w:color="auto"/>
            </w:tcBorders>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1520" w:type="dxa"/>
            <w:vAlign w:val="bottom"/>
            <w:gridSpan w:val="2"/>
          </w:tcPr>
          <w:p>
            <w:pPr>
              <w:ind w:left="660"/>
              <w:spacing w:after="0" w:line="129" w:lineRule="exact"/>
              <w:rPr>
                <w:sz w:val="20"/>
                <w:szCs w:val="20"/>
                <w:color w:val="auto"/>
              </w:rPr>
            </w:pPr>
            <w:r>
              <w:rPr>
                <w:rFonts w:ascii="Times New Roman" w:cs="Times New Roman" w:eastAsia="Times New Roman" w:hAnsi="Times New Roman"/>
                <w:sz w:val="14"/>
                <w:szCs w:val="14"/>
                <w:color w:val="auto"/>
              </w:rPr>
              <w:t>Pension</w:t>
            </w:r>
          </w:p>
        </w:tc>
        <w:tc>
          <w:tcPr>
            <w:tcW w:w="120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color w:val="auto"/>
              </w:rPr>
              <w:t>Postretirement</w:t>
            </w:r>
          </w:p>
        </w:tc>
        <w:tc>
          <w:tcPr>
            <w:tcW w:w="1140" w:type="dxa"/>
            <w:vAlign w:val="bottom"/>
            <w:gridSpan w:val="2"/>
          </w:tcPr>
          <w:p>
            <w:pPr>
              <w:ind w:left="700"/>
              <w:spacing w:after="0" w:line="129" w:lineRule="exact"/>
              <w:rPr>
                <w:sz w:val="20"/>
                <w:szCs w:val="20"/>
                <w:color w:val="auto"/>
              </w:rPr>
            </w:pPr>
            <w:r>
              <w:rPr>
                <w:rFonts w:ascii="Times New Roman" w:cs="Times New Roman" w:eastAsia="Times New Roman" w:hAnsi="Times New Roman"/>
                <w:sz w:val="14"/>
                <w:szCs w:val="14"/>
                <w:color w:val="auto"/>
                <w:w w:val="94"/>
              </w:rPr>
              <w:t>Pension</w:t>
            </w:r>
          </w:p>
        </w:tc>
        <w:tc>
          <w:tcPr>
            <w:tcW w:w="1640" w:type="dxa"/>
            <w:vAlign w:val="bottom"/>
            <w:gridSpan w:val="2"/>
          </w:tcPr>
          <w:p>
            <w:pPr>
              <w:ind w:left="760"/>
              <w:spacing w:after="0" w:line="129" w:lineRule="exact"/>
              <w:rPr>
                <w:sz w:val="20"/>
                <w:szCs w:val="20"/>
                <w:color w:val="auto"/>
              </w:rPr>
            </w:pPr>
            <w:r>
              <w:rPr>
                <w:rFonts w:ascii="Times New Roman" w:cs="Times New Roman" w:eastAsia="Times New Roman" w:hAnsi="Times New Roman"/>
                <w:sz w:val="14"/>
                <w:szCs w:val="14"/>
                <w:color w:val="auto"/>
              </w:rPr>
              <w:t>Postretirement</w:t>
            </w:r>
          </w:p>
        </w:tc>
      </w:tr>
      <w:tr>
        <w:trPr>
          <w:trHeight w:val="161"/>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Benefits</w:t>
            </w: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Benefits</w:t>
            </w:r>
          </w:p>
        </w:tc>
        <w:tc>
          <w:tcPr>
            <w:tcW w:w="11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w w:val="89"/>
              </w:rPr>
              <w:t>Benefits</w:t>
            </w:r>
          </w:p>
        </w:tc>
        <w:tc>
          <w:tcPr>
            <w:tcW w:w="164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Benefits</w:t>
            </w:r>
          </w:p>
        </w:tc>
      </w:tr>
      <w:tr>
        <w:trPr>
          <w:trHeight w:val="210"/>
        </w:trPr>
        <w:tc>
          <w:tcPr>
            <w:tcW w:w="5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5E5E5"/>
          </w:tcPr>
          <w:p>
            <w:pPr>
              <w:jc w:val="right"/>
              <w:ind w:right="319"/>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shd w:val="clear" w:color="auto" w:fill="E5E5E5"/>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shd w:val="clear" w:color="auto" w:fill="E5E5E5"/>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shd w:val="clear" w:color="auto" w:fill="E5E5E5"/>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spacing w:after="0"/>
              <w:rPr>
                <w:sz w:val="18"/>
                <w:szCs w:val="18"/>
                <w:color w:val="auto"/>
              </w:rPr>
            </w:pP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79"/>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benefits expense</w:t>
            </w:r>
          </w:p>
        </w:tc>
        <w:tc>
          <w:tcPr>
            <w:tcW w:w="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106</w:t>
            </w: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2012, we provided funding to our qualified defined benefit plan of $76 million. The expected return on the plan assets is 5%.</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October 2012, we provided notice to our plan participants of an amendment to both the qualified and nonqualified NBCUniversal defined benefit plans that will freeze future benefits effective December 31, 2012. In addition, effective January 1, 2013, we will provide additional benefits to eligible employees through our other retirement benefit plans.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employees receive awards of stock options and restricted share units (“RSUs”) under various Comcast plans and participate in employee stock purchase plans. The expense associated with participation in these equity plans, including the expense associated with awards to former Comcast employees who had nonvested equity awards as of the closing date, is settled in cash with Comcast. In addition, while the majority of GE granted stock options and RSUs vested in conjunction with the Joint Venture transaction, some of our employees continue to vest in GE equity plans.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Expense—Comcast and GE Equity Awards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Successor</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3"/>
          </w:tcPr>
          <w:p>
            <w:pPr>
              <w:jc w:val="center"/>
              <w:ind w:right="114"/>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0" w:type="dxa"/>
            <w:vAlign w:val="bottom"/>
          </w:tcPr>
          <w:p>
            <w:pPr>
              <w:spacing w:after="0"/>
              <w:rPr>
                <w:sz w:val="1"/>
                <w:szCs w:val="1"/>
                <w:color w:val="auto"/>
              </w:rPr>
            </w:pPr>
          </w:p>
        </w:tc>
      </w:tr>
      <w:tr>
        <w:trPr>
          <w:trHeight w:val="161"/>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September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85"/>
              </w:rPr>
              <w:t>2012</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0" w:type="dxa"/>
            <w:vAlign w:val="bottom"/>
          </w:tcPr>
          <w:p>
            <w:pPr>
              <w:spacing w:after="0"/>
              <w:rPr>
                <w:sz w:val="1"/>
                <w:szCs w:val="1"/>
                <w:color w:val="auto"/>
              </w:rPr>
            </w:pPr>
          </w:p>
        </w:tc>
      </w:tr>
      <w:tr>
        <w:trPr>
          <w:trHeight w:val="210"/>
        </w:trPr>
        <w:tc>
          <w:tcPr>
            <w:tcW w:w="89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Comcast Equity Awards:</w:t>
            </w: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9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Restricted share units</w:t>
            </w: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9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GE Equity Awards: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Stock options</w:t>
            </w:r>
          </w:p>
        </w:tc>
        <w:tc>
          <w:tcPr>
            <w:tcW w:w="7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Restricted share units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9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Successor</w:t>
            </w:r>
          </w:p>
        </w:tc>
        <w:tc>
          <w:tcPr>
            <w:tcW w:w="10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5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68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jc w:val="center"/>
              <w:ind w:right="13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5000" w:type="dxa"/>
            <w:vAlign w:val="bottom"/>
          </w:tcPr>
          <w:p>
            <w:pPr>
              <w:spacing w:after="0"/>
              <w:rPr>
                <w:sz w:val="12"/>
                <w:szCs w:val="12"/>
                <w:color w:val="auto"/>
              </w:rPr>
            </w:pPr>
          </w:p>
        </w:tc>
        <w:tc>
          <w:tcPr>
            <w:tcW w:w="16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w w:val="97"/>
              </w:rPr>
              <w:t>Nine Months Ended</w:t>
            </w:r>
          </w:p>
        </w:tc>
        <w:tc>
          <w:tcPr>
            <w:tcW w:w="2460" w:type="dxa"/>
            <w:vAlign w:val="bottom"/>
            <w:tcBorders>
              <w:right w:val="single" w:sz="8" w:color="auto"/>
            </w:tcBorders>
            <w:gridSpan w:val="3"/>
          </w:tcPr>
          <w:p>
            <w:pPr>
              <w:ind w:left="62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640" w:type="dxa"/>
            <w:vAlign w:val="bottom"/>
          </w:tcPr>
          <w:p>
            <w:pPr>
              <w:spacing w:after="0"/>
              <w:rPr>
                <w:sz w:val="12"/>
                <w:szCs w:val="12"/>
                <w:color w:val="auto"/>
              </w:rPr>
            </w:pPr>
          </w:p>
        </w:tc>
        <w:tc>
          <w:tcPr>
            <w:tcW w:w="16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January 1, 2011 to</w:t>
            </w:r>
          </w:p>
        </w:tc>
      </w:tr>
      <w:tr>
        <w:trPr>
          <w:trHeight w:val="161"/>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w w:val="96"/>
              </w:rPr>
              <w:t>September 30, 2012</w:t>
            </w:r>
          </w:p>
        </w:tc>
        <w:tc>
          <w:tcPr>
            <w:tcW w:w="2460" w:type="dxa"/>
            <w:vAlign w:val="bottom"/>
            <w:tcBorders>
              <w:bottom w:val="single" w:sz="8" w:color="auto"/>
              <w:right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color w:val="auto"/>
              </w:rPr>
              <w:t>September 30, 2011</w:t>
            </w: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39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50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Comcast Equity Awards:</w:t>
            </w:r>
          </w:p>
        </w:tc>
        <w:tc>
          <w:tcPr>
            <w:tcW w:w="1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8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16"/>
        </w:trPr>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Borders>
              <w:right w:val="single" w:sz="8" w:color="auto"/>
            </w:tcBorders>
          </w:tcPr>
          <w:p>
            <w:pPr>
              <w:spacing w:after="0"/>
              <w:rPr>
                <w:sz w:val="18"/>
                <w:szCs w:val="18"/>
                <w:color w:val="auto"/>
              </w:rPr>
            </w:pPr>
          </w:p>
        </w:tc>
        <w:tc>
          <w:tcPr>
            <w:tcW w:w="13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Restricted share units</w:t>
            </w:r>
          </w:p>
        </w:tc>
        <w:tc>
          <w:tcPr>
            <w:tcW w:w="11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GE Equity Awards: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0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shd w:val="clear" w:color="auto" w:fill="E5E5E5"/>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right w:val="single" w:sz="8" w:color="auto"/>
            </w:tcBorders>
            <w:shd w:val="clear" w:color="auto" w:fill="E5E5E5"/>
          </w:tcPr>
          <w:p>
            <w:pPr>
              <w:spacing w:after="0"/>
              <w:rPr>
                <w:sz w:val="18"/>
                <w:szCs w:val="18"/>
                <w:color w:val="auto"/>
              </w:rPr>
            </w:pPr>
          </w:p>
        </w:tc>
        <w:tc>
          <w:tcPr>
            <w:tcW w:w="1300" w:type="dxa"/>
            <w:vAlign w:val="bottom"/>
            <w:gridSpan w:val="2"/>
            <w:shd w:val="clear" w:color="auto" w:fill="E5E5E5"/>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Restricted share units</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00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Borders>
              <w:bottom w:val="single" w:sz="8" w:color="auto"/>
              <w:right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7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w:t>
            </w:r>
          </w:p>
        </w:tc>
        <w:tc>
          <w:tcPr>
            <w:tcW w:w="6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367"/>
        </w:trPr>
        <w:tc>
          <w:tcPr>
            <w:tcW w:w="5000" w:type="dxa"/>
            <w:vAlign w:val="bottom"/>
          </w:tcPr>
          <w:p>
            <w:pPr>
              <w:spacing w:after="0"/>
              <w:rPr>
                <w:sz w:val="24"/>
                <w:szCs w:val="24"/>
                <w:color w:val="auto"/>
              </w:rPr>
            </w:pPr>
          </w:p>
        </w:tc>
        <w:tc>
          <w:tcPr>
            <w:tcW w:w="1140" w:type="dxa"/>
            <w:vAlign w:val="bottom"/>
          </w:tcPr>
          <w:p>
            <w:pPr>
              <w:ind w:left="62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12"/>
              <w:spacing w:after="0"/>
              <w:rPr>
                <w:sz w:val="20"/>
                <w:szCs w:val="20"/>
                <w:color w:val="auto"/>
              </w:rPr>
            </w:pPr>
            <w:r>
              <w:rPr>
                <w:rFonts w:ascii="Times New Roman" w:cs="Times New Roman" w:eastAsia="Times New Roman" w:hAnsi="Times New Roman"/>
                <w:sz w:val="14"/>
                <w:szCs w:val="14"/>
                <w:color w:val="auto"/>
                <w:w w:val="99"/>
              </w:rPr>
              <w:t>Successor</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560"/>
              <w:spacing w:after="0" w:line="142" w:lineRule="exact"/>
              <w:rPr>
                <w:sz w:val="20"/>
                <w:szCs w:val="20"/>
                <w:color w:val="auto"/>
              </w:rPr>
            </w:pPr>
            <w:r>
              <w:rPr>
                <w:rFonts w:ascii="Times New Roman" w:cs="Times New Roman" w:eastAsia="Times New Roman" w:hAnsi="Times New Roman"/>
                <w:sz w:val="14"/>
                <w:szCs w:val="14"/>
                <w:color w:val="auto"/>
                <w:w w:val="96"/>
              </w:rPr>
              <w:t>September 30, 2012</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48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8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20" w:type="dxa"/>
            <w:vAlign w:val="bottom"/>
            <w:shd w:val="clear" w:color="auto" w:fill="E5E5E5"/>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60" w:type="dxa"/>
            <w:vAlign w:val="bottom"/>
            <w:gridSpan w:val="3"/>
            <w:shd w:val="clear" w:color="auto" w:fill="E5E5E5"/>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returns and customer incentives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8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7"/>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c>
          <w:tcPr>
            <w:tcW w:w="12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3,557</w:t>
            </w:r>
          </w:p>
        </w:tc>
        <w:tc>
          <w:tcPr>
            <w:tcW w:w="0" w:type="dxa"/>
            <w:vAlign w:val="bottom"/>
          </w:tcPr>
          <w:p>
            <w:pPr>
              <w:spacing w:after="0"/>
              <w:rPr>
                <w:sz w:val="1"/>
                <w:szCs w:val="1"/>
                <w:color w:val="auto"/>
              </w:rPr>
            </w:pPr>
          </w:p>
        </w:tc>
      </w:tr>
      <w:tr>
        <w:trPr>
          <w:trHeight w:val="415"/>
        </w:trPr>
        <w:tc>
          <w:tcPr>
            <w:tcW w:w="8540" w:type="dxa"/>
            <w:vAlign w:val="bottom"/>
            <w:gridSpan w:val="8"/>
          </w:tcPr>
          <w:p>
            <w:pPr>
              <w:jc w:val="center"/>
              <w:ind w:left="2796"/>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4"/>
                <w:szCs w:val="14"/>
                <w:color w:val="auto"/>
              </w:rPr>
              <w:t>Successor</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September 30, 2012</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420"/>
              <w:spacing w:after="0" w:line="142" w:lineRule="exact"/>
              <w:rPr>
                <w:sz w:val="20"/>
                <w:szCs w:val="20"/>
                <w:color w:val="auto"/>
              </w:rPr>
            </w:pPr>
            <w:r>
              <w:rPr>
                <w:rFonts w:ascii="Times New Roman" w:cs="Times New Roman" w:eastAsia="Times New Roman" w:hAnsi="Times New Roman"/>
                <w:sz w:val="14"/>
                <w:szCs w:val="14"/>
                <w:color w:val="auto"/>
              </w:rPr>
              <w:t>September 30, 2011</w:t>
            </w:r>
          </w:p>
        </w:tc>
        <w:tc>
          <w:tcPr>
            <w:tcW w:w="0" w:type="dxa"/>
            <w:vAlign w:val="bottom"/>
          </w:tcPr>
          <w:p>
            <w:pPr>
              <w:spacing w:after="0"/>
              <w:rPr>
                <w:sz w:val="1"/>
                <w:szCs w:val="1"/>
                <w:color w:val="auto"/>
              </w:rPr>
            </w:pP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Unrealized gains (losses) on derivative financial instruments</w:t>
            </w:r>
          </w:p>
        </w:tc>
        <w:tc>
          <w:tcPr>
            <w:tcW w:w="8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2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E5E5E5"/>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E5E5E5"/>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w w:val="99"/>
              </w:rPr>
              <w:t>Unrecognized gains (losses) on employee benefit obligations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8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right w:val="single" w:sz="8" w:color="E5E5E5"/>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6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(61)</w:t>
            </w:r>
          </w:p>
        </w:tc>
        <w:tc>
          <w:tcPr>
            <w:tcW w:w="12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415"/>
        </w:trPr>
        <w:tc>
          <w:tcPr>
            <w:tcW w:w="4380" w:type="dxa"/>
            <w:vAlign w:val="bottom"/>
          </w:tcPr>
          <w:p>
            <w:pPr>
              <w:spacing w:after="0"/>
              <w:rPr>
                <w:sz w:val="24"/>
                <w:szCs w:val="24"/>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7"/>
              </w:rPr>
              <w:t>Operating Costs and Expenses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455"/>
              <w:spacing w:after="0"/>
              <w:rPr>
                <w:sz w:val="20"/>
                <w:szCs w:val="20"/>
                <w:color w:val="auto"/>
              </w:rPr>
            </w:pPr>
            <w:r>
              <w:rPr>
                <w:rFonts w:ascii="Times New Roman" w:cs="Times New Roman" w:eastAsia="Times New Roman" w:hAnsi="Times New Roman"/>
                <w:sz w:val="14"/>
                <w:szCs w:val="14"/>
                <w:color w:val="auto"/>
              </w:rPr>
              <w:t>Successor</w:t>
            </w: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0" w:type="dxa"/>
            <w:vAlign w:val="bottom"/>
            <w:gridSpan w:val="2"/>
          </w:tcPr>
          <w:p>
            <w:pPr>
              <w:jc w:val="right"/>
              <w:ind w:right="155"/>
              <w:spacing w:after="0" w:line="129"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1"/>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9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8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660" w:type="dxa"/>
            <w:vAlign w:val="bottom"/>
            <w:tcBorders>
              <w:right w:val="single" w:sz="8" w:color="E5E5E5"/>
            </w:tcBorders>
            <w:shd w:val="clear" w:color="auto" w:fill="E5E5E5"/>
          </w:tcPr>
          <w:p>
            <w:pPr>
              <w:spacing w:after="0"/>
              <w:rPr>
                <w:sz w:val="18"/>
                <w:szCs w:val="18"/>
                <w:color w:val="auto"/>
              </w:rPr>
            </w:pPr>
          </w:p>
        </w:tc>
        <w:tc>
          <w:tcPr>
            <w:tcW w:w="1260" w:type="dxa"/>
            <w:vAlign w:val="bottom"/>
            <w:gridSpan w:val="3"/>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$3,922</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$ 2,650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516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right w:val="single" w:sz="8" w:color="E5E5E5"/>
            </w:tcBorders>
            <w:shd w:val="clear" w:color="auto" w:fill="E5E5E5"/>
          </w:tcPr>
          <w:p>
            <w:pPr>
              <w:spacing w:after="0"/>
              <w:rPr>
                <w:sz w:val="18"/>
                <w:szCs w:val="18"/>
                <w:color w:val="auto"/>
              </w:rPr>
            </w:pPr>
          </w:p>
        </w:tc>
        <w:tc>
          <w:tcPr>
            <w:tcW w:w="1260" w:type="dxa"/>
            <w:vAlign w:val="bottom"/>
            <w:tcBorders>
              <w:bottom w:val="single" w:sz="8" w:color="auto"/>
            </w:tcBorders>
            <w:gridSpan w:val="3"/>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1,244</w:t>
            </w: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193"/>
        </w:trPr>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costs and expenses (excluding depreciation</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$5,682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$ 4,249</w:t>
            </w:r>
          </w:p>
        </w:tc>
        <w:tc>
          <w:tcPr>
            <w:tcW w:w="0" w:type="dxa"/>
            <w:vAlign w:val="bottom"/>
          </w:tcPr>
          <w:p>
            <w:pPr>
              <w:spacing w:after="0"/>
              <w:rPr>
                <w:sz w:val="1"/>
                <w:szCs w:val="1"/>
                <w:color w:val="auto"/>
              </w:rPr>
            </w:pPr>
          </w:p>
        </w:tc>
      </w:tr>
      <w:tr>
        <w:trPr>
          <w:trHeight w:val="284"/>
        </w:trPr>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w w:val="96"/>
              </w:rPr>
              <w:t>Successor</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5"/>
              </w:rPr>
              <w:t>Predecessor</w:t>
            </w: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6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20" w:type="dxa"/>
            <w:vAlign w:val="bottom"/>
            <w:gridSpan w:val="4"/>
          </w:tcPr>
          <w:p>
            <w:pPr>
              <w:ind w:left="54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January 29, 2011 to</w:t>
            </w:r>
          </w:p>
        </w:tc>
        <w:tc>
          <w:tcPr>
            <w:tcW w:w="6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2"/>
          </w:tcPr>
          <w:p>
            <w:pPr>
              <w:jc w:val="center"/>
              <w:ind w:left="43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color w:val="auto"/>
              </w:rPr>
              <w:t>September 30, 2012</w:t>
            </w: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September 30, 2011</w:t>
            </w:r>
          </w:p>
        </w:tc>
        <w:tc>
          <w:tcPr>
            <w:tcW w:w="66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5"/>
              </w:rPr>
              <w:t>January 28, 2011</w:t>
            </w:r>
          </w:p>
        </w:tc>
        <w:tc>
          <w:tcPr>
            <w:tcW w:w="0" w:type="dxa"/>
            <w:vAlign w:val="bottom"/>
          </w:tcPr>
          <w:p>
            <w:pPr>
              <w:spacing w:after="0"/>
              <w:rPr>
                <w:sz w:val="1"/>
                <w:szCs w:val="1"/>
                <w:color w:val="auto"/>
              </w:rPr>
            </w:pP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700" w:type="dxa"/>
            <w:vAlign w:val="bottom"/>
            <w:gridSpan w:val="2"/>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9,608</w:t>
            </w:r>
          </w:p>
        </w:tc>
        <w:tc>
          <w:tcPr>
            <w:tcW w:w="4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660" w:type="dxa"/>
            <w:vAlign w:val="bottom"/>
            <w:tcBorders>
              <w:right w:val="single" w:sz="8" w:color="auto"/>
            </w:tcBorders>
            <w:shd w:val="clear" w:color="auto" w:fill="E5E5E5"/>
          </w:tcPr>
          <w:p>
            <w:pPr>
              <w:spacing w:after="0"/>
              <w:rPr>
                <w:sz w:val="18"/>
                <w:szCs w:val="18"/>
                <w:color w:val="auto"/>
              </w:rPr>
            </w:pPr>
          </w:p>
        </w:tc>
        <w:tc>
          <w:tcPr>
            <w:tcW w:w="1260" w:type="dxa"/>
            <w:vAlign w:val="bottom"/>
            <w:gridSpan w:val="3"/>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1,763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6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gridSpan w:val="2"/>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3,492</w:t>
            </w:r>
          </w:p>
        </w:tc>
        <w:tc>
          <w:tcPr>
            <w:tcW w:w="4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660" w:type="dxa"/>
            <w:vAlign w:val="bottom"/>
            <w:tcBorders>
              <w:bottom w:val="single" w:sz="8" w:color="auto"/>
              <w:right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93"/>
        </w:trPr>
        <w:tc>
          <w:tcPr>
            <w:tcW w:w="4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Operating costs and expenses (excluding depreciation and</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70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14,863</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10,946</w:t>
            </w:r>
          </w:p>
        </w:tc>
        <w:tc>
          <w:tcPr>
            <w:tcW w:w="6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0" w:type="dxa"/>
            <w:vAlign w:val="bottom"/>
          </w:tcPr>
          <w:p>
            <w:pPr>
              <w:spacing w:after="0"/>
              <w:rPr>
                <w:sz w:val="1"/>
                <w:szCs w:val="1"/>
                <w:color w:val="auto"/>
              </w:rPr>
            </w:pPr>
          </w:p>
        </w:tc>
      </w:tr>
      <w:tr>
        <w:trPr>
          <w:trHeight w:val="367"/>
        </w:trPr>
        <w:tc>
          <w:tcPr>
            <w:tcW w:w="4380" w:type="dxa"/>
            <w:vAlign w:val="bottom"/>
          </w:tcPr>
          <w:p>
            <w:pPr>
              <w:spacing w:after="0"/>
              <w:rPr>
                <w:sz w:val="24"/>
                <w:szCs w:val="24"/>
                <w:color w:val="auto"/>
              </w:rPr>
            </w:pPr>
          </w:p>
        </w:tc>
        <w:tc>
          <w:tcPr>
            <w:tcW w:w="1700" w:type="dxa"/>
            <w:vAlign w:val="bottom"/>
            <w:gridSpan w:val="2"/>
          </w:tcPr>
          <w:p>
            <w:pPr>
              <w:jc w:val="right"/>
              <w:ind w:right="19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Successor</w:t>
            </w: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4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2"/>
          </w:tcPr>
          <w:p>
            <w:pPr>
              <w:jc w:val="right"/>
              <w:ind w:right="135"/>
              <w:spacing w:after="0" w:line="129" w:lineRule="exact"/>
              <w:rPr>
                <w:sz w:val="20"/>
                <w:szCs w:val="20"/>
                <w:color w:val="auto"/>
              </w:rPr>
            </w:pPr>
            <w:r>
              <w:rPr>
                <w:rFonts w:ascii="Times New Roman" w:cs="Times New Roman" w:eastAsia="Times New Roman" w:hAnsi="Times New Roman"/>
                <w:sz w:val="14"/>
                <w:szCs w:val="14"/>
                <w:color w:val="auto"/>
              </w:rPr>
              <w:t>For the Period</w:t>
            </w:r>
          </w:p>
        </w:tc>
      </w:tr>
      <w:tr>
        <w:trPr>
          <w:trHeight w:val="149"/>
        </w:trPr>
        <w:tc>
          <w:tcPr>
            <w:tcW w:w="4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2060" w:type="dxa"/>
            <w:vAlign w:val="bottom"/>
            <w:tcBorders>
              <w:right w:val="single" w:sz="8" w:color="auto"/>
            </w:tcBorders>
            <w:gridSpan w:val="5"/>
          </w:tcPr>
          <w:p>
            <w:pPr>
              <w:ind w:left="26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January 1, 2011 to</w:t>
            </w:r>
          </w:p>
        </w:tc>
      </w:tr>
      <w:tr>
        <w:trPr>
          <w:trHeight w:val="161"/>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September 30, 2012</w:t>
            </w:r>
          </w:p>
        </w:tc>
        <w:tc>
          <w:tcPr>
            <w:tcW w:w="2060" w:type="dxa"/>
            <w:vAlign w:val="bottom"/>
            <w:tcBorders>
              <w:bottom w:val="single" w:sz="8" w:color="auto"/>
              <w:right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color w:val="auto"/>
              </w:rPr>
              <w:t>September 30, 2011</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January 28, 2011</w:t>
            </w:r>
          </w:p>
        </w:tc>
      </w:tr>
      <w:tr>
        <w:trPr>
          <w:trHeight w:val="210"/>
        </w:trPr>
        <w:tc>
          <w:tcPr>
            <w:tcW w:w="522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E5E5E5"/>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2,687</w:t>
            </w:r>
          </w:p>
        </w:tc>
        <w:tc>
          <w:tcPr>
            <w:tcW w:w="3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1220" w:type="dxa"/>
            <w:vAlign w:val="bottom"/>
            <w:gridSpan w:val="3"/>
            <w:shd w:val="clear" w:color="auto" w:fill="E5E5E5"/>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2"/>
        </w:trPr>
        <w:tc>
          <w:tcPr>
            <w:tcW w:w="52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7"/>
        </w:trPr>
        <w:tc>
          <w:tcPr>
            <w:tcW w:w="522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969</w:t>
            </w:r>
          </w:p>
        </w:tc>
        <w:tc>
          <w:tcPr>
            <w:tcW w:w="3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film and television costs</w:t>
            </w:r>
          </w:p>
        </w:tc>
        <w:tc>
          <w:tcPr>
            <w:tcW w:w="840" w:type="dxa"/>
            <w:vAlign w:val="bottom"/>
          </w:tcPr>
          <w:p>
            <w:pPr>
              <w:spacing w:after="0"/>
              <w:rPr>
                <w:sz w:val="18"/>
                <w:szCs w:val="18"/>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7,255</w:t>
            </w: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4,748</w:t>
            </w:r>
          </w:p>
        </w:tc>
        <w:tc>
          <w:tcPr>
            <w:tcW w:w="4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522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84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84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2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received from investees</w:t>
            </w:r>
          </w:p>
        </w:tc>
        <w:tc>
          <w:tcPr>
            <w:tcW w:w="84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84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(1,095)</w:t>
            </w: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22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2"/>
        </w:trPr>
        <w:tc>
          <w:tcPr>
            <w:tcW w:w="52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divestitures:</w:t>
            </w: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7"/>
        </w:trPr>
        <w:tc>
          <w:tcPr>
            <w:tcW w:w="5220" w:type="dxa"/>
            <w:vAlign w:val="bottom"/>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Change in receivables, net</w:t>
            </w:r>
          </w:p>
        </w:tc>
        <w:tc>
          <w:tcPr>
            <w:tcW w:w="84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(740)</w:t>
            </w:r>
          </w:p>
        </w:tc>
        <w:tc>
          <w:tcPr>
            <w:tcW w:w="36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Change in film and television costs</w:t>
            </w:r>
          </w:p>
        </w:tc>
        <w:tc>
          <w:tcPr>
            <w:tcW w:w="84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(7,156)</w:t>
            </w: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(5,280)</w:t>
            </w:r>
          </w:p>
        </w:tc>
        <w:tc>
          <w:tcPr>
            <w:tcW w:w="4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02"/>
        </w:trPr>
        <w:tc>
          <w:tcPr>
            <w:tcW w:w="5220" w:type="dxa"/>
            <w:vAlign w:val="bottom"/>
            <w:gridSpan w:val="2"/>
            <w:shd w:val="clear" w:color="auto" w:fill="E5E5E5"/>
          </w:tcPr>
          <w:p>
            <w:pPr>
              <w:ind w:left="440"/>
              <w:spacing w:after="0" w:line="201" w:lineRule="exact"/>
              <w:rPr>
                <w:sz w:val="20"/>
                <w:szCs w:val="20"/>
                <w:color w:val="auto"/>
              </w:rPr>
            </w:pPr>
            <w:r>
              <w:rPr>
                <w:rFonts w:ascii="Times New Roman" w:cs="Times New Roman" w:eastAsia="Times New Roman" w:hAnsi="Times New Roman"/>
                <w:sz w:val="18"/>
                <w:szCs w:val="18"/>
                <w:color w:val="auto"/>
              </w:rPr>
              <w:t>Change in accounts payable and accrued expenses related to trade</w:t>
            </w:r>
          </w:p>
        </w:tc>
        <w:tc>
          <w:tcPr>
            <w:tcW w:w="84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460" w:type="dxa"/>
            <w:vAlign w:val="bottom"/>
            <w:tcBorders>
              <w:right w:val="single" w:sz="8" w:color="E5E5E5"/>
            </w:tcBorders>
            <w:shd w:val="clear" w:color="auto" w:fill="E5E5E5"/>
          </w:tcPr>
          <w:p>
            <w:pPr>
              <w:spacing w:after="0"/>
              <w:rPr>
                <w:sz w:val="17"/>
                <w:szCs w:val="17"/>
                <w:color w:val="auto"/>
              </w:rPr>
            </w:pPr>
          </w:p>
        </w:tc>
        <w:tc>
          <w:tcPr>
            <w:tcW w:w="160" w:type="dxa"/>
            <w:vAlign w:val="bottom"/>
            <w:tcBorders>
              <w:right w:val="single" w:sz="8" w:color="auto"/>
            </w:tcBorders>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r>
      <w:tr>
        <w:trPr>
          <w:trHeight w:val="230"/>
        </w:trPr>
        <w:tc>
          <w:tcPr>
            <w:tcW w:w="5220" w:type="dxa"/>
            <w:vAlign w:val="bottom"/>
            <w:gridSpan w:val="2"/>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creditors</w:t>
            </w:r>
          </w:p>
        </w:tc>
        <w:tc>
          <w:tcPr>
            <w:tcW w:w="840" w:type="dxa"/>
            <w:vAlign w:val="bottom"/>
            <w:shd w:val="clear" w:color="auto" w:fill="E5E5E5"/>
          </w:tcPr>
          <w:p>
            <w:pPr>
              <w:spacing w:after="0"/>
              <w:rPr>
                <w:sz w:val="20"/>
                <w:szCs w:val="20"/>
                <w:color w:val="auto"/>
              </w:rPr>
            </w:pPr>
          </w:p>
        </w:tc>
        <w:tc>
          <w:tcPr>
            <w:tcW w:w="1120" w:type="dxa"/>
            <w:vAlign w:val="bottom"/>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shd w:val="clear" w:color="auto" w:fill="E5E5E5"/>
          </w:tcPr>
          <w:p>
            <w:pPr>
              <w:spacing w:after="0"/>
              <w:rPr>
                <w:sz w:val="20"/>
                <w:szCs w:val="20"/>
                <w:color w:val="auto"/>
              </w:rPr>
            </w:pPr>
          </w:p>
        </w:tc>
        <w:tc>
          <w:tcPr>
            <w:tcW w:w="108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Borders>
              <w:right w:val="single" w:sz="8" w:color="E5E5E5"/>
            </w:tcBorders>
            <w:shd w:val="clear" w:color="auto" w:fill="E5E5E5"/>
          </w:tcPr>
          <w:p>
            <w:pPr>
              <w:spacing w:after="0"/>
              <w:rPr>
                <w:sz w:val="20"/>
                <w:szCs w:val="20"/>
                <w:color w:val="auto"/>
              </w:rPr>
            </w:pPr>
          </w:p>
        </w:tc>
        <w:tc>
          <w:tcPr>
            <w:tcW w:w="160" w:type="dxa"/>
            <w:vAlign w:val="bottom"/>
            <w:tcBorders>
              <w:right w:val="single" w:sz="8" w:color="auto"/>
            </w:tcBorders>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96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399</w:t>
            </w:r>
          </w:p>
        </w:tc>
      </w:tr>
      <w:tr>
        <w:trPr>
          <w:trHeight w:val="202"/>
        </w:trPr>
        <w:tc>
          <w:tcPr>
            <w:tcW w:w="522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auto"/>
                <w:w w:val="97"/>
              </w:rPr>
              <w:t>Change in accrued participations and residuals, program obligations</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and deferred revenue</w:t>
            </w:r>
          </w:p>
        </w:tc>
        <w:tc>
          <w:tcPr>
            <w:tcW w:w="84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w:t>
            </w:r>
          </w:p>
        </w:tc>
      </w:tr>
      <w:tr>
        <w:trPr>
          <w:trHeight w:val="217"/>
        </w:trPr>
        <w:tc>
          <w:tcPr>
            <w:tcW w:w="5220" w:type="dxa"/>
            <w:vAlign w:val="bottom"/>
            <w:tcBorders>
              <w:bottom w:val="single" w:sz="8" w:color="auto"/>
            </w:tcBorders>
            <w:gridSpan w:val="2"/>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84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274"/>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7"/>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2,529</w:t>
            </w:r>
          </w:p>
        </w:tc>
        <w:tc>
          <w:tcPr>
            <w:tcW w:w="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1,712</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w:t>
            </w:r>
          </w:p>
        </w:tc>
      </w:tr>
      <w:tr>
        <w:trPr>
          <w:trHeight w:val="415"/>
        </w:trPr>
        <w:tc>
          <w:tcPr>
            <w:tcW w:w="9240" w:type="dxa"/>
            <w:vAlign w:val="bottom"/>
            <w:gridSpan w:val="9"/>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0"/>
        </w:trPr>
        <w:tc>
          <w:tcPr>
            <w:tcW w:w="4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720" w:type="dxa"/>
            <w:vAlign w:val="bottom"/>
            <w:tcBorders>
              <w:right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4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2"/>
          </w:tcPr>
          <w:p>
            <w:pPr>
              <w:jc w:val="right"/>
              <w:ind w:right="534"/>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900" w:type="dxa"/>
            <w:vAlign w:val="bottom"/>
            <w:tcBorders>
              <w:right w:val="single" w:sz="8" w:color="auto"/>
            </w:tcBorders>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w w:val="98"/>
              </w:rPr>
              <w:t>January 1, 2011 to</w:t>
            </w:r>
          </w:p>
        </w:tc>
      </w:tr>
      <w:tr>
        <w:trPr>
          <w:trHeight w:val="161"/>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6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14"/>
                <w:szCs w:val="14"/>
                <w:color w:val="auto"/>
              </w:rPr>
              <w:t>September 30, 2012</w:t>
            </w:r>
          </w:p>
        </w:tc>
        <w:tc>
          <w:tcPr>
            <w:tcW w:w="1900" w:type="dxa"/>
            <w:vAlign w:val="bottom"/>
            <w:tcBorders>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September 30, 2011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522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5E5E5"/>
          </w:tcPr>
          <w:p>
            <w:pPr>
              <w:jc w:val="right"/>
              <w:ind w:right="534"/>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E5E5E5"/>
          </w:tcPr>
          <w:p>
            <w:pPr>
              <w:spacing w:after="0"/>
              <w:rPr>
                <w:sz w:val="18"/>
                <w:szCs w:val="18"/>
                <w:color w:val="auto"/>
              </w:rPr>
            </w:pPr>
          </w:p>
        </w:tc>
        <w:tc>
          <w:tcPr>
            <w:tcW w:w="460" w:type="dxa"/>
            <w:vAlign w:val="bottom"/>
            <w:tcBorders>
              <w:right w:val="single" w:sz="8" w:color="auto"/>
            </w:tcBorders>
            <w:shd w:val="clear" w:color="auto" w:fill="E5E5E5"/>
          </w:tcPr>
          <w:p>
            <w:pPr>
              <w:spacing w:after="0"/>
              <w:rPr>
                <w:sz w:val="18"/>
                <w:szCs w:val="18"/>
                <w:color w:val="auto"/>
              </w:rPr>
            </w:pPr>
          </w:p>
        </w:tc>
        <w:tc>
          <w:tcPr>
            <w:tcW w:w="160" w:type="dxa"/>
            <w:vAlign w:val="bottom"/>
            <w:tcBorders>
              <w:right w:val="single" w:sz="8" w:color="E5E5E5"/>
            </w:tcBorders>
            <w:shd w:val="clear" w:color="auto" w:fill="E5E5E5"/>
          </w:tcPr>
          <w:p>
            <w:pPr>
              <w:spacing w:after="0"/>
              <w:rPr>
                <w:sz w:val="18"/>
                <w:szCs w:val="18"/>
                <w:color w:val="auto"/>
              </w:rPr>
            </w:pPr>
          </w:p>
        </w:tc>
        <w:tc>
          <w:tcPr>
            <w:tcW w:w="1220" w:type="dxa"/>
            <w:vAlign w:val="bottom"/>
            <w:gridSpan w:val="3"/>
            <w:shd w:val="clear" w:color="auto" w:fill="E5E5E5"/>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409"/>
        </w:trPr>
        <w:tc>
          <w:tcPr>
            <w:tcW w:w="7180" w:type="dxa"/>
            <w:vAlign w:val="bottom"/>
            <w:gridSpan w:val="4"/>
          </w:tcPr>
          <w:p>
            <w:pPr>
              <w:ind w:left="4500"/>
              <w:spacing w:after="0"/>
              <w:rPr>
                <w:sz w:val="20"/>
                <w:szCs w:val="20"/>
                <w:color w:val="auto"/>
              </w:rPr>
            </w:pPr>
            <w:r>
              <w:rPr>
                <w:rFonts w:ascii="Arial" w:cs="Arial" w:eastAsia="Arial" w:hAnsi="Arial"/>
                <w:sz w:val="18"/>
                <w:szCs w:val="18"/>
                <w:b w:val="1"/>
                <w:bCs w:val="1"/>
                <w:color w:val="auto"/>
              </w:rPr>
              <w:t>Other Cash Flow Information</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5"/>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 of January 28, 2011 (in millions)</w:t>
            </w:r>
          </w:p>
        </w:tc>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0"/>
        </w:trPr>
        <w:tc>
          <w:tcPr>
            <w:tcW w:w="522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at end of Predecessor period</w:t>
            </w:r>
          </w:p>
        </w:tc>
        <w:tc>
          <w:tcPr>
            <w:tcW w:w="8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E5E5E5"/>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Comcast Content Business contributed cash balances</w:t>
            </w: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7"/>
        </w:trPr>
        <w:tc>
          <w:tcPr>
            <w:tcW w:w="5220" w:type="dxa"/>
            <w:vAlign w:val="bottom"/>
            <w:tcBorders>
              <w:bottom w:val="single" w:sz="8" w:color="auto"/>
            </w:tcBorders>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Successor period</w:t>
            </w:r>
          </w:p>
        </w:tc>
        <w:tc>
          <w:tcPr>
            <w:tcW w:w="84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$508</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2012, we:</w:t>
      </w:r>
    </w:p>
    <w:p>
      <w:pPr>
        <w:spacing w:after="0" w:line="77" w:lineRule="exact"/>
        <w:rPr>
          <w:sz w:val="20"/>
          <w:szCs w:val="20"/>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controlling interests in MSNBC.com and a previously held equity method investment based in Brazil</w:t>
      </w:r>
    </w:p>
    <w:p>
      <w:pPr>
        <w:spacing w:after="0" w:line="76"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capital lease transaction that resulted in an increase in property and equipment and debt of $85 million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monetize certain of our accounts receivable under programs with a syndicate of banks. We transfer, at fair value, a significant portion of our accounts receivable that are to be monetized to NBCU Receivables Funding LLC (“Funding LLC”), a wholly owned subsidiary of ours. The operating activities of Funding LLC are restricted to the transfer and sale of the monetized receivables to a third-party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September 30, 2012.</w:t>
      </w:r>
    </w:p>
    <w:p>
      <w:pPr>
        <w:spacing w:after="0" w:line="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in our condensed consolidated balance sheet as of September 30, 2012. The servicing fees are a component of net (loss) gain on sale, which is presented in the table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Successor</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3"/>
          </w:tcPr>
          <w:p>
            <w:pPr>
              <w:jc w:val="right"/>
              <w:ind w:right="497"/>
              <w:spacing w:after="0" w:line="142" w:lineRule="exact"/>
              <w:rPr>
                <w:sz w:val="20"/>
                <w:szCs w:val="20"/>
                <w:color w:val="auto"/>
              </w:rPr>
            </w:pPr>
            <w:r>
              <w:rPr>
                <w:rFonts w:ascii="Times New Roman" w:cs="Times New Roman" w:eastAsia="Times New Roman" w:hAnsi="Times New Roman"/>
                <w:sz w:val="14"/>
                <w:szCs w:val="14"/>
                <w:color w:val="auto"/>
              </w:rPr>
              <w:t>Three Months Ended September 30</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10"/>
        </w:trPr>
        <w:tc>
          <w:tcPr>
            <w:tcW w:w="74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 gain on sale</w:t>
            </w:r>
            <w:r>
              <w:rPr>
                <w:rFonts w:ascii="Times New Roman" w:cs="Times New Roman" w:eastAsia="Times New Roman" w:hAnsi="Times New Roman"/>
                <w:sz w:val="11"/>
                <w:szCs w:val="11"/>
                <w:color w:val="auto"/>
              </w:rPr>
              <w:t>(a)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proceeds (payments) on transfers</w:t>
            </w:r>
            <w:r>
              <w:rPr>
                <w:rFonts w:ascii="Times New Roman" w:cs="Times New Roman" w:eastAsia="Times New Roman" w:hAnsi="Times New Roman"/>
                <w:sz w:val="11"/>
                <w:szCs w:val="11"/>
                <w:color w:val="auto"/>
              </w:rPr>
              <w:t>(b)</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200" w:type="dxa"/>
            <w:vAlign w:val="bottom"/>
            <w:tcBorders>
              <w:bottom w:val="single" w:sz="8" w:color="auto"/>
            </w:tcBorders>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w:t>
            </w:r>
          </w:p>
        </w:tc>
        <w:tc>
          <w:tcPr>
            <w:tcW w:w="10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4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2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4820" w:type="dxa"/>
            <w:vAlign w:val="bottom"/>
          </w:tcPr>
          <w:p>
            <w:pPr>
              <w:spacing w:after="0"/>
              <w:rPr>
                <w:sz w:val="12"/>
                <w:szCs w:val="12"/>
                <w:color w:val="auto"/>
              </w:rPr>
            </w:pPr>
          </w:p>
        </w:tc>
        <w:tc>
          <w:tcPr>
            <w:tcW w:w="17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2520" w:type="dxa"/>
            <w:vAlign w:val="bottom"/>
            <w:tcBorders>
              <w:right w:val="single" w:sz="8" w:color="auto"/>
            </w:tcBorders>
            <w:gridSpan w:val="3"/>
          </w:tcPr>
          <w:p>
            <w:pPr>
              <w:ind w:left="62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660" w:type="dxa"/>
            <w:vAlign w:val="bottom"/>
          </w:tcPr>
          <w:p>
            <w:pPr>
              <w:spacing w:after="0"/>
              <w:rPr>
                <w:sz w:val="12"/>
                <w:szCs w:val="12"/>
                <w:color w:val="auto"/>
              </w:rPr>
            </w:pPr>
          </w:p>
        </w:tc>
        <w:tc>
          <w:tcPr>
            <w:tcW w:w="16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January 1, 2011 to</w:t>
            </w:r>
          </w:p>
        </w:tc>
      </w:tr>
      <w:tr>
        <w:trPr>
          <w:trHeight w:val="161"/>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September 30, 2012</w:t>
            </w:r>
          </w:p>
        </w:tc>
        <w:tc>
          <w:tcPr>
            <w:tcW w:w="2520" w:type="dxa"/>
            <w:vAlign w:val="bottom"/>
            <w:tcBorders>
              <w:bottom w:val="single" w:sz="8" w:color="auto"/>
              <w:right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September 30, 2011</w:t>
            </w: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E5E5E5"/>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auto"/>
            </w:tcBorders>
            <w:gridSpan w:val="2"/>
            <w:shd w:val="clear" w:color="auto" w:fill="E5E5E5"/>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5E5E5"/>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E5E5E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gain on sale</w:t>
            </w:r>
            <w:r>
              <w:rPr>
                <w:rFonts w:ascii="Times New Roman" w:cs="Times New Roman" w:eastAsia="Times New Roman" w:hAnsi="Times New Roman"/>
                <w:sz w:val="11"/>
                <w:szCs w:val="11"/>
                <w:color w:val="auto"/>
              </w:rPr>
              <w:t>(a)</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Borders>
              <w:right w:val="single" w:sz="8" w:color="auto"/>
            </w:tcBorders>
          </w:tcPr>
          <w:p>
            <w:pPr>
              <w:spacing w:after="0"/>
              <w:rPr>
                <w:sz w:val="18"/>
                <w:szCs w:val="18"/>
                <w:color w:val="auto"/>
              </w:rPr>
            </w:pPr>
          </w:p>
        </w:tc>
        <w:tc>
          <w:tcPr>
            <w:tcW w:w="13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proceeds (payments) on transfers</w:t>
            </w:r>
            <w:r>
              <w:rPr>
                <w:rFonts w:ascii="Times New Roman" w:cs="Times New Roman" w:eastAsia="Times New Roman" w:hAnsi="Times New Roman"/>
                <w:sz w:val="11"/>
                <w:szCs w:val="11"/>
                <w:color w:val="auto"/>
              </w:rPr>
              <w:t>(b)</w:t>
            </w:r>
          </w:p>
        </w:tc>
        <w:tc>
          <w:tcPr>
            <w:tcW w:w="1080" w:type="dxa"/>
            <w:vAlign w:val="bottom"/>
            <w:tcBorders>
              <w:bottom w:val="single" w:sz="8" w:color="auto"/>
            </w:tcBorders>
            <w:shd w:val="clear" w:color="auto" w:fill="E5E5E5"/>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tcBorders>
              <w:bottom w:val="single" w:sz="8" w:color="auto"/>
            </w:tcBorders>
            <w:shd w:val="clear" w:color="auto" w:fill="E5E5E5"/>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1340" w:type="dxa"/>
            <w:vAlign w:val="bottom"/>
            <w:tcBorders>
              <w:bottom w:val="single" w:sz="8" w:color="auto"/>
            </w:tcBorders>
            <w:gridSpan w:val="2"/>
            <w:shd w:val="clear" w:color="auto" w:fill="E5E5E5"/>
          </w:tcPr>
          <w:p>
            <w:pPr>
              <w:ind w:left="1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5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gain on sale is included in other income (expense), net in our condensed consolidated statement of income.</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proceeds (payments) on transfers are included within net cash provided by operating activities in our condensed consolidated statement of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auto"/>
            </w:tcBorders>
            <w:vMerge w:val="continue"/>
          </w:tcPr>
          <w:p>
            <w:pPr>
              <w:spacing w:after="0"/>
              <w:rPr>
                <w:sz w:val="12"/>
                <w:szCs w:val="12"/>
                <w:color w:val="auto"/>
              </w:rPr>
            </w:pPr>
          </w:p>
        </w:tc>
        <w:tc>
          <w:tcPr>
            <w:tcW w:w="2400" w:type="dxa"/>
            <w:vAlign w:val="bottom"/>
            <w:tcBorders>
              <w:bottom w:val="single" w:sz="8" w:color="auto"/>
            </w:tcBorders>
            <w:gridSpan w:val="2"/>
          </w:tcPr>
          <w:p>
            <w:pPr>
              <w:ind w:left="1160"/>
              <w:spacing w:after="0" w:line="142" w:lineRule="exact"/>
              <w:rPr>
                <w:sz w:val="20"/>
                <w:szCs w:val="20"/>
                <w:color w:val="auto"/>
              </w:rPr>
            </w:pPr>
            <w:r>
              <w:rPr>
                <w:rFonts w:ascii="Times New Roman" w:cs="Times New Roman" w:eastAsia="Times New Roman" w:hAnsi="Times New Roman"/>
                <w:sz w:val="14"/>
                <w:szCs w:val="14"/>
                <w:color w:val="auto"/>
              </w:rPr>
              <w:t>September 30, 2012</w:t>
            </w:r>
          </w:p>
        </w:tc>
        <w:tc>
          <w:tcPr>
            <w:tcW w:w="2180" w:type="dxa"/>
            <w:vAlign w:val="bottom"/>
            <w:tcBorders>
              <w:bottom w:val="single" w:sz="8" w:color="auto"/>
            </w:tcBorders>
            <w:gridSpan w:val="2"/>
          </w:tcPr>
          <w:p>
            <w:pPr>
              <w:ind w:left="1060"/>
              <w:spacing w:after="0" w:line="142" w:lineRule="exact"/>
              <w:rPr>
                <w:sz w:val="20"/>
                <w:szCs w:val="20"/>
                <w:color w:val="auto"/>
              </w:rPr>
            </w:pPr>
            <w:r>
              <w:rPr>
                <w:rFonts w:ascii="Times New Roman" w:cs="Times New Roman" w:eastAsia="Times New Roman" w:hAnsi="Times New Roman"/>
                <w:sz w:val="14"/>
                <w:szCs w:val="14"/>
                <w:color w:val="auto"/>
                <w:w w:val="99"/>
              </w:rPr>
              <w:t>December 31, 2011</w:t>
            </w:r>
          </w:p>
        </w:tc>
        <w:tc>
          <w:tcPr>
            <w:tcW w:w="0" w:type="dxa"/>
            <w:vAlign w:val="bottom"/>
          </w:tcPr>
          <w:p>
            <w:pPr>
              <w:spacing w:after="0"/>
              <w:rPr>
                <w:sz w:val="1"/>
                <w:szCs w:val="1"/>
                <w:color w:val="auto"/>
              </w:rPr>
            </w:pPr>
          </w:p>
        </w:tc>
      </w:tr>
      <w:tr>
        <w:trPr>
          <w:trHeight w:val="210"/>
        </w:trPr>
        <w:tc>
          <w:tcPr>
            <w:tcW w:w="68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Monetized receivables sold</w:t>
            </w:r>
          </w:p>
        </w:tc>
        <w:tc>
          <w:tcPr>
            <w:tcW w:w="1600" w:type="dxa"/>
            <w:vAlign w:val="bottom"/>
            <w:shd w:val="clear" w:color="auto" w:fill="E5E5E5"/>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896</w:t>
            </w:r>
          </w:p>
        </w:tc>
        <w:tc>
          <w:tcPr>
            <w:tcW w:w="1500" w:type="dxa"/>
            <w:vAlign w:val="bottom"/>
            <w:shd w:val="clear" w:color="auto" w:fill="E5E5E5"/>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16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372</w:t>
            </w:r>
          </w:p>
        </w:tc>
        <w:tc>
          <w:tcPr>
            <w:tcW w:w="15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amounts presented above, we had $1 billion and $781 million payable to our monetization programs as of September 30,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Financial Data by Business Segment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operations in four reportable business segments:</w:t>
      </w:r>
    </w:p>
    <w:p>
      <w:pPr>
        <w:spacing w:after="0" w:line="75" w:lineRule="exact"/>
        <w:rPr>
          <w:sz w:val="20"/>
          <w:szCs w:val="20"/>
          <w:color w:val="auto"/>
        </w:rPr>
      </w:pPr>
    </w:p>
    <w:p>
      <w:pPr>
        <w:ind w:left="1020" w:right="1240" w:hanging="215"/>
        <w:spacing w:after="0" w:line="27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Networks</w:t>
      </w:r>
      <w:r>
        <w:rPr>
          <w:rFonts w:ascii="Times New Roman" w:cs="Times New Roman" w:eastAsia="Times New Roman" w:hAnsi="Times New Roman"/>
          <w:sz w:val="18"/>
          <w:szCs w:val="18"/>
          <w:color w:val="auto"/>
        </w:rPr>
        <w:t>: Consists primarily of our national cable television networks, our regional sports and news networks,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cable networks, our cable television production studio, and our related digital media properties.</w:t>
      </w:r>
    </w:p>
    <w:p>
      <w:pPr>
        <w:spacing w:after="0" w:line="21" w:lineRule="exact"/>
        <w:rPr>
          <w:rFonts w:ascii="Times New Roman" w:cs="Times New Roman" w:eastAsia="Times New Roman" w:hAnsi="Times New Roman"/>
          <w:sz w:val="18"/>
          <w:szCs w:val="18"/>
          <w:color w:val="auto"/>
        </w:rPr>
      </w:pPr>
    </w:p>
    <w:p>
      <w:pPr>
        <w:ind w:left="1020" w:right="1240" w:hanging="215"/>
        <w:spacing w:after="0" w:line="27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Broadcast Television</w:t>
      </w:r>
      <w:r>
        <w:rPr>
          <w:rFonts w:ascii="Times New Roman" w:cs="Times New Roman" w:eastAsia="Times New Roman" w:hAnsi="Times New Roman"/>
          <w:sz w:val="18"/>
          <w:szCs w:val="18"/>
          <w:color w:val="auto"/>
        </w:rPr>
        <w:t>: Consists primarily of the NBC and Telemundo broadcast networks, our NBC and Telemundo owned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stations, our broadcast television production operations, and our related digital media properties.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020" w:right="1240" w:hanging="215"/>
        <w:spacing w:after="0" w:line="27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Filmed Entertainment</w:t>
      </w:r>
      <w:r>
        <w:rPr>
          <w:rFonts w:ascii="Times New Roman" w:cs="Times New Roman" w:eastAsia="Times New Roman" w:hAnsi="Times New Roman"/>
          <w:sz w:val="18"/>
          <w:szCs w:val="18"/>
          <w:color w:val="auto"/>
        </w:rPr>
        <w:t>: Consists of the operations of Universal Pictures, which primarily produces, acquires, markets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filmed entertainment worldwide.</w:t>
      </w:r>
    </w:p>
    <w:p>
      <w:pPr>
        <w:spacing w:after="0" w:line="21"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w:t>
      </w:r>
      <w:r>
        <w:rPr>
          <w:rFonts w:ascii="Times New Roman" w:cs="Times New Roman" w:eastAsia="Times New Roman" w:hAnsi="Times New Roman"/>
          <w:sz w:val="18"/>
          <w:szCs w:val="18"/>
          <w:color w:val="auto"/>
        </w:rPr>
        <w:t>: Consists primarily of our Universal theme parks in Orlando and Hollywood.</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92"/>
              <w:spacing w:after="0"/>
              <w:rPr>
                <w:sz w:val="20"/>
                <w:szCs w:val="20"/>
                <w:color w:val="auto"/>
              </w:rPr>
            </w:pPr>
            <w:r>
              <w:rPr>
                <w:rFonts w:ascii="Times New Roman" w:cs="Times New Roman" w:eastAsia="Times New Roman" w:hAnsi="Times New Roman"/>
                <w:sz w:val="14"/>
                <w:szCs w:val="14"/>
                <w:color w:val="auto"/>
                <w:w w:val="96"/>
              </w:rPr>
              <w:t>Successor</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6"/>
          </w:tcPr>
          <w:p>
            <w:pPr>
              <w:jc w:val="center"/>
              <w:ind w:right="112"/>
              <w:spacing w:after="0" w:line="142" w:lineRule="exact"/>
              <w:rPr>
                <w:sz w:val="20"/>
                <w:szCs w:val="20"/>
                <w:color w:val="auto"/>
              </w:rPr>
            </w:pPr>
            <w:r>
              <w:rPr>
                <w:rFonts w:ascii="Times New Roman" w:cs="Times New Roman" w:eastAsia="Times New Roman" w:hAnsi="Times New Roman"/>
                <w:sz w:val="14"/>
                <w:szCs w:val="14"/>
                <w:color w:val="auto"/>
                <w:w w:val="96"/>
              </w:rPr>
              <w:t>Three Months Ended September 30</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left="678"/>
              <w:spacing w:after="0" w:line="142" w:lineRule="exact"/>
              <w:rPr>
                <w:sz w:val="20"/>
                <w:szCs w:val="20"/>
                <w:color w:val="auto"/>
              </w:rPr>
            </w:pPr>
            <w:r>
              <w:rPr>
                <w:rFonts w:ascii="Times New Roman" w:cs="Times New Roman" w:eastAsia="Times New Roman" w:hAnsi="Times New Roman"/>
                <w:sz w:val="14"/>
                <w:szCs w:val="14"/>
                <w:color w:val="auto"/>
                <w:w w:val="99"/>
              </w:rPr>
              <w:t>2011</w:t>
            </w:r>
          </w:p>
        </w:tc>
        <w:tc>
          <w:tcPr>
            <w:tcW w:w="0" w:type="dxa"/>
            <w:vAlign w:val="bottom"/>
          </w:tcPr>
          <w:p>
            <w:pPr>
              <w:spacing w:after="0"/>
              <w:rPr>
                <w:sz w:val="1"/>
                <w:szCs w:val="1"/>
                <w:color w:val="auto"/>
              </w:rPr>
            </w:pPr>
          </w:p>
        </w:tc>
      </w:tr>
      <w:tr>
        <w:trPr>
          <w:trHeight w:val="210"/>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280" w:type="dxa"/>
            <w:vAlign w:val="bottom"/>
            <w:tcBorders>
              <w:right w:val="single" w:sz="8" w:color="E5E5E5"/>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11"/>
                <w:szCs w:val="11"/>
                <w:color w:val="auto"/>
              </w:rPr>
              <w:t>(a)</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$2,165</w:t>
            </w:r>
          </w:p>
        </w:tc>
        <w:tc>
          <w:tcPr>
            <w:tcW w:w="184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16"/>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11"/>
                <w:szCs w:val="11"/>
                <w:color w:val="auto"/>
              </w:rPr>
              <w:t>(b)</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240"/>
              <w:spacing w:after="0"/>
              <w:rPr>
                <w:sz w:val="20"/>
                <w:szCs w:val="20"/>
                <w:color w:val="auto"/>
              </w:rPr>
            </w:pPr>
            <w:r>
              <w:rPr>
                <w:rFonts w:ascii="Times New Roman" w:cs="Times New Roman" w:eastAsia="Times New Roman" w:hAnsi="Times New Roman"/>
                <w:sz w:val="18"/>
                <w:szCs w:val="18"/>
                <w:color w:val="auto"/>
              </w:rPr>
              <w:t>2,777</w:t>
            </w:r>
          </w:p>
        </w:tc>
        <w:tc>
          <w:tcPr>
            <w:tcW w:w="1840" w:type="dxa"/>
            <w:vAlign w:val="bottom"/>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1,355</w:t>
            </w:r>
          </w:p>
        </w:tc>
        <w:tc>
          <w:tcPr>
            <w:tcW w:w="184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Theme Parks</w:t>
            </w:r>
          </w:p>
        </w:tc>
        <w:tc>
          <w:tcPr>
            <w:tcW w:w="10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gridSpan w:val="2"/>
            <w:shd w:val="clear" w:color="auto" w:fill="E5E5E5"/>
          </w:tcPr>
          <w:p>
            <w:pPr>
              <w:jc w:val="right"/>
              <w:ind w:right="240"/>
              <w:spacing w:after="0"/>
              <w:rPr>
                <w:sz w:val="20"/>
                <w:szCs w:val="20"/>
                <w:color w:val="auto"/>
              </w:rPr>
            </w:pPr>
            <w:r>
              <w:rPr>
                <w:rFonts w:ascii="Times New Roman" w:cs="Times New Roman" w:eastAsia="Times New Roman" w:hAnsi="Times New Roman"/>
                <w:sz w:val="18"/>
                <w:szCs w:val="18"/>
                <w:color w:val="auto"/>
              </w:rPr>
              <w:t>614</w:t>
            </w:r>
          </w:p>
        </w:tc>
        <w:tc>
          <w:tcPr>
            <w:tcW w:w="1840" w:type="dxa"/>
            <w:vAlign w:val="bottom"/>
            <w:tcBorders>
              <w:bottom w:val="single" w:sz="8" w:color="auto"/>
            </w:tcBorders>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6,911</w:t>
            </w:r>
          </w:p>
        </w:tc>
        <w:tc>
          <w:tcPr>
            <w:tcW w:w="184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16"/>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(e)</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6"/>
              </w:rPr>
              <w:t>(93)</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11"/>
                <w:szCs w:val="11"/>
                <w:color w:val="auto"/>
              </w:rPr>
              <w:t>(f)</w:t>
            </w:r>
          </w:p>
        </w:tc>
        <w:tc>
          <w:tcPr>
            <w:tcW w:w="10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gridSpan w:val="3"/>
            <w:shd w:val="clear" w:color="auto" w:fill="E5E5E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$6,822</w:t>
            </w:r>
          </w:p>
        </w:tc>
        <w:tc>
          <w:tcPr>
            <w:tcW w:w="1840" w:type="dxa"/>
            <w:vAlign w:val="bottom"/>
            <w:tcBorders>
              <w:bottom w:val="single" w:sz="8" w:color="auto"/>
            </w:tcBorders>
            <w:gridSpan w:val="3"/>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$5,200</w:t>
            </w:r>
          </w:p>
        </w:tc>
        <w:tc>
          <w:tcPr>
            <w:tcW w:w="0" w:type="dxa"/>
            <w:vAlign w:val="bottom"/>
          </w:tcPr>
          <w:p>
            <w:pPr>
              <w:spacing w:after="0"/>
              <w:rPr>
                <w:sz w:val="1"/>
                <w:szCs w:val="1"/>
                <w:color w:val="auto"/>
              </w:rPr>
            </w:pPr>
          </w:p>
        </w:tc>
      </w:tr>
      <w:tr>
        <w:trPr>
          <w:trHeight w:val="284"/>
        </w:trPr>
        <w:tc>
          <w:tcPr>
            <w:tcW w:w="54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4"/>
                <w:szCs w:val="14"/>
                <w:color w:val="auto"/>
                <w:w w:val="98"/>
              </w:rPr>
              <w:t>Predecessor</w:t>
            </w: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4"/>
          </w:tcPr>
          <w:p>
            <w:pPr>
              <w:jc w:val="center"/>
              <w:ind w:right="1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3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tcPr>
          <w:p>
            <w:pPr>
              <w:jc w:val="center"/>
              <w:ind w:left="27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120" w:type="dxa"/>
            <w:vAlign w:val="bottom"/>
            <w:gridSpan w:val="2"/>
          </w:tcPr>
          <w:p>
            <w:pPr>
              <w:jc w:val="center"/>
              <w:ind w:right="14"/>
              <w:spacing w:after="0" w:line="149" w:lineRule="exact"/>
              <w:rPr>
                <w:sz w:val="20"/>
                <w:szCs w:val="20"/>
                <w:color w:val="auto"/>
              </w:rPr>
            </w:pPr>
            <w:r>
              <w:rPr>
                <w:rFonts w:ascii="Times New Roman" w:cs="Times New Roman" w:eastAsia="Times New Roman" w:hAnsi="Times New Roman"/>
                <w:sz w:val="14"/>
                <w:szCs w:val="14"/>
                <w:color w:val="auto"/>
                <w:w w:val="97"/>
              </w:rPr>
              <w:t>Nine Months Ended</w:t>
            </w:r>
          </w:p>
        </w:tc>
        <w:tc>
          <w:tcPr>
            <w:tcW w:w="1200" w:type="dxa"/>
            <w:vAlign w:val="bottom"/>
            <w:gridSpan w:val="4"/>
          </w:tcPr>
          <w:p>
            <w:pPr>
              <w:jc w:val="center"/>
              <w:ind w:right="12"/>
              <w:spacing w:after="0" w:line="149" w:lineRule="exact"/>
              <w:rPr>
                <w:sz w:val="20"/>
                <w:szCs w:val="20"/>
                <w:color w:val="auto"/>
              </w:rPr>
            </w:pPr>
            <w:r>
              <w:rPr>
                <w:rFonts w:ascii="Times New Roman" w:cs="Times New Roman" w:eastAsia="Times New Roman" w:hAnsi="Times New Roman"/>
                <w:sz w:val="14"/>
                <w:szCs w:val="14"/>
                <w:color w:val="auto"/>
                <w:w w:val="95"/>
              </w:rPr>
              <w:t>January 29, 2011 to</w:t>
            </w:r>
          </w:p>
        </w:tc>
        <w:tc>
          <w:tcPr>
            <w:tcW w:w="3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left="27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c>
          <w:tcPr>
            <w:tcW w:w="0" w:type="dxa"/>
            <w:vAlign w:val="bottom"/>
          </w:tcPr>
          <w:p>
            <w:pPr>
              <w:spacing w:after="0"/>
              <w:rPr>
                <w:sz w:val="1"/>
                <w:szCs w:val="1"/>
                <w:color w:val="auto"/>
              </w:rPr>
            </w:pPr>
          </w:p>
        </w:tc>
      </w:tr>
      <w:tr>
        <w:trPr>
          <w:trHeight w:val="161"/>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2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color w:val="auto"/>
                <w:w w:val="97"/>
              </w:rPr>
              <w:t>September 30, 2012</w:t>
            </w:r>
          </w:p>
        </w:tc>
        <w:tc>
          <w:tcPr>
            <w:tcW w:w="1200" w:type="dxa"/>
            <w:vAlign w:val="bottom"/>
            <w:tcBorders>
              <w:bottom w:val="single" w:sz="8" w:color="auto"/>
            </w:tcBorders>
            <w:gridSpan w:val="4"/>
          </w:tcPr>
          <w:p>
            <w:pPr>
              <w:jc w:val="center"/>
              <w:ind w:right="32"/>
              <w:spacing w:after="0"/>
              <w:rPr>
                <w:sz w:val="20"/>
                <w:szCs w:val="20"/>
                <w:color w:val="auto"/>
              </w:rPr>
            </w:pPr>
            <w:r>
              <w:rPr>
                <w:rFonts w:ascii="Times New Roman" w:cs="Times New Roman" w:eastAsia="Times New Roman" w:hAnsi="Times New Roman"/>
                <w:sz w:val="14"/>
                <w:szCs w:val="14"/>
                <w:color w:val="auto"/>
                <w:w w:val="96"/>
              </w:rPr>
              <w:t>September 30, 2011</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left="292"/>
              <w:spacing w:after="0"/>
              <w:rPr>
                <w:sz w:val="20"/>
                <w:szCs w:val="20"/>
                <w:color w:val="auto"/>
              </w:rPr>
            </w:pPr>
            <w:r>
              <w:rPr>
                <w:rFonts w:ascii="Times New Roman" w:cs="Times New Roman" w:eastAsia="Times New Roman" w:hAnsi="Times New Roman"/>
                <w:sz w:val="14"/>
                <w:szCs w:val="14"/>
                <w:color w:val="auto"/>
                <w:w w:val="95"/>
              </w:rPr>
              <w:t>January 28, 2011</w:t>
            </w:r>
          </w:p>
        </w:tc>
        <w:tc>
          <w:tcPr>
            <w:tcW w:w="0" w:type="dxa"/>
            <w:vAlign w:val="bottom"/>
          </w:tcPr>
          <w:p>
            <w:pPr>
              <w:spacing w:after="0"/>
              <w:rPr>
                <w:sz w:val="1"/>
                <w:szCs w:val="1"/>
                <w:color w:val="auto"/>
              </w:rPr>
            </w:pPr>
          </w:p>
        </w:tc>
      </w:tr>
      <w:tr>
        <w:trPr>
          <w:trHeight w:val="210"/>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11"/>
                <w:szCs w:val="11"/>
                <w:color w:val="auto"/>
              </w:rPr>
              <w:t>(a)</w:t>
            </w:r>
          </w:p>
        </w:tc>
        <w:tc>
          <w:tcPr>
            <w:tcW w:w="1080" w:type="dxa"/>
            <w:vAlign w:val="bottom"/>
          </w:tcPr>
          <w:p>
            <w:pPr>
              <w:jc w:val="center"/>
              <w:ind w:lef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6,555</w:t>
            </w:r>
          </w:p>
        </w:tc>
        <w:tc>
          <w:tcPr>
            <w:tcW w:w="600" w:type="dxa"/>
            <w:vAlign w:val="bottom"/>
            <w:gridSpan w:val="3"/>
          </w:tcPr>
          <w:p>
            <w:pPr>
              <w:jc w:val="center"/>
              <w:ind w:left="44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5,670</w:t>
            </w:r>
          </w:p>
        </w:tc>
        <w:tc>
          <w:tcPr>
            <w:tcW w:w="3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left="115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11"/>
                <w:szCs w:val="11"/>
                <w:color w:val="auto"/>
              </w:rPr>
              <w:t>(b)</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6,168</w:t>
            </w: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4,094</w:t>
            </w:r>
          </w:p>
        </w:tc>
        <w:tc>
          <w:tcPr>
            <w:tcW w:w="3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080" w:type="dxa"/>
            <w:vAlign w:val="bottom"/>
          </w:tcPr>
          <w:p>
            <w:pPr>
              <w:spacing w:after="0"/>
              <w:rPr>
                <w:sz w:val="18"/>
                <w:szCs w:val="18"/>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3,778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2,972</w:t>
            </w:r>
          </w:p>
        </w:tc>
        <w:tc>
          <w:tcPr>
            <w:tcW w:w="3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Theme Parks</w:t>
            </w:r>
            <w:r>
              <w:rPr>
                <w:rFonts w:ascii="Times New Roman" w:cs="Times New Roman" w:eastAsia="Times New Roman" w:hAnsi="Times New Roman"/>
                <w:sz w:val="11"/>
                <w:szCs w:val="11"/>
                <w:color w:val="auto"/>
              </w:rPr>
              <w:t>(c)</w:t>
            </w:r>
          </w:p>
        </w:tc>
        <w:tc>
          <w:tcPr>
            <w:tcW w:w="10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1,376</w:t>
            </w:r>
          </w:p>
        </w:tc>
        <w:tc>
          <w:tcPr>
            <w:tcW w:w="3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right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080" w:type="dxa"/>
            <w:vAlign w:val="bottom"/>
          </w:tcPr>
          <w:p>
            <w:pPr>
              <w:spacing w:after="0"/>
              <w:rPr>
                <w:sz w:val="18"/>
                <w:szCs w:val="18"/>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w w:val="92"/>
              </w:rPr>
              <w:t>18,066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2"/>
              </w:rPr>
              <w:t>14,112</w:t>
            </w:r>
          </w:p>
        </w:tc>
        <w:tc>
          <w:tcPr>
            <w:tcW w:w="3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3"/>
              </w:rPr>
              <w:t>1,321</w:t>
            </w:r>
          </w:p>
        </w:tc>
        <w:tc>
          <w:tcPr>
            <w:tcW w:w="0" w:type="dxa"/>
            <w:vAlign w:val="bottom"/>
          </w:tcPr>
          <w:p>
            <w:pPr>
              <w:spacing w:after="0"/>
              <w:rPr>
                <w:sz w:val="1"/>
                <w:szCs w:val="1"/>
                <w:color w:val="auto"/>
              </w:rPr>
            </w:pPr>
          </w:p>
        </w:tc>
      </w:tr>
      <w:tr>
        <w:trPr>
          <w:trHeight w:val="216"/>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(e)</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11"/>
                <w:szCs w:val="11"/>
                <w:color w:val="auto"/>
              </w:rPr>
              <w:t>(f)</w:t>
            </w:r>
          </w:p>
        </w:tc>
        <w:tc>
          <w:tcPr>
            <w:tcW w:w="1080" w:type="dxa"/>
            <w:vAlign w:val="bottom"/>
            <w:tcBorders>
              <w:bottom w:val="single" w:sz="8" w:color="auto"/>
            </w:tcBorders>
            <w:shd w:val="clear" w:color="auto" w:fill="E5E5E5"/>
          </w:tcPr>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E5E5E5"/>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w w:val="92"/>
              </w:rPr>
              <w:t>17,798</w:t>
            </w:r>
          </w:p>
        </w:tc>
        <w:tc>
          <w:tcPr>
            <w:tcW w:w="600" w:type="dxa"/>
            <w:vAlign w:val="bottom"/>
            <w:tcBorders>
              <w:bottom w:val="single" w:sz="8" w:color="auto"/>
            </w:tcBorders>
            <w:gridSpan w:val="3"/>
            <w:shd w:val="clear" w:color="auto" w:fill="E5E5E5"/>
          </w:tcPr>
          <w:p>
            <w:pPr>
              <w:jc w:val="center"/>
              <w:ind w:left="44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2"/>
              </w:rPr>
              <w:t>13,290</w:t>
            </w:r>
          </w:p>
        </w:tc>
        <w:tc>
          <w:tcPr>
            <w:tcW w:w="3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right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840" w:type="dxa"/>
            <w:vAlign w:val="bottom"/>
            <w:tcBorders>
              <w:bottom w:val="single" w:sz="8" w:color="auto"/>
            </w:tcBorders>
            <w:gridSpan w:val="3"/>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$1,206</w:t>
            </w:r>
          </w:p>
        </w:tc>
        <w:tc>
          <w:tcPr>
            <w:tcW w:w="0" w:type="dxa"/>
            <w:vAlign w:val="bottom"/>
          </w:tcPr>
          <w:p>
            <w:pPr>
              <w:spacing w:after="0"/>
              <w:rPr>
                <w:sz w:val="1"/>
                <w:szCs w:val="1"/>
                <w:color w:val="auto"/>
              </w:rPr>
            </w:pPr>
          </w:p>
        </w:tc>
      </w:tr>
      <w:tr>
        <w:trPr>
          <w:trHeight w:val="284"/>
        </w:trPr>
        <w:tc>
          <w:tcPr>
            <w:tcW w:w="5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532"/>
              <w:spacing w:after="0"/>
              <w:rPr>
                <w:sz w:val="20"/>
                <w:szCs w:val="20"/>
                <w:color w:val="auto"/>
              </w:rPr>
            </w:pPr>
            <w:r>
              <w:rPr>
                <w:rFonts w:ascii="Times New Roman" w:cs="Times New Roman" w:eastAsia="Times New Roman" w:hAnsi="Times New Roman"/>
                <w:sz w:val="14"/>
                <w:szCs w:val="14"/>
                <w:color w:val="auto"/>
                <w:w w:val="96"/>
              </w:rPr>
              <w:t>Successor</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jc w:val="center"/>
              <w:ind w:left="181"/>
              <w:spacing w:after="0" w:line="142" w:lineRule="exact"/>
              <w:rPr>
                <w:sz w:val="20"/>
                <w:szCs w:val="20"/>
                <w:color w:val="auto"/>
              </w:rPr>
            </w:pPr>
            <w:r>
              <w:rPr>
                <w:rFonts w:ascii="Times New Roman" w:cs="Times New Roman" w:eastAsia="Times New Roman" w:hAnsi="Times New Roman"/>
                <w:sz w:val="14"/>
                <w:szCs w:val="14"/>
                <w:color w:val="auto"/>
                <w:w w:val="96"/>
              </w:rPr>
              <w:t>Three Months Ended September 30</w:t>
            </w: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left="658"/>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0" w:type="dxa"/>
            <w:vAlign w:val="bottom"/>
          </w:tcPr>
          <w:p>
            <w:pPr>
              <w:spacing w:after="0"/>
              <w:rPr>
                <w:sz w:val="1"/>
                <w:szCs w:val="1"/>
                <w:color w:val="auto"/>
              </w:rPr>
            </w:pPr>
          </w:p>
        </w:tc>
      </w:tr>
      <w:tr>
        <w:trPr>
          <w:trHeight w:val="210"/>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Before Depreciation and Amortization</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280" w:type="dxa"/>
            <w:vAlign w:val="bottom"/>
            <w:tcBorders>
              <w:right w:val="single" w:sz="8" w:color="E5E5E5"/>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11"/>
                <w:szCs w:val="11"/>
                <w:color w:val="auto"/>
              </w:rPr>
              <w:t>(a)</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1340" w:type="dxa"/>
            <w:vAlign w:val="bottom"/>
            <w:gridSpan w:val="2"/>
          </w:tcPr>
          <w:p>
            <w:pPr>
              <w:jc w:val="center"/>
              <w:ind w:left="115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11"/>
                <w:szCs w:val="11"/>
                <w:color w:val="auto"/>
              </w:rPr>
              <w:t>(b)</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Theme Parks</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11"/>
                <w:szCs w:val="11"/>
                <w:color w:val="auto"/>
              </w:rPr>
              <w:t>(d)</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(e)</w:t>
            </w:r>
          </w:p>
        </w:tc>
        <w:tc>
          <w:tcPr>
            <w:tcW w:w="10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income (loss) before depreciation and amortization</w:t>
            </w:r>
            <w:r>
              <w:rPr>
                <w:rFonts w:ascii="Times New Roman" w:cs="Times New Roman" w:eastAsia="Times New Roman" w:hAnsi="Times New Roman"/>
                <w:sz w:val="11"/>
                <w:szCs w:val="11"/>
                <w:color w:val="auto"/>
              </w:rPr>
              <w:t>(g)</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1,140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0"/>
        </w:trPr>
        <w:tc>
          <w:tcPr>
            <w:tcW w:w="5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0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gridSpan w:val="2"/>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803</w:t>
            </w:r>
          </w:p>
        </w:tc>
        <w:tc>
          <w:tcPr>
            <w:tcW w:w="1340" w:type="dxa"/>
            <w:vAlign w:val="bottom"/>
            <w:tcBorders>
              <w:bottom w:val="single" w:sz="8" w:color="auto"/>
            </w:tcBorders>
            <w:gridSpan w:val="2"/>
            <w:shd w:val="clear" w:color="auto" w:fill="E5E5E5"/>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619</w:t>
            </w:r>
          </w:p>
        </w:tc>
        <w:tc>
          <w:tcPr>
            <w:tcW w:w="0" w:type="dxa"/>
            <w:vAlign w:val="bottom"/>
          </w:tcPr>
          <w:p>
            <w:pPr>
              <w:spacing w:after="0"/>
              <w:rPr>
                <w:sz w:val="1"/>
                <w:szCs w:val="1"/>
                <w:color w:val="auto"/>
              </w:rPr>
            </w:pPr>
          </w:p>
        </w:tc>
      </w:tr>
      <w:tr>
        <w:trPr>
          <w:trHeight w:val="367"/>
        </w:trPr>
        <w:tc>
          <w:tcPr>
            <w:tcW w:w="5420" w:type="dxa"/>
            <w:vAlign w:val="bottom"/>
          </w:tcPr>
          <w:p>
            <w:pPr>
              <w:spacing w:after="0"/>
              <w:rPr>
                <w:sz w:val="24"/>
                <w:szCs w:val="24"/>
                <w:color w:val="auto"/>
              </w:rPr>
            </w:pPr>
          </w:p>
        </w:tc>
        <w:tc>
          <w:tcPr>
            <w:tcW w:w="1080" w:type="dxa"/>
            <w:vAlign w:val="bottom"/>
          </w:tcPr>
          <w:p>
            <w:pPr>
              <w:jc w:val="right"/>
              <w:ind w:right="600"/>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Successor</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w w:val="98"/>
              </w:rPr>
              <w:t>Predecessor</w:t>
            </w:r>
          </w:p>
        </w:tc>
      </w:tr>
      <w:tr>
        <w:trPr>
          <w:trHeight w:val="129"/>
        </w:trPr>
        <w:tc>
          <w:tcPr>
            <w:tcW w:w="5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9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6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jc w:val="center"/>
              <w:ind w:right="13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r>
      <w:tr>
        <w:trPr>
          <w:trHeight w:val="149"/>
        </w:trPr>
        <w:tc>
          <w:tcPr>
            <w:tcW w:w="5220" w:type="dxa"/>
            <w:vAlign w:val="bottom"/>
          </w:tcPr>
          <w:p>
            <w:pPr>
              <w:spacing w:after="0"/>
              <w:rPr>
                <w:sz w:val="12"/>
                <w:szCs w:val="12"/>
                <w:color w:val="auto"/>
              </w:rPr>
            </w:pPr>
          </w:p>
        </w:tc>
        <w:tc>
          <w:tcPr>
            <w:tcW w:w="218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1840" w:type="dxa"/>
            <w:vAlign w:val="bottom"/>
            <w:tcBorders>
              <w:right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January 29, 2011 to</w:t>
            </w:r>
          </w:p>
        </w:tc>
        <w:tc>
          <w:tcPr>
            <w:tcW w:w="580" w:type="dxa"/>
            <w:vAlign w:val="bottom"/>
          </w:tcPr>
          <w:p>
            <w:pPr>
              <w:spacing w:after="0"/>
              <w:rPr>
                <w:sz w:val="12"/>
                <w:szCs w:val="12"/>
                <w:color w:val="auto"/>
              </w:rPr>
            </w:pPr>
          </w:p>
        </w:tc>
        <w:tc>
          <w:tcPr>
            <w:tcW w:w="1600" w:type="dxa"/>
            <w:vAlign w:val="bottom"/>
            <w:gridSpan w:val="2"/>
          </w:tcPr>
          <w:p>
            <w:pPr>
              <w:jc w:val="center"/>
              <w:ind w:left="312"/>
              <w:spacing w:after="0" w:line="149" w:lineRule="exact"/>
              <w:rPr>
                <w:sz w:val="20"/>
                <w:szCs w:val="20"/>
                <w:color w:val="auto"/>
              </w:rPr>
            </w:pPr>
            <w:r>
              <w:rPr>
                <w:rFonts w:ascii="Times New Roman" w:cs="Times New Roman" w:eastAsia="Times New Roman" w:hAnsi="Times New Roman"/>
                <w:sz w:val="14"/>
                <w:szCs w:val="14"/>
                <w:color w:val="auto"/>
                <w:w w:val="94"/>
              </w:rPr>
              <w:t>January 1, 2011 to</w:t>
            </w:r>
          </w:p>
        </w:tc>
      </w:tr>
      <w:tr>
        <w:trPr>
          <w:trHeight w:val="161"/>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September 30, 2012</w:t>
            </w:r>
          </w:p>
        </w:tc>
        <w:tc>
          <w:tcPr>
            <w:tcW w:w="1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September 30, 2011</w:t>
            </w: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left="332"/>
              <w:spacing w:after="0"/>
              <w:rPr>
                <w:sz w:val="20"/>
                <w:szCs w:val="20"/>
                <w:color w:val="auto"/>
              </w:rPr>
            </w:pPr>
            <w:r>
              <w:rPr>
                <w:rFonts w:ascii="Times New Roman" w:cs="Times New Roman" w:eastAsia="Times New Roman" w:hAnsi="Times New Roman"/>
                <w:sz w:val="14"/>
                <w:szCs w:val="14"/>
                <w:color w:val="auto"/>
                <w:w w:val="95"/>
              </w:rPr>
              <w:t>January 28, 2011</w:t>
            </w:r>
          </w:p>
        </w:tc>
      </w:tr>
      <w:tr>
        <w:trPr>
          <w:trHeight w:val="210"/>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Before Depreciation and Amortization</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11"/>
                <w:szCs w:val="11"/>
                <w:color w:val="auto"/>
              </w:rPr>
              <w:t>(a)</w:t>
            </w: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2,402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2,196</w:t>
            </w:r>
          </w:p>
        </w:tc>
        <w:tc>
          <w:tcPr>
            <w:tcW w:w="620" w:type="dxa"/>
            <w:vAlign w:val="bottom"/>
            <w:tcBorders>
              <w:right w:val="single" w:sz="8" w:color="auto"/>
            </w:tcBorders>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11"/>
                <w:szCs w:val="11"/>
                <w:color w:val="auto"/>
              </w:rPr>
              <w:t>(b)</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494"/>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900" w:type="dxa"/>
            <w:vAlign w:val="bottom"/>
          </w:tcPr>
          <w:p>
            <w:pPr>
              <w:spacing w:after="0"/>
              <w:rPr>
                <w:sz w:val="18"/>
                <w:szCs w:val="18"/>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Theme Parks</w:t>
            </w:r>
            <w:r>
              <w:rPr>
                <w:rFonts w:ascii="Times New Roman" w:cs="Times New Roman" w:eastAsia="Times New Roman" w:hAnsi="Times New Roman"/>
                <w:sz w:val="11"/>
                <w:szCs w:val="11"/>
                <w:color w:val="auto"/>
              </w:rPr>
              <w:t>(c)</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494"/>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607</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11"/>
                <w:szCs w:val="11"/>
                <w:color w:val="auto"/>
              </w:rPr>
              <w:t>(d)</w:t>
            </w:r>
          </w:p>
        </w:tc>
        <w:tc>
          <w:tcPr>
            <w:tcW w:w="900" w:type="dxa"/>
            <w:vAlign w:val="bottom"/>
          </w:tcPr>
          <w:p>
            <w:pPr>
              <w:spacing w:after="0"/>
              <w:rPr>
                <w:sz w:val="18"/>
                <w:szCs w:val="18"/>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(e)</w:t>
            </w:r>
          </w:p>
        </w:tc>
        <w:tc>
          <w:tcPr>
            <w:tcW w:w="90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income (loss) before depreciation and amortization</w:t>
            </w:r>
            <w:r>
              <w:rPr>
                <w:rFonts w:ascii="Times New Roman" w:cs="Times New Roman" w:eastAsia="Times New Roman" w:hAnsi="Times New Roman"/>
                <w:sz w:val="11"/>
                <w:szCs w:val="11"/>
                <w:color w:val="auto"/>
              </w:rPr>
              <w:t>(g)</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2,344</w:t>
            </w:r>
          </w:p>
        </w:tc>
        <w:tc>
          <w:tcPr>
            <w:tcW w:w="6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5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494"/>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262</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511</w:t>
            </w:r>
          </w:p>
        </w:tc>
        <w:tc>
          <w:tcPr>
            <w:tcW w:w="6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52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900" w:type="dxa"/>
            <w:vAlign w:val="bottom"/>
            <w:tcBorders>
              <w:bottom w:val="single" w:sz="8" w:color="auto"/>
            </w:tcBorders>
            <w:shd w:val="clear" w:color="auto" w:fill="E5E5E5"/>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E5E5E5"/>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1,966</w:t>
            </w:r>
          </w:p>
        </w:tc>
        <w:tc>
          <w:tcPr>
            <w:tcW w:w="140" w:type="dxa"/>
            <w:vAlign w:val="bottom"/>
            <w:tcBorders>
              <w:bottom w:val="single" w:sz="8" w:color="auto"/>
            </w:tcBorders>
            <w:shd w:val="clear" w:color="auto" w:fill="E5E5E5"/>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1,571</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8</w:t>
            </w:r>
          </w:p>
        </w:tc>
      </w:tr>
    </w:tbl>
    <w:p>
      <w:pPr>
        <w:spacing w:after="0" w:line="55" w:lineRule="exact"/>
        <w:rPr>
          <w:sz w:val="20"/>
          <w:szCs w:val="20"/>
          <w:color w:val="auto"/>
        </w:rPr>
      </w:pPr>
    </w:p>
    <w:p>
      <w:pPr>
        <w:ind w:left="34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2012 and the period January 29 through September 30, 2011, our Cable Networks segment included the results of operations of the Comcast Content Business.</w:t>
      </w:r>
    </w:p>
    <w:p>
      <w:pPr>
        <w:spacing w:after="0" w:line="41" w:lineRule="exact"/>
        <w:rPr>
          <w:rFonts w:ascii="Times New Roman" w:cs="Times New Roman" w:eastAsia="Times New Roman" w:hAnsi="Times New Roman"/>
          <w:sz w:val="14"/>
          <w:szCs w:val="14"/>
          <w:color w:val="auto"/>
        </w:rPr>
      </w:pPr>
    </w:p>
    <w:p>
      <w:pPr>
        <w:jc w:val="both"/>
        <w:ind w:left="340" w:hanging="332"/>
        <w:spacing w:after="0" w:line="234"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2012, our Broadcast Television segment included all revenue and operating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42" w:lineRule="exact"/>
        <w:rPr>
          <w:rFonts w:ascii="Times New Roman" w:cs="Times New Roman" w:eastAsia="Times New Roman" w:hAnsi="Times New Roman"/>
          <w:sz w:val="14"/>
          <w:szCs w:val="14"/>
          <w:color w:val="auto"/>
        </w:rPr>
      </w:pPr>
    </w:p>
    <w:p>
      <w:pPr>
        <w:ind w:left="340" w:right="20" w:hanging="332"/>
        <w:spacing w:after="0" w:line="317"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periods January 1, 2011 through January 28, 2011 and January 29, 2011 through June 30, 2011, Universal Orlando was recorded as an equity method investment in our consolidated results of operations. However, our Theme Parks segment included the results of operations for Universal Orlando for these periods to reflect our measure of operating performance for our Theme Parks segment.</w:t>
      </w: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Headquarters and Other included operating costs and expenses associated with corporate overhead, employee benefits and corporate initiatives.</w:t>
      </w:r>
    </w:p>
    <w:p>
      <w:pPr>
        <w:spacing w:after="0" w:line="55"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Eliminations for the periods January 1, 2011 through January 28, 2011 and January 29, 2011 through June 30, 2011 included the elimination of the results of operations for Universal Orlando for these periods. These results were not included in our consolidated results of operations because we recorded Universal Orlando as an equity method investment during those periods.</w:t>
      </w:r>
    </w:p>
    <w:p>
      <w:pPr>
        <w:spacing w:after="0" w:line="41" w:lineRule="exact"/>
        <w:rPr>
          <w:rFonts w:ascii="Times New Roman" w:cs="Times New Roman" w:eastAsia="Times New Roman" w:hAnsi="Times New Roman"/>
          <w:sz w:val="14"/>
          <w:szCs w:val="14"/>
          <w:color w:val="auto"/>
        </w:rPr>
      </w:pPr>
    </w:p>
    <w:p>
      <w:pPr>
        <w:ind w:left="36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customer accounted for a significant amount of revenue in any period.</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26"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Condensed Consolidating Financial Information</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October 2011, NBCUniversal Media, LLC fully and unconditionally guaranteed Universal Orlando’s senior and senior subordinated notes in exchange for amendments that conform the notes’ covenants and events of default to those contained in our outstanding public debt securities. The guarantee includes the payment of principal, premium, if any, and interest. NBCUniversal Media, LLC is referred to as “Parent” in the tables presented below.</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Universal Orlando’s senior and senior subordinated notes were co-issued by Universal City Development Partners, Ltd. and UCDP Finance (collectively, the “Issuers”) and continue also to be fully and unconditionally guaranteed by Universal City Travel Partners and Universal Orlando Online Merchandise Store (collectively, the “Guarantor Subsidiaries”).</w:t>
      </w:r>
    </w:p>
    <w:p>
      <w:pPr>
        <w:spacing w:after="0" w:line="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condensed consolidating financial information is presented in the tables below and includes the operating results of the Universal Orlando entities from July 1, 2011, the date we acquired the remaining 50% equity interest in Universal Orlando that we did not already own.</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intend to redeem all of Universal Orlando’s outstanding senior and senior subordinated notes in November 2012. Following the redemption, we will cease to provide condensed consolidating financial information related to these debt securities, as they will no longer be outstanding.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Non-</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Elimination and</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2"/>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160" w:type="dxa"/>
            <w:vAlign w:val="bottom"/>
            <w:gridSpan w:val="2"/>
          </w:tcPr>
          <w:p>
            <w:pPr>
              <w:jc w:val="right"/>
              <w:ind w:right="21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400" w:type="dxa"/>
            <w:vAlign w:val="bottom"/>
            <w:gridSpan w:val="2"/>
          </w:tcPr>
          <w:p>
            <w:pPr>
              <w:jc w:val="right"/>
              <w:ind w:right="25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5"/>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32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Parent</w:t>
            </w:r>
          </w:p>
        </w:tc>
        <w:tc>
          <w:tcPr>
            <w:tcW w:w="11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Issuers</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340" w:type="dxa"/>
            <w:vAlign w:val="bottom"/>
          </w:tcPr>
          <w:p>
            <w:pPr>
              <w:spacing w:after="0"/>
              <w:rPr>
                <w:sz w:val="15"/>
                <w:szCs w:val="15"/>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w w:val="93"/>
              </w:rPr>
              <w:t>Adjustments</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3,528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132</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530</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4,207</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79</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1,239</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3,572</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252</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5,976</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4,920</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525</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952</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Investments in and amounts due from subsidiaries eliminated</w:t>
            </w: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32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2"/>
              </w:rPr>
              <w:t>37,905</w:t>
            </w:r>
          </w:p>
        </w:tc>
        <w:tc>
          <w:tcPr>
            <w:tcW w:w="460" w:type="dxa"/>
            <w:vAlign w:val="bottom"/>
            <w:shd w:val="clear" w:color="auto" w:fill="E5E5E5"/>
          </w:tcPr>
          <w:p>
            <w:pPr>
              <w:spacing w:after="0"/>
              <w:rPr>
                <w:sz w:val="20"/>
                <w:szCs w:val="20"/>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(37,919)</w:t>
            </w:r>
          </w:p>
        </w:tc>
        <w:tc>
          <w:tcPr>
            <w:tcW w:w="42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1,673</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3,455</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14,872</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401</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15,101</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92"/>
              </w:rPr>
              <w:t>42,241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3"/>
              </w:rPr>
              <w:t>2,383</w:t>
            </w: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46,012</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(37,924)</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52,738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payable and accrued expenses related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trade creditors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162</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2,300</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370</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89</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2,163</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403</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375</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654</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5,795</w:t>
            </w:r>
          </w:p>
        </w:tc>
        <w:tc>
          <w:tcPr>
            <w:tcW w:w="340" w:type="dxa"/>
            <w:vAlign w:val="bottom"/>
          </w:tcPr>
          <w:p>
            <w:pPr>
              <w:spacing w:after="0"/>
              <w:rPr>
                <w:sz w:val="18"/>
                <w:szCs w:val="18"/>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9,223</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240</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(240)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891</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1,019</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280</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2,304</w:t>
            </w: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3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2"/>
              </w:rPr>
              <w:t>31,624</w:t>
            </w:r>
          </w:p>
        </w:tc>
        <w:tc>
          <w:tcPr>
            <w:tcW w:w="4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1,209</w:t>
            </w:r>
          </w:p>
        </w:tc>
        <w:tc>
          <w:tcPr>
            <w:tcW w:w="5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36,460</w:t>
            </w:r>
          </w:p>
        </w:tc>
        <w:tc>
          <w:tcPr>
            <w:tcW w:w="340" w:type="dxa"/>
            <w:vAlign w:val="bottom"/>
          </w:tcPr>
          <w:p>
            <w:pPr>
              <w:spacing w:after="0"/>
              <w:rPr>
                <w:sz w:val="18"/>
                <w:szCs w:val="18"/>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(37,679)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2"/>
              </w:rPr>
              <w:t>31,624</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93"/>
              </w:rPr>
              <w:t>1,209</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36,877</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(37,679)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32,041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92"/>
              </w:rPr>
              <w:t>42,241</w:t>
            </w:r>
          </w:p>
        </w:tc>
        <w:tc>
          <w:tcPr>
            <w:tcW w:w="4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3"/>
              </w:rPr>
              <w:t>2,383</w:t>
            </w:r>
          </w:p>
        </w:tc>
        <w:tc>
          <w:tcPr>
            <w:tcW w:w="5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46,012</w:t>
            </w:r>
          </w:p>
        </w:tc>
        <w:tc>
          <w:tcPr>
            <w:tcW w:w="34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(37,924)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52,738</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5"/>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Parent</w:t>
            </w:r>
          </w:p>
        </w:tc>
        <w:tc>
          <w:tcPr>
            <w:tcW w:w="11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Issuers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513</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3,536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1,200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5,249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5,227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2,914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Investments in and amounts due from subsidiaries eliminated</w:t>
            </w:r>
          </w:p>
        </w:tc>
        <w:tc>
          <w:tcPr>
            <w:tcW w:w="3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36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6"/>
              </w:rPr>
              <w:t>39,744</w:t>
            </w:r>
          </w:p>
        </w:tc>
        <w:tc>
          <w:tcPr>
            <w:tcW w:w="500" w:type="dxa"/>
            <w:vAlign w:val="bottom"/>
            <w:shd w:val="clear" w:color="auto" w:fill="E5E5E5"/>
          </w:tcPr>
          <w:p>
            <w:pPr>
              <w:spacing w:after="0"/>
              <w:rPr>
                <w:sz w:val="20"/>
                <w:szCs w:val="20"/>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shd w:val="clear" w:color="auto" w:fill="E5E5E5"/>
          </w:tcPr>
          <w:p>
            <w:pPr>
              <w:spacing w:after="0"/>
              <w:rPr>
                <w:sz w:val="20"/>
                <w:szCs w:val="20"/>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(39,755)</w:t>
            </w:r>
          </w:p>
        </w:tc>
        <w:tc>
          <w:tcPr>
            <w:tcW w:w="42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3"/>
              </w:rPr>
              <w:t>1,644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3,320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14,657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392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15,303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40,667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3"/>
              </w:rPr>
              <w:t>2,225</w:t>
            </w: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47,630</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(39,764)</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payable and accrued expenses related</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trade creditors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124</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1,992</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1,255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2,371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5,622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888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(485)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873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262</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2,127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29,720</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869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38,394</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(39,270)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29,720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869</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38,755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(39,270)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40,667</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3"/>
              </w:rPr>
              <w:t>2,225</w:t>
            </w:r>
          </w:p>
        </w:tc>
        <w:tc>
          <w:tcPr>
            <w:tcW w:w="5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47,630</w:t>
            </w:r>
          </w:p>
        </w:tc>
        <w:tc>
          <w:tcPr>
            <w:tcW w:w="4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(39,764)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50,784</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00" w:type="dxa"/>
            <w:vAlign w:val="bottom"/>
          </w:tcPr>
          <w:p>
            <w:pPr>
              <w:spacing w:after="0"/>
              <w:rPr>
                <w:sz w:val="12"/>
                <w:szCs w:val="12"/>
                <w:color w:val="auto"/>
              </w:rPr>
            </w:pPr>
          </w:p>
        </w:tc>
        <w:tc>
          <w:tcPr>
            <w:tcW w:w="840" w:type="dxa"/>
            <w:vAlign w:val="bottom"/>
          </w:tcPr>
          <w:p>
            <w:pPr>
              <w:jc w:val="center"/>
              <w:ind w:right="373"/>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180" w:type="dxa"/>
            <w:vAlign w:val="bottom"/>
            <w:gridSpan w:val="2"/>
          </w:tcPr>
          <w:p>
            <w:pPr>
              <w:jc w:val="right"/>
              <w:ind w:right="25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4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40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color w:val="auto"/>
              </w:rPr>
              <w:t>Parent</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Issuers</w:t>
            </w: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Subsidiaries</w:t>
            </w:r>
          </w:p>
        </w:tc>
        <w:tc>
          <w:tcPr>
            <w:tcW w:w="11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$ 368</w:t>
            </w:r>
          </w:p>
        </w:tc>
        <w:tc>
          <w:tcPr>
            <w:tcW w:w="52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6,431</w:t>
            </w:r>
          </w:p>
        </w:tc>
        <w:tc>
          <w:tcPr>
            <w:tcW w:w="4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6,822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5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5,284</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5,682</w:t>
            </w:r>
          </w:p>
        </w:tc>
      </w:tr>
      <w:tr>
        <w:trPr>
          <w:trHeight w:val="216"/>
        </w:trPr>
        <w:tc>
          <w:tcPr>
            <w:tcW w:w="4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56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193</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4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213</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5,586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6,019</w:t>
            </w:r>
          </w:p>
        </w:tc>
      </w:tr>
      <w:tr>
        <w:trPr>
          <w:trHeight w:val="210"/>
        </w:trPr>
        <w:tc>
          <w:tcPr>
            <w:tcW w:w="45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(207)</w:t>
            </w: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155</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845</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5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w w:val="98"/>
              </w:rPr>
              <w:t>1,982</w:t>
            </w: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(1,981)</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5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1,071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1,061</w:t>
            </w:r>
          </w:p>
        </w:tc>
      </w:tr>
      <w:tr>
        <w:trPr>
          <w:trHeight w:val="210"/>
        </w:trPr>
        <w:tc>
          <w:tcPr>
            <w:tcW w:w="4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w w:val="98"/>
              </w:rPr>
              <w:t>1,883</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1,109</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(1,990)</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990</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8"/>
              </w:rPr>
              <w:t>1,676</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143</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1,954</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(1,981)</w:t>
            </w:r>
          </w:p>
        </w:tc>
        <w:tc>
          <w:tcPr>
            <w:tcW w:w="4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8"/>
              </w:rPr>
              <w:t>1,672</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143</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1,886</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(1,981)</w:t>
            </w:r>
          </w:p>
        </w:tc>
        <w:tc>
          <w:tcPr>
            <w:tcW w:w="4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7"/>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8"/>
              </w:rPr>
              <w:t>1,672</w:t>
            </w: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$ 143</w:t>
            </w:r>
          </w:p>
        </w:tc>
        <w:tc>
          <w:tcPr>
            <w:tcW w:w="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1,837</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(1,981)</w:t>
            </w: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1,672</w:t>
            </w:r>
          </w:p>
        </w:tc>
      </w:tr>
      <w:tr>
        <w:trPr>
          <w:trHeight w:val="223"/>
        </w:trPr>
        <w:tc>
          <w:tcPr>
            <w:tcW w:w="45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8"/>
              </w:rPr>
              <w:t>1,706</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$ 143</w:t>
            </w:r>
          </w:p>
        </w:tc>
        <w:tc>
          <w:tcPr>
            <w:tcW w:w="5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1,872</w:t>
            </w:r>
          </w:p>
        </w:tc>
        <w:tc>
          <w:tcPr>
            <w:tcW w:w="40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1,706</w:t>
            </w:r>
          </w:p>
        </w:tc>
      </w:tr>
      <w:tr>
        <w:trPr>
          <w:trHeight w:val="367"/>
        </w:trPr>
        <w:tc>
          <w:tcPr>
            <w:tcW w:w="4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02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Parent</w:t>
            </w:r>
          </w:p>
        </w:tc>
        <w:tc>
          <w:tcPr>
            <w:tcW w:w="10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Issuers</w:t>
            </w:r>
          </w:p>
        </w:tc>
        <w:tc>
          <w:tcPr>
            <w:tcW w:w="11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w w:val="96"/>
              </w:rPr>
              <w:t>366</w:t>
            </w:r>
          </w:p>
        </w:tc>
        <w:tc>
          <w:tcPr>
            <w:tcW w:w="54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4,831</w:t>
            </w:r>
          </w:p>
        </w:tc>
        <w:tc>
          <w:tcPr>
            <w:tcW w:w="42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w w:val="96"/>
              </w:rPr>
              <w:t>195</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3,859</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4,249</w:t>
            </w: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4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r>
      <w:tr>
        <w:trPr>
          <w:trHeight w:val="210"/>
        </w:trPr>
        <w:tc>
          <w:tcPr>
            <w:tcW w:w="4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96"/>
              </w:rPr>
              <w:t>230</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4,156</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4,581</w:t>
            </w:r>
          </w:p>
        </w:tc>
      </w:tr>
      <w:tr>
        <w:trPr>
          <w:trHeight w:val="210"/>
        </w:trPr>
        <w:tc>
          <w:tcPr>
            <w:tcW w:w="44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w w:val="92"/>
              </w:rPr>
              <w:t>(194)</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w w:val="96"/>
              </w:rPr>
              <w:t>136</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675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769</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2"/>
              </w:rPr>
              <w:t>(101)</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4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4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665</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471</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774</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469</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720</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469</w:t>
            </w:r>
          </w:p>
        </w:tc>
        <w:tc>
          <w:tcPr>
            <w:tcW w:w="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78</w:t>
            </w: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688</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(768)</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469</w:t>
            </w:r>
          </w:p>
        </w:tc>
      </w:tr>
      <w:tr>
        <w:trPr>
          <w:trHeight w:val="223"/>
        </w:trPr>
        <w:tc>
          <w:tcPr>
            <w:tcW w:w="44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457</w:t>
            </w:r>
          </w:p>
        </w:tc>
        <w:tc>
          <w:tcPr>
            <w:tcW w:w="46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78</w:t>
            </w:r>
          </w:p>
        </w:tc>
        <w:tc>
          <w:tcPr>
            <w:tcW w:w="54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676</w:t>
            </w:r>
          </w:p>
        </w:tc>
        <w:tc>
          <w:tcPr>
            <w:tcW w:w="4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(756)</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457</w:t>
            </w:r>
          </w:p>
        </w:tc>
      </w:tr>
      <w:tr>
        <w:trPr>
          <w:trHeight w:val="367"/>
        </w:trPr>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0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00" w:type="dxa"/>
            <w:vAlign w:val="bottom"/>
            <w:gridSpan w:val="2"/>
          </w:tcPr>
          <w:p>
            <w:pPr>
              <w:jc w:val="right"/>
              <w:ind w:right="25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4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Parent</w:t>
            </w:r>
          </w:p>
        </w:tc>
        <w:tc>
          <w:tcPr>
            <w:tcW w:w="114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4"/>
                <w:szCs w:val="14"/>
                <w:color w:val="auto"/>
              </w:rPr>
              <w:t>Issuers</w:t>
            </w: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w w:val="93"/>
              </w:rPr>
              <w:t>1,022</w:t>
            </w:r>
          </w:p>
        </w:tc>
        <w:tc>
          <w:tcPr>
            <w:tcW w:w="48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16,704</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17,798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686</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543</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13,604</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14,863</w:t>
            </w: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54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307</w:t>
            </w:r>
          </w:p>
        </w:tc>
        <w:tc>
          <w:tcPr>
            <w:tcW w:w="4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46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558</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567</w:t>
            </w:r>
          </w:p>
        </w:tc>
      </w:tr>
      <w:tr>
        <w:trPr>
          <w:trHeight w:val="210"/>
        </w:trPr>
        <w:tc>
          <w:tcPr>
            <w:tcW w:w="4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686</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647</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14,469</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15,832</w:t>
            </w:r>
          </w:p>
        </w:tc>
      </w:tr>
      <w:tr>
        <w:trPr>
          <w:trHeight w:val="210"/>
        </w:trPr>
        <w:tc>
          <w:tcPr>
            <w:tcW w:w="44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2,235</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w w:val="98"/>
              </w:rPr>
              <w:t>3,548</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(3,553)</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6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1,072</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1,034</w:t>
            </w:r>
          </w:p>
        </w:tc>
      </w:tr>
      <w:tr>
        <w:trPr>
          <w:trHeight w:val="210"/>
        </w:trPr>
        <w:tc>
          <w:tcPr>
            <w:tcW w:w="4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w w:val="98"/>
              </w:rPr>
              <w:t>3,236</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1,254</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(3,577)</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875</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4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2,565</w:t>
            </w:r>
          </w:p>
        </w:tc>
        <w:tc>
          <w:tcPr>
            <w:tcW w:w="46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337</w:t>
            </w:r>
          </w:p>
        </w:tc>
        <w:tc>
          <w:tcPr>
            <w:tcW w:w="48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3,489</w:t>
            </w:r>
          </w:p>
        </w:tc>
        <w:tc>
          <w:tcPr>
            <w:tcW w:w="4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(3,553)</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2,841</w:t>
            </w:r>
          </w:p>
        </w:tc>
      </w:tr>
      <w:tr>
        <w:trPr>
          <w:trHeight w:val="216"/>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2,570</w:t>
            </w:r>
          </w:p>
        </w:tc>
        <w:tc>
          <w:tcPr>
            <w:tcW w:w="46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337</w:t>
            </w:r>
          </w:p>
        </w:tc>
        <w:tc>
          <w:tcPr>
            <w:tcW w:w="48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3,330</w:t>
            </w:r>
          </w:p>
        </w:tc>
        <w:tc>
          <w:tcPr>
            <w:tcW w:w="4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(3,553)</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2,687</w:t>
            </w:r>
          </w:p>
        </w:tc>
      </w:tr>
      <w:tr>
        <w:trPr>
          <w:trHeight w:val="216"/>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7"/>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2,570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337</w:t>
            </w: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3,213</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(3,553)</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2,570</w:t>
            </w:r>
          </w:p>
        </w:tc>
      </w:tr>
      <w:tr>
        <w:trPr>
          <w:trHeight w:val="223"/>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2,587</w:t>
            </w:r>
          </w:p>
        </w:tc>
        <w:tc>
          <w:tcPr>
            <w:tcW w:w="4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337</w:t>
            </w:r>
          </w:p>
        </w:tc>
        <w:tc>
          <w:tcPr>
            <w:tcW w:w="4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3,230</w:t>
            </w:r>
          </w:p>
        </w:tc>
        <w:tc>
          <w:tcPr>
            <w:tcW w:w="40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(3,570)</w:t>
            </w:r>
          </w:p>
        </w:tc>
        <w:tc>
          <w:tcPr>
            <w:tcW w:w="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2,587</w:t>
            </w:r>
          </w:p>
        </w:tc>
      </w:tr>
      <w:tr>
        <w:trPr>
          <w:trHeight w:val="367"/>
        </w:trPr>
        <w:tc>
          <w:tcPr>
            <w:tcW w:w="4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ind w:right="96"/>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September 30,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4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0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00" w:type="dxa"/>
            <w:vAlign w:val="bottom"/>
            <w:gridSpan w:val="2"/>
          </w:tcPr>
          <w:p>
            <w:pPr>
              <w:jc w:val="right"/>
              <w:ind w:right="25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4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1400" w:type="dxa"/>
            <w:vAlign w:val="bottom"/>
            <w:tcBorders>
              <w:bottom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4"/>
                <w:szCs w:val="14"/>
                <w:color w:val="auto"/>
              </w:rPr>
              <w:t>Parent</w:t>
            </w: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Issuers</w:t>
            </w: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Subsidiaries</w:t>
            </w: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366</w:t>
            </w:r>
          </w:p>
        </w:tc>
        <w:tc>
          <w:tcPr>
            <w:tcW w:w="5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12,919</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13,290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195</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10,208</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10,946</w:t>
            </w: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6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507</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r>
      <w:tr>
        <w:trPr>
          <w:trHeight w:val="210"/>
        </w:trPr>
        <w:tc>
          <w:tcPr>
            <w:tcW w:w="4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96"/>
              </w:rPr>
              <w:t>230</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10,946</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11,719</w:t>
            </w:r>
          </w:p>
        </w:tc>
      </w:tr>
      <w:tr>
        <w:trPr>
          <w:trHeight w:val="210"/>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w w:val="96"/>
              </w:rPr>
              <w:t>136</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1,973</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w w:val="98"/>
              </w:rPr>
              <w:t>2,019</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54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5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w w:val="98"/>
              </w:rPr>
              <w:t>1,730</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2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8"/>
              </w:rPr>
              <w:t>1,190</w:t>
            </w:r>
          </w:p>
        </w:tc>
        <w:tc>
          <w:tcPr>
            <w:tcW w:w="220" w:type="dxa"/>
            <w:vAlign w:val="bottom"/>
          </w:tcPr>
          <w:p>
            <w:pPr>
              <w:spacing w:after="0"/>
              <w:rPr>
                <w:sz w:val="18"/>
                <w:szCs w:val="18"/>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2,213</w:t>
            </w:r>
          </w:p>
        </w:tc>
        <w:tc>
          <w:tcPr>
            <w:tcW w:w="4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8"/>
              </w:rPr>
              <w:t>1,189</w:t>
            </w:r>
          </w:p>
        </w:tc>
        <w:tc>
          <w:tcPr>
            <w:tcW w:w="220" w:type="dxa"/>
            <w:vAlign w:val="bottom"/>
          </w:tcPr>
          <w:p>
            <w:pPr>
              <w:spacing w:after="0"/>
              <w:rPr>
                <w:sz w:val="18"/>
                <w:szCs w:val="18"/>
                <w:color w:val="auto"/>
              </w:rPr>
            </w:pP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2,065</w:t>
            </w:r>
          </w:p>
        </w:tc>
        <w:tc>
          <w:tcPr>
            <w:tcW w:w="4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6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7"/>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8"/>
              </w:rPr>
              <w:t>1,189</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78</w:t>
            </w: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1,947</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(2,027)</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1,189</w:t>
            </w:r>
          </w:p>
        </w:tc>
      </w:tr>
      <w:tr>
        <w:trPr>
          <w:trHeight w:val="223"/>
        </w:trPr>
        <w:tc>
          <w:tcPr>
            <w:tcW w:w="454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6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8"/>
              </w:rPr>
              <w:t>1,176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78</w:t>
            </w:r>
          </w:p>
        </w:tc>
        <w:tc>
          <w:tcPr>
            <w:tcW w:w="50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1,936</w:t>
            </w:r>
          </w:p>
        </w:tc>
        <w:tc>
          <w:tcPr>
            <w:tcW w:w="40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1,176</w:t>
            </w:r>
          </w:p>
        </w:tc>
      </w:tr>
      <w:tr>
        <w:trPr>
          <w:trHeight w:val="367"/>
        </w:trPr>
        <w:tc>
          <w:tcPr>
            <w:tcW w:w="4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49"/>
        </w:trPr>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4"/>
                <w:szCs w:val="14"/>
                <w:color w:val="auto"/>
              </w:rPr>
              <w:t>(in millions)</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Parent</w:t>
            </w:r>
          </w:p>
        </w:tc>
        <w:tc>
          <w:tcPr>
            <w:tcW w:w="10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Issuers</w:t>
            </w: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1,206</w:t>
            </w:r>
          </w:p>
        </w:tc>
        <w:tc>
          <w:tcPr>
            <w:tcW w:w="42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6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4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1,133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1,198</w:t>
            </w:r>
          </w:p>
        </w:tc>
      </w:tr>
      <w:tr>
        <w:trPr>
          <w:trHeight w:val="210"/>
        </w:trPr>
        <w:tc>
          <w:tcPr>
            <w:tcW w:w="44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6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44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(23)</w:t>
            </w:r>
          </w:p>
        </w:tc>
        <w:tc>
          <w:tcPr>
            <w:tcW w:w="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54</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(54)</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23"/>
        </w:trPr>
        <w:tc>
          <w:tcPr>
            <w:tcW w:w="446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1000" w:type="dxa"/>
            <w:vAlign w:val="bottom"/>
            <w:tcBorders>
              <w:bottom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(20)</w:t>
            </w:r>
          </w:p>
        </w:tc>
        <w:tc>
          <w:tcPr>
            <w:tcW w:w="50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(61)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67"/>
        </w:trPr>
        <w:tc>
          <w:tcPr>
            <w:tcW w:w="4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color w:val="auto"/>
              </w:rPr>
              <w:t>Non-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Elimination</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center"/>
              <w:ind w:right="373"/>
              <w:spacing w:after="0" w:line="135" w:lineRule="exact"/>
              <w:rPr>
                <w:sz w:val="20"/>
                <w:szCs w:val="20"/>
                <w:color w:val="auto"/>
              </w:rPr>
            </w:pPr>
            <w:r>
              <w:rPr>
                <w:rFonts w:ascii="Times New Roman" w:cs="Times New Roman" w:eastAsia="Times New Roman" w:hAnsi="Times New Roman"/>
                <w:sz w:val="14"/>
                <w:szCs w:val="14"/>
                <w:color w:val="auto"/>
                <w:w w:val="98"/>
              </w:rPr>
              <w:t>and</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300" w:type="dxa"/>
            <w:vAlign w:val="bottom"/>
            <w:gridSpan w:val="2"/>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94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Parent</w:t>
            </w: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Issuers</w:t>
            </w:r>
          </w:p>
        </w:tc>
        <w:tc>
          <w:tcPr>
            <w:tcW w:w="11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Subsidiaries</w:t>
            </w:r>
          </w:p>
        </w:tc>
        <w:tc>
          <w:tcPr>
            <w:tcW w:w="12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Subsidiaries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Adjustments</w:t>
            </w: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NBCUniversal</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(841)</w:t>
            </w:r>
          </w:p>
        </w:tc>
        <w:tc>
          <w:tcPr>
            <w:tcW w:w="10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$ 454</w:t>
            </w:r>
          </w:p>
        </w:tc>
        <w:tc>
          <w:tcPr>
            <w:tcW w:w="54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2,916</w:t>
            </w:r>
          </w:p>
        </w:tc>
        <w:tc>
          <w:tcPr>
            <w:tcW w:w="44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w w:val="93"/>
              </w:rPr>
              <w:t>5,168</w:t>
            </w:r>
          </w:p>
        </w:tc>
        <w:tc>
          <w:tcPr>
            <w:tcW w:w="10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(5,168)</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(374)</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sale of businesses and investments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3,025</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3"/>
              </w:rPr>
              <w:t>5,130</w:t>
            </w:r>
          </w:p>
        </w:tc>
        <w:tc>
          <w:tcPr>
            <w:tcW w:w="1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(2,707)</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10"/>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Proceeds from (repayments of) short-term borrowings,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(550)</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7"/>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Repurchases and repayments of third-party borrowings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Distributions to member</w:t>
            </w:r>
          </w:p>
        </w:tc>
        <w:tc>
          <w:tcPr>
            <w:tcW w:w="32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(693)</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2"/>
        </w:trPr>
        <w:tc>
          <w:tcPr>
            <w:tcW w:w="4520" w:type="dxa"/>
            <w:vAlign w:val="bottom"/>
            <w:shd w:val="clear" w:color="auto" w:fill="E5E5E5"/>
          </w:tcPr>
          <w:p>
            <w:pPr>
              <w:ind w:left="440"/>
              <w:spacing w:after="0" w:line="201" w:lineRule="exact"/>
              <w:rPr>
                <w:sz w:val="20"/>
                <w:szCs w:val="20"/>
                <w:color w:val="auto"/>
              </w:rPr>
            </w:pPr>
            <w:r>
              <w:rPr>
                <w:rFonts w:ascii="Times New Roman" w:cs="Times New Roman" w:eastAsia="Times New Roman" w:hAnsi="Times New Roman"/>
                <w:sz w:val="18"/>
                <w:szCs w:val="18"/>
                <w:color w:val="auto"/>
              </w:rPr>
              <w:t>Repayments of borrowings from subsidiaries</w:t>
            </w: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eliminated upon consolidation</w:t>
            </w:r>
          </w:p>
        </w:tc>
        <w:tc>
          <w:tcPr>
            <w:tcW w:w="32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245</w:t>
            </w:r>
          </w:p>
        </w:tc>
        <w:tc>
          <w:tcPr>
            <w:tcW w:w="106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(245)</w:t>
            </w:r>
          </w:p>
        </w:tc>
        <w:tc>
          <w:tcPr>
            <w:tcW w:w="540" w:type="dxa"/>
            <w:vAlign w:val="bottom"/>
            <w:shd w:val="clear" w:color="auto" w:fill="E5E5E5"/>
          </w:tcPr>
          <w:p>
            <w:pPr>
              <w:spacing w:after="0"/>
              <w:rPr>
                <w:sz w:val="20"/>
                <w:szCs w:val="20"/>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20"/>
                <w:szCs w:val="20"/>
                <w:color w:val="auto"/>
              </w:rPr>
            </w:pPr>
          </w:p>
        </w:tc>
        <w:tc>
          <w:tcPr>
            <w:tcW w:w="860" w:type="dxa"/>
            <w:vAlign w:val="bottom"/>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2"/>
        </w:trPr>
        <w:tc>
          <w:tcPr>
            <w:tcW w:w="45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(999)</w:t>
            </w:r>
          </w:p>
        </w:tc>
        <w:tc>
          <w:tcPr>
            <w:tcW w:w="106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(246)</w:t>
            </w:r>
          </w:p>
        </w:tc>
        <w:tc>
          <w:tcPr>
            <w:tcW w:w="54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3"/>
              </w:rPr>
              <w:t>3,290</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238</w:t>
            </w:r>
          </w:p>
        </w:tc>
        <w:tc>
          <w:tcPr>
            <w:tcW w:w="10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513</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3"/>
              </w:rPr>
              <w:t>3,528</w:t>
            </w:r>
          </w:p>
        </w:tc>
        <w:tc>
          <w:tcPr>
            <w:tcW w:w="10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$ 132</w:t>
            </w:r>
          </w:p>
        </w:tc>
        <w:tc>
          <w:tcPr>
            <w:tcW w:w="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24</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530</w:t>
            </w:r>
          </w:p>
        </w:tc>
        <w:tc>
          <w:tcPr>
            <w:tcW w:w="4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4,214</w:t>
            </w:r>
          </w:p>
        </w:tc>
        <w:tc>
          <w:tcPr>
            <w:tcW w:w="0" w:type="dxa"/>
            <w:vAlign w:val="bottom"/>
          </w:tcPr>
          <w:p>
            <w:pPr>
              <w:spacing w:after="0"/>
              <w:rPr>
                <w:sz w:val="1"/>
                <w:szCs w:val="1"/>
                <w:color w:val="auto"/>
              </w:rPr>
            </w:pPr>
          </w:p>
        </w:tc>
      </w:tr>
      <w:tr>
        <w:trPr>
          <w:trHeight w:val="367"/>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ind w:right="613"/>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September 30,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40" w:type="dxa"/>
            <w:vAlign w:val="bottom"/>
          </w:tcPr>
          <w:p>
            <w:pPr>
              <w:spacing w:after="0"/>
              <w:rPr>
                <w:sz w:val="12"/>
                <w:szCs w:val="12"/>
                <w:color w:val="auto"/>
              </w:rPr>
            </w:pPr>
          </w:p>
        </w:tc>
        <w:tc>
          <w:tcPr>
            <w:tcW w:w="840" w:type="dxa"/>
            <w:vAlign w:val="bottom"/>
          </w:tcPr>
          <w:p>
            <w:pPr>
              <w:jc w:val="center"/>
              <w:ind w:right="373"/>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gridSpan w:val="2"/>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0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80" w:type="dxa"/>
            <w:vAlign w:val="bottom"/>
            <w:gridSpan w:val="2"/>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Parent</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w w:val="92"/>
              </w:rPr>
              <w:t>Issuers</w:t>
            </w: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Subsidiaries</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5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169</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2,154</w:t>
            </w:r>
          </w:p>
        </w:tc>
        <w:tc>
          <w:tcPr>
            <w:tcW w:w="44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1,712</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244</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(705)</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244</w:t>
            </w:r>
          </w:p>
        </w:tc>
        <w:tc>
          <w:tcPr>
            <w:tcW w:w="5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sale of businesses and investments</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4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473</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(1,892)</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0"/>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02"/>
        </w:trPr>
        <w:tc>
          <w:tcPr>
            <w:tcW w:w="45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Proceeds from (repayments of) short-term borrowings,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3"/>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949</w:t>
            </w:r>
          </w:p>
        </w:tc>
        <w:tc>
          <w:tcPr>
            <w:tcW w:w="380" w:type="dxa"/>
            <w:vAlign w:val="bottom"/>
          </w:tcPr>
          <w:p>
            <w:pPr>
              <w:spacing w:after="0"/>
              <w:rPr>
                <w:sz w:val="21"/>
                <w:szCs w:val="21"/>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949</w:t>
            </w:r>
          </w:p>
        </w:tc>
      </w:tr>
      <w:tr>
        <w:trPr>
          <w:trHeight w:val="217"/>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Repurchases and repayments of third-party borrowings</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w w:val="95"/>
              </w:rPr>
              <w:t>(1,041)</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of borrowings from Comcast</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5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Distributions to member</w:t>
            </w:r>
          </w:p>
        </w:tc>
        <w:tc>
          <w:tcPr>
            <w:tcW w:w="90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(176)</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2"/>
        </w:trPr>
        <w:tc>
          <w:tcPr>
            <w:tcW w:w="45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Borrowings to and from subsidiaries eliminated upon</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consolidation</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600</w:t>
            </w:r>
          </w:p>
        </w:tc>
        <w:tc>
          <w:tcPr>
            <w:tcW w:w="50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520" w:type="dxa"/>
            <w:vAlign w:val="bottom"/>
            <w:shd w:val="clear" w:color="auto" w:fill="E5E5E5"/>
          </w:tcPr>
          <w:p>
            <w:pPr>
              <w:ind w:left="440"/>
              <w:spacing w:after="0" w:line="203" w:lineRule="exact"/>
              <w:rPr>
                <w:sz w:val="20"/>
                <w:szCs w:val="20"/>
                <w:color w:val="auto"/>
              </w:rPr>
            </w:pPr>
            <w:r>
              <w:rPr>
                <w:rFonts w:ascii="Times New Roman" w:cs="Times New Roman" w:eastAsia="Times New Roman" w:hAnsi="Times New Roman"/>
                <w:sz w:val="18"/>
                <w:szCs w:val="18"/>
                <w:color w:val="auto"/>
              </w:rPr>
              <w:t>Repayments of borrowings from subsidiaries</w:t>
            </w:r>
          </w:p>
        </w:tc>
        <w:tc>
          <w:tcPr>
            <w:tcW w:w="9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r>
      <w:tr>
        <w:trPr>
          <w:trHeight w:val="230"/>
        </w:trPr>
        <w:tc>
          <w:tcPr>
            <w:tcW w:w="4520" w:type="dxa"/>
            <w:vAlign w:val="bottom"/>
            <w:shd w:val="clear" w:color="auto" w:fill="E5E5E5"/>
          </w:tcPr>
          <w:p>
            <w:pPr>
              <w:ind w:left="660"/>
              <w:spacing w:after="0"/>
              <w:rPr>
                <w:sz w:val="20"/>
                <w:szCs w:val="20"/>
                <w:color w:val="auto"/>
              </w:rPr>
            </w:pPr>
            <w:r>
              <w:rPr>
                <w:rFonts w:ascii="Times New Roman" w:cs="Times New Roman" w:eastAsia="Times New Roman" w:hAnsi="Times New Roman"/>
                <w:sz w:val="18"/>
                <w:szCs w:val="18"/>
                <w:color w:val="auto"/>
              </w:rPr>
              <w:t>eliminated upon consolidation</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shd w:val="clear" w:color="auto" w:fill="E5E5E5"/>
          </w:tcPr>
          <w:p>
            <w:pPr>
              <w:spacing w:after="0"/>
              <w:rPr>
                <w:sz w:val="20"/>
                <w:szCs w:val="20"/>
                <w:color w:val="auto"/>
              </w:rPr>
            </w:pPr>
          </w:p>
        </w:tc>
        <w:tc>
          <w:tcPr>
            <w:tcW w:w="760" w:type="dxa"/>
            <w:vAlign w:val="bottom"/>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spacing w:after="0"/>
              <w:rPr>
                <w:sz w:val="20"/>
                <w:szCs w:val="20"/>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20"/>
                <w:szCs w:val="20"/>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5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0"/>
        </w:trPr>
        <w:tc>
          <w:tcPr>
            <w:tcW w:w="4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495</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(591)</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0"/>
        </w:trPr>
        <w:tc>
          <w:tcPr>
            <w:tcW w:w="45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0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295</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213</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r>
      <w:tr>
        <w:trPr>
          <w:trHeight w:val="217"/>
        </w:trPr>
        <w:tc>
          <w:tcPr>
            <w:tcW w:w="45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$ 641</w:t>
            </w: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22</w:t>
            </w:r>
          </w:p>
        </w:tc>
        <w:tc>
          <w:tcPr>
            <w:tcW w:w="38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332</w:t>
            </w:r>
          </w:p>
        </w:tc>
        <w:tc>
          <w:tcPr>
            <w:tcW w:w="44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1,046</w:t>
            </w:r>
          </w:p>
        </w:tc>
      </w:tr>
      <w:tr>
        <w:trPr>
          <w:trHeight w:val="367"/>
        </w:trPr>
        <w:tc>
          <w:tcPr>
            <w:tcW w:w="4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jc w:val="right"/>
              <w:ind w:right="653"/>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Elimination</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4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4"/>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420" w:type="dxa"/>
            <w:vAlign w:val="bottom"/>
          </w:tcPr>
          <w:p>
            <w:pPr>
              <w:spacing w:after="0"/>
              <w:rPr>
                <w:sz w:val="12"/>
                <w:szCs w:val="12"/>
                <w:color w:val="auto"/>
              </w:rPr>
            </w:pPr>
          </w:p>
        </w:tc>
        <w:tc>
          <w:tcPr>
            <w:tcW w:w="840" w:type="dxa"/>
            <w:vAlign w:val="bottom"/>
          </w:tcPr>
          <w:p>
            <w:pPr>
              <w:jc w:val="center"/>
              <w:ind w:right="374"/>
              <w:spacing w:after="0" w:line="149" w:lineRule="exact"/>
              <w:rPr>
                <w:sz w:val="20"/>
                <w:szCs w:val="20"/>
                <w:color w:val="auto"/>
              </w:rPr>
            </w:pPr>
            <w:r>
              <w:rPr>
                <w:rFonts w:ascii="Times New Roman" w:cs="Times New Roman" w:eastAsia="Times New Roman" w:hAnsi="Times New Roman"/>
                <w:sz w:val="14"/>
                <w:szCs w:val="14"/>
                <w:color w:val="auto"/>
                <w:w w:val="88"/>
              </w:rPr>
              <w:t>and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20" w:type="dxa"/>
            <w:vAlign w:val="bottom"/>
            <w:gridSpan w:val="2"/>
          </w:tcPr>
          <w:p>
            <w:pPr>
              <w:jc w:val="right"/>
              <w:ind w:right="274"/>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260" w:type="dxa"/>
            <w:vAlign w:val="bottom"/>
            <w:gridSpan w:val="2"/>
          </w:tcPr>
          <w:p>
            <w:pPr>
              <w:jc w:val="right"/>
              <w:ind w:right="194"/>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Consolidated</w:t>
            </w:r>
          </w:p>
        </w:tc>
      </w:tr>
      <w:tr>
        <w:trPr>
          <w:trHeight w:val="175"/>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94"/>
              </w:rPr>
              <w:t>Parent</w:t>
            </w:r>
          </w:p>
        </w:tc>
        <w:tc>
          <w:tcPr>
            <w:tcW w:w="102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Issuers</w:t>
            </w:r>
          </w:p>
        </w:tc>
        <w:tc>
          <w:tcPr>
            <w:tcW w:w="120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Subsidiaries</w:t>
            </w: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Subsidiaries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Adjustments</w:t>
            </w: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NBCUniversal</w:t>
            </w:r>
          </w:p>
        </w:tc>
      </w:tr>
      <w:tr>
        <w:trPr>
          <w:trHeight w:val="210"/>
        </w:trPr>
        <w:tc>
          <w:tcPr>
            <w:tcW w:w="44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(365)</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 expenditures</w:t>
            </w:r>
          </w:p>
        </w:tc>
        <w:tc>
          <w:tcPr>
            <w:tcW w:w="52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4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Proceeds from sale of businesses and investments</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r>
      <w:tr>
        <w:trPr>
          <w:trHeight w:val="210"/>
        </w:trPr>
        <w:tc>
          <w:tcPr>
            <w:tcW w:w="4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Dividends paid</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(8,041)</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16"/>
        </w:trPr>
        <w:tc>
          <w:tcPr>
            <w:tcW w:w="44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(Increase) decrease in short-term loans to GE, net</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8,072</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8,072</w:t>
            </w: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Repurchase of preferred stock interest</w:t>
            </w:r>
          </w:p>
        </w:tc>
        <w:tc>
          <w:tcPr>
            <w:tcW w:w="52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4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59</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(673)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236</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848</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r>
      <w:tr>
        <w:trPr>
          <w:trHeight w:val="217"/>
        </w:trPr>
        <w:tc>
          <w:tcPr>
            <w:tcW w:w="4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295</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175</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470</w:t>
            </w:r>
          </w:p>
        </w:tc>
      </w:tr>
      <w:tr>
        <w:trPr>
          <w:trHeight w:val="367"/>
        </w:trPr>
        <w:tc>
          <w:tcPr>
            <w:tcW w:w="4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ind w:right="157"/>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80"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a leading media and entertainment company that develops, produces and distributes entertainment, news and information, sports and other content for global audiences.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28, 2011, Comcast closed the Joint Venture transaction in which it acquired control of the businesses of NBC Universal, Inc., and on July 1, 2011, we closed the Universal Orlando transaction in which we acquired the remaining 50% equity interest in Universal Orlando that we did not already own. For a more complete discussion of these transactions, refer to our consolidated financial statements included in our 2011 Annual Report on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operations as the following four reportable business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other business interests primarily include equity method investments, such as The Weather Channel Holding Corp. (“The Weather Channel”). In August 2012, we sold our equity method investment in A&amp;E Television Networks and in July 2012, we acquired the remaining 50% equity interest in MSNBC.com that we did not already own. See Note 4 to our condensed consolidated financial statements for additional information. For information on the performance of our equity method investments, see “Consolidated Other Income (Expense) Items” below and refer to the “Equity in Net Income of Investees, Net” heading within that 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and Other includes operating costs and expenses associated with corporate overhead, employee benefits and corporate initiatives.</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set forth our results of operations as reported in our condensed consolidated financial statements in accordance with GAAP. GAAP requires that we separately present our results for the periods from January 1, 2011 to January 28, 2011 (the “Predecessor period”) and from January 29, 2011 to September 30, 2011 (the “Successor period”). Management believes reviewing our operating results for the nine months ended September 30,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condensed consolidated financial statements in accordance with GAAP, the table below presents the non-GAAP combined results for the nine months ended September 30, 2011, which we also use to compute the percentage change to the current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577"/>
              <w:spacing w:after="0"/>
              <w:rPr>
                <w:sz w:val="20"/>
                <w:szCs w:val="20"/>
                <w:color w:val="auto"/>
              </w:rPr>
            </w:pPr>
            <w:r>
              <w:rPr>
                <w:rFonts w:ascii="Times New Roman" w:cs="Times New Roman" w:eastAsia="Times New Roman" w:hAnsi="Times New Roman"/>
                <w:sz w:val="14"/>
                <w:szCs w:val="14"/>
                <w:color w:val="auto"/>
                <w:w w:val="96"/>
              </w:rPr>
              <w:t>Successor</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jc w:val="center"/>
              <w:ind w:left="77"/>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5"/>
              </w:rPr>
              <w:t>September 30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16"/>
        </w:trPr>
        <w:tc>
          <w:tcPr>
            <w:tcW w:w="4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color w:val="auto"/>
                <w:w w:val="92"/>
              </w:rPr>
              <w:t>2011</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2012</w:t>
            </w:r>
          </w:p>
        </w:tc>
        <w:tc>
          <w:tcPr>
            <w:tcW w:w="0" w:type="dxa"/>
            <w:vAlign w:val="bottom"/>
          </w:tcPr>
          <w:p>
            <w:pPr>
              <w:spacing w:after="0"/>
              <w:rPr>
                <w:sz w:val="1"/>
                <w:szCs w:val="1"/>
                <w:color w:val="auto"/>
              </w:rPr>
            </w:pPr>
          </w:p>
        </w:tc>
      </w:tr>
      <w:tr>
        <w:trPr>
          <w:trHeight w:val="210"/>
        </w:trPr>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0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$6,822</w:t>
            </w:r>
          </w:p>
        </w:tc>
        <w:tc>
          <w:tcPr>
            <w:tcW w:w="920" w:type="dxa"/>
            <w:vAlign w:val="bottom"/>
            <w:gridSpan w:val="2"/>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$5,200</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0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5,682</w:t>
            </w: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w w:val="93"/>
              </w:rPr>
              <w:t>4,249</w:t>
            </w:r>
          </w:p>
        </w:tc>
        <w:tc>
          <w:tcPr>
            <w:tcW w:w="1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803</w:t>
            </w:r>
          </w:p>
        </w:tc>
        <w:tc>
          <w:tcPr>
            <w:tcW w:w="4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Pr>
          <w:p>
            <w:pPr>
              <w:spacing w:after="0"/>
              <w:rPr>
                <w:sz w:val="18"/>
                <w:szCs w:val="18"/>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income (expense) items, net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990</w:t>
            </w: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1,793</w:t>
            </w:r>
          </w:p>
        </w:tc>
        <w:tc>
          <w:tcPr>
            <w:tcW w:w="4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Pr>
          <w:p>
            <w:pPr>
              <w:spacing w:after="0"/>
              <w:rPr>
                <w:sz w:val="18"/>
                <w:szCs w:val="18"/>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1,721</w:t>
            </w:r>
          </w:p>
        </w:tc>
        <w:tc>
          <w:tcPr>
            <w:tcW w:w="4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8"/>
                <w:szCs w:val="18"/>
                <w:color w:val="auto"/>
              </w:rPr>
            </w:pP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$1,672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469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Successor</w:t>
            </w:r>
          </w:p>
        </w:tc>
        <w:tc>
          <w:tcPr>
            <w:tcW w:w="8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color w:val="auto"/>
                <w:w w:val="95"/>
              </w:rPr>
              <w:t>Predecessor</w:t>
            </w: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5"/>
              </w:rPr>
              <w:t>Combined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200" w:type="dxa"/>
            <w:vAlign w:val="bottom"/>
            <w:gridSpan w:val="2"/>
          </w:tcPr>
          <w:p>
            <w:pPr>
              <w:jc w:val="right"/>
              <w:ind w:right="94"/>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4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77"/>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0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Nine Months</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600" w:type="dxa"/>
            <w:vAlign w:val="bottom"/>
            <w:tcBorders>
              <w:right w:val="single" w:sz="8" w:color="auto"/>
            </w:tcBorders>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600" w:type="dxa"/>
            <w:vAlign w:val="bottom"/>
            <w:tcBorders>
              <w:right w:val="single" w:sz="8" w:color="auto"/>
            </w:tcBorders>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September 30,</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color w:val="auto"/>
                <w:w w:val="92"/>
              </w:rPr>
              <w:t>2012</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2011</w:t>
            </w:r>
          </w:p>
        </w:tc>
        <w:tc>
          <w:tcPr>
            <w:tcW w:w="4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color w:val="auto"/>
                <w:w w:val="99"/>
              </w:rPr>
              <w:t>2011</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color w:val="auto"/>
                <w:w w:val="99"/>
              </w:rPr>
              <w:t>2011</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2012</w:t>
            </w:r>
          </w:p>
        </w:tc>
        <w:tc>
          <w:tcPr>
            <w:tcW w:w="0" w:type="dxa"/>
            <w:vAlign w:val="bottom"/>
          </w:tcPr>
          <w:p>
            <w:pPr>
              <w:spacing w:after="0"/>
              <w:rPr>
                <w:sz w:val="1"/>
                <w:szCs w:val="1"/>
                <w:color w:val="auto"/>
              </w:rPr>
            </w:pPr>
          </w:p>
        </w:tc>
      </w:tr>
      <w:tr>
        <w:trPr>
          <w:trHeight w:val="210"/>
        </w:trPr>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shd w:val="clear" w:color="auto" w:fill="E5E5E5"/>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17,798</w:t>
            </w:r>
          </w:p>
        </w:tc>
        <w:tc>
          <w:tcPr>
            <w:tcW w:w="4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13,290</w:t>
            </w:r>
          </w:p>
        </w:tc>
        <w:tc>
          <w:tcPr>
            <w:tcW w:w="4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1,206</w:t>
            </w:r>
          </w:p>
        </w:tc>
        <w:tc>
          <w:tcPr>
            <w:tcW w:w="420" w:type="dxa"/>
            <w:vAlign w:val="bottom"/>
            <w:shd w:val="clear" w:color="auto" w:fill="E5E5E5"/>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14,496</w:t>
            </w:r>
          </w:p>
        </w:tc>
        <w:tc>
          <w:tcPr>
            <w:tcW w:w="10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14,863</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10,946</w:t>
            </w:r>
          </w:p>
        </w:tc>
        <w:tc>
          <w:tcPr>
            <w:tcW w:w="4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1,171</w:t>
            </w:r>
          </w:p>
        </w:tc>
        <w:tc>
          <w:tcPr>
            <w:tcW w:w="42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c>
          <w:tcPr>
            <w:tcW w:w="108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402</w:t>
            </w:r>
          </w:p>
        </w:tc>
        <w:tc>
          <w:tcPr>
            <w:tcW w:w="4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567</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511</w:t>
            </w:r>
          </w:p>
        </w:tc>
        <w:tc>
          <w:tcPr>
            <w:tcW w:w="40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1,966</w:t>
            </w:r>
          </w:p>
        </w:tc>
        <w:tc>
          <w:tcPr>
            <w:tcW w:w="4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w:t>
            </w:r>
          </w:p>
        </w:tc>
        <w:tc>
          <w:tcPr>
            <w:tcW w:w="4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Other income (expense) items, net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4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2,841</w:t>
            </w:r>
          </w:p>
        </w:tc>
        <w:tc>
          <w:tcPr>
            <w:tcW w:w="4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1,456</w:t>
            </w:r>
          </w:p>
        </w:tc>
        <w:tc>
          <w:tcPr>
            <w:tcW w:w="4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(154)</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2,687</w:t>
            </w:r>
          </w:p>
        </w:tc>
        <w:tc>
          <w:tcPr>
            <w:tcW w:w="4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7"/>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2,570</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1,189</w:t>
            </w:r>
          </w:p>
        </w:tc>
        <w:tc>
          <w:tcPr>
            <w:tcW w:w="4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comparability of our consolidated results of operations was impacted by the Joint Venture transaction, which closed on January 28, 2011, and the Universal Orlando transaction, which closed on July 1, 2011. The results of operations of the Comcast Content Business and Universal Orlando are included in our consolidated financial statements following their respective transaction dates.</w:t>
      </w:r>
    </w:p>
    <w:p>
      <w:pPr>
        <w:spacing w:after="0" w:line="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businesses is subject to seasonal and cyclical variations. Revenue and operating costs and expenses in our Broadcast Television segment are cyclical as a result of our periodic broadcasts of the Olympic Games and the Super Bowl. Because we broadcasted the 2012 Super Bowl in February 2012 and the 2012 London Olympics in July and August 2012, during the nine months ended September 30, 2012, our advertising revenue increased as a result of increased demand for advertising time. Our operating costs and expenses also increased during the period as a result of programming and production costs and amortization of the related rights fees. All of the revenue and operating costs and expenses associated with our broadcasts of the 2012 Super Bowl and the 2012 London Olympics are reported in our Broadcast Television segment.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Consolidated revenue increased for the three months ended September 30, 2012 compared to the same period in 2011 primarily due to increases in revenue in our Broadcast Television segment due to our broadcast of the 2012 London Olympics as well as increases in our Filmed Entertainment, Cable Networks and Theme Parks segments.</w:t>
      </w:r>
    </w:p>
    <w:p>
      <w:pPr>
        <w:spacing w:after="0" w:line="3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Consolidated revenue increased for the nine months ended September 30, 2012 compared to the same period in 2011 primarily due to increases in revenue in our Broadcast Television segment due to our broadcast of the 2012 London Olympics and 2012 Super Bowl as well as increases in our Theme Parks, Cable Networks and Filmed Entertainment segments. The increases in revenue in our Theme Parks and Cable Networks segments include the impact of the Universal Orlando and Joint Venture transactions, respectively. Revenue for our segments is discussed separately under the heading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Consolidated operating costs and expenses increased for the three months ended September 30, 2012 compared to the same period in 2011 primarily due to increases in operating costs and expenses in our Broadcast Television segment due to the broadcast of the 2012 London Olympics as well as increases in our Filmed Entertainment segment.</w:t>
      </w: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operating costs and expenses increased for the nine months ended September 30, 2012 compared to the same period in 2011 primarily due to increases in operating costs and expenses in our Broadcast Television segment due to the broadcast of the 2012 London Olympics and 2012 Super Bowl as well as increases in our Cable Networks, Theme Parks and Filmed Entertainment segments. The increases in operating costs and expenses in our Theme Parks and Cable Networks segments include the impact of the Universal Orlando and Joint Venture transactions, respectively. Operating costs and expenses for our segments are discussed separately under the heading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depreciation and amortization expense for the three months ended September 30, 2012 remained flat compared to the same period in 2011.</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depreciation expense for the nine months ended September 30, 2012 increased primarily due to the impact of consolidating Universal Orlando for nine months in 2012, compared with three months in the same period in 2011. Consolidated amortization expense for the nine months ended September 30, 2012 increased compared to the same period in 2011 primarily due to the amortization of the intangible assets recorded as a result of the Joint Venture and Universal Orlando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14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215"/>
              <w:spacing w:after="0"/>
              <w:rPr>
                <w:sz w:val="20"/>
                <w:szCs w:val="20"/>
                <w:color w:val="auto"/>
              </w:rPr>
            </w:pPr>
            <w:r>
              <w:rPr>
                <w:rFonts w:ascii="Times New Roman" w:cs="Times New Roman" w:eastAsia="Times New Roman" w:hAnsi="Times New Roman"/>
                <w:sz w:val="14"/>
                <w:szCs w:val="14"/>
                <w:color w:val="auto"/>
                <w:w w:val="96"/>
              </w:rPr>
              <w:t>Successor</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gridSpan w:val="3"/>
          </w:tcPr>
          <w:p>
            <w:pPr>
              <w:jc w:val="center"/>
              <w:ind w:right="114"/>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w w:val="95"/>
              </w:rPr>
              <w:t>September 30</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42"/>
        </w:trPr>
        <w:tc>
          <w:tcPr>
            <w:tcW w:w="4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160" w:type="dxa"/>
            <w:vAlign w:val="bottom"/>
          </w:tcPr>
          <w:p>
            <w:pPr>
              <w:spacing w:after="0"/>
              <w:rPr>
                <w:sz w:val="12"/>
                <w:szCs w:val="12"/>
                <w:color w:val="auto"/>
              </w:rPr>
            </w:pPr>
          </w:p>
        </w:tc>
        <w:tc>
          <w:tcPr>
            <w:tcW w:w="840" w:type="dxa"/>
            <w:vAlign w:val="bottom"/>
          </w:tcPr>
          <w:p>
            <w:pPr>
              <w:jc w:val="center"/>
              <w:ind w:left="176"/>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right w:val="single" w:sz="8" w:color="E5E5E5"/>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 Networks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$2,165</w:t>
            </w:r>
          </w:p>
        </w:tc>
        <w:tc>
          <w:tcPr>
            <w:tcW w:w="9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$2,097</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Broadcast Television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8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w w:val="98"/>
              </w:rPr>
              <w:t>2,777</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w w:val="93"/>
              </w:rPr>
              <w:t>1,511</w:t>
            </w:r>
          </w:p>
        </w:tc>
        <w:tc>
          <w:tcPr>
            <w:tcW w:w="16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Filmed Entertainment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98"/>
              </w:rPr>
              <w:t>1,355</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1,096</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Theme Parks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8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614</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Headquarters and Other</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Eliminations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5"/>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$6,822</w:t>
            </w:r>
          </w:p>
        </w:tc>
        <w:tc>
          <w:tcPr>
            <w:tcW w:w="9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$5,200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700" w:type="dxa"/>
            <w:vAlign w:val="bottom"/>
            <w:shd w:val="clear" w:color="auto" w:fill="E5E5E5"/>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Operating Income (Loss) Before</w:t>
            </w:r>
          </w:p>
        </w:tc>
        <w:tc>
          <w:tcPr>
            <w:tcW w:w="42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80" w:type="dxa"/>
            <w:vAlign w:val="bottom"/>
            <w:tcBorders>
              <w:right w:val="single" w:sz="8" w:color="E5E5E5"/>
            </w:tcBorders>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2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380" w:type="dxa"/>
            <w:vAlign w:val="bottom"/>
            <w:tcBorders>
              <w:right w:val="single" w:sz="8" w:color="E5E5E5"/>
            </w:tcBorders>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 Networks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Broadcast Television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8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Filmed Entertainment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Theme Parks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8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316</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(145)</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gridSpan w:val="2"/>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$1,140</w:t>
            </w:r>
          </w:p>
        </w:tc>
        <w:tc>
          <w:tcPr>
            <w:tcW w:w="4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951</w:t>
            </w:r>
          </w:p>
        </w:tc>
        <w:tc>
          <w:tcPr>
            <w:tcW w:w="1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Successor</w:t>
            </w:r>
          </w:p>
        </w:tc>
        <w:tc>
          <w:tcPr>
            <w:tcW w:w="8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75"/>
              <w:spacing w:after="0"/>
              <w:rPr>
                <w:sz w:val="20"/>
                <w:szCs w:val="20"/>
                <w:color w:val="auto"/>
              </w:rPr>
            </w:pPr>
            <w:r>
              <w:rPr>
                <w:rFonts w:ascii="Times New Roman" w:cs="Times New Roman" w:eastAsia="Times New Roman" w:hAnsi="Times New Roman"/>
                <w:sz w:val="14"/>
                <w:szCs w:val="14"/>
                <w:color w:val="auto"/>
                <w:w w:val="98"/>
              </w:rPr>
              <w:t>Predecessor</w:t>
            </w: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5"/>
              </w:rPr>
              <w:t>Combined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Nine Months</w:t>
            </w:r>
          </w:p>
        </w:tc>
        <w:tc>
          <w:tcPr>
            <w:tcW w:w="1200" w:type="dxa"/>
            <w:vAlign w:val="bottom"/>
            <w:gridSpan w:val="2"/>
          </w:tcPr>
          <w:p>
            <w:pPr>
              <w:jc w:val="right"/>
              <w:ind w:right="114"/>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3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75"/>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0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center"/>
              <w:ind w:right="276"/>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580" w:type="dxa"/>
            <w:vAlign w:val="bottom"/>
            <w:tcBorders>
              <w:right w:val="single" w:sz="8" w:color="auto"/>
            </w:tcBorders>
            <w:gridSpan w:val="3"/>
          </w:tcPr>
          <w:p>
            <w:pPr>
              <w:ind w:left="160"/>
              <w:spacing w:after="0" w:line="135" w:lineRule="exact"/>
              <w:rPr>
                <w:sz w:val="20"/>
                <w:szCs w:val="20"/>
                <w:color w:val="auto"/>
              </w:rPr>
            </w:pPr>
            <w:r>
              <w:rPr>
                <w:rFonts w:ascii="Times New Roman" w:cs="Times New Roman" w:eastAsia="Times New Roman" w:hAnsi="Times New Roman"/>
                <w:sz w:val="14"/>
                <w:szCs w:val="14"/>
                <w:color w:val="auto"/>
              </w:rPr>
              <w:t>January 29, 2011</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auto"/>
              </w:rPr>
              <w:t>January 1, 2011</w:t>
            </w:r>
          </w:p>
        </w:tc>
        <w:tc>
          <w:tcPr>
            <w:tcW w:w="10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580" w:type="dxa"/>
            <w:vAlign w:val="bottom"/>
            <w:tcBorders>
              <w:right w:val="single" w:sz="8" w:color="auto"/>
            </w:tcBorders>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55"/>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Pr>
          <w:p>
            <w:pPr>
              <w:spacing w:after="0"/>
              <w:rPr>
                <w:sz w:val="15"/>
                <w:szCs w:val="15"/>
                <w:color w:val="auto"/>
              </w:rPr>
            </w:pPr>
          </w:p>
        </w:tc>
        <w:tc>
          <w:tcPr>
            <w:tcW w:w="86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auto"/>
                <w:w w:val="99"/>
              </w:rPr>
              <w:t>2012</w:t>
            </w:r>
          </w:p>
        </w:tc>
        <w:tc>
          <w:tcPr>
            <w:tcW w:w="400" w:type="dxa"/>
            <w:vAlign w:val="bottom"/>
          </w:tcPr>
          <w:p>
            <w:pPr>
              <w:spacing w:after="0"/>
              <w:rPr>
                <w:sz w:val="15"/>
                <w:szCs w:val="15"/>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2011</w:t>
            </w:r>
          </w:p>
        </w:tc>
        <w:tc>
          <w:tcPr>
            <w:tcW w:w="3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color w:val="auto"/>
                <w:w w:val="92"/>
              </w:rPr>
              <w:t>2011</w:t>
            </w:r>
          </w:p>
        </w:tc>
        <w:tc>
          <w:tcPr>
            <w:tcW w:w="400" w:type="dxa"/>
            <w:vAlign w:val="bottom"/>
          </w:tcPr>
          <w:p>
            <w:pPr>
              <w:spacing w:after="0"/>
              <w:rPr>
                <w:sz w:val="15"/>
                <w:szCs w:val="15"/>
                <w:color w:val="auto"/>
              </w:rPr>
            </w:pPr>
          </w:p>
        </w:tc>
        <w:tc>
          <w:tcPr>
            <w:tcW w:w="50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w w:val="92"/>
              </w:rPr>
              <w:t>2011</w:t>
            </w:r>
          </w:p>
        </w:tc>
        <w:tc>
          <w:tcPr>
            <w:tcW w:w="160" w:type="dxa"/>
            <w:vAlign w:val="bottom"/>
          </w:tcPr>
          <w:p>
            <w:pPr>
              <w:spacing w:after="0"/>
              <w:rPr>
                <w:sz w:val="15"/>
                <w:szCs w:val="15"/>
                <w:color w:val="auto"/>
              </w:rPr>
            </w:pPr>
          </w:p>
        </w:tc>
        <w:tc>
          <w:tcPr>
            <w:tcW w:w="84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right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 Networks</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6,555</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5,670</w:t>
            </w:r>
          </w:p>
        </w:tc>
        <w:tc>
          <w:tcPr>
            <w:tcW w:w="3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Broadcast Television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6,168</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4,094</w:t>
            </w:r>
          </w:p>
        </w:tc>
        <w:tc>
          <w:tcPr>
            <w:tcW w:w="38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464</w:t>
            </w:r>
          </w:p>
        </w:tc>
        <w:tc>
          <w:tcPr>
            <w:tcW w:w="40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4,558</w:t>
            </w: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Filmed Entertainment</w:t>
            </w:r>
          </w:p>
        </w:tc>
        <w:tc>
          <w:tcPr>
            <w:tcW w:w="420" w:type="dxa"/>
            <w:vAlign w:val="bottom"/>
          </w:tcPr>
          <w:p>
            <w:pPr>
              <w:spacing w:after="0"/>
              <w:rPr>
                <w:sz w:val="18"/>
                <w:szCs w:val="18"/>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3,778</w:t>
            </w:r>
          </w:p>
        </w:tc>
        <w:tc>
          <w:tcPr>
            <w:tcW w:w="4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2,972</w:t>
            </w:r>
          </w:p>
        </w:tc>
        <w:tc>
          <w:tcPr>
            <w:tcW w:w="3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353</w:t>
            </w:r>
          </w:p>
        </w:tc>
        <w:tc>
          <w:tcPr>
            <w:tcW w:w="4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Theme Parks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1,565</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1,376</w:t>
            </w:r>
          </w:p>
        </w:tc>
        <w:tc>
          <w:tcPr>
            <w:tcW w:w="38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1,491</w:t>
            </w: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Headquarters and Other</w:t>
            </w:r>
          </w:p>
        </w:tc>
        <w:tc>
          <w:tcPr>
            <w:tcW w:w="420" w:type="dxa"/>
            <w:vAlign w:val="bottom"/>
          </w:tcPr>
          <w:p>
            <w:pPr>
              <w:spacing w:after="0"/>
              <w:rPr>
                <w:sz w:val="18"/>
                <w:szCs w:val="18"/>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Eliminations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76"/>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38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1060" w:type="dxa"/>
            <w:vAlign w:val="bottom"/>
            <w:tcBorders>
              <w:bottom w:val="single" w:sz="8" w:color="auto"/>
            </w:tcBorders>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17,798</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13,290</w:t>
            </w:r>
          </w:p>
        </w:tc>
        <w:tc>
          <w:tcPr>
            <w:tcW w:w="3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w w:val="98"/>
              </w:rPr>
              <w:t>1,206</w:t>
            </w:r>
          </w:p>
        </w:tc>
        <w:tc>
          <w:tcPr>
            <w:tcW w:w="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14,496</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700" w:type="dxa"/>
            <w:vAlign w:val="bottom"/>
            <w:shd w:val="clear" w:color="auto" w:fill="E5E5E5"/>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Operating Income (Loss) Before Depreciation and</w:t>
            </w:r>
          </w:p>
        </w:tc>
        <w:tc>
          <w:tcPr>
            <w:tcW w:w="42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80" w:type="dxa"/>
            <w:vAlign w:val="bottom"/>
            <w:tcBorders>
              <w:right w:val="single" w:sz="8" w:color="auto"/>
            </w:tcBorders>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2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380" w:type="dxa"/>
            <w:vAlign w:val="bottom"/>
            <w:tcBorders>
              <w:right w:val="single" w:sz="8" w:color="auto"/>
            </w:tcBorders>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Cable Networks</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2,402</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2,196</w:t>
            </w:r>
          </w:p>
        </w:tc>
        <w:tc>
          <w:tcPr>
            <w:tcW w:w="3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Broadcast Television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Filmed Entertainment</w:t>
            </w:r>
          </w:p>
        </w:tc>
        <w:tc>
          <w:tcPr>
            <w:tcW w:w="420" w:type="dxa"/>
            <w:vAlign w:val="bottom"/>
          </w:tcPr>
          <w:p>
            <w:pPr>
              <w:spacing w:after="0"/>
              <w:rPr>
                <w:sz w:val="18"/>
                <w:szCs w:val="18"/>
                <w:color w:val="auto"/>
              </w:rPr>
            </w:pP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Theme Parks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color w:val="auto"/>
              </w:rPr>
              <w:t>708</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607</w:t>
            </w:r>
          </w:p>
        </w:tc>
        <w:tc>
          <w:tcPr>
            <w:tcW w:w="38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10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(444)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E5E5E5"/>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2,935</w:t>
            </w:r>
          </w:p>
        </w:tc>
        <w:tc>
          <w:tcPr>
            <w:tcW w:w="400" w:type="dxa"/>
            <w:vAlign w:val="bottom"/>
            <w:tcBorders>
              <w:bottom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2,344</w:t>
            </w:r>
          </w:p>
        </w:tc>
        <w:tc>
          <w:tcPr>
            <w:tcW w:w="38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35</w:t>
            </w:r>
          </w:p>
        </w:tc>
        <w:tc>
          <w:tcPr>
            <w:tcW w:w="400" w:type="dxa"/>
            <w:vAlign w:val="bottom"/>
            <w:tcBorders>
              <w:bottom w:val="single" w:sz="8" w:color="auto"/>
            </w:tcBorders>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2,379</w:t>
            </w:r>
          </w:p>
        </w:tc>
        <w:tc>
          <w:tcPr>
            <w:tcW w:w="106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23.4%</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Segment—Results of Operations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left="218"/>
              <w:spacing w:after="0"/>
              <w:rPr>
                <w:sz w:val="20"/>
                <w:szCs w:val="20"/>
                <w:color w:val="auto"/>
              </w:rPr>
            </w:pPr>
            <w:r>
              <w:rPr>
                <w:rFonts w:ascii="Times New Roman" w:cs="Times New Roman" w:eastAsia="Times New Roman" w:hAnsi="Times New Roman"/>
                <w:sz w:val="14"/>
                <w:szCs w:val="14"/>
                <w:color w:val="auto"/>
                <w:w w:val="96"/>
              </w:rPr>
              <w:t>Successor</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3"/>
          </w:tcPr>
          <w:p>
            <w:pPr>
              <w:jc w:val="center"/>
              <w:ind w:right="97"/>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left="218"/>
              <w:spacing w:after="0"/>
              <w:rPr>
                <w:sz w:val="20"/>
                <w:szCs w:val="20"/>
                <w:color w:val="auto"/>
              </w:rPr>
            </w:pPr>
            <w:r>
              <w:rPr>
                <w:rFonts w:ascii="Times New Roman" w:cs="Times New Roman" w:eastAsia="Times New Roman" w:hAnsi="Times New Roman"/>
                <w:sz w:val="14"/>
                <w:szCs w:val="14"/>
                <w:color w:val="auto"/>
                <w:w w:val="95"/>
              </w:rPr>
              <w:t>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left="279"/>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E5E5E5"/>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$ 1,157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$ 1,095</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color w:val="auto"/>
              </w:rPr>
              <w:t>807</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color w:val="auto"/>
                <w:w w:val="98"/>
              </w:rPr>
              <w:t>2,165</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2,097</w:t>
            </w:r>
          </w:p>
        </w:tc>
        <w:tc>
          <w:tcPr>
            <w:tcW w:w="1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color w:val="auto"/>
                <w:w w:val="98"/>
              </w:rPr>
              <w:t>1,356</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1,346</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3"/>
        </w:trPr>
        <w:tc>
          <w:tcPr>
            <w:tcW w:w="442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before depreciation</w:t>
            </w:r>
          </w:p>
        </w:tc>
        <w:tc>
          <w:tcPr>
            <w:tcW w:w="5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60" w:type="dxa"/>
            <w:vAlign w:val="bottom"/>
            <w:tcBorders>
              <w:right w:val="single" w:sz="8" w:color="E5E5E5"/>
            </w:tcBorders>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50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spacing w:after="0"/>
              <w:rPr>
                <w:sz w:val="20"/>
                <w:szCs w:val="20"/>
                <w:color w:val="auto"/>
              </w:rPr>
            </w:pPr>
          </w:p>
        </w:tc>
        <w:tc>
          <w:tcPr>
            <w:tcW w:w="760" w:type="dxa"/>
            <w:vAlign w:val="bottom"/>
            <w:tcBorders>
              <w:bottom w:val="single" w:sz="8" w:color="auto"/>
            </w:tcBorders>
            <w:shd w:val="clear" w:color="auto" w:fill="E5E5E5"/>
          </w:tcPr>
          <w:p>
            <w:pPr>
              <w:spacing w:after="0"/>
              <w:rPr>
                <w:sz w:val="20"/>
                <w:szCs w:val="20"/>
                <w:color w:val="auto"/>
              </w:rPr>
            </w:pPr>
          </w:p>
        </w:tc>
        <w:tc>
          <w:tcPr>
            <w:tcW w:w="460" w:type="dxa"/>
            <w:vAlign w:val="bottom"/>
            <w:tcBorders>
              <w:bottom w:val="single" w:sz="8" w:color="auto"/>
              <w:right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spacing w:after="0"/>
              <w:rPr>
                <w:sz w:val="20"/>
                <w:szCs w:val="20"/>
                <w:color w:val="auto"/>
              </w:rPr>
            </w:pPr>
          </w:p>
        </w:tc>
        <w:tc>
          <w:tcPr>
            <w:tcW w:w="8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E5E5E5"/>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809</w:t>
            </w:r>
          </w:p>
        </w:tc>
        <w:tc>
          <w:tcPr>
            <w:tcW w:w="4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60" w:type="dxa"/>
            <w:vAlign w:val="bottom"/>
            <w:tcBorders>
              <w:bottom w:val="single" w:sz="8" w:color="auto"/>
            </w:tcBorders>
            <w:shd w:val="clear" w:color="auto" w:fill="E5E5E5"/>
          </w:tcPr>
          <w:p>
            <w:pPr>
              <w:spacing w:after="0"/>
              <w:rPr>
                <w:sz w:val="20"/>
                <w:szCs w:val="20"/>
                <w:color w:val="auto"/>
              </w:rPr>
            </w:pPr>
          </w:p>
        </w:tc>
        <w:tc>
          <w:tcPr>
            <w:tcW w:w="116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Successor</w:t>
            </w:r>
          </w:p>
        </w:tc>
        <w:tc>
          <w:tcPr>
            <w:tcW w:w="7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8"/>
              </w:rPr>
              <w:t>Predecessor</w:t>
            </w:r>
          </w:p>
        </w:tc>
        <w:tc>
          <w:tcPr>
            <w:tcW w:w="104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4"/>
                <w:szCs w:val="14"/>
                <w:color w:val="auto"/>
                <w:w w:val="95"/>
              </w:rPr>
              <w:t>Combined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120" w:type="dxa"/>
            <w:vAlign w:val="bottom"/>
            <w:gridSpan w:val="2"/>
          </w:tcPr>
          <w:p>
            <w:pPr>
              <w:jc w:val="center"/>
              <w:ind w:left="262"/>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860" w:type="dxa"/>
            <w:vAlign w:val="bottom"/>
            <w:tcBorders>
              <w:right w:val="single" w:sz="8" w:color="auto"/>
            </w:tcBorders>
            <w:gridSpan w:val="3"/>
          </w:tcPr>
          <w:p>
            <w:pPr>
              <w:ind w:left="480"/>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040" w:type="dxa"/>
            <w:vAlign w:val="bottom"/>
            <w:gridSpan w:val="3"/>
          </w:tcPr>
          <w:p>
            <w:pPr>
              <w:jc w:val="center"/>
              <w:ind w:left="61"/>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860" w:type="dxa"/>
            <w:vAlign w:val="bottom"/>
            <w:tcBorders>
              <w:right w:val="single" w:sz="8" w:color="auto"/>
            </w:tcBorders>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c>
          <w:tcPr>
            <w:tcW w:w="4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160" w:type="dxa"/>
            <w:vAlign w:val="bottom"/>
            <w:gridSpan w:val="2"/>
          </w:tcPr>
          <w:p>
            <w:pPr>
              <w:jc w:val="center"/>
              <w:ind w:left="39"/>
              <w:spacing w:after="0" w:line="149" w:lineRule="exact"/>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120" w:type="dxa"/>
            <w:vAlign w:val="bottom"/>
            <w:gridSpan w:val="2"/>
          </w:tcPr>
          <w:p>
            <w:pPr>
              <w:jc w:val="center"/>
              <w:ind w:left="262"/>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860" w:type="dxa"/>
            <w:vAlign w:val="bottom"/>
            <w:tcBorders>
              <w:right w:val="single" w:sz="8" w:color="auto"/>
            </w:tcBorders>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to January 28,</w:t>
            </w:r>
          </w:p>
        </w:tc>
        <w:tc>
          <w:tcPr>
            <w:tcW w:w="1040" w:type="dxa"/>
            <w:vAlign w:val="bottom"/>
            <w:gridSpan w:val="3"/>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160" w:type="dxa"/>
            <w:vAlign w:val="bottom"/>
            <w:gridSpan w:val="2"/>
          </w:tcPr>
          <w:p>
            <w:pPr>
              <w:jc w:val="center"/>
              <w:ind w:left="39"/>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w w:val="92"/>
              </w:rPr>
              <w:t>2012</w:t>
            </w:r>
          </w:p>
        </w:tc>
        <w:tc>
          <w:tcPr>
            <w:tcW w:w="6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2011</w:t>
            </w:r>
          </w:p>
        </w:tc>
        <w:tc>
          <w:tcPr>
            <w:tcW w:w="460" w:type="dxa"/>
            <w:vAlign w:val="bottom"/>
            <w:tcBorders>
              <w:bottom w:val="single" w:sz="8" w:color="E5E5E5"/>
              <w:right w:val="single" w:sz="8" w:color="auto"/>
            </w:tcBorders>
          </w:tcPr>
          <w:p>
            <w:pPr>
              <w:spacing w:after="0"/>
              <w:rPr>
                <w:sz w:val="15"/>
                <w:szCs w:val="15"/>
                <w:color w:val="auto"/>
              </w:rPr>
            </w:pPr>
          </w:p>
        </w:tc>
        <w:tc>
          <w:tcPr>
            <w:tcW w:w="380" w:type="dxa"/>
            <w:vAlign w:val="bottom"/>
            <w:tcBorders>
              <w:bottom w:val="single" w:sz="8" w:color="E5E5E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w w:val="92"/>
              </w:rPr>
              <w:t>2011</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E5E5E5"/>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4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20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46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8"/>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2,390</w:t>
            </w:r>
          </w:p>
        </w:tc>
        <w:tc>
          <w:tcPr>
            <w:tcW w:w="11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46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8"/>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6,059</w:t>
            </w:r>
          </w:p>
        </w:tc>
        <w:tc>
          <w:tcPr>
            <w:tcW w:w="116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3,720</w:t>
            </w: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500" w:type="dxa"/>
            <w:vAlign w:val="bottom"/>
            <w:tcBorders>
              <w:bottom w:val="single" w:sz="8" w:color="auto"/>
            </w:tcBorders>
            <w:shd w:val="clear" w:color="auto" w:fill="E5E5E5"/>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2,402</w:t>
            </w:r>
          </w:p>
        </w:tc>
        <w:tc>
          <w:tcPr>
            <w:tcW w:w="64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E5E5E5"/>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143</w:t>
            </w:r>
          </w:p>
        </w:tc>
        <w:tc>
          <w:tcPr>
            <w:tcW w:w="400" w:type="dxa"/>
            <w:vAlign w:val="bottom"/>
            <w:tcBorders>
              <w:bottom w:val="single" w:sz="8" w:color="auto"/>
            </w:tcBorders>
            <w:shd w:val="clear" w:color="auto" w:fill="E5E5E5"/>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2,339</w:t>
            </w:r>
          </w:p>
        </w:tc>
        <w:tc>
          <w:tcPr>
            <w:tcW w:w="116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Cable Networks revenue increased for the three months ended September 30, 2012 compared to the same period in 2011 primarily due to an increase in distribution revenue as a result of rate increases. Advertising revenue remained flat compared to the same period in 2011 due to an increase in the price and volume of advertising units sold, which was partially offset by continuing declines in audience ratings at certain of our cable networks.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Networks revenue for the nine months ended September 30, 2012 included nine months of operating results of the Comcast Content Business, compared to eight months of operating results for the same period in 2011, which accounted for $231 million of the increase in revenue. The remaining increase was due to increases in distribution and advertising revenue. The increase in distribution revenue was primarily due to rate increases, and the increase in advertising revenue was primarily due to increases in the price and volume of advertising units sold, which was partially offset by continuing declines in audience ratings at certain of our cable networks.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both the three and nine months ended September 30, 2012, 13% of our total Cable Networks segment revenue was generated from transactions with Comcast. For the three and nine months ended September 30, 2011, 13% and 12%, respectively, of our total Cable Networks segment revenue was generated from transactions with Comcast.</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current collective bargaining agreement between the National Hockey League (“NHL”) and its players’ association expired at the end of the 2011-12 season. If the NHL player lockout continues, the number of NHL games that we broadcast on our cable and broadcast networks, and our results of operations associated with these broadcasts, may be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costs and expenses remained flat for the three months ended September 30, 2012 compared to the same period in 2011.</w:t>
      </w:r>
    </w:p>
    <w:p>
      <w:pPr>
        <w:spacing w:after="0" w:line="1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operating costs and expenses for the nine months ended September 30, 2012 included nine months of operating expenses of the Comcast Content Business, compared to eight months of operating expenses for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same period in 2011, which accounted for $168 million of the increase in operating expenses. The remaining increase is primarily due to higher programming and production expenses that resulted from our continued investment in original programming and an increase in sports rights costs.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Segment—Results of Operations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Successor</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40" w:type="dxa"/>
            <w:vAlign w:val="bottom"/>
            <w:gridSpan w:val="3"/>
          </w:tcPr>
          <w:p>
            <w:pPr>
              <w:jc w:val="right"/>
              <w:ind w:right="276"/>
              <w:spacing w:after="0" w:line="129" w:lineRule="exact"/>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w w:val="92"/>
              </w:rPr>
              <w:t>2011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259"/>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E5E5E5"/>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$ 1,988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8"/>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E5E5E5"/>
          </w:tcPr>
          <w:p>
            <w:pPr>
              <w:spacing w:after="0"/>
              <w:rPr>
                <w:sz w:val="18"/>
                <w:szCs w:val="18"/>
                <w:color w:val="auto"/>
              </w:rPr>
            </w:pPr>
          </w:p>
        </w:tc>
        <w:tc>
          <w:tcPr>
            <w:tcW w:w="1140" w:type="dxa"/>
            <w:vAlign w:val="bottom"/>
            <w:gridSpan w:val="2"/>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8"/>
              <w:spacing w:after="0"/>
              <w:rPr>
                <w:sz w:val="20"/>
                <w:szCs w:val="20"/>
                <w:color w:val="auto"/>
              </w:rPr>
            </w:pPr>
            <w:r>
              <w:rPr>
                <w:rFonts w:ascii="Times New Roman" w:cs="Times New Roman" w:eastAsia="Times New Roman" w:hAnsi="Times New Roman"/>
                <w:sz w:val="18"/>
                <w:szCs w:val="18"/>
                <w:color w:val="auto"/>
              </w:rPr>
              <w:t>2,777</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w w:val="98"/>
              </w:rPr>
              <w:t>1,511</w:t>
            </w:r>
          </w:p>
        </w:tc>
        <w:tc>
          <w:tcPr>
            <w:tcW w:w="180" w:type="dxa"/>
            <w:vAlign w:val="bottom"/>
            <w:shd w:val="clear" w:color="auto" w:fill="E5E5E5"/>
          </w:tcPr>
          <w:p>
            <w:pPr>
              <w:spacing w:after="0"/>
              <w:rPr>
                <w:sz w:val="18"/>
                <w:szCs w:val="18"/>
                <w:color w:val="auto"/>
              </w:rPr>
            </w:pPr>
          </w:p>
        </w:tc>
        <w:tc>
          <w:tcPr>
            <w:tcW w:w="114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rPr>
              <w:t>2,689</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98"/>
              </w:rPr>
              <w:t>1,518</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193"/>
        </w:trPr>
        <w:tc>
          <w:tcPr>
            <w:tcW w:w="442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before</w:t>
            </w:r>
          </w:p>
        </w:tc>
        <w:tc>
          <w:tcPr>
            <w:tcW w:w="5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60" w:type="dxa"/>
            <w:vAlign w:val="bottom"/>
            <w:tcBorders>
              <w:right w:val="single" w:sz="8" w:color="E5E5E5"/>
            </w:tcBorders>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0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spacing w:after="0"/>
              <w:rPr>
                <w:sz w:val="20"/>
                <w:szCs w:val="20"/>
                <w:color w:val="auto"/>
              </w:rPr>
            </w:pPr>
          </w:p>
        </w:tc>
        <w:tc>
          <w:tcPr>
            <w:tcW w:w="760" w:type="dxa"/>
            <w:vAlign w:val="bottom"/>
            <w:tcBorders>
              <w:bottom w:val="single" w:sz="8" w:color="auto"/>
            </w:tcBorders>
            <w:shd w:val="clear" w:color="auto" w:fill="E5E5E5"/>
          </w:tcPr>
          <w:p>
            <w:pPr>
              <w:spacing w:after="0"/>
              <w:rPr>
                <w:sz w:val="20"/>
                <w:szCs w:val="20"/>
                <w:color w:val="auto"/>
              </w:rPr>
            </w:pPr>
          </w:p>
        </w:tc>
        <w:tc>
          <w:tcPr>
            <w:tcW w:w="460" w:type="dxa"/>
            <w:vAlign w:val="bottom"/>
            <w:tcBorders>
              <w:bottom w:val="single" w:sz="8" w:color="auto"/>
              <w:right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spacing w:after="0"/>
              <w:rPr>
                <w:sz w:val="20"/>
                <w:szCs w:val="20"/>
                <w:color w:val="auto"/>
              </w:rPr>
            </w:pPr>
          </w:p>
        </w:tc>
        <w:tc>
          <w:tcPr>
            <w:tcW w:w="6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88</w:t>
            </w:r>
          </w:p>
        </w:tc>
        <w:tc>
          <w:tcPr>
            <w:tcW w:w="3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Borders>
              <w:bottom w:val="single" w:sz="8" w:color="auto"/>
            </w:tcBorders>
            <w:shd w:val="clear" w:color="auto" w:fill="E5E5E5"/>
          </w:tcPr>
          <w:p>
            <w:pPr>
              <w:spacing w:after="0"/>
              <w:rPr>
                <w:sz w:val="20"/>
                <w:szCs w:val="20"/>
                <w:color w:val="auto"/>
              </w:rPr>
            </w:pPr>
          </w:p>
        </w:tc>
        <w:tc>
          <w:tcPr>
            <w:tcW w:w="11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Successor</w:t>
            </w:r>
          </w:p>
        </w:tc>
        <w:tc>
          <w:tcPr>
            <w:tcW w:w="7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5"/>
              </w:rPr>
              <w:t>Predecessor</w:t>
            </w:r>
          </w:p>
        </w:tc>
        <w:tc>
          <w:tcPr>
            <w:tcW w:w="1040" w:type="dxa"/>
            <w:vAlign w:val="bottom"/>
            <w:tcBorders>
              <w:bottom w:val="single" w:sz="8" w:color="auto"/>
            </w:tcBorders>
            <w:gridSpan w:val="3"/>
          </w:tcPr>
          <w:p>
            <w:pPr>
              <w:jc w:val="center"/>
              <w:ind w:left="41"/>
              <w:spacing w:after="0"/>
              <w:rPr>
                <w:sz w:val="20"/>
                <w:szCs w:val="20"/>
                <w:color w:val="auto"/>
              </w:rPr>
            </w:pPr>
            <w:r>
              <w:rPr>
                <w:rFonts w:ascii="Times New Roman" w:cs="Times New Roman" w:eastAsia="Times New Roman" w:hAnsi="Times New Roman"/>
                <w:sz w:val="14"/>
                <w:szCs w:val="14"/>
                <w:color w:val="auto"/>
                <w:w w:val="95"/>
              </w:rPr>
              <w:t>Combined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120" w:type="dxa"/>
            <w:vAlign w:val="bottom"/>
            <w:gridSpan w:val="2"/>
          </w:tcPr>
          <w:p>
            <w:pPr>
              <w:jc w:val="center"/>
              <w:ind w:left="262"/>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400" w:type="dxa"/>
            <w:vAlign w:val="bottom"/>
            <w:gridSpan w:val="2"/>
          </w:tcPr>
          <w:p>
            <w:pPr>
              <w:jc w:val="right"/>
              <w:ind w:right="55"/>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4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040" w:type="dxa"/>
            <w:vAlign w:val="bottom"/>
            <w:gridSpan w:val="3"/>
          </w:tcPr>
          <w:p>
            <w:pPr>
              <w:jc w:val="center"/>
              <w:ind w:left="61"/>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1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860" w:type="dxa"/>
            <w:vAlign w:val="bottom"/>
            <w:tcBorders>
              <w:right w:val="single" w:sz="8" w:color="auto"/>
            </w:tcBorders>
            <w:gridSpan w:val="3"/>
          </w:tcPr>
          <w:p>
            <w:pPr>
              <w:ind w:left="420"/>
              <w:spacing w:after="0" w:line="135" w:lineRule="exact"/>
              <w:rPr>
                <w:sz w:val="20"/>
                <w:szCs w:val="20"/>
                <w:color w:val="auto"/>
              </w:rPr>
            </w:pPr>
            <w:r>
              <w:rPr>
                <w:rFonts w:ascii="Times New Roman" w:cs="Times New Roman" w:eastAsia="Times New Roman" w:hAnsi="Times New Roman"/>
                <w:sz w:val="14"/>
                <w:szCs w:val="14"/>
                <w:color w:val="auto"/>
              </w:rPr>
              <w:t>January 29, 2011</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January 1, 2011</w:t>
            </w:r>
          </w:p>
        </w:tc>
        <w:tc>
          <w:tcPr>
            <w:tcW w:w="34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120" w:type="dxa"/>
            <w:vAlign w:val="bottom"/>
            <w:gridSpan w:val="2"/>
          </w:tcPr>
          <w:p>
            <w:pPr>
              <w:jc w:val="center"/>
              <w:ind w:left="262"/>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860" w:type="dxa"/>
            <w:vAlign w:val="bottom"/>
            <w:tcBorders>
              <w:right w:val="single" w:sz="8" w:color="auto"/>
            </w:tcBorders>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1040" w:type="dxa"/>
            <w:vAlign w:val="bottom"/>
            <w:gridSpan w:val="3"/>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140" w:type="dxa"/>
            <w:vAlign w:val="bottom"/>
            <w:gridSpan w:val="2"/>
          </w:tcPr>
          <w:p>
            <w:pPr>
              <w:jc w:val="center"/>
              <w:ind w:left="19"/>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w w:val="92"/>
              </w:rPr>
              <w:t>2012</w:t>
            </w:r>
          </w:p>
        </w:tc>
        <w:tc>
          <w:tcPr>
            <w:tcW w:w="6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2011</w:t>
            </w:r>
          </w:p>
        </w:tc>
        <w:tc>
          <w:tcPr>
            <w:tcW w:w="460" w:type="dxa"/>
            <w:vAlign w:val="bottom"/>
            <w:tcBorders>
              <w:bottom w:val="single" w:sz="8" w:color="E5E5E5"/>
              <w:right w:val="single" w:sz="8" w:color="auto"/>
            </w:tcBorders>
          </w:tcPr>
          <w:p>
            <w:pPr>
              <w:spacing w:after="0"/>
              <w:rPr>
                <w:sz w:val="15"/>
                <w:szCs w:val="15"/>
                <w:color w:val="auto"/>
              </w:rPr>
            </w:pPr>
          </w:p>
        </w:tc>
        <w:tc>
          <w:tcPr>
            <w:tcW w:w="380" w:type="dxa"/>
            <w:vAlign w:val="bottom"/>
            <w:tcBorders>
              <w:bottom w:val="single" w:sz="8" w:color="E5E5E5"/>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E5E5E5"/>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6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4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2,998</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6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8"/>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1,191</w:t>
            </w:r>
          </w:p>
        </w:tc>
        <w:tc>
          <w:tcPr>
            <w:tcW w:w="1140" w:type="dxa"/>
            <w:vAlign w:val="bottom"/>
            <w:gridSpan w:val="2"/>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46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8"/>
              <w:spacing w:after="0"/>
              <w:rPr>
                <w:sz w:val="20"/>
                <w:szCs w:val="20"/>
                <w:color w:val="auto"/>
              </w:rPr>
            </w:pPr>
            <w:r>
              <w:rPr>
                <w:rFonts w:ascii="Times New Roman" w:cs="Times New Roman" w:eastAsia="Times New Roman" w:hAnsi="Times New Roman"/>
                <w:sz w:val="18"/>
                <w:szCs w:val="18"/>
                <w:color w:val="auto"/>
              </w:rPr>
              <w:t>464</w:t>
            </w:r>
          </w:p>
        </w:tc>
        <w:tc>
          <w:tcPr>
            <w:tcW w:w="34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4,558</w:t>
            </w:r>
          </w:p>
        </w:tc>
        <w:tc>
          <w:tcPr>
            <w:tcW w:w="114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46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rPr>
              <w:t>480</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4,356</w:t>
            </w: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93"/>
        </w:trPr>
        <w:tc>
          <w:tcPr>
            <w:tcW w:w="442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(loss) before depreciation and</w:t>
            </w:r>
          </w:p>
        </w:tc>
        <w:tc>
          <w:tcPr>
            <w:tcW w:w="5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460" w:type="dxa"/>
            <w:vAlign w:val="bottom"/>
            <w:tcBorders>
              <w:right w:val="single" w:sz="8" w:color="auto"/>
            </w:tcBorders>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2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00" w:type="dxa"/>
            <w:vAlign w:val="bottom"/>
            <w:tcBorders>
              <w:bottom w:val="single" w:sz="8" w:color="auto"/>
            </w:tcBorders>
            <w:shd w:val="clear" w:color="auto" w:fill="E5E5E5"/>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64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460" w:type="dxa"/>
            <w:vAlign w:val="bottom"/>
            <w:tcBorders>
              <w:bottom w:val="single" w:sz="8" w:color="auto"/>
              <w:right w:val="single" w:sz="8" w:color="auto"/>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spacing w:after="0"/>
              <w:rPr>
                <w:sz w:val="20"/>
                <w:szCs w:val="20"/>
                <w:color w:val="auto"/>
              </w:rPr>
            </w:pPr>
          </w:p>
        </w:tc>
        <w:tc>
          <w:tcPr>
            <w:tcW w:w="6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jc w:val="right"/>
              <w:ind w:right="183"/>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E5E5E5"/>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w:t>
            </w:r>
          </w:p>
        </w:tc>
        <w:tc>
          <w:tcPr>
            <w:tcW w:w="11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Broadcast Television revenue increased for the three months ended September 30, 2012 compared to the same period in 2011 primarily due to our broadcast of the 2012 London Olympics, which resulted in significant increases in both advertising and other revenue totaling $1.2 billion. Excluding the impact of the 2012 London Olympics, Broadcast Television revenue increased 5% for the three months ended September 30, 2012, primarily due to an increase in the price and volume of advertising units sold, including the impact of higher political advertising in 2012.</w:t>
      </w:r>
    </w:p>
    <w:p>
      <w:pPr>
        <w:spacing w:after="0" w:line="9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Our Broadcast Television revenue increased for the nine months ended September 30, 2012 compared to the same period in 2011 primarily due to our broadcast of the 2012 London Olympics and the 2012 Super Bowl. Excluding the impact of both of these events, Broadcast Television revenue increased 4% for the nine months ended September 30, 2012, primarily due to an increase in advertising revenue resulting from an increase in the price of advertising units sold.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costs and expenses increased for the three months ended September 30, 2012 compared to the same period in 2011 primarily due to an increase in programming and production costs of $1.1 billion associated with our broadcast of the 2012 London Olympics. Excluding these costs, operating costs and expenses for the three months ended September 30, 2012 increased 7% primarily due to an increase in programming and production costs, including the impact of the early start to our 2012 fall primetime schedule.</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operating costs and expenses increased for the nine months ended September 30, 2012 compared to the same period in 2011 primarily due to the increase in programming and production costs associated with our broadcasts of the 2012 London Olympics and the 2012 Super Bowl.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Segment—Results of Operations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color w:val="auto"/>
                <w:w w:val="96"/>
              </w:rPr>
              <w:t>Successor</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left="302"/>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left="58"/>
              <w:spacing w:after="0" w:line="129" w:lineRule="exact"/>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322"/>
              <w:spacing w:after="0"/>
              <w:rPr>
                <w:sz w:val="20"/>
                <w:szCs w:val="20"/>
                <w:color w:val="auto"/>
              </w:rPr>
            </w:pPr>
            <w:r>
              <w:rPr>
                <w:rFonts w:ascii="Times New Roman" w:cs="Times New Roman" w:eastAsia="Times New Roman" w:hAnsi="Times New Roman"/>
                <w:sz w:val="14"/>
                <w:szCs w:val="14"/>
                <w:color w:val="auto"/>
                <w:w w:val="98"/>
              </w:rPr>
              <w:t>September 30</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left="58"/>
              <w:spacing w:after="0"/>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9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left="298"/>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E5E5E5"/>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Theatrical</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00" w:type="dxa"/>
            <w:vAlign w:val="bottom"/>
            <w:shd w:val="clear" w:color="auto" w:fill="E5E5E5"/>
          </w:tcPr>
          <w:p>
            <w:pPr>
              <w:spacing w:after="0"/>
              <w:rPr>
                <w:sz w:val="18"/>
                <w:szCs w:val="18"/>
                <w:color w:val="auto"/>
              </w:rPr>
            </w:pPr>
          </w:p>
        </w:tc>
        <w:tc>
          <w:tcPr>
            <w:tcW w:w="118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entertainment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9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0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93"/>
        </w:trPr>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(loss) before</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color w:val="auto"/>
              </w:rPr>
              <w:t>Successor</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4"/>
                <w:szCs w:val="14"/>
                <w:color w:val="auto"/>
                <w:w w:val="98"/>
              </w:rPr>
              <w:t>Predecessor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Combined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1460" w:type="dxa"/>
            <w:vAlign w:val="bottom"/>
            <w:gridSpan w:val="2"/>
          </w:tcPr>
          <w:p>
            <w:pPr>
              <w:jc w:val="center"/>
              <w:ind w:left="42"/>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260" w:type="dxa"/>
            <w:vAlign w:val="bottom"/>
            <w:gridSpan w:val="2"/>
          </w:tcPr>
          <w:p>
            <w:pPr>
              <w:jc w:val="right"/>
              <w:ind w:right="95"/>
              <w:spacing w:after="0" w:line="129" w:lineRule="exact"/>
              <w:rPr>
                <w:sz w:val="20"/>
                <w:szCs w:val="20"/>
                <w:color w:val="auto"/>
              </w:rPr>
            </w:pPr>
            <w:r>
              <w:rPr>
                <w:rFonts w:ascii="Times New Roman" w:cs="Times New Roman" w:eastAsia="Times New Roman" w:hAnsi="Times New Roman"/>
                <w:sz w:val="14"/>
                <w:szCs w:val="14"/>
                <w:color w:val="auto"/>
              </w:rPr>
              <w:t>For the Period</w:t>
            </w:r>
          </w:p>
        </w:tc>
        <w:tc>
          <w:tcPr>
            <w:tcW w:w="2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54"/>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9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18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center"/>
              <w:ind w:right="338"/>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48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4"/>
                <w:szCs w:val="14"/>
                <w:color w:val="auto"/>
              </w:rPr>
              <w:t>January 29, 2011</w:t>
            </w:r>
          </w:p>
        </w:tc>
        <w:tc>
          <w:tcPr>
            <w:tcW w:w="3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54"/>
              <w:spacing w:after="0" w:line="135" w:lineRule="exact"/>
              <w:rPr>
                <w:sz w:val="20"/>
                <w:szCs w:val="20"/>
                <w:color w:val="auto"/>
              </w:rPr>
            </w:pPr>
            <w:r>
              <w:rPr>
                <w:rFonts w:ascii="Times New Roman" w:cs="Times New Roman" w:eastAsia="Times New Roman" w:hAnsi="Times New Roman"/>
                <w:sz w:val="14"/>
                <w:szCs w:val="14"/>
                <w:color w:val="auto"/>
                <w:w w:val="96"/>
              </w:rPr>
              <w:t>January 1, 2011</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60" w:type="dxa"/>
            <w:vAlign w:val="bottom"/>
            <w:gridSpan w:val="2"/>
          </w:tcPr>
          <w:p>
            <w:pPr>
              <w:jc w:val="center"/>
              <w:ind w:left="42"/>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4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3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4"/>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180" w:type="dxa"/>
            <w:vAlign w:val="bottom"/>
            <w:gridSpan w:val="2"/>
          </w:tcPr>
          <w:p>
            <w:pPr>
              <w:jc w:val="center"/>
              <w:ind w:left="58"/>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color w:val="auto"/>
                <w:w w:val="92"/>
              </w:rPr>
              <w:t>2012</w:t>
            </w: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2011</w:t>
            </w: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4"/>
                <w:szCs w:val="14"/>
                <w:color w:val="auto"/>
                <w:w w:val="92"/>
              </w:rPr>
              <w:t>2011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298"/>
              <w:spacing w:after="0"/>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Theatrical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1,176</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98"/>
              <w:spacing w:after="0"/>
              <w:rPr>
                <w:sz w:val="20"/>
                <w:szCs w:val="20"/>
                <w:color w:val="auto"/>
              </w:rPr>
            </w:pPr>
            <w:r>
              <w:rPr>
                <w:rFonts w:ascii="Times New Roman" w:cs="Times New Roman" w:eastAsia="Times New Roman" w:hAnsi="Times New Roman"/>
                <w:sz w:val="18"/>
                <w:szCs w:val="18"/>
                <w:color w:val="auto"/>
              </w:rPr>
              <w:t>1,127</w:t>
            </w:r>
          </w:p>
        </w:tc>
        <w:tc>
          <w:tcPr>
            <w:tcW w:w="4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shd w:val="clear" w:color="auto" w:fill="E5E5E5"/>
          </w:tcPr>
          <w:p>
            <w:pPr>
              <w:spacing w:after="0"/>
              <w:rPr>
                <w:sz w:val="18"/>
                <w:szCs w:val="18"/>
                <w:color w:val="auto"/>
              </w:rPr>
            </w:pPr>
          </w:p>
        </w:tc>
        <w:tc>
          <w:tcPr>
            <w:tcW w:w="3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54"/>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E5E5E5"/>
          </w:tcPr>
          <w:p>
            <w:pPr>
              <w:spacing w:after="0"/>
              <w:rPr>
                <w:sz w:val="18"/>
                <w:szCs w:val="18"/>
                <w:color w:val="auto"/>
              </w:rPr>
            </w:pPr>
          </w:p>
        </w:tc>
        <w:tc>
          <w:tcPr>
            <w:tcW w:w="80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1,038</w:t>
            </w:r>
          </w:p>
        </w:tc>
        <w:tc>
          <w:tcPr>
            <w:tcW w:w="1180" w:type="dxa"/>
            <w:vAlign w:val="bottom"/>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entertainment</w:t>
            </w:r>
          </w:p>
        </w:tc>
        <w:tc>
          <w:tcPr>
            <w:tcW w:w="540" w:type="dxa"/>
            <w:vAlign w:val="bottom"/>
          </w:tcPr>
          <w:p>
            <w:pPr>
              <w:spacing w:after="0"/>
              <w:rPr>
                <w:sz w:val="18"/>
                <w:szCs w:val="18"/>
                <w:color w:val="auto"/>
              </w:rPr>
            </w:pP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1,179</w:t>
            </w:r>
          </w:p>
        </w:tc>
        <w:tc>
          <w:tcPr>
            <w:tcW w:w="4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98"/>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5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180" w:type="dxa"/>
            <w:vAlign w:val="bottom"/>
            <w:tcBorders>
              <w:bottom w:val="single" w:sz="8" w:color="auto"/>
            </w:tcBorders>
            <w:gridSpan w:val="2"/>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Pr>
          <w:p>
            <w:pPr>
              <w:spacing w:after="0"/>
              <w:rPr>
                <w:sz w:val="18"/>
                <w:szCs w:val="18"/>
                <w:color w:val="auto"/>
              </w:rPr>
            </w:pP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3,778</w:t>
            </w:r>
          </w:p>
        </w:tc>
        <w:tc>
          <w:tcPr>
            <w:tcW w:w="4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98"/>
              <w:spacing w:after="0"/>
              <w:rPr>
                <w:sz w:val="20"/>
                <w:szCs w:val="20"/>
                <w:color w:val="auto"/>
              </w:rPr>
            </w:pPr>
            <w:r>
              <w:rPr>
                <w:rFonts w:ascii="Times New Roman" w:cs="Times New Roman" w:eastAsia="Times New Roman" w:hAnsi="Times New Roman"/>
                <w:sz w:val="18"/>
                <w:szCs w:val="18"/>
                <w:color w:val="auto"/>
              </w:rPr>
              <w:t>3,783</w:t>
            </w:r>
          </w:p>
        </w:tc>
        <w:tc>
          <w:tcPr>
            <w:tcW w:w="4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54"/>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3,386</w:t>
            </w:r>
          </w:p>
        </w:tc>
        <w:tc>
          <w:tcPr>
            <w:tcW w:w="1180" w:type="dxa"/>
            <w:vAlign w:val="bottom"/>
            <w:tcBorders>
              <w:bottom w:val="single" w:sz="8" w:color="auto"/>
            </w:tcBorders>
            <w:gridSpan w:val="2"/>
            <w:shd w:val="clear" w:color="auto" w:fill="E5E5E5"/>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3"/>
        </w:trPr>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(loss) before depreciation and</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(5)</w:t>
            </w: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91.6%</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Filmed Entertainment revenue increased for the three months ended September 30, 2012 compared to the same period in 2011 primarily due to increases in theatrical, home entertainment and content licensing revenue. The increase in theatrical revenue was due to the performance of our 2012 releases, including </w:t>
      </w:r>
      <w:r>
        <w:rPr>
          <w:rFonts w:ascii="Times New Roman" w:cs="Times New Roman" w:eastAsia="Times New Roman" w:hAnsi="Times New Roman"/>
          <w:sz w:val="18"/>
          <w:szCs w:val="18"/>
          <w:i w:val="1"/>
          <w:iCs w:val="1"/>
          <w:color w:val="auto"/>
        </w:rPr>
        <w:t>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Bourne Legacy</w:t>
      </w:r>
      <w:r>
        <w:rPr>
          <w:rFonts w:ascii="Times New Roman" w:cs="Times New Roman" w:eastAsia="Times New Roman" w:hAnsi="Times New Roman"/>
          <w:sz w:val="18"/>
          <w:szCs w:val="18"/>
          <w:color w:val="auto"/>
        </w:rPr>
        <w:t>, compared to same period in 2011. The increase in home entertainment revenue was due to an increase in the number of titles released and the performance of our current year releases compared to the same period in 2011. The increase in content licensing revenue was primarily due to a higher volume of our owned and acquired films made available to licensees in 2012.</w:t>
      </w:r>
    </w:p>
    <w:p>
      <w:pPr>
        <w:spacing w:after="0" w:line="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Filmed Entertainment revenue increased for the nine months ended September 30, 2012 compared to the same period in 2011 primarily due to increases in theatrical, home entertainment and content licensing revenue. The increase in theatrical revenue was due to the performance of our 2012 releases, which included </w:t>
      </w:r>
      <w:r>
        <w:rPr>
          <w:rFonts w:ascii="Times New Roman" w:cs="Times New Roman" w:eastAsia="Times New Roman" w:hAnsi="Times New Roman"/>
          <w:sz w:val="18"/>
          <w:szCs w:val="18"/>
          <w:i w:val="1"/>
          <w:iCs w:val="1"/>
          <w:color w:val="auto"/>
        </w:rPr>
        <w:t>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Dr. Seuss’ The Lorax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Safe House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Bourne Legacy</w:t>
      </w:r>
      <w:r>
        <w:rPr>
          <w:rFonts w:ascii="Times New Roman" w:cs="Times New Roman" w:eastAsia="Times New Roman" w:hAnsi="Times New Roman"/>
          <w:sz w:val="18"/>
          <w:szCs w:val="18"/>
          <w:color w:val="auto"/>
        </w:rPr>
        <w:t>, compared to the same period in 2011. The increase in home entertainment revenue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performance of our current year releases compared to the same period in 2011. The increase in content licensing revenue increased primarily due to a higher volume of our owned and acquired films made available to licensees in 2012.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operating costs and expenses increased for the three months ended September 30, 2012 compared to the same period in 2011 due to increases in the amortization of film costs primarily associated with the increase in theatrical revenue from our 2012 releases.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Our operating costs and expenses increased for the nine months ended September 30, 2012 compared to the same period in 2011 primarily due to higher amortization of film costs resulting from the increase in theatrical revenue and the underperformance of </w:t>
      </w:r>
      <w:r>
        <w:rPr>
          <w:rFonts w:ascii="Times New Roman" w:cs="Times New Roman" w:eastAsia="Times New Roman" w:hAnsi="Times New Roman"/>
          <w:sz w:val="18"/>
          <w:szCs w:val="18"/>
          <w:i w:val="1"/>
          <w:iCs w:val="1"/>
          <w:color w:val="auto"/>
        </w:rPr>
        <w:t>Battleship</w:t>
      </w:r>
      <w:r>
        <w:rPr>
          <w:rFonts w:ascii="Times New Roman" w:cs="Times New Roman" w:eastAsia="Times New Roman" w:hAnsi="Times New Roman"/>
          <w:sz w:val="18"/>
          <w:szCs w:val="18"/>
          <w:color w:val="auto"/>
        </w:rPr>
        <w:t>, as well as an increase in marketing costs associated with our 2012 theatrical and home entertainment releases.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w:t>
      </w:r>
      <w:r>
        <w:rPr>
          <w:rFonts w:ascii="Times New Roman" w:cs="Times New Roman" w:eastAsia="Times New Roman" w:hAnsi="Times New Roman"/>
          <w:sz w:val="22"/>
          <w:szCs w:val="22"/>
          <w:b w:val="1"/>
          <w:bCs w:val="1"/>
          <w:i w:val="1"/>
          <w:iCs w:val="1"/>
          <w:color w:val="auto"/>
        </w:rPr>
        <w:t>—</w:t>
      </w:r>
      <w:r>
        <w:rPr>
          <w:rFonts w:ascii="Arial" w:cs="Arial" w:eastAsia="Arial" w:hAnsi="Arial"/>
          <w:sz w:val="22"/>
          <w:szCs w:val="22"/>
          <w:b w:val="1"/>
          <w:bCs w:val="1"/>
          <w:color w:val="auto"/>
        </w:rPr>
        <w:t>Results of Operations</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tables below includes 100% of the results of operations for Universal Orlando for all amounts presented in order to reflect our measure of operating income (loss) before depreciation and amortization for our Theme Parks segment.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color w:val="auto"/>
                <w:w w:val="96"/>
              </w:rPr>
              <w:t>Successor</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left="52"/>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jc w:val="center"/>
              <w:ind w:left="22"/>
              <w:spacing w:after="0" w:line="129" w:lineRule="exact"/>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72"/>
              <w:spacing w:after="0"/>
              <w:rPr>
                <w:sz w:val="20"/>
                <w:szCs w:val="20"/>
                <w:color w:val="auto"/>
              </w:rPr>
            </w:pPr>
            <w:r>
              <w:rPr>
                <w:rFonts w:ascii="Times New Roman" w:cs="Times New Roman" w:eastAsia="Times New Roman" w:hAnsi="Times New Roman"/>
                <w:sz w:val="14"/>
                <w:szCs w:val="14"/>
                <w:color w:val="auto"/>
                <w:w w:val="98"/>
              </w:rPr>
              <w:t>September 30</w:t>
            </w: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9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262"/>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E5E5E5"/>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614</w:t>
            </w:r>
          </w:p>
        </w:tc>
        <w:tc>
          <w:tcPr>
            <w:tcW w:w="940" w:type="dxa"/>
            <w:vAlign w:val="bottom"/>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580</w:t>
            </w:r>
          </w:p>
        </w:tc>
        <w:tc>
          <w:tcPr>
            <w:tcW w:w="420" w:type="dxa"/>
            <w:vAlign w:val="bottom"/>
            <w:shd w:val="clear" w:color="auto" w:fill="E5E5E5"/>
          </w:tcPr>
          <w:p>
            <w:pPr>
              <w:spacing w:after="0"/>
              <w:rPr>
                <w:sz w:val="18"/>
                <w:szCs w:val="18"/>
                <w:color w:val="auto"/>
              </w:rPr>
            </w:pPr>
          </w:p>
        </w:tc>
        <w:tc>
          <w:tcPr>
            <w:tcW w:w="11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298</w:t>
            </w: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295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93"/>
        </w:trPr>
        <w:tc>
          <w:tcPr>
            <w:tcW w:w="4380" w:type="dxa"/>
            <w:vAlign w:val="bottom"/>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income before depreciation</w:t>
            </w:r>
          </w:p>
        </w:tc>
        <w:tc>
          <w:tcPr>
            <w:tcW w:w="50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480" w:type="dxa"/>
            <w:vAlign w:val="bottom"/>
            <w:tcBorders>
              <w:right w:val="single" w:sz="8" w:color="E5E5E5"/>
            </w:tcBorders>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8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50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gridSpan w:val="2"/>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316</w:t>
            </w:r>
          </w:p>
        </w:tc>
        <w:tc>
          <w:tcPr>
            <w:tcW w:w="940" w:type="dxa"/>
            <w:vAlign w:val="bottom"/>
            <w:tcBorders>
              <w:bottom w:val="single" w:sz="8" w:color="auto"/>
            </w:tcBorders>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285</w:t>
            </w:r>
          </w:p>
        </w:tc>
        <w:tc>
          <w:tcPr>
            <w:tcW w:w="420" w:type="dxa"/>
            <w:vAlign w:val="bottom"/>
            <w:tcBorders>
              <w:bottom w:val="single" w:sz="8" w:color="auto"/>
            </w:tcBorders>
            <w:shd w:val="clear" w:color="auto" w:fill="E5E5E5"/>
          </w:tcPr>
          <w:p>
            <w:pPr>
              <w:spacing w:after="0"/>
              <w:rPr>
                <w:sz w:val="20"/>
                <w:szCs w:val="20"/>
                <w:color w:val="auto"/>
              </w:rPr>
            </w:pPr>
          </w:p>
        </w:tc>
        <w:tc>
          <w:tcPr>
            <w:tcW w:w="11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97"/>
        </w:trPr>
        <w:tc>
          <w:tcPr>
            <w:tcW w:w="4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w:t>
            </w: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color w:val="auto"/>
                <w:w w:val="95"/>
              </w:rPr>
              <w:t>Predecessor</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Combined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140" w:type="dxa"/>
            <w:vAlign w:val="bottom"/>
            <w:gridSpan w:val="2"/>
          </w:tcPr>
          <w:p>
            <w:pPr>
              <w:jc w:val="center"/>
              <w:ind w:left="282"/>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380" w:type="dxa"/>
            <w:vAlign w:val="bottom"/>
            <w:gridSpan w:val="3"/>
          </w:tcPr>
          <w:p>
            <w:pPr>
              <w:jc w:val="center"/>
              <w:ind w:left="286"/>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left="112"/>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080" w:type="dxa"/>
            <w:vAlign w:val="bottom"/>
            <w:gridSpan w:val="3"/>
          </w:tcPr>
          <w:p>
            <w:pPr>
              <w:jc w:val="center"/>
              <w:ind w:left="104"/>
              <w:spacing w:after="0" w:line="129" w:lineRule="exact"/>
              <w:rPr>
                <w:sz w:val="20"/>
                <w:szCs w:val="20"/>
                <w:color w:val="auto"/>
              </w:rPr>
            </w:pPr>
            <w:r>
              <w:rPr>
                <w:rFonts w:ascii="Times New Roman" w:cs="Times New Roman" w:eastAsia="Times New Roman" w:hAnsi="Times New Roman"/>
                <w:sz w:val="14"/>
                <w:szCs w:val="14"/>
                <w:color w:val="auto"/>
                <w:w w:val="95"/>
              </w:rPr>
              <w:t>Nine Months</w:t>
            </w:r>
          </w:p>
        </w:tc>
        <w:tc>
          <w:tcPr>
            <w:tcW w:w="114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14"/>
                <w:szCs w:val="14"/>
                <w:color w:val="auto"/>
                <w:w w:val="96"/>
              </w:rPr>
              <w:t>% Change</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380" w:type="dxa"/>
            <w:vAlign w:val="bottom"/>
            <w:gridSpan w:val="3"/>
          </w:tcPr>
          <w:p>
            <w:pPr>
              <w:ind w:left="400"/>
              <w:spacing w:after="0" w:line="135" w:lineRule="exact"/>
              <w:rPr>
                <w:sz w:val="20"/>
                <w:szCs w:val="20"/>
                <w:color w:val="auto"/>
              </w:rPr>
            </w:pPr>
            <w:r>
              <w:rPr>
                <w:rFonts w:ascii="Times New Roman" w:cs="Times New Roman" w:eastAsia="Times New Roman" w:hAnsi="Times New Roman"/>
                <w:sz w:val="14"/>
                <w:szCs w:val="14"/>
                <w:color w:val="auto"/>
                <w:w w:val="99"/>
              </w:rPr>
              <w:t>January 29, 2011</w:t>
            </w: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left="112"/>
              <w:spacing w:after="0" w:line="135" w:lineRule="exact"/>
              <w:rPr>
                <w:sz w:val="20"/>
                <w:szCs w:val="20"/>
                <w:color w:val="auto"/>
              </w:rPr>
            </w:pPr>
            <w:r>
              <w:rPr>
                <w:rFonts w:ascii="Times New Roman" w:cs="Times New Roman" w:eastAsia="Times New Roman" w:hAnsi="Times New Roman"/>
                <w:sz w:val="14"/>
                <w:szCs w:val="14"/>
                <w:color w:val="auto"/>
                <w:w w:val="94"/>
              </w:rPr>
              <w:t>January 1, 2011</w:t>
            </w:r>
          </w:p>
        </w:tc>
        <w:tc>
          <w:tcPr>
            <w:tcW w:w="3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w w:val="94"/>
              </w:rPr>
              <w:t>Ended</w:t>
            </w: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140" w:type="dxa"/>
            <w:vAlign w:val="bottom"/>
            <w:gridSpan w:val="2"/>
          </w:tcPr>
          <w:p>
            <w:pPr>
              <w:jc w:val="center"/>
              <w:ind w:left="282"/>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38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1080" w:type="dxa"/>
            <w:vAlign w:val="bottom"/>
            <w:gridSpan w:val="3"/>
          </w:tcPr>
          <w:p>
            <w:pPr>
              <w:jc w:val="center"/>
              <w:ind w:left="104"/>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0" w:type="dxa"/>
            <w:vAlign w:val="bottom"/>
          </w:tcPr>
          <w:p>
            <w:pPr>
              <w:spacing w:after="0"/>
              <w:rPr>
                <w:sz w:val="1"/>
                <w:szCs w:val="1"/>
                <w:color w:val="auto"/>
              </w:rPr>
            </w:pPr>
          </w:p>
        </w:tc>
      </w:tr>
      <w:tr>
        <w:trPr>
          <w:trHeight w:val="17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w w:val="92"/>
              </w:rPr>
              <w:t>2012</w:t>
            </w: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color w:val="auto"/>
                <w:w w:val="99"/>
              </w:rPr>
              <w:t>2011</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2"/>
              </w:rPr>
              <w:t>2011</w:t>
            </w:r>
          </w:p>
        </w:tc>
        <w:tc>
          <w:tcPr>
            <w:tcW w:w="920" w:type="dxa"/>
            <w:vAlign w:val="bottom"/>
            <w:tcBorders>
              <w:bottom w:val="single" w:sz="8" w:color="auto"/>
            </w:tcBorders>
          </w:tcPr>
          <w:p>
            <w:pPr>
              <w:jc w:val="center"/>
              <w:ind w:left="262"/>
              <w:spacing w:after="0"/>
              <w:rPr>
                <w:sz w:val="20"/>
                <w:szCs w:val="20"/>
                <w:color w:val="auto"/>
              </w:rPr>
            </w:pPr>
            <w:r>
              <w:rPr>
                <w:rFonts w:ascii="Times New Roman" w:cs="Times New Roman" w:eastAsia="Times New Roman" w:hAnsi="Times New Roman"/>
                <w:sz w:val="14"/>
                <w:szCs w:val="14"/>
                <w:color w:val="auto"/>
                <w:w w:val="92"/>
              </w:rPr>
              <w:t>2012</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64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color w:val="auto"/>
              </w:rPr>
              <w:t>1,376</w:t>
            </w:r>
          </w:p>
        </w:tc>
        <w:tc>
          <w:tcPr>
            <w:tcW w:w="480" w:type="dxa"/>
            <w:vAlign w:val="bottom"/>
            <w:tcBorders>
              <w:right w:val="single" w:sz="8" w:color="auto"/>
            </w:tcBorders>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color w:val="auto"/>
              </w:rPr>
              <w:t>1,491</w:t>
            </w:r>
          </w:p>
        </w:tc>
        <w:tc>
          <w:tcPr>
            <w:tcW w:w="1140" w:type="dxa"/>
            <w:vAlign w:val="bottom"/>
            <w:gridSpan w:val="2"/>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w:t>
            </w:r>
          </w:p>
        </w:tc>
        <w:tc>
          <w:tcPr>
            <w:tcW w:w="4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c>
          <w:tcPr>
            <w:tcW w:w="11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4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640" w:type="dxa"/>
            <w:vAlign w:val="bottom"/>
            <w:tcBorders>
              <w:bottom w:val="single" w:sz="8" w:color="auto"/>
            </w:tcBorders>
            <w:shd w:val="clear" w:color="auto" w:fill="E5E5E5"/>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gridSpan w:val="2"/>
            <w:shd w:val="clear" w:color="auto" w:fill="E5E5E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607</w:t>
            </w:r>
          </w:p>
        </w:tc>
        <w:tc>
          <w:tcPr>
            <w:tcW w:w="480" w:type="dxa"/>
            <w:vAlign w:val="bottom"/>
            <w:tcBorders>
              <w:bottom w:val="single" w:sz="8" w:color="auto"/>
              <w:right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c>
          <w:tcPr>
            <w:tcW w:w="3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644</w:t>
            </w:r>
          </w:p>
        </w:tc>
        <w:tc>
          <w:tcPr>
            <w:tcW w:w="11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Theme Parks segment revenue increased for the three months ended September 30, 2012 compared to the same period in 2011 primarily due to higher guest attendance at our Universal theme parks.</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Theme Parks segment revenue increased for the nine months ended September 30, 2012 compared to the same period in 2011 primarily due to higher guest attendance and increases in per capita spending at our Universal theme parks.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Theme Parks segment operating costs and expenses increased for the three and nine months ended September 30, 2012 compared to the same periods in 2011 primarily due to additional costs associated with higher guest attendance at our Universal theme parks.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Headquarters and other operating costs and expenses increased for the three months ended September 30, 2012 compared to the same period in 2011 primarily due to increases in administrative costs.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Headquarters and other operating costs and expenses decreased for the nine months ended September 30, 2012 compared to the same period in 2011 primarily due to $104 million of transaction-related costs associated with the Joint Venture transaction, including severance and other compensation-related costs, included in the prior year period.</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Eliminations include the results of operations for Universal Orlando for the six months ended June 30, 2011. Our Theme Parks segment had included the results of operations of Universal Orlando for this period because these amounts reflected our segment performance measure. These amounts were not included when we measured our consolidated results of operations for the six months ended June 30, 2011 because we recorded Universal Orlando as an equity method investment during this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color w:val="auto"/>
              </w:rPr>
              <w:t>Successor</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558"/>
              <w:spacing w:after="0" w:line="142" w:lineRule="exact"/>
              <w:rPr>
                <w:sz w:val="20"/>
                <w:szCs w:val="20"/>
                <w:color w:val="auto"/>
              </w:rPr>
            </w:pPr>
            <w:r>
              <w:rPr>
                <w:rFonts w:ascii="Times New Roman" w:cs="Times New Roman" w:eastAsia="Times New Roman" w:hAnsi="Times New Roman"/>
                <w:sz w:val="14"/>
                <w:szCs w:val="14"/>
                <w:color w:val="auto"/>
              </w:rPr>
              <w:t>Three Months Ended September 30</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0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10"/>
        </w:trPr>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38"/>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10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Successor</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color w:val="auto"/>
                <w:w w:val="95"/>
              </w:rPr>
              <w:t>Predecessor</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color w:val="auto"/>
                <w:w w:val="95"/>
              </w:rPr>
              <w:t>Combined</w:t>
            </w: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280" w:type="dxa"/>
            <w:vAlign w:val="bottom"/>
            <w:gridSpan w:val="2"/>
          </w:tcPr>
          <w:p>
            <w:pPr>
              <w:jc w:val="center"/>
              <w:ind w:left="282"/>
              <w:spacing w:after="0" w:line="129" w:lineRule="exact"/>
              <w:rPr>
                <w:sz w:val="20"/>
                <w:szCs w:val="20"/>
                <w:color w:val="auto"/>
              </w:rPr>
            </w:pPr>
            <w:r>
              <w:rPr>
                <w:rFonts w:ascii="Times New Roman" w:cs="Times New Roman" w:eastAsia="Times New Roman" w:hAnsi="Times New Roman"/>
                <w:sz w:val="14"/>
                <w:szCs w:val="14"/>
                <w:color w:val="auto"/>
                <w:w w:val="97"/>
              </w:rPr>
              <w:t>Nine Months</w:t>
            </w:r>
          </w:p>
        </w:tc>
        <w:tc>
          <w:tcPr>
            <w:tcW w:w="2060" w:type="dxa"/>
            <w:vAlign w:val="bottom"/>
            <w:tcBorders>
              <w:right w:val="single" w:sz="8" w:color="auto"/>
            </w:tcBorders>
            <w:gridSpan w:val="4"/>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left="9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180" w:type="dxa"/>
            <w:vAlign w:val="bottom"/>
            <w:gridSpan w:val="2"/>
          </w:tcPr>
          <w:p>
            <w:pPr>
              <w:jc w:val="center"/>
              <w:ind w:left="99"/>
              <w:spacing w:after="0" w:line="129" w:lineRule="exact"/>
              <w:rPr>
                <w:sz w:val="20"/>
                <w:szCs w:val="20"/>
                <w:color w:val="auto"/>
              </w:rPr>
            </w:pPr>
            <w:r>
              <w:rPr>
                <w:rFonts w:ascii="Times New Roman" w:cs="Times New Roman" w:eastAsia="Times New Roman" w:hAnsi="Times New Roman"/>
                <w:sz w:val="14"/>
                <w:szCs w:val="14"/>
                <w:color w:val="auto"/>
                <w:w w:val="97"/>
              </w:rPr>
              <w:t>Nine Months</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060" w:type="dxa"/>
            <w:vAlign w:val="bottom"/>
            <w:tcBorders>
              <w:right w:val="single" w:sz="8" w:color="auto"/>
            </w:tcBorders>
            <w:gridSpan w:val="4"/>
          </w:tcPr>
          <w:p>
            <w:pPr>
              <w:ind w:left="480"/>
              <w:spacing w:after="0" w:line="149" w:lineRule="exact"/>
              <w:rPr>
                <w:sz w:val="20"/>
                <w:szCs w:val="20"/>
                <w:color w:val="auto"/>
              </w:rPr>
            </w:pPr>
            <w:r>
              <w:rPr>
                <w:rFonts w:ascii="Times New Roman" w:cs="Times New Roman" w:eastAsia="Times New Roman" w:hAnsi="Times New Roman"/>
                <w:sz w:val="14"/>
                <w:szCs w:val="14"/>
                <w:color w:val="auto"/>
              </w:rPr>
              <w:t>January 29, 2011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c>
          <w:tcPr>
            <w:tcW w:w="380" w:type="dxa"/>
            <w:vAlign w:val="bottom"/>
          </w:tcPr>
          <w:p>
            <w:pPr>
              <w:spacing w:after="0"/>
              <w:rPr>
                <w:sz w:val="12"/>
                <w:szCs w:val="12"/>
                <w:color w:val="auto"/>
              </w:rPr>
            </w:pPr>
          </w:p>
        </w:tc>
        <w:tc>
          <w:tcPr>
            <w:tcW w:w="8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80" w:type="dxa"/>
            <w:vAlign w:val="bottom"/>
            <w:gridSpan w:val="2"/>
          </w:tcPr>
          <w:p>
            <w:pPr>
              <w:jc w:val="center"/>
              <w:ind w:left="282"/>
              <w:spacing w:after="0" w:line="149" w:lineRule="exact"/>
              <w:rPr>
                <w:sz w:val="20"/>
                <w:szCs w:val="20"/>
                <w:color w:val="auto"/>
              </w:rPr>
            </w:pPr>
            <w:r>
              <w:rPr>
                <w:rFonts w:ascii="Times New Roman" w:cs="Times New Roman" w:eastAsia="Times New Roman" w:hAnsi="Times New Roman"/>
                <w:sz w:val="14"/>
                <w:szCs w:val="14"/>
                <w:color w:val="auto"/>
                <w:w w:val="98"/>
              </w:rPr>
              <w:t>September 30,</w:t>
            </w:r>
          </w:p>
        </w:tc>
        <w:tc>
          <w:tcPr>
            <w:tcW w:w="2060" w:type="dxa"/>
            <w:vAlign w:val="bottom"/>
            <w:tcBorders>
              <w:right w:val="single" w:sz="8" w:color="auto"/>
            </w:tcBorders>
            <w:gridSpan w:val="4"/>
          </w:tcPr>
          <w:p>
            <w:pPr>
              <w:ind w:left="480"/>
              <w:spacing w:after="0" w:line="149" w:lineRule="exact"/>
              <w:rPr>
                <w:sz w:val="20"/>
                <w:szCs w:val="20"/>
                <w:color w:val="auto"/>
              </w:rPr>
            </w:pPr>
            <w:r>
              <w:rPr>
                <w:rFonts w:ascii="Times New Roman" w:cs="Times New Roman" w:eastAsia="Times New Roman" w:hAnsi="Times New Roman"/>
                <w:sz w:val="14"/>
                <w:szCs w:val="14"/>
                <w:color w:val="auto"/>
              </w:rPr>
              <w:t>to September 30,</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1180" w:type="dxa"/>
            <w:vAlign w:val="bottom"/>
            <w:gridSpan w:val="2"/>
          </w:tcPr>
          <w:p>
            <w:pPr>
              <w:jc w:val="center"/>
              <w:ind w:left="119"/>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color w:val="auto"/>
                <w:w w:val="99"/>
              </w:rPr>
              <w:t>2012</w:t>
            </w: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4"/>
                <w:szCs w:val="14"/>
                <w:color w:val="auto"/>
                <w:w w:val="92"/>
              </w:rPr>
              <w:t>2011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color w:val="auto"/>
                <w:w w:val="99"/>
              </w:rPr>
              <w:t>2011</w:t>
            </w:r>
          </w:p>
        </w:tc>
        <w:tc>
          <w:tcPr>
            <w:tcW w:w="0" w:type="dxa"/>
            <w:vAlign w:val="bottom"/>
          </w:tcPr>
          <w:p>
            <w:pPr>
              <w:spacing w:after="0"/>
              <w:rPr>
                <w:sz w:val="1"/>
                <w:szCs w:val="1"/>
                <w:color w:val="auto"/>
              </w:rPr>
            </w:pPr>
          </w:p>
        </w:tc>
      </w:tr>
      <w:tr>
        <w:trPr>
          <w:trHeight w:val="210"/>
        </w:trPr>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Equity in net income of investees, net</w:t>
            </w:r>
          </w:p>
        </w:tc>
        <w:tc>
          <w:tcPr>
            <w:tcW w:w="5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80" w:type="dxa"/>
            <w:vAlign w:val="bottom"/>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54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5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right w:val="single" w:sz="8" w:color="auto"/>
            </w:tcBorders>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7"/>
        </w:trPr>
        <w:tc>
          <w:tcPr>
            <w:tcW w:w="482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680" w:type="dxa"/>
            <w:vAlign w:val="bottom"/>
            <w:tcBorders>
              <w:bottom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gridSpan w:val="2"/>
            <w:shd w:val="clear" w:color="auto" w:fill="E5E5E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w:t>
            </w:r>
          </w:p>
        </w:tc>
        <w:tc>
          <w:tcPr>
            <w:tcW w:w="540" w:type="dxa"/>
            <w:vAlign w:val="bottom"/>
            <w:tcBorders>
              <w:bottom w:val="single" w:sz="8" w:color="auto"/>
              <w:right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equity in net income of investees, net for the three months ended September 30, 2012 compared to the same period in 2011 was primarily due to the impact of the sale of our equity interest in A&amp;E Television Networks.</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equity in net income of investees, net for the nine months ended September 30, 2012 compared to the same period in 2011 was primarily due to the consolidation of Universal Orlando, which was accounted for as an equity method investment during the first half of 2011.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2012 remained flat compared to the same period in 2011. Interest expense increased for the nine months ended September 30, 2012 compared to the same period in 2011 primarily due to the impact of consolidating Universal Orlando’s debt following the close of the Universal Orlando transaction.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Other income (expense), net increased for the three and nine months ended September 30, 2012 compared to the same periods in 2011 primarily due to the $1 billion gain related to the sale of our equity interest in A&amp;E Television Networks. See Note 4 for additional information.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 activities, existing cash, cash equivalents and investments, available borrowings under our existing credit facilities, and our ability to obtain future external financing.</w:t>
      </w:r>
    </w:p>
    <w:p>
      <w:pPr>
        <w:spacing w:after="0" w:line="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maintain significant availability under our lines of credit and our commercial paper program to meet our short-term liquidity requirements. As of September 30, 2012, $1.4 billion was available under our $1.5 billion revolving credit facility.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Successor</w:t>
            </w:r>
          </w:p>
        </w:tc>
        <w:tc>
          <w:tcPr>
            <w:tcW w:w="7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Borders>
              <w:bottom w:val="single" w:sz="8" w:color="auto"/>
            </w:tcBorders>
            <w:gridSpan w:val="2"/>
          </w:tcPr>
          <w:p>
            <w:pPr>
              <w:jc w:val="center"/>
              <w:ind w:left="32"/>
              <w:spacing w:after="0"/>
              <w:rPr>
                <w:sz w:val="20"/>
                <w:szCs w:val="20"/>
                <w:color w:val="auto"/>
              </w:rPr>
            </w:pPr>
            <w:r>
              <w:rPr>
                <w:rFonts w:ascii="Times New Roman" w:cs="Times New Roman" w:eastAsia="Times New Roman" w:hAnsi="Times New Roman"/>
                <w:sz w:val="14"/>
                <w:szCs w:val="14"/>
                <w:color w:val="auto"/>
                <w:w w:val="98"/>
              </w:rPr>
              <w:t>Predecessor</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w w:val="95"/>
              </w:rPr>
              <w:t>Combined</w:t>
            </w:r>
          </w:p>
        </w:tc>
      </w:tr>
      <w:tr>
        <w:trPr>
          <w:trHeight w:val="129"/>
        </w:trPr>
        <w:tc>
          <w:tcPr>
            <w:tcW w:w="5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2"/>
          </w:tcPr>
          <w:p>
            <w:pPr>
              <w:jc w:val="center"/>
              <w:ind w:left="24"/>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5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gridSpan w:val="2"/>
          </w:tcPr>
          <w:p>
            <w:pPr>
              <w:jc w:val="center"/>
              <w:ind w:left="3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5380" w:type="dxa"/>
            <w:vAlign w:val="bottom"/>
          </w:tcPr>
          <w:p>
            <w:pPr>
              <w:spacing w:after="0"/>
              <w:rPr>
                <w:sz w:val="12"/>
                <w:szCs w:val="12"/>
                <w:color w:val="auto"/>
              </w:rPr>
            </w:pPr>
          </w:p>
        </w:tc>
        <w:tc>
          <w:tcPr>
            <w:tcW w:w="14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color w:val="auto"/>
                <w:w w:val="95"/>
              </w:rPr>
              <w:t>Nine Months</w:t>
            </w:r>
          </w:p>
        </w:tc>
        <w:tc>
          <w:tcPr>
            <w:tcW w:w="1600" w:type="dxa"/>
            <w:vAlign w:val="bottom"/>
            <w:tcBorders>
              <w:right w:val="single" w:sz="8" w:color="auto"/>
            </w:tcBorders>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color w:val="auto"/>
                <w:w w:val="93"/>
              </w:rPr>
              <w:t>January 1,</w:t>
            </w:r>
          </w:p>
        </w:tc>
        <w:tc>
          <w:tcPr>
            <w:tcW w:w="110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color w:val="auto"/>
                <w:w w:val="97"/>
              </w:rPr>
              <w:t>Nine Months</w:t>
            </w:r>
          </w:p>
        </w:tc>
      </w:tr>
      <w:tr>
        <w:trPr>
          <w:trHeight w:val="149"/>
        </w:trPr>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3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color w:val="auto"/>
                <w:w w:val="98"/>
              </w:rPr>
              <w:t>2011 to</w:t>
            </w:r>
          </w:p>
        </w:tc>
        <w:tc>
          <w:tcPr>
            <w:tcW w:w="300" w:type="dxa"/>
            <w:vAlign w:val="bottom"/>
          </w:tcPr>
          <w:p>
            <w:pPr>
              <w:spacing w:after="0"/>
              <w:rPr>
                <w:sz w:val="12"/>
                <w:szCs w:val="12"/>
                <w:color w:val="auto"/>
              </w:rPr>
            </w:pPr>
          </w:p>
        </w:tc>
        <w:tc>
          <w:tcPr>
            <w:tcW w:w="8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color w:val="auto"/>
              </w:rPr>
              <w:t>Ended</w:t>
            </w:r>
          </w:p>
        </w:tc>
      </w:tr>
      <w:tr>
        <w:trPr>
          <w:trHeight w:val="149"/>
        </w:trPr>
        <w:tc>
          <w:tcPr>
            <w:tcW w:w="5380" w:type="dxa"/>
            <w:vAlign w:val="bottom"/>
          </w:tcPr>
          <w:p>
            <w:pPr>
              <w:spacing w:after="0"/>
              <w:rPr>
                <w:sz w:val="12"/>
                <w:szCs w:val="12"/>
                <w:color w:val="auto"/>
              </w:rPr>
            </w:pPr>
          </w:p>
        </w:tc>
        <w:tc>
          <w:tcPr>
            <w:tcW w:w="14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600" w:type="dxa"/>
            <w:vAlign w:val="bottom"/>
            <w:tcBorders>
              <w:right w:val="single" w:sz="8" w:color="auto"/>
            </w:tcBorders>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460" w:type="dxa"/>
            <w:vAlign w:val="bottom"/>
          </w:tcPr>
          <w:p>
            <w:pPr>
              <w:spacing w:after="0"/>
              <w:rPr>
                <w:sz w:val="12"/>
                <w:szCs w:val="12"/>
                <w:color w:val="auto"/>
              </w:rPr>
            </w:pPr>
          </w:p>
        </w:tc>
        <w:tc>
          <w:tcPr>
            <w:tcW w:w="1440" w:type="dxa"/>
            <w:vAlign w:val="bottom"/>
            <w:gridSpan w:val="2"/>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1100" w:type="dxa"/>
            <w:vAlign w:val="bottom"/>
            <w:gridSpan w:val="2"/>
          </w:tcPr>
          <w:p>
            <w:pPr>
              <w:jc w:val="center"/>
              <w:ind w:left="42"/>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r>
      <w:tr>
        <w:trPr>
          <w:trHeight w:val="161"/>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color w:val="auto"/>
                <w:w w:val="92"/>
              </w:rPr>
              <w:t>2012</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w w:val="99"/>
              </w:rPr>
              <w:t>2011</w:t>
            </w:r>
          </w:p>
        </w:tc>
        <w:tc>
          <w:tcPr>
            <w:tcW w:w="5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color w:val="auto"/>
                <w:w w:val="92"/>
              </w:rPr>
              <w:t>2011</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w w:val="99"/>
              </w:rPr>
              <w:t>2011</w:t>
            </w:r>
          </w:p>
        </w:tc>
      </w:tr>
      <w:tr>
        <w:trPr>
          <w:trHeight w:val="210"/>
        </w:trPr>
        <w:tc>
          <w:tcPr>
            <w:tcW w:w="5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E5E5E5"/>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1,966</w:t>
            </w:r>
          </w:p>
        </w:tc>
        <w:tc>
          <w:tcPr>
            <w:tcW w:w="3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1,571</w:t>
            </w:r>
          </w:p>
        </w:tc>
        <w:tc>
          <w:tcPr>
            <w:tcW w:w="500" w:type="dxa"/>
            <w:vAlign w:val="bottom"/>
            <w:tcBorders>
              <w:right w:val="single" w:sz="8" w:color="auto"/>
            </w:tcBorders>
            <w:shd w:val="clear" w:color="auto" w:fill="E5E5E5"/>
          </w:tcPr>
          <w:p>
            <w:pPr>
              <w:spacing w:after="0"/>
              <w:rPr>
                <w:sz w:val="18"/>
                <w:szCs w:val="18"/>
                <w:color w:val="auto"/>
              </w:rPr>
            </w:pPr>
          </w:p>
        </w:tc>
        <w:tc>
          <w:tcPr>
            <w:tcW w:w="94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1,579</w:t>
            </w:r>
          </w:p>
        </w:tc>
      </w:tr>
      <w:tr>
        <w:trPr>
          <w:trHeight w:val="21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969</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773</w:t>
            </w:r>
          </w:p>
        </w:tc>
        <w:tc>
          <w:tcPr>
            <w:tcW w:w="5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800</w:t>
            </w:r>
          </w:p>
        </w:tc>
      </w:tr>
      <w:tr>
        <w:trPr>
          <w:trHeight w:val="210"/>
        </w:trPr>
        <w:tc>
          <w:tcPr>
            <w:tcW w:w="5380" w:type="dxa"/>
            <w:vAlign w:val="bottom"/>
            <w:shd w:val="clear" w:color="auto" w:fill="E5E5E5"/>
          </w:tcPr>
          <w:p>
            <w:pPr>
              <w:ind w:left="440"/>
              <w:spacing w:after="0"/>
              <w:rPr>
                <w:sz w:val="20"/>
                <w:szCs w:val="20"/>
                <w:color w:val="auto"/>
              </w:rPr>
            </w:pPr>
            <w:r>
              <w:rPr>
                <w:rFonts w:ascii="Times New Roman" w:cs="Times New Roman" w:eastAsia="Times New Roman" w:hAnsi="Times New Roman"/>
                <w:sz w:val="18"/>
                <w:szCs w:val="18"/>
                <w:color w:val="auto"/>
              </w:rPr>
              <w:t>Operating income before depreciation and amortization</w:t>
            </w: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2,935</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2,344</w:t>
            </w:r>
          </w:p>
        </w:tc>
        <w:tc>
          <w:tcPr>
            <w:tcW w:w="5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2,379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540" w:type="dxa"/>
            <w:vAlign w:val="bottom"/>
          </w:tcPr>
          <w:p>
            <w:pPr>
              <w:spacing w:after="0"/>
              <w:rPr>
                <w:sz w:val="18"/>
                <w:szCs w:val="18"/>
                <w:color w:val="auto"/>
              </w:rPr>
            </w:pPr>
          </w:p>
        </w:tc>
        <w:tc>
          <w:tcPr>
            <w:tcW w:w="9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10"/>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basis operating income</w:t>
            </w:r>
          </w:p>
        </w:tc>
        <w:tc>
          <w:tcPr>
            <w:tcW w:w="540" w:type="dxa"/>
            <w:vAlign w:val="bottom"/>
          </w:tcPr>
          <w:p>
            <w:pPr>
              <w:spacing w:after="0"/>
              <w:rPr>
                <w:sz w:val="18"/>
                <w:szCs w:val="18"/>
                <w:color w:val="auto"/>
              </w:rPr>
            </w:pPr>
          </w:p>
        </w:tc>
        <w:tc>
          <w:tcPr>
            <w:tcW w:w="9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2,774</w:t>
            </w:r>
          </w:p>
        </w:tc>
        <w:tc>
          <w:tcPr>
            <w:tcW w:w="34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1,855</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1,718</w:t>
            </w:r>
          </w:p>
        </w:tc>
      </w:tr>
      <w:tr>
        <w:trPr>
          <w:trHeight w:val="216"/>
        </w:trPr>
        <w:tc>
          <w:tcPr>
            <w:tcW w:w="53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Payments of interest</w:t>
            </w: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income taxes</w:t>
            </w:r>
          </w:p>
        </w:tc>
        <w:tc>
          <w:tcPr>
            <w:tcW w:w="540" w:type="dxa"/>
            <w:vAlign w:val="bottom"/>
          </w:tcPr>
          <w:p>
            <w:pPr>
              <w:spacing w:after="0"/>
              <w:rPr>
                <w:sz w:val="18"/>
                <w:szCs w:val="18"/>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380" w:type="dxa"/>
            <w:vAlign w:val="bottom"/>
            <w:tcBorders>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5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6"/>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97"/>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
              <w:spacing w:after="0"/>
              <w:rPr>
                <w:sz w:val="20"/>
                <w:szCs w:val="20"/>
                <w:color w:val="auto"/>
              </w:rPr>
            </w:pPr>
            <w:r>
              <w:rPr>
                <w:rFonts w:ascii="Times New Roman" w:cs="Times New Roman" w:eastAsia="Times New Roman" w:hAnsi="Times New Roman"/>
                <w:sz w:val="18"/>
                <w:szCs w:val="18"/>
                <w:color w:val="auto"/>
              </w:rPr>
              <w:t>184</w:t>
            </w:r>
          </w:p>
        </w:tc>
      </w:tr>
      <w:tr>
        <w:trPr>
          <w:trHeight w:val="217"/>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2,529</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1,712</w:t>
            </w:r>
          </w:p>
        </w:tc>
        <w:tc>
          <w:tcPr>
            <w:tcW w:w="5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b w:val="1"/>
                <w:bCs w:val="1"/>
                <w:color w:val="auto"/>
              </w:rPr>
              <w:t>(629)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1,083</w:t>
            </w:r>
          </w:p>
        </w:tc>
      </w:tr>
    </w:tbl>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changes in operating assets and liabilities for the nine months ended September 30, 2012 compared to the same period in 2011 primarily relate to a decrease in film and television costs, partially offset by the settlement in 2012 of a $237 million liability associated with the unfavorable Olympics contract that had been recorded through the application of acquisition accounting in 2011, as well as the timing of other operating items, including accounts receivable and accounts payable related to trade creditors.</w:t>
      </w:r>
    </w:p>
    <w:p>
      <w:pPr>
        <w:spacing w:after="0" w:line="4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decrease in income tax payments for the nine months ended September 30, 2012 compared to the same period in 2011 was primarily due to amounts paid in the prior year period in preparation for the closing of the Joint Venture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2012 consisted primarily of $3 billion in cash proceeds we received related to A&amp;E Television Networks’ redemption of our 15.8% equity interest. Following the close of the transaction, we no longer receive dividends from A&amp;E Television Networks. During the nine months ended September 30, 2012 and 2011, we received $129 million and $138 million, respectively, in dividends from A&amp;E Television Networks, which were included in net cash provided by operating activities. The cash proceeds received from the sale of our equity interest in A&amp;E Television Networks were partially offset by capital expenditures and the acquisition of the remaining 50% equity interest in MSNBC.com that we did not already own.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2012 consisted primarily of $550 million of net repayments of our outstanding commercial paper and tax distributions to NBCUniversal Holdings of $693 million, of which $353 million was attributable to Comcast and $340 million was attributable to GE. Of the total tax distributions to NBCUniversal Holdings for the nine months ended September 30, 2012, $323 million related to the sale of our equity interest in A&amp;E Television Networks for taxes incurred by Comcast and GE associated with this transaction. We expect to make further tax distributions to NBCUniversal Holdings of approximately $100 million in the fourth quarter of 2012 associated with this transaction.</w:t>
      </w:r>
    </w:p>
    <w:p>
      <w:pPr>
        <w:spacing w:after="0" w:line="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2012, we issued $1 billion aggregate principal amount of 2.875% senior notes due 2023 and $1 billion aggregate principal amount of 4.450% senior notes due 2043. A portion of the proceeds from this issuance will be used in November 2012 to redeem the $260 million aggregate principal amount outstanding of Universal Orlando’s 8.875% senior notes due 2015 and the $146 million aggregate principal amount outstanding of Universal Orlando’s 10.875% senior subordinated notes due 2016.</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liabilities. We base our judgments on our historical experience and on various other assumptions that we believe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from the risk factors previously disclosed in Item 1A of our 2011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color w:val="auto"/>
        </w:rPr>
        <w:t>NBCUniversal Deferred Compensation Plan dated August 29, 2012.</w:t>
      </w:r>
    </w:p>
    <w:p>
      <w:pPr>
        <w:spacing w:after="0" w:line="8" w:lineRule="exact"/>
        <w:rPr>
          <w:sz w:val="20"/>
          <w:szCs w:val="20"/>
          <w:color w:val="auto"/>
        </w:rPr>
      </w:pPr>
    </w:p>
    <w:p>
      <w:pPr>
        <w:ind w:left="820" w:hanging="81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Principal Executive Officer and Principal Financial Officer pursuant to Section 302 of the Sarbanes-Oxley Act of 2002.</w:t>
      </w:r>
    </w:p>
    <w:p>
      <w:pPr>
        <w:spacing w:after="0" w:line="9"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812"/>
        <w:spacing w:after="0" w:line="253"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NBCUniversal Media, LLC’s Quarterly Report on Form 10-Q for the quarter ended September 30, 2012, filed with the Securities and Exchange Commission on October 26, 2012,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LAWRENCE J. SALVA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26, 2012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NBCUNIVERSAL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I - </w:t>
      </w:r>
      <w:r>
        <w:rPr>
          <w:rFonts w:ascii="Times New Roman" w:cs="Times New Roman" w:eastAsia="Times New Roman" w:hAnsi="Times New Roman"/>
          <w:sz w:val="18"/>
          <w:szCs w:val="18"/>
          <w:b w:val="1"/>
          <w:bCs w:val="1"/>
          <w:u w:val="single" w:color="auto"/>
          <w:color w:val="auto"/>
        </w:rPr>
        <w:t>PURPOSE; EFFECTIVE DATE</w:t>
      </w:r>
    </w:p>
    <w:p>
      <w:pPr>
        <w:spacing w:after="0" w:line="212" w:lineRule="exact"/>
        <w:rPr>
          <w:sz w:val="20"/>
          <w:szCs w:val="20"/>
          <w:color w:val="auto"/>
        </w:rPr>
      </w:pPr>
    </w:p>
    <w:p>
      <w:pPr>
        <w:ind w:left="920" w:right="60" w:hanging="904"/>
        <w:spacing w:after="0" w:line="257" w:lineRule="auto"/>
        <w:tabs>
          <w:tab w:leader="none" w:pos="9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NBCUniversal Deferred Compensation Plan (formerly known as the “NBCUniversal 2011 Deferred Compensation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 xml:space="preserve">Plan,” hereinafter, the “Plan”), as amended, restated and renamed, effective as of January 1, 2013, is to permit a select group of highly compensated employees of </w:t>
      </w:r>
      <w:r>
        <w:rPr>
          <w:rFonts w:ascii="Times New Roman" w:cs="Times New Roman" w:eastAsia="Times New Roman" w:hAnsi="Times New Roman"/>
          <w:sz w:val="18"/>
          <w:szCs w:val="18"/>
          <w:b w:val="1"/>
          <w:bCs w:val="1"/>
          <w:color w:val="auto"/>
        </w:rPr>
        <w:t>NBCU</w:t>
      </w:r>
      <w:r>
        <w:rPr>
          <w:rFonts w:ascii="Times New Roman" w:cs="Times New Roman" w:eastAsia="Times New Roman" w:hAnsi="Times New Roman"/>
          <w:sz w:val="14"/>
          <w:szCs w:val="14"/>
          <w:b w:val="1"/>
          <w:bCs w:val="1"/>
          <w:color w:val="auto"/>
        </w:rPr>
        <w:t>NIVERSAL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EDIA</w:t>
      </w:r>
      <w:r>
        <w:rPr>
          <w:rFonts w:ascii="Times New Roman" w:cs="Times New Roman" w:eastAsia="Times New Roman" w:hAnsi="Times New Roman"/>
          <w:sz w:val="18"/>
          <w:szCs w:val="18"/>
          <w:b w:val="1"/>
          <w:bCs w:val="1"/>
          <w:color w:val="auto"/>
        </w:rPr>
        <w:t>, LLC</w:t>
      </w:r>
      <w:r>
        <w:rPr>
          <w:rFonts w:ascii="Times New Roman" w:cs="Times New Roman" w:eastAsia="Times New Roman" w:hAnsi="Times New Roman"/>
          <w:sz w:val="18"/>
          <w:szCs w:val="18"/>
          <w:color w:val="auto"/>
        </w:rPr>
        <w:t xml:space="preserve"> (and its selected subsidiaries and/or affiliates) to defer the receipt of income which would otherwise become payable to them. It is intended that this Plan, by providing these eligible individuals an opportunity to defer the receipt of income, will assist in retaining and attracting individuals of exceptional ability.</w:t>
      </w:r>
    </w:p>
    <w:p>
      <w:pPr>
        <w:spacing w:after="0" w:line="53" w:lineRule="exact"/>
        <w:rPr>
          <w:sz w:val="20"/>
          <w:szCs w:val="20"/>
          <w:color w:val="auto"/>
        </w:rPr>
      </w:pPr>
    </w:p>
    <w:p>
      <w:pPr>
        <w:ind w:left="920" w:right="2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Plan was originally effective on January 30, 2011, the day after the Closing, as defined herein. This amendment and restatement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the Plan is effective January 1, 2013 with respect to compensation earned after December 31, 2012.</w:t>
      </w:r>
    </w:p>
    <w:p>
      <w:pPr>
        <w:spacing w:after="0" w:line="35" w:lineRule="exact"/>
        <w:rPr>
          <w:sz w:val="20"/>
          <w:szCs w:val="20"/>
          <w:color w:val="auto"/>
        </w:rPr>
      </w:pPr>
    </w:p>
    <w:p>
      <w:pPr>
        <w:ind w:left="920" w:right="160" w:hanging="904"/>
        <w:spacing w:after="0" w:line="259" w:lineRule="auto"/>
        <w:tabs>
          <w:tab w:leader="none" w:pos="9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b w:val="1"/>
          <w:bCs w:val="1"/>
          <w:u w:val="single" w:color="auto"/>
          <w:color w:val="auto"/>
        </w:rPr>
        <w:t>Plan Type</w:t>
      </w:r>
      <w:r>
        <w:rPr>
          <w:rFonts w:ascii="Times New Roman" w:cs="Times New Roman" w:eastAsia="Times New Roman" w:hAnsi="Times New Roman"/>
          <w:sz w:val="18"/>
          <w:szCs w:val="18"/>
          <w:color w:val="auto"/>
        </w:rPr>
        <w:t>. For purposes of Section 409A, the portion of the amounts deferred by the Participants and benefits attributable thereto, shall be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considered an elective account balance plan as defined in Treas. Reg. Section1.409A -1(c)(2)(i)(A), or as otherwise provided by the Code; the portion of the amounts deferred as employer contributions and benefits attributable thereto, shall be considered a non-elective account balance plan as defined in Treas. Reg. Section1.409A -1(c)(2)(i)(B), or as otherwise provided by the Code.</w:t>
      </w:r>
    </w:p>
    <w:p>
      <w:pPr>
        <w:spacing w:after="0" w:line="29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 xml:space="preserve">ARTICLE II - </w:t>
      </w:r>
      <w:r>
        <w:rPr>
          <w:rFonts w:ascii="Times New Roman" w:cs="Times New Roman" w:eastAsia="Times New Roman" w:hAnsi="Times New Roman"/>
          <w:sz w:val="18"/>
          <w:szCs w:val="18"/>
          <w:b w:val="1"/>
          <w:bCs w:val="1"/>
          <w:u w:val="single" w:color="auto"/>
          <w:color w:val="auto"/>
        </w:rPr>
        <w:t>DEFINITIONS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For the purpose of this Plan, the following terms shall have the meanings indicated, unless the context clearly indicates otherwise:</w:t>
      </w:r>
    </w:p>
    <w:p>
      <w:pPr>
        <w:spacing w:after="0" w:line="88" w:lineRule="exact"/>
        <w:rPr>
          <w:sz w:val="20"/>
          <w:szCs w:val="20"/>
          <w:color w:val="auto"/>
        </w:rPr>
      </w:pPr>
    </w:p>
    <w:p>
      <w:pPr>
        <w:ind w:left="920" w:hanging="904"/>
        <w:spacing w:after="0" w:line="259" w:lineRule="auto"/>
        <w:tabs>
          <w:tab w:leader="none" w:pos="9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u w:val="single" w:color="auto"/>
          <w:color w:val="auto"/>
        </w:rPr>
        <w:t>Account(s)</w:t>
      </w:r>
      <w:r>
        <w:rPr>
          <w:rFonts w:ascii="Times New Roman" w:cs="Times New Roman" w:eastAsia="Times New Roman" w:hAnsi="Times New Roman"/>
          <w:sz w:val="18"/>
          <w:szCs w:val="18"/>
          <w:color w:val="auto"/>
        </w:rPr>
        <w:t>. “Account(s)” means the account or accounts maintained on the books of the Company used solely to calculate the amount payable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each Participant under this Plan and shall not constitute a separate fund of assets. Account(s) shall be deemed to exist from the time amounts are first credited to such Account(s) until such time that the entire Account Balance has been distributed in accordance with this Plan. The Accounts available for each Participant shall be identified as:</w:t>
      </w:r>
    </w:p>
    <w:p>
      <w:pPr>
        <w:spacing w:after="0" w:line="54" w:lineRule="exact"/>
        <w:rPr>
          <w:sz w:val="20"/>
          <w:szCs w:val="20"/>
          <w:color w:val="auto"/>
        </w:rPr>
      </w:pPr>
    </w:p>
    <w:p>
      <w:pPr>
        <w:ind w:left="1480" w:hanging="567"/>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Contribution Account;</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Account; and</w:t>
      </w:r>
    </w:p>
    <w:p>
      <w:pPr>
        <w:sectPr>
          <w:pgSz w:w="11900" w:h="16838" w:orient="portrait"/>
          <w:cols w:equalWidth="0" w:num="1">
            <w:col w:w="11420"/>
          </w:cols>
          <w:pgMar w:left="240" w:top="123" w:right="239" w:bottom="1440" w:gutter="0" w:footer="0" w:header="0"/>
        </w:sectPr>
      </w:pPr>
    </w:p>
    <w:bookmarkStart w:id="43" w:name="page44"/>
    <w:bookmarkEnd w:id="43"/>
    <w:p>
      <w:pPr>
        <w:ind w:left="1480" w:right="420" w:hanging="567"/>
        <w:spacing w:after="0" w:line="275"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In-Service Account; each Participant may maintain up to two (2) In-Service Accounts based on selecting different times and/or form of payments as selected under Article 5, below.</w:t>
      </w:r>
    </w:p>
    <w:p>
      <w:pPr>
        <w:spacing w:after="0" w:line="39" w:lineRule="exact"/>
        <w:rPr>
          <w:sz w:val="20"/>
          <w:szCs w:val="20"/>
          <w:color w:val="auto"/>
        </w:rPr>
      </w:pPr>
    </w:p>
    <w:p>
      <w:pPr>
        <w:ind w:left="920" w:right="140"/>
        <w:spacing w:after="0" w:line="275" w:lineRule="auto"/>
        <w:rPr>
          <w:sz w:val="20"/>
          <w:szCs w:val="20"/>
          <w:color w:val="auto"/>
        </w:rPr>
      </w:pPr>
      <w:r>
        <w:rPr>
          <w:rFonts w:ascii="Times New Roman" w:cs="Times New Roman" w:eastAsia="Times New Roman" w:hAnsi="Times New Roman"/>
          <w:sz w:val="18"/>
          <w:szCs w:val="18"/>
          <w:color w:val="auto"/>
        </w:rPr>
        <w:t>Notwithstanding the limitations on the number of Accounts permitted above, the Participant shall be permitted to maintain the number of Accounts which the Committee may, in its sole discretion, permit in writing prior to the establishment of such Accounts.</w:t>
      </w:r>
    </w:p>
    <w:p>
      <w:pPr>
        <w:spacing w:after="0" w:line="37" w:lineRule="exact"/>
        <w:rPr>
          <w:sz w:val="20"/>
          <w:szCs w:val="20"/>
          <w:color w:val="auto"/>
        </w:rPr>
      </w:pPr>
    </w:p>
    <w:p>
      <w:pPr>
        <w:jc w:val="both"/>
        <w:ind w:left="920" w:right="280" w:hanging="904"/>
        <w:spacing w:after="0" w:line="259" w:lineRule="auto"/>
        <w:tabs>
          <w:tab w:leader="none" w:pos="9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“Affiliate” means, with respect to any Person, any other person that, directly or indirectly, is in control of, is controlled by, or is under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52" w:lineRule="exact"/>
        <w:rPr>
          <w:sz w:val="20"/>
          <w:szCs w:val="20"/>
          <w:color w:val="auto"/>
        </w:rPr>
      </w:pPr>
    </w:p>
    <w:p>
      <w:pPr>
        <w:ind w:left="920" w:right="2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u w:val="single" w:color="auto"/>
          <w:color w:val="auto"/>
        </w:rPr>
        <w:t>Beneficiary</w:t>
      </w:r>
      <w:r>
        <w:rPr>
          <w:rFonts w:ascii="Times New Roman" w:cs="Times New Roman" w:eastAsia="Times New Roman" w:hAnsi="Times New Roman"/>
          <w:sz w:val="18"/>
          <w:szCs w:val="18"/>
          <w:color w:val="auto"/>
        </w:rPr>
        <w:t>. “Beneficiary” means the Person(s) designated by the Participant, entitled under Article VI to receive any Plan benefits payable after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Participant’s death.</w:t>
      </w:r>
    </w:p>
    <w:p>
      <w:pPr>
        <w:spacing w:after="0" w:line="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6"/>
          <w:szCs w:val="16"/>
          <w:b w:val="1"/>
          <w:bCs w:val="1"/>
          <w:u w:val="single" w:color="auto"/>
          <w:color w:val="auto"/>
        </w:rPr>
        <w:t>Board</w:t>
      </w:r>
      <w:r>
        <w:rPr>
          <w:rFonts w:ascii="Times New Roman" w:cs="Times New Roman" w:eastAsia="Times New Roman" w:hAnsi="Times New Roman"/>
          <w:sz w:val="16"/>
          <w:szCs w:val="16"/>
          <w:color w:val="auto"/>
        </w:rPr>
        <w:t>. “Board” means the Board of Directors of Comcast.</w:t>
      </w:r>
    </w:p>
    <w:p>
      <w:pPr>
        <w:spacing w:after="0" w:line="90" w:lineRule="exact"/>
        <w:rPr>
          <w:sz w:val="20"/>
          <w:szCs w:val="20"/>
          <w:color w:val="auto"/>
        </w:rPr>
      </w:pPr>
    </w:p>
    <w:p>
      <w:pPr>
        <w:ind w:left="920" w:right="28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“Closing” means the closing of the transactions contemplated by the Master Agreement. For this purpose, the term “Master Agreement”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means the Master Agreement, dated as of December 3, 2009, by and among: the General Electric Company, a New York corporation; NBC Universal, Inc., a Delaware corporation; Comcast; and, Navy, LLC, a Delaware limited liability company.</w:t>
      </w:r>
    </w:p>
    <w:p>
      <w:pPr>
        <w:spacing w:after="0" w:line="46" w:lineRule="exact"/>
        <w:rPr>
          <w:sz w:val="20"/>
          <w:szCs w:val="20"/>
          <w:color w:val="auto"/>
        </w:rPr>
      </w:pPr>
    </w:p>
    <w:p>
      <w:pPr>
        <w:jc w:val="both"/>
        <w:ind w:left="92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“Code” means the Internal Revenue Code of 1986, as may be amended from time to time. Any reference in this Plan to “applicable guidance”,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“further guidance” or other similar term shall include any proposed, temporary or final regulations, or any other guidance, promulgated with respect to or in connection with Section 409A by the U.S. Department of Treasury or the Internal Revenue Service.</w:t>
      </w:r>
    </w:p>
    <w:p>
      <w:pPr>
        <w:spacing w:after="0" w:line="46" w:lineRule="exact"/>
        <w:rPr>
          <w:sz w:val="20"/>
          <w:szCs w:val="20"/>
          <w:color w:val="auto"/>
        </w:rPr>
      </w:pPr>
    </w:p>
    <w:p>
      <w:pPr>
        <w:jc w:val="both"/>
        <w:ind w:left="92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u w:val="single" w:color="auto"/>
          <w:color w:val="auto"/>
        </w:rPr>
        <w:t>Comcast</w:t>
      </w:r>
      <w:r>
        <w:rPr>
          <w:rFonts w:ascii="Times New Roman" w:cs="Times New Roman" w:eastAsia="Times New Roman" w:hAnsi="Times New Roman"/>
          <w:sz w:val="18"/>
          <w:szCs w:val="18"/>
          <w:color w:val="auto"/>
        </w:rPr>
        <w:t>. “Comcast” means Comcast Corporation, a Pennsylvania corporation, including any successor thereto by merger, consolidation, acquisition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all or substantially all the assets thereof, or otherwise.</w:t>
      </w:r>
    </w:p>
    <w:p>
      <w:pPr>
        <w:spacing w:after="0" w:line="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b w:val="1"/>
          <w:bCs w:val="1"/>
          <w:u w:val="single" w:color="auto"/>
          <w:color w:val="auto"/>
        </w:rPr>
        <w:t>Committee</w:t>
      </w:r>
      <w:r>
        <w:rPr>
          <w:rFonts w:ascii="Times New Roman" w:cs="Times New Roman" w:eastAsia="Times New Roman" w:hAnsi="Times New Roman"/>
          <w:sz w:val="16"/>
          <w:szCs w:val="16"/>
          <w:color w:val="auto"/>
        </w:rPr>
        <w:t>. “Committee” means the Compensation Committee of the Board. The Committee may delegate its authority under the Plan, in whole or</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part, to a person, persons or committee, and such delegate shall have the authority of the Committee to the extent of such delegation.</w:t>
      </w:r>
    </w:p>
    <w:p>
      <w:pPr>
        <w:spacing w:after="0" w:line="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“Company” means</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b w:val="1"/>
          <w:bCs w:val="1"/>
          <w:color w:val="auto"/>
        </w:rPr>
        <w:t>NBCU</w:t>
      </w:r>
      <w:r>
        <w:rPr>
          <w:rFonts w:ascii="Times New Roman" w:cs="Times New Roman" w:eastAsia="Times New Roman" w:hAnsi="Times New Roman"/>
          <w:sz w:val="13"/>
          <w:szCs w:val="13"/>
          <w:b w:val="1"/>
          <w:bCs w:val="1"/>
          <w:color w:val="auto"/>
        </w:rPr>
        <w:t>NIVERSAL</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EDIA</w:t>
      </w:r>
      <w:r>
        <w:rPr>
          <w:rFonts w:ascii="Times New Roman" w:cs="Times New Roman" w:eastAsia="Times New Roman" w:hAnsi="Times New Roman"/>
          <w:sz w:val="16"/>
          <w:szCs w:val="16"/>
          <w:b w:val="1"/>
          <w:bCs w:val="1"/>
          <w:color w:val="auto"/>
        </w:rPr>
        <w:t>, LLC</w:t>
      </w:r>
      <w:r>
        <w:rPr>
          <w:rFonts w:ascii="Times New Roman" w:cs="Times New Roman" w:eastAsia="Times New Roman" w:hAnsi="Times New Roman"/>
          <w:sz w:val="16"/>
          <w:szCs w:val="16"/>
          <w:color w:val="auto"/>
        </w:rPr>
        <w:t>, a Delaware limited liability company, or any successor to the business thereof.</w:t>
      </w:r>
    </w:p>
    <w:p>
      <w:pPr>
        <w:spacing w:after="0" w:line="90" w:lineRule="exact"/>
        <w:rPr>
          <w:sz w:val="20"/>
          <w:szCs w:val="20"/>
          <w:color w:val="auto"/>
        </w:rPr>
      </w:pPr>
    </w:p>
    <w:p>
      <w:pPr>
        <w:ind w:left="920" w:right="42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“Compensation” means the base salary payable to and bonus or incentive compensation earned by a Participant with respect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employment services performed for a</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44" w:name="page45"/>
    <w:bookmarkEnd w:id="44"/>
    <w:p>
      <w:pPr>
        <w:jc w:val="both"/>
        <w:ind w:left="920"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Participating Employer by the Participant and considered to be “wages” for purposes of federal income tax withholding. For purposes of this Plan only, Compensation shall be calculated before reduction for any amounts deferred by the Participant pursuant to the Company’s tax qualified plans which may be maintained under Section 401(k) or Section 125 of the Code, or pursuant to this Plan or any other non-qualified plan which permits the voluntary deferral of compensation. Inclusion of any other forms of compensation is subject to Committee approval, made prior to the time that any Deferral Commitment is required to be filed under this Plan.</w:t>
      </w:r>
    </w:p>
    <w:p>
      <w:pPr>
        <w:spacing w:after="0" w:line="56" w:lineRule="exact"/>
        <w:rPr>
          <w:sz w:val="20"/>
          <w:szCs w:val="20"/>
          <w:color w:val="auto"/>
        </w:rPr>
      </w:pPr>
    </w:p>
    <w:p>
      <w:pPr>
        <w:ind w:left="920" w:hanging="904"/>
        <w:spacing w:after="0" w:line="253" w:lineRule="auto"/>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u w:val="single" w:color="auto"/>
          <w:color w:val="auto"/>
        </w:rPr>
        <w:t>Deferral Commitment</w:t>
      </w:r>
      <w:r>
        <w:rPr>
          <w:rFonts w:ascii="Times New Roman" w:cs="Times New Roman" w:eastAsia="Times New Roman" w:hAnsi="Times New Roman"/>
          <w:sz w:val="18"/>
          <w:szCs w:val="18"/>
          <w:color w:val="auto"/>
        </w:rPr>
        <w:t>. “Deferral Commitment” means a commitment made by a Participant to defer a portion of Compensation as set forth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Article III, and as permitted by the Committee in its sole discretion. The Deferral Commitment shall apply to each payment of Compensation payable to a Participant, and the Committee is empowered to group the various types of Compensation together for purposes of effecting the election to defer. By way of example: the Committee may apply the election to defer “salary” to salary, commissions, and any other regularly occurring form of compensation; or the Committee may apply the election to defer “bonus” to annual bonuses, short-term bonus, long term bonus arrangements and other forms of incentive based compensation, unless specifically identified. The Deferral Commitment shall specify the Account or Accounts to which the Compensation deferred shall be credited. Such designation shall be made in the form of whole percentages, as limited by Section 3.2(b) and (d) below. A Deferral Commitment with respect to any bonus or incentive compensation which is determined by the Committee to be Performance Based Compensation within the meaning of Section 409A of the Code shall be made as provided by the Committee, but no later than six (6) months prior to the end of such performance period. Any Deferral Commitment shall be made in a form and at a time deemed acceptable to the Committee.</w:t>
      </w:r>
    </w:p>
    <w:p>
      <w:pPr>
        <w:spacing w:after="0" w:line="58" w:lineRule="exact"/>
        <w:rPr>
          <w:sz w:val="20"/>
          <w:szCs w:val="20"/>
          <w:color w:val="auto"/>
        </w:rPr>
      </w:pPr>
    </w:p>
    <w:p>
      <w:pPr>
        <w:ind w:left="920" w:right="4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b w:val="1"/>
          <w:bCs w:val="1"/>
          <w:u w:val="single" w:color="auto"/>
          <w:color w:val="auto"/>
        </w:rPr>
        <w:t>Deferral Period</w:t>
      </w:r>
      <w:r>
        <w:rPr>
          <w:rFonts w:ascii="Times New Roman" w:cs="Times New Roman" w:eastAsia="Times New Roman" w:hAnsi="Times New Roman"/>
          <w:sz w:val="18"/>
          <w:szCs w:val="18"/>
          <w:color w:val="auto"/>
        </w:rPr>
        <w:t>. “Deferral Period” means each calendar year, except that if a Participant first becomes eligible after the beginning of a calendar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year, the initial Deferral Period shall be the date the Participant first becomes eligible to participate in this Plan through and including December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of that calendar year.</w:t>
      </w:r>
    </w:p>
    <w:p>
      <w:pPr>
        <w:spacing w:after="0" w:line="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6"/>
          <w:szCs w:val="16"/>
          <w:b w:val="1"/>
          <w:bCs w:val="1"/>
          <w:u w:val="single" w:color="auto"/>
          <w:color w:val="auto"/>
        </w:rPr>
        <w:t>Determination Date</w:t>
      </w:r>
      <w:r>
        <w:rPr>
          <w:rFonts w:ascii="Times New Roman" w:cs="Times New Roman" w:eastAsia="Times New Roman" w:hAnsi="Times New Roman"/>
          <w:sz w:val="16"/>
          <w:szCs w:val="16"/>
          <w:color w:val="auto"/>
        </w:rPr>
        <w:t>. “Determination Date” means each calendar day.</w:t>
      </w:r>
    </w:p>
    <w:p>
      <w:pPr>
        <w:spacing w:after="0" w:line="9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6"/>
          <w:szCs w:val="16"/>
          <w:b w:val="1"/>
          <w:bCs w:val="1"/>
          <w:u w:val="single" w:color="auto"/>
          <w:color w:val="auto"/>
        </w:rPr>
        <w:t>Disability</w:t>
      </w:r>
      <w:r>
        <w:rPr>
          <w:rFonts w:ascii="Times New Roman" w:cs="Times New Roman" w:eastAsia="Times New Roman" w:hAnsi="Times New Roman"/>
          <w:sz w:val="16"/>
          <w:szCs w:val="16"/>
          <w:color w:val="auto"/>
        </w:rPr>
        <w:t>. “Disability” means:</w:t>
      </w:r>
    </w:p>
    <w:p>
      <w:pPr>
        <w:spacing w:after="0" w:line="92" w:lineRule="exact"/>
        <w:rPr>
          <w:sz w:val="20"/>
          <w:szCs w:val="20"/>
          <w:color w:val="auto"/>
        </w:rPr>
      </w:pPr>
    </w:p>
    <w:p>
      <w:pPr>
        <w:ind w:left="1480" w:right="20" w:hanging="567"/>
        <w:spacing w:after="0" w:line="334" w:lineRule="auto"/>
        <w:tabs>
          <w:tab w:leader="none" w:pos="1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 w:lineRule="exact"/>
        <w:rPr>
          <w:rFonts w:ascii="Times New Roman" w:cs="Times New Roman" w:eastAsia="Times New Roman" w:hAnsi="Times New Roman"/>
          <w:sz w:val="16"/>
          <w:szCs w:val="16"/>
          <w:color w:val="auto"/>
        </w:rPr>
      </w:pPr>
    </w:p>
    <w:p>
      <w:pPr>
        <w:ind w:left="1480" w:right="160" w:hanging="567"/>
        <w:spacing w:after="0" w:line="310" w:lineRule="auto"/>
        <w:tabs>
          <w:tab w:leader="none" w:pos="1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Circumstances under which, by reason of any medically determinable physical or mental impairment which can be expected to result in death or can be expected to last for a continuous period of not less than twelve (12) months, an individual is receiving income replacement benefits for a period of not less than three (3) months under an accident or health plan covering employees of the individual’s employer.</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4" w:right="279" w:bottom="1440" w:gutter="0" w:footer="0" w:header="0"/>
        </w:sectPr>
      </w:pPr>
    </w:p>
    <w:bookmarkStart w:id="45" w:name="page46"/>
    <w:bookmarkEnd w:id="45"/>
    <w:p>
      <w:pPr>
        <w:ind w:left="920" w:right="6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2.15.</w:t>
      </w:r>
      <w:r>
        <w:rPr>
          <w:sz w:val="20"/>
          <w:szCs w:val="20"/>
          <w:color w:val="auto"/>
        </w:rPr>
        <w:tab/>
      </w:r>
      <w:r>
        <w:rPr>
          <w:rFonts w:ascii="Times New Roman" w:cs="Times New Roman" w:eastAsia="Times New Roman" w:hAnsi="Times New Roman"/>
          <w:sz w:val="18"/>
          <w:szCs w:val="18"/>
          <w:b w:val="1"/>
          <w:bCs w:val="1"/>
          <w:u w:val="single" w:color="auto"/>
          <w:color w:val="auto"/>
        </w:rPr>
        <w:t>Distribution Election</w:t>
      </w:r>
      <w:r>
        <w:rPr>
          <w:rFonts w:ascii="Times New Roman" w:cs="Times New Roman" w:eastAsia="Times New Roman" w:hAnsi="Times New Roman"/>
          <w:sz w:val="18"/>
          <w:szCs w:val="18"/>
          <w:color w:val="auto"/>
        </w:rPr>
        <w:t>. “Distribution Election” means the form prescribed by the Committee and completed by the Participant, indicating the chosen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form of payment for benefits payable from each Account under this Plan, as elected by the Participant.</w:t>
      </w:r>
    </w:p>
    <w:p>
      <w:pPr>
        <w:spacing w:after="0" w:line="35" w:lineRule="exact"/>
        <w:rPr>
          <w:sz w:val="20"/>
          <w:szCs w:val="20"/>
          <w:color w:val="auto"/>
        </w:rPr>
      </w:pPr>
    </w:p>
    <w:p>
      <w:pPr>
        <w:ind w:left="920" w:right="84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b w:val="1"/>
          <w:bCs w:val="1"/>
          <w:u w:val="single" w:color="auto"/>
          <w:color w:val="auto"/>
        </w:rPr>
        <w:t>Discretionary Contribution</w:t>
      </w:r>
      <w:r>
        <w:rPr>
          <w:rFonts w:ascii="Times New Roman" w:cs="Times New Roman" w:eastAsia="Times New Roman" w:hAnsi="Times New Roman"/>
          <w:sz w:val="18"/>
          <w:szCs w:val="18"/>
          <w:color w:val="auto"/>
        </w:rPr>
        <w:t>. “Discretionary Contribution” means the Company contribution credited to a Participant’s Account(s) under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Section 4.4, below.</w:t>
      </w:r>
    </w:p>
    <w:p>
      <w:pPr>
        <w:spacing w:after="0" w:line="35" w:lineRule="exact"/>
        <w:rPr>
          <w:sz w:val="20"/>
          <w:szCs w:val="20"/>
          <w:color w:val="auto"/>
        </w:rPr>
      </w:pPr>
    </w:p>
    <w:p>
      <w:pPr>
        <w:ind w:left="920" w:right="260" w:hanging="904"/>
        <w:spacing w:after="0" w:line="312" w:lineRule="auto"/>
        <w:tabs>
          <w:tab w:leader="none" w:pos="90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6"/>
          <w:szCs w:val="16"/>
          <w:b w:val="1"/>
          <w:bCs w:val="1"/>
          <w:u w:val="single" w:color="auto"/>
          <w:color w:val="auto"/>
        </w:rPr>
        <w:t>Financial Hardship</w:t>
      </w:r>
      <w:r>
        <w:rPr>
          <w:rFonts w:ascii="Times New Roman" w:cs="Times New Roman" w:eastAsia="Times New Roman" w:hAnsi="Times New Roman"/>
          <w:sz w:val="16"/>
          <w:szCs w:val="16"/>
          <w:color w:val="auto"/>
        </w:rPr>
        <w:t>. “Financial Hardship” means a severe financial hardship to the Participant resulting from an illness or accident of the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w:t>
      </w:r>
    </w:p>
    <w:p>
      <w:pPr>
        <w:spacing w:after="0" w:line="12" w:lineRule="exact"/>
        <w:rPr>
          <w:sz w:val="20"/>
          <w:szCs w:val="20"/>
          <w:color w:val="auto"/>
        </w:rPr>
      </w:pPr>
    </w:p>
    <w:p>
      <w:pPr>
        <w:jc w:val="both"/>
        <w:ind w:left="920" w:right="20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b w:val="1"/>
          <w:bCs w:val="1"/>
          <w:u w:val="single" w:color="auto"/>
          <w:color w:val="auto"/>
        </w:rPr>
        <w:t>401(k) Plan</w:t>
      </w:r>
      <w:r>
        <w:rPr>
          <w:rFonts w:ascii="Times New Roman" w:cs="Times New Roman" w:eastAsia="Times New Roman" w:hAnsi="Times New Roman"/>
          <w:sz w:val="18"/>
          <w:szCs w:val="18"/>
          <w:color w:val="auto"/>
        </w:rPr>
        <w:t>. “401(k) Plan” means the NBCUniversal Capital Accumulation Plan (“CAP”), the Comcast Corporation Retirement-Investment Plan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“Comcast RIP”) or any other successor defined contribution plan maintained for the benefit of employees of the Company that qualifies under Section 401(a) of the Code and satisfies the requirements of Section 401(k) of the Code.</w:t>
      </w:r>
    </w:p>
    <w:p>
      <w:pPr>
        <w:spacing w:after="0" w:line="46" w:lineRule="exact"/>
        <w:rPr>
          <w:sz w:val="20"/>
          <w:szCs w:val="20"/>
          <w:color w:val="auto"/>
        </w:rPr>
      </w:pPr>
    </w:p>
    <w:p>
      <w:pPr>
        <w:ind w:left="920" w:right="60" w:hanging="904"/>
        <w:spacing w:after="0" w:line="259" w:lineRule="auto"/>
        <w:tabs>
          <w:tab w:leader="none" w:pos="90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“Interest” means the amount credited to or charged against a Participant’s Account(s) on each Determination Date, which shall be based 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Valuation Funds chosen by the Participant as provided in Section 2.28, below and in a manner consistent with Section 4.3, below. Such credits or charges to a Participant’s Account may be either positive or negative to reflect the increase or decrease in value of the Account in accordance with the provisions of this Plan.</w:t>
      </w:r>
    </w:p>
    <w:p>
      <w:pPr>
        <w:spacing w:after="0" w:line="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6"/>
          <w:szCs w:val="16"/>
          <w:b w:val="1"/>
          <w:bCs w:val="1"/>
          <w:u w:val="single" w:color="auto"/>
          <w:color w:val="auto"/>
        </w:rPr>
        <w:t>NBCUniversal Operating Committee</w:t>
      </w:r>
      <w:r>
        <w:rPr>
          <w:rFonts w:ascii="Times New Roman" w:cs="Times New Roman" w:eastAsia="Times New Roman" w:hAnsi="Times New Roman"/>
          <w:sz w:val="16"/>
          <w:szCs w:val="16"/>
          <w:color w:val="auto"/>
        </w:rPr>
        <w:t>. “NBCUniversal Operating Committee” means the group of senior management employees of the Company</w:t>
      </w:r>
    </w:p>
    <w:p>
      <w:pPr>
        <w:spacing w:after="0" w:line="23" w:lineRule="exact"/>
        <w:rPr>
          <w:sz w:val="20"/>
          <w:szCs w:val="20"/>
          <w:color w:val="auto"/>
        </w:rPr>
      </w:pPr>
    </w:p>
    <w:p>
      <w:pPr>
        <w:ind w:left="920" w:right="960"/>
        <w:spacing w:after="0" w:line="261" w:lineRule="auto"/>
        <w:rPr>
          <w:sz w:val="20"/>
          <w:szCs w:val="20"/>
          <w:color w:val="auto"/>
        </w:rPr>
      </w:pPr>
      <w:r>
        <w:rPr>
          <w:rFonts w:ascii="Times New Roman" w:cs="Times New Roman" w:eastAsia="Times New Roman" w:hAnsi="Times New Roman"/>
          <w:sz w:val="18"/>
          <w:szCs w:val="18"/>
          <w:color w:val="auto"/>
        </w:rPr>
        <w:t>and its subsidiaries who have been appointed as members of the NBCUniversal Operating Committee by the Chief Executive Officer of NBCUniversal, LLC.</w:t>
      </w:r>
    </w:p>
    <w:p>
      <w:pPr>
        <w:spacing w:after="0" w:line="49" w:lineRule="exact"/>
        <w:rPr>
          <w:sz w:val="20"/>
          <w:szCs w:val="20"/>
          <w:color w:val="auto"/>
        </w:rPr>
      </w:pPr>
    </w:p>
    <w:p>
      <w:pPr>
        <w:ind w:left="920" w:right="160" w:hanging="904"/>
        <w:spacing w:after="0" w:line="257" w:lineRule="auto"/>
        <w:tabs>
          <w:tab w:leader="none" w:pos="9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“Participant” means any individual who is eligible, pursuant to Section 3.1, below, to participate in this Plan, and who either, has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elected to defer Compensation under this Plan in accordance with Article III, below, or who is determined by the Committee in their sole discretion as being eligible to receive a Discretionary Contribution, or for whom an Account Balance is maintained under this Plan. Such individual shall remain a Participant in this Plan for the period of deferral, or credit, and until such time as all benefits payable under this Plan have been paid in accordance with the provisions hereof.</w:t>
      </w:r>
    </w:p>
    <w:p>
      <w:pPr>
        <w:spacing w:after="0" w:line="53" w:lineRule="exact"/>
        <w:rPr>
          <w:sz w:val="20"/>
          <w:szCs w:val="20"/>
          <w:color w:val="auto"/>
        </w:rPr>
      </w:pPr>
    </w:p>
    <w:p>
      <w:pPr>
        <w:ind w:left="92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b w:val="1"/>
          <w:bCs w:val="1"/>
          <w:u w:val="single" w:color="auto"/>
          <w:color w:val="auto"/>
        </w:rPr>
        <w:t>Participating Employer</w:t>
      </w:r>
      <w:r>
        <w:rPr>
          <w:rFonts w:ascii="Times New Roman" w:cs="Times New Roman" w:eastAsia="Times New Roman" w:hAnsi="Times New Roman"/>
          <w:sz w:val="18"/>
          <w:szCs w:val="18"/>
          <w:color w:val="auto"/>
        </w:rPr>
        <w:t>. “Participating Employer” means the entity whose employees are Participants under this Plan, and except as otherwise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provided by the Committee, include NBCUniversal, LLC, a Delaware limited liability company, and any subsidiary of NBCUniversal, LLC that is an Affiliate of NBCUniversal, LLC.</w:t>
      </w:r>
    </w:p>
    <w:p>
      <w:pPr>
        <w:spacing w:after="0" w:line="46" w:lineRule="exact"/>
        <w:rPr>
          <w:sz w:val="20"/>
          <w:szCs w:val="20"/>
          <w:color w:val="auto"/>
        </w:rPr>
      </w:pPr>
    </w:p>
    <w:p>
      <w:pPr>
        <w:ind w:left="920" w:right="3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b w:val="1"/>
          <w:bCs w:val="1"/>
          <w:u w:val="single" w:color="auto"/>
          <w:color w:val="auto"/>
        </w:rPr>
        <w:t>Performance Based Compensation</w:t>
      </w:r>
      <w:r>
        <w:rPr>
          <w:rFonts w:ascii="Times New Roman" w:cs="Times New Roman" w:eastAsia="Times New Roman" w:hAnsi="Times New Roman"/>
          <w:sz w:val="18"/>
          <w:szCs w:val="18"/>
          <w:color w:val="auto"/>
        </w:rPr>
        <w:t>. “Performance Based Compensation” means the portion of Compensation determined by the Committee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satisfy the requirements set forth in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46" w:name="page47"/>
    <w:bookmarkEnd w:id="4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Treas. Reg. Section1.409A-1(e), and such Performance Based Compensation may be determined on a fiscal or calendar year basis.</w:t>
      </w:r>
    </w:p>
    <w:p>
      <w:pPr>
        <w:spacing w:after="0" w:line="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6"/>
          <w:szCs w:val="16"/>
          <w:b w:val="1"/>
          <w:bCs w:val="1"/>
          <w:u w:val="single" w:color="auto"/>
          <w:color w:val="auto"/>
        </w:rPr>
        <w:t>Person</w:t>
      </w:r>
      <w:r>
        <w:rPr>
          <w:rFonts w:ascii="Times New Roman" w:cs="Times New Roman" w:eastAsia="Times New Roman" w:hAnsi="Times New Roman"/>
          <w:sz w:val="16"/>
          <w:szCs w:val="16"/>
          <w:color w:val="auto"/>
        </w:rPr>
        <w:t>. “Person” means an individual, a corporation, a partnership, an association, a trust or any other entity or organization.</w:t>
      </w:r>
    </w:p>
    <w:p>
      <w:pPr>
        <w:spacing w:after="0" w:line="90" w:lineRule="exact"/>
        <w:rPr>
          <w:sz w:val="20"/>
          <w:szCs w:val="20"/>
          <w:color w:val="auto"/>
        </w:rPr>
      </w:pPr>
    </w:p>
    <w:p>
      <w:pPr>
        <w:ind w:left="920" w:right="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“Plan” means this NBCUniversal Deferred Compensation Plan, as amended and restated effective January 1, 2013, and as amended thereafter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from time to time.</w:t>
      </w:r>
    </w:p>
    <w:p>
      <w:pPr>
        <w:spacing w:after="0" w:line="35" w:lineRule="exact"/>
        <w:rPr>
          <w:sz w:val="20"/>
          <w:szCs w:val="20"/>
          <w:color w:val="auto"/>
        </w:rPr>
      </w:pPr>
    </w:p>
    <w:p>
      <w:pPr>
        <w:ind w:left="920" w:right="12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b w:val="1"/>
          <w:bCs w:val="1"/>
          <w:u w:val="single" w:color="auto"/>
          <w:color w:val="auto"/>
        </w:rPr>
        <w:t>Retirement</w:t>
      </w:r>
      <w:r>
        <w:rPr>
          <w:rFonts w:ascii="Times New Roman" w:cs="Times New Roman" w:eastAsia="Times New Roman" w:hAnsi="Times New Roman"/>
          <w:sz w:val="18"/>
          <w:szCs w:val="18"/>
          <w:color w:val="auto"/>
        </w:rPr>
        <w:t>. “Retirement” means the termination of a Participant’s employment with a Participating Employer, for reasons other than death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Disability, on or after attainment of age sixty (60) with at least five (5) years of continuous service with a Participating Employer, including service with an employer that is a party to the Master Agreement prior to the Closing.</w:t>
      </w:r>
    </w:p>
    <w:p>
      <w:pPr>
        <w:spacing w:after="0" w:line="46" w:lineRule="exact"/>
        <w:rPr>
          <w:sz w:val="20"/>
          <w:szCs w:val="20"/>
          <w:color w:val="auto"/>
        </w:rPr>
      </w:pPr>
    </w:p>
    <w:p>
      <w:pPr>
        <w:ind w:left="920" w:right="16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“Termination”, “terminates employment” or any other similar such phrase means a Participant’s “separation from service” with 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Participating Employer, for any reason, within the meaning of Section 409A of the Code, and Treas. Reg. Section1.409A-1(h) and other applicable guidance.</w:t>
      </w:r>
    </w:p>
    <w:p>
      <w:pPr>
        <w:spacing w:after="0" w:line="46" w:lineRule="exact"/>
        <w:rPr>
          <w:sz w:val="20"/>
          <w:szCs w:val="20"/>
          <w:color w:val="auto"/>
        </w:rPr>
      </w:pPr>
    </w:p>
    <w:p>
      <w:pPr>
        <w:ind w:left="920" w:right="40" w:hanging="904"/>
        <w:spacing w:after="0" w:line="255" w:lineRule="auto"/>
        <w:tabs>
          <w:tab w:leader="none" w:pos="90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8"/>
          <w:szCs w:val="18"/>
          <w:b w:val="1"/>
          <w:bCs w:val="1"/>
          <w:u w:val="single" w:color="auto"/>
          <w:color w:val="auto"/>
        </w:rPr>
        <w:t>Valuation Funds</w:t>
      </w:r>
      <w:r>
        <w:rPr>
          <w:rFonts w:ascii="Times New Roman" w:cs="Times New Roman" w:eastAsia="Times New Roman" w:hAnsi="Times New Roman"/>
          <w:sz w:val="18"/>
          <w:szCs w:val="18"/>
          <w:color w:val="auto"/>
        </w:rPr>
        <w:t>. “Valuation Funds” means one or more of the independently established funds or indices that are identified and listed by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Committee. These Valuation Funds are used solely to calculate the Interest that is credited to each Participant’s Account(s) in accordance with Article IV, below, and do not represent, nor should it be interpreted to convey any beneficial interest on the part of the Participant in any asset or other property of the Company. The determination of the increase or decrease in the performance of each Valuation Fund shall be made by the Committee in its reasonable discretion. The Committee shall select the various Valuation Funds available to the Participants with respect to this Plan and shall set forth a list of these Valuation Funds attached hereto as Exhibit A, which may be amended from time to time in the discretion of the Committee.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ARTICLE III - </w:t>
      </w:r>
      <w:r>
        <w:rPr>
          <w:rFonts w:ascii="Times New Roman" w:cs="Times New Roman" w:eastAsia="Times New Roman" w:hAnsi="Times New Roman"/>
          <w:sz w:val="18"/>
          <w:szCs w:val="18"/>
          <w:b w:val="1"/>
          <w:bCs w:val="1"/>
          <w:u w:val="single" w:color="auto"/>
          <w:color w:val="auto"/>
        </w:rPr>
        <w:t>ELIGIBILITY AND PARTICIPATION</w:t>
      </w:r>
    </w:p>
    <w:p>
      <w:pPr>
        <w:spacing w:after="0" w:line="212" w:lineRule="exact"/>
        <w:rPr>
          <w:sz w:val="20"/>
          <w:szCs w:val="20"/>
          <w:color w:val="auto"/>
        </w:rPr>
      </w:pPr>
    </w:p>
    <w:p>
      <w:pPr>
        <w:ind w:left="920" w:right="74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u w:val="single" w:color="auto"/>
          <w:color w:val="auto"/>
        </w:rPr>
        <w:t>Eligibility and Participation</w:t>
      </w:r>
      <w:r>
        <w:rPr>
          <w:rFonts w:ascii="Times New Roman" w:cs="Times New Roman" w:eastAsia="Times New Roman" w:hAnsi="Times New Roman"/>
          <w:sz w:val="18"/>
          <w:szCs w:val="18"/>
          <w:color w:val="auto"/>
        </w:rPr>
        <w:t>. The following rules relating to eligibility and participation apply with respect to Compensation earned after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December 31, 2012.</w:t>
      </w:r>
    </w:p>
    <w:p>
      <w:pPr>
        <w:spacing w:after="0" w:line="35" w:lineRule="exact"/>
        <w:rPr>
          <w:sz w:val="20"/>
          <w:szCs w:val="20"/>
          <w:color w:val="auto"/>
        </w:rPr>
      </w:pPr>
    </w:p>
    <w:p>
      <w:pPr>
        <w:ind w:left="1480" w:right="160" w:hanging="567"/>
        <w:spacing w:after="0" w:line="277"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Eligibility to participate in the Plan shall be limited to those non-union, select key employees of a Participating Employer,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otherwise eligible for U.S. benefits and who meet at least one of the following criteria (as determined by the Committee):</w:t>
      </w:r>
    </w:p>
    <w:p>
      <w:pPr>
        <w:spacing w:after="0" w:line="37" w:lineRule="exact"/>
        <w:rPr>
          <w:rFonts w:ascii="Times New Roman" w:cs="Times New Roman" w:eastAsia="Times New Roman" w:hAnsi="Times New Roman"/>
          <w:sz w:val="18"/>
          <w:szCs w:val="18"/>
          <w:color w:val="auto"/>
        </w:rPr>
      </w:pPr>
    </w:p>
    <w:p>
      <w:pPr>
        <w:ind w:left="2380" w:hanging="441"/>
        <w:spacing w:after="0" w:line="262" w:lineRule="auto"/>
        <w:tabs>
          <w:tab w:leader="none" w:pos="23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Participating Employer with annualized Compensation (including base salary plus target bonus) in excess of the annual compensation limit set forth in Section 401(a)(17) of the Code determined by the Committee, no later than December 31, for the following calendar year, other than an employee of a</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4" w:right="279" w:bottom="1440" w:gutter="0" w:footer="0" w:header="0"/>
        </w:sectPr>
      </w:pPr>
    </w:p>
    <w:bookmarkStart w:id="47" w:name="page48"/>
    <w:bookmarkEnd w:id="47"/>
    <w:p>
      <w:pPr>
        <w:ind w:left="2360" w:right="3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Participating Employer who is a member of the NBCUniversal Operating Committee or who is an “Eligible Employee” as defined in the Comcast Corporation 2005 Deferred Compensation Plan.</w:t>
      </w:r>
    </w:p>
    <w:p>
      <w:pPr>
        <w:spacing w:after="0" w:line="39" w:lineRule="exact"/>
        <w:rPr>
          <w:sz w:val="20"/>
          <w:szCs w:val="20"/>
          <w:color w:val="auto"/>
        </w:rPr>
      </w:pPr>
    </w:p>
    <w:p>
      <w:pPr>
        <w:ind w:left="2340" w:right="200" w:hanging="441"/>
        <w:spacing w:after="0" w:line="275" w:lineRule="auto"/>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Participating Employer designated by the Committee from time to time, and approved for participation in this Plan.</w:t>
      </w:r>
    </w:p>
    <w:p>
      <w:pPr>
        <w:spacing w:after="0" w:line="36" w:lineRule="exact"/>
        <w:rPr>
          <w:rFonts w:ascii="Times New Roman" w:cs="Times New Roman" w:eastAsia="Times New Roman" w:hAnsi="Times New Roman"/>
          <w:sz w:val="18"/>
          <w:szCs w:val="18"/>
          <w:color w:val="auto"/>
        </w:rPr>
      </w:pPr>
    </w:p>
    <w:p>
      <w:pPr>
        <w:ind w:left="1440" w:right="160" w:hanging="567"/>
        <w:spacing w:after="0" w:line="259" w:lineRule="auto"/>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An individual’s participation in the Plan shall be effective upon the individual first becoming eligible to participate,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of a contribution under this Plan being made on behalf of the Participant by the Company or the completion and submission of a Deferral Commitment, a Distribution Election, and an Allocation Form to the Committee at a time and in a form determined by the Committee.</w:t>
      </w:r>
    </w:p>
    <w:p>
      <w:pPr>
        <w:spacing w:after="0" w:line="51" w:lineRule="exact"/>
        <w:rPr>
          <w:rFonts w:ascii="Times New Roman" w:cs="Times New Roman" w:eastAsia="Times New Roman" w:hAnsi="Times New Roman"/>
          <w:sz w:val="18"/>
          <w:szCs w:val="18"/>
          <w:color w:val="auto"/>
        </w:rPr>
      </w:pPr>
    </w:p>
    <w:p>
      <w:pPr>
        <w:ind w:left="1440" w:right="60" w:hanging="567"/>
        <w:spacing w:after="0" w:line="297" w:lineRule="auto"/>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First-Year Participation</w:t>
      </w:r>
      <w:r>
        <w:rPr>
          <w:rFonts w:ascii="Times New Roman" w:cs="Times New Roman" w:eastAsia="Times New Roman" w:hAnsi="Times New Roman"/>
          <w:sz w:val="16"/>
          <w:szCs w:val="16"/>
          <w:color w:val="auto"/>
        </w:rPr>
        <w:t>. When an individual first becomes eligible to participate in this Plan, and is not a Participant in another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sponsored by the Company or an Affiliate of the Company which is considered to be of a similar type as defined in Treas. Reg. Section1.409A -1(c)(2)(i)(A) or (B), or as otherwise provided by the Code, a Deferral Commitment may be submitted to the Committee within thirty (30) days after of the individual becoming eligible to participate. Such Deferral Commitment will be effective only with regard to Compensation earned and paid with respect to services performed following submission of the Deferral Commitment to the Committee.</w:t>
      </w:r>
    </w:p>
    <w:p>
      <w:pPr>
        <w:spacing w:after="0" w:line="23" w:lineRule="exact"/>
        <w:rPr>
          <w:sz w:val="20"/>
          <w:szCs w:val="20"/>
          <w:color w:val="auto"/>
        </w:rPr>
      </w:pPr>
    </w:p>
    <w:p>
      <w:pPr>
        <w:ind w:left="880" w:right="20" w:hanging="904"/>
        <w:spacing w:after="0" w:line="259" w:lineRule="auto"/>
        <w:tabs>
          <w:tab w:leader="none" w:pos="8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u w:val="single" w:color="auto"/>
          <w:color w:val="auto"/>
        </w:rPr>
        <w:t>Form of Deferral Commitment</w:t>
      </w:r>
      <w:r>
        <w:rPr>
          <w:rFonts w:ascii="Times New Roman" w:cs="Times New Roman" w:eastAsia="Times New Roman" w:hAnsi="Times New Roman"/>
          <w:sz w:val="18"/>
          <w:szCs w:val="18"/>
          <w:color w:val="auto"/>
        </w:rPr>
        <w:t>. A Participant may elect to make a Deferral Commitment at such other time and in such form as determined by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Committee, but in no event later than the date on which the election is required to become irrevocable as set forth in this Article or otherwise required by Section 409A of the Code and applicable guidance, and the latest election on file as of that time shall control. The Deferral Commitment shall specify the following:</w:t>
      </w:r>
    </w:p>
    <w:p>
      <w:pPr>
        <w:spacing w:after="0" w:line="52" w:lineRule="exact"/>
        <w:rPr>
          <w:sz w:val="20"/>
          <w:szCs w:val="20"/>
          <w:color w:val="auto"/>
        </w:rPr>
      </w:pPr>
    </w:p>
    <w:p>
      <w:pPr>
        <w:ind w:left="1440" w:hanging="567"/>
        <w:spacing w:after="0" w:line="254"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Deferral Election</w:t>
      </w:r>
      <w:r>
        <w:rPr>
          <w:rFonts w:ascii="Times New Roman" w:cs="Times New Roman" w:eastAsia="Times New Roman" w:hAnsi="Times New Roman"/>
          <w:sz w:val="18"/>
          <w:szCs w:val="18"/>
          <w:color w:val="auto"/>
        </w:rPr>
        <w:t>. The Participant shall make an election to defer Compensation by filing a Deferral Commitment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such election shall become irrevocable no later than the last day of the calendar year prior to the Deferral Period, or as provided in Section 3.1(c), above, except that a deferral of base salary earned in calendar year 2011 shall not commence prior to the effective date of the Closing. In addition, notwithstanding anything to the contrary, a Deferral Commitment with respect to Performance Based Compensation may be filed with the Committee and such election shall become irrevocable no later than six months before the end of the performance period on which such Performance Based Compensation is based, provided such Participant has been continuously employed with the Participating Employer from the later of the beginning of the performance period or the date on which the performance criteria for such Performance Based Compensation was established.</w:t>
      </w:r>
    </w:p>
    <w:p>
      <w:pPr>
        <w:spacing w:after="0" w:line="57" w:lineRule="exact"/>
        <w:rPr>
          <w:rFonts w:ascii="Times New Roman" w:cs="Times New Roman" w:eastAsia="Times New Roman" w:hAnsi="Times New Roman"/>
          <w:sz w:val="18"/>
          <w:szCs w:val="18"/>
          <w:color w:val="auto"/>
        </w:rPr>
      </w:pPr>
    </w:p>
    <w:p>
      <w:pPr>
        <w:ind w:left="1440" w:right="60" w:hanging="567"/>
        <w:spacing w:after="0" w:line="264"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Deferral Amounts; Accounts</w:t>
      </w:r>
      <w:r>
        <w:rPr>
          <w:rFonts w:ascii="Times New Roman" w:cs="Times New Roman" w:eastAsia="Times New Roman" w:hAnsi="Times New Roman"/>
          <w:sz w:val="18"/>
          <w:szCs w:val="18"/>
          <w:color w:val="auto"/>
        </w:rPr>
        <w:t>. A Deferral Commitment shall be made with respect to each payment and/or type of Compensation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or a Participating Employer to a Participant during the Deferral Period, and shall designate the portion of each deferral that shall be allocated among the various Retirement or In-Service Accounts.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80" w:top="274" w:right="279" w:bottom="1440" w:gutter="0" w:footer="0" w:header="0"/>
        </w:sectPr>
      </w:pPr>
    </w:p>
    <w:bookmarkStart w:id="48" w:name="page49"/>
    <w:bookmarkEnd w:id="48"/>
    <w:p>
      <w:pPr>
        <w:ind w:left="567"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no amounts shall be deferred into an In-Service Account during a Deferral Period when amounts are scheduled to be made from such Account and until such time as that entire Account Balance has been completely distributed. Notwithstanding anything to the contrary, for purposes of this Plan only, base salary attributable to the final pay period of any calendar year shall be deemed to be earned in the subsequent calendar year, provided the amounts are in fact paid (or payable) in the subsequent calendar year under the Participating Employer’s normal compensation practices. The Participant shall set forth the amount to be deferred in the manner provided by the Committee.</w:t>
      </w:r>
    </w:p>
    <w:p>
      <w:pPr>
        <w:spacing w:after="0" w:line="56" w:lineRule="exact"/>
        <w:rPr>
          <w:sz w:val="20"/>
          <w:szCs w:val="20"/>
          <w:color w:val="auto"/>
        </w:rPr>
      </w:pPr>
    </w:p>
    <w:p>
      <w:pPr>
        <w:ind w:left="567" w:right="460" w:hanging="567"/>
        <w:spacing w:after="0" w:line="334" w:lineRule="auto"/>
        <w:tabs>
          <w:tab w:leader="none" w:pos="56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Allocation to Valuation Funds</w:t>
      </w:r>
      <w:r>
        <w:rPr>
          <w:rFonts w:ascii="Times New Roman" w:cs="Times New Roman" w:eastAsia="Times New Roman" w:hAnsi="Times New Roman"/>
          <w:sz w:val="16"/>
          <w:szCs w:val="16"/>
          <w:color w:val="auto"/>
        </w:rPr>
        <w:t>. The Participant shall specify in a separate form (known as the “Allocation Form”) filed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Committee, the Participant’s initial allocation of the amounts deferred into each Account among the various available Valuation Funds.</w:t>
      </w:r>
    </w:p>
    <w:p>
      <w:pPr>
        <w:spacing w:after="0" w:line="1" w:lineRule="exact"/>
        <w:rPr>
          <w:rFonts w:ascii="Times New Roman" w:cs="Times New Roman" w:eastAsia="Times New Roman" w:hAnsi="Times New Roman"/>
          <w:sz w:val="16"/>
          <w:szCs w:val="16"/>
          <w:color w:val="auto"/>
        </w:rPr>
      </w:pPr>
    </w:p>
    <w:p>
      <w:pPr>
        <w:ind w:left="567" w:right="280" w:hanging="567"/>
        <w:spacing w:after="0" w:line="277" w:lineRule="auto"/>
        <w:tabs>
          <w:tab w:leader="none" w:pos="5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Maximum Deferral</w:t>
      </w:r>
      <w:r>
        <w:rPr>
          <w:rFonts w:ascii="Times New Roman" w:cs="Times New Roman" w:eastAsia="Times New Roman" w:hAnsi="Times New Roman"/>
          <w:sz w:val="18"/>
          <w:szCs w:val="18"/>
          <w:color w:val="auto"/>
        </w:rPr>
        <w:t>. The maximum amount of salary that may be deferred shall be seventy-five percent (75%); the maximum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or incentive compensation that may be deferred shall be one hundred percent (100%).</w:t>
      </w:r>
    </w:p>
    <w:p>
      <w:pPr>
        <w:spacing w:after="0" w:line="35" w:lineRule="exact"/>
        <w:rPr>
          <w:sz w:val="20"/>
          <w:szCs w:val="20"/>
          <w:color w:val="auto"/>
        </w:rPr>
      </w:pPr>
    </w:p>
    <w:p>
      <w:pPr>
        <w:ind w:left="7" w:hanging="904"/>
        <w:spacing w:after="0" w:line="255" w:lineRule="auto"/>
        <w:rPr>
          <w:sz w:val="20"/>
          <w:szCs w:val="20"/>
          <w:color w:val="auto"/>
        </w:rPr>
      </w:pPr>
      <w:r>
        <w:rPr>
          <w:rFonts w:ascii="Times New Roman" w:cs="Times New Roman" w:eastAsia="Times New Roman" w:hAnsi="Times New Roman"/>
          <w:sz w:val="18"/>
          <w:szCs w:val="18"/>
          <w:color w:val="auto"/>
        </w:rPr>
        <w:t>3.3.</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Period of Commitment</w:t>
      </w:r>
      <w:r>
        <w:rPr>
          <w:rFonts w:ascii="Times New Roman" w:cs="Times New Roman" w:eastAsia="Times New Roman" w:hAnsi="Times New Roman"/>
          <w:sz w:val="18"/>
          <w:szCs w:val="18"/>
          <w:color w:val="auto"/>
        </w:rPr>
        <w:t>. Any Deferral Commitment made by a Participant with respect to Compensation shall remain in effect for the immediately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succeeding Deferral Period, and shall remain in effect for all future Deferral Periods unless revoked or amended in writing by the Participant and delivered to the Committee prior to the time determined by the Committee but in no event later than the date on which the election is required to become irrevocable as set forth in this Article or otherwise required by Section 409A of the Code and applicable guidance, except that if a Participant suffers a Disability or terminates employment prior to the end of the Deferral Period, the Deferral Period shall end as of the date of Disability or termination.</w:t>
      </w:r>
    </w:p>
    <w:p>
      <w:pPr>
        <w:spacing w:after="0" w:line="58" w:lineRule="exact"/>
        <w:rPr>
          <w:sz w:val="20"/>
          <w:szCs w:val="20"/>
          <w:color w:val="auto"/>
        </w:rPr>
      </w:pPr>
    </w:p>
    <w:p>
      <w:pPr>
        <w:ind w:left="7" w:right="580" w:hanging="904"/>
        <w:spacing w:after="0" w:line="334" w:lineRule="auto"/>
        <w:rPr>
          <w:sz w:val="20"/>
          <w:szCs w:val="20"/>
          <w:color w:val="auto"/>
        </w:rPr>
      </w:pPr>
      <w:r>
        <w:rPr>
          <w:rFonts w:ascii="Times New Roman" w:cs="Times New Roman" w:eastAsia="Times New Roman" w:hAnsi="Times New Roman"/>
          <w:sz w:val="18"/>
          <w:szCs w:val="18"/>
          <w:color w:val="auto"/>
        </w:rPr>
        <w:t>3.4.</w:t>
      </w:r>
      <w:r>
        <w:rPr>
          <w:sz w:val="20"/>
          <w:szCs w:val="20"/>
          <w:color w:val="auto"/>
        </w:rPr>
        <w:t xml:space="preserve"> </w:t>
      </w:r>
      <w:r>
        <w:rPr>
          <w:rFonts w:ascii="Times New Roman" w:cs="Times New Roman" w:eastAsia="Times New Roman" w:hAnsi="Times New Roman"/>
          <w:sz w:val="16"/>
          <w:szCs w:val="16"/>
          <w:b w:val="1"/>
          <w:bCs w:val="1"/>
          <w:u w:val="single" w:color="auto"/>
          <w:color w:val="auto"/>
        </w:rPr>
        <w:t>Irrevocability of Deferral Commitment</w:t>
      </w:r>
      <w:r>
        <w:rPr>
          <w:rFonts w:ascii="Times New Roman" w:cs="Times New Roman" w:eastAsia="Times New Roman" w:hAnsi="Times New Roman"/>
          <w:sz w:val="16"/>
          <w:szCs w:val="16"/>
          <w:color w:val="auto"/>
        </w:rPr>
        <w:t>. Except as provided in Section 3.3, above, a Deferral Commitment shall become irrevocable by the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Participant as of the last day on which an election may be made under the terms of this Plan and during the following Deferral Period.</w:t>
      </w:r>
    </w:p>
    <w:p>
      <w:pPr>
        <w:spacing w:after="0" w:line="1" w:lineRule="exact"/>
        <w:rPr>
          <w:sz w:val="20"/>
          <w:szCs w:val="20"/>
          <w:color w:val="auto"/>
        </w:rPr>
      </w:pPr>
    </w:p>
    <w:p>
      <w:pPr>
        <w:ind w:left="7" w:right="160" w:hanging="904"/>
        <w:spacing w:after="0" w:line="259" w:lineRule="auto"/>
        <w:rPr>
          <w:sz w:val="20"/>
          <w:szCs w:val="20"/>
          <w:color w:val="auto"/>
        </w:rPr>
      </w:pPr>
      <w:r>
        <w:rPr>
          <w:rFonts w:ascii="Times New Roman" w:cs="Times New Roman" w:eastAsia="Times New Roman" w:hAnsi="Times New Roman"/>
          <w:sz w:val="18"/>
          <w:szCs w:val="18"/>
          <w:color w:val="auto"/>
        </w:rPr>
        <w:t>3.5.</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Change in Status</w:t>
      </w:r>
      <w:r>
        <w:rPr>
          <w:rFonts w:ascii="Times New Roman" w:cs="Times New Roman" w:eastAsia="Times New Roman" w:hAnsi="Times New Roman"/>
          <w:sz w:val="18"/>
          <w:szCs w:val="18"/>
          <w:color w:val="auto"/>
        </w:rPr>
        <w:t>. If the Committee determines that a Participant’s employment performance is no longer at a level that warrants reward through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participation in this Plan, but does not terminate the Participant’s employment with Company, the Participant’s existing Deferral Commitment shall terminate at the end of the current Deferral Period, and no new Deferral Commitment may be made by such Participant after notice of such determination is given by the Committee, unless the Participant later satisfies the requirements of Section 3.1.</w:t>
      </w:r>
    </w:p>
    <w:p>
      <w:pPr>
        <w:spacing w:after="0" w:line="52" w:lineRule="exact"/>
        <w:rPr>
          <w:sz w:val="20"/>
          <w:szCs w:val="20"/>
          <w:color w:val="auto"/>
        </w:rPr>
      </w:pPr>
    </w:p>
    <w:p>
      <w:pPr>
        <w:ind w:left="7" w:right="260" w:hanging="904"/>
        <w:spacing w:after="0" w:line="259" w:lineRule="auto"/>
        <w:rPr>
          <w:sz w:val="20"/>
          <w:szCs w:val="20"/>
          <w:color w:val="auto"/>
        </w:rPr>
      </w:pPr>
      <w:r>
        <w:rPr>
          <w:rFonts w:ascii="Times New Roman" w:cs="Times New Roman" w:eastAsia="Times New Roman" w:hAnsi="Times New Roman"/>
          <w:sz w:val="18"/>
          <w:szCs w:val="18"/>
          <w:color w:val="auto"/>
        </w:rPr>
        <w:t>3.6.</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Defaults in Event of Incomplete or Inaccurate Deferral Documentation</w:t>
      </w:r>
      <w:r>
        <w:rPr>
          <w:rFonts w:ascii="Times New Roman" w:cs="Times New Roman" w:eastAsia="Times New Roman" w:hAnsi="Times New Roman"/>
          <w:sz w:val="18"/>
          <w:szCs w:val="18"/>
          <w:color w:val="auto"/>
        </w:rPr>
        <w:t>. In the event that a Participant submits a Deferral Commitment,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Allocation Form or Distribution Election to the Committee that contains information necessary to the efficient operation of this Plan which, in the sole discretion of the Committee, is missing, incomplete or inaccurate, the Committee shall be authorized to treat such form as if the following elections had been made by the Participant, and such information shall be communicated to the Participant:</w:t>
      </w:r>
    </w:p>
    <w:p>
      <w:pPr>
        <w:spacing w:after="0" w:line="54" w:lineRule="exact"/>
        <w:rPr>
          <w:sz w:val="20"/>
          <w:szCs w:val="20"/>
          <w:color w:val="auto"/>
        </w:rPr>
      </w:pPr>
    </w:p>
    <w:p>
      <w:pPr>
        <w:ind w:left="4707" w:right="4920" w:hanging="4707"/>
        <w:spacing w:after="0" w:line="447" w:lineRule="auto"/>
        <w:tabs>
          <w:tab w:leader="none" w:pos="5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Account is listed – treat as if the Retirement Account was elected; -7-</w:t>
      </w:r>
    </w:p>
    <w:p>
      <w:pPr>
        <w:sectPr>
          <w:pgSz w:w="11900" w:h="16838" w:orient="portrait"/>
          <w:cols w:equalWidth="0" w:num="1">
            <w:col w:w="10507"/>
          </w:cols>
          <w:pgMar w:left="1153" w:top="274" w:right="239" w:bottom="1440" w:gutter="0" w:footer="0" w:header="0"/>
        </w:sectPr>
      </w:pPr>
    </w:p>
    <w:bookmarkStart w:id="49" w:name="page50"/>
    <w:bookmarkEnd w:id="49"/>
    <w:p>
      <w:pPr>
        <w:ind w:left="1460" w:hanging="56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Accounts listed equal less than 100% – treat as if the balance was deferred into the Retirement Account;</w:t>
      </w:r>
    </w:p>
    <w:p>
      <w:pPr>
        <w:spacing w:after="0" w:line="90" w:lineRule="exact"/>
        <w:rPr>
          <w:rFonts w:ascii="Times New Roman" w:cs="Times New Roman" w:eastAsia="Times New Roman" w:hAnsi="Times New Roman"/>
          <w:sz w:val="18"/>
          <w:szCs w:val="18"/>
          <w:color w:val="auto"/>
        </w:rPr>
      </w:pPr>
    </w:p>
    <w:p>
      <w:pPr>
        <w:ind w:left="1460" w:hanging="56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Accounts listed equal more than 100% – proportionately reduce each Account to equal 100%;</w:t>
      </w:r>
    </w:p>
    <w:p>
      <w:pPr>
        <w:spacing w:after="0" w:line="90" w:lineRule="exact"/>
        <w:rPr>
          <w:rFonts w:ascii="Times New Roman" w:cs="Times New Roman" w:eastAsia="Times New Roman" w:hAnsi="Times New Roman"/>
          <w:sz w:val="18"/>
          <w:szCs w:val="18"/>
          <w:color w:val="auto"/>
        </w:rPr>
      </w:pPr>
    </w:p>
    <w:p>
      <w:pPr>
        <w:ind w:left="1460" w:hanging="567"/>
        <w:spacing w:after="0" w:line="256"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In-Service Account is listed, but no deferrals can be made into that Account due to the fact that benefits are scheduled to be paid or are being paid from that In-Service Account, then the amounts elected to be deferred shall be credited to another In-Service Account, if such other In-Service Account is available for deferral, and if not, then to the Retirement Account during such period of payment, after which time the balance of the amounts elected to be deferred shall be credited to a subsequent In-Service Account with a distribution date as elected or as provided in subsection (i), below;</w:t>
      </w:r>
    </w:p>
    <w:p>
      <w:pPr>
        <w:spacing w:after="0" w:line="57" w:lineRule="exact"/>
        <w:rPr>
          <w:rFonts w:ascii="Times New Roman" w:cs="Times New Roman" w:eastAsia="Times New Roman" w:hAnsi="Times New Roman"/>
          <w:sz w:val="18"/>
          <w:szCs w:val="18"/>
          <w:color w:val="auto"/>
        </w:rPr>
      </w:pPr>
    </w:p>
    <w:p>
      <w:pPr>
        <w:ind w:left="1460" w:right="720" w:hanging="567"/>
        <w:spacing w:after="0" w:line="275"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Valuation Fund is selected – treat as if the Money Market Fund was elected (or, if no money market Fund is then available for investment, to such other fund designated by the Committee);</w:t>
      </w:r>
    </w:p>
    <w:p>
      <w:pPr>
        <w:spacing w:after="0" w:line="38" w:lineRule="exact"/>
        <w:rPr>
          <w:rFonts w:ascii="Times New Roman" w:cs="Times New Roman" w:eastAsia="Times New Roman" w:hAnsi="Times New Roman"/>
          <w:sz w:val="18"/>
          <w:szCs w:val="18"/>
          <w:color w:val="auto"/>
        </w:rPr>
      </w:pPr>
    </w:p>
    <w:p>
      <w:pPr>
        <w:ind w:left="1460" w:right="440" w:hanging="567"/>
        <w:spacing w:after="0" w:line="275"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Valuation Fund(s) selected equal less than 100% – treat as if the Money Market Fund was elected for remaining balance (or, if no money market fund is then available for investment, to such other Fund designated by the Committee);</w:t>
      </w:r>
    </w:p>
    <w:p>
      <w:pPr>
        <w:spacing w:after="0" w:line="38" w:lineRule="exact"/>
        <w:rPr>
          <w:rFonts w:ascii="Times New Roman" w:cs="Times New Roman" w:eastAsia="Times New Roman" w:hAnsi="Times New Roman"/>
          <w:sz w:val="18"/>
          <w:szCs w:val="18"/>
          <w:color w:val="auto"/>
        </w:rPr>
      </w:pPr>
    </w:p>
    <w:p>
      <w:pPr>
        <w:ind w:left="1460" w:hanging="56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Valuation Fund(s) selected equal more than 100% – proportionately reduce each Valuation Fund to equal 100%;</w:t>
      </w:r>
    </w:p>
    <w:p>
      <w:pPr>
        <w:spacing w:after="0" w:line="90" w:lineRule="exact"/>
        <w:rPr>
          <w:rFonts w:ascii="Times New Roman" w:cs="Times New Roman" w:eastAsia="Times New Roman" w:hAnsi="Times New Roman"/>
          <w:sz w:val="18"/>
          <w:szCs w:val="18"/>
          <w:color w:val="auto"/>
        </w:rPr>
      </w:pPr>
    </w:p>
    <w:p>
      <w:pPr>
        <w:ind w:left="1460" w:right="540" w:hanging="567"/>
        <w:spacing w:after="0" w:line="275"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Distribution Election is chosen – treat as if lump sum was elected for In-Service Account and treat as if three (3) years of annual installments was elected for Retirement Account and/or Company Contribution Account; and</w:t>
      </w:r>
    </w:p>
    <w:p>
      <w:pPr>
        <w:spacing w:after="0" w:line="38" w:lineRule="exact"/>
        <w:rPr>
          <w:rFonts w:ascii="Times New Roman" w:cs="Times New Roman" w:eastAsia="Times New Roman" w:hAnsi="Times New Roman"/>
          <w:sz w:val="18"/>
          <w:szCs w:val="18"/>
          <w:color w:val="auto"/>
        </w:rPr>
      </w:pPr>
    </w:p>
    <w:p>
      <w:pPr>
        <w:ind w:left="1460" w:right="80" w:hanging="567"/>
        <w:spacing w:after="0" w:line="275"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time of payment is chosen for an In-Service Account – treat as if the earliest possible date available under the provisions of Section 5.3 below was elected.</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IV - </w:t>
      </w:r>
      <w:r>
        <w:rPr>
          <w:rFonts w:ascii="Times New Roman" w:cs="Times New Roman" w:eastAsia="Times New Roman" w:hAnsi="Times New Roman"/>
          <w:sz w:val="18"/>
          <w:szCs w:val="18"/>
          <w:b w:val="1"/>
          <w:bCs w:val="1"/>
          <w:u w:val="single" w:color="auto"/>
          <w:color w:val="auto"/>
        </w:rPr>
        <w:t>DEFERRED COMPENSATION ACCOUNT</w:t>
      </w:r>
    </w:p>
    <w:p>
      <w:pPr>
        <w:spacing w:after="0" w:line="212" w:lineRule="exact"/>
        <w:rPr>
          <w:sz w:val="20"/>
          <w:szCs w:val="20"/>
          <w:color w:val="auto"/>
        </w:rPr>
      </w:pPr>
    </w:p>
    <w:p>
      <w:pPr>
        <w:ind w:left="900" w:right="40" w:hanging="904"/>
        <w:spacing w:after="0" w:line="257" w:lineRule="auto"/>
        <w:tabs>
          <w:tab w:leader="none" w:pos="8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u w:val="single" w:color="auto"/>
          <w:color w:val="auto"/>
        </w:rPr>
        <w:t>Accounts</w:t>
      </w:r>
      <w:r>
        <w:rPr>
          <w:rFonts w:ascii="Times New Roman" w:cs="Times New Roman" w:eastAsia="Times New Roman" w:hAnsi="Times New Roman"/>
          <w:sz w:val="18"/>
          <w:szCs w:val="18"/>
          <w:color w:val="auto"/>
        </w:rPr>
        <w:t>. The Compensation deferred by a Participant under the Plan, any Discretionary Contributions and Interest shall be credited to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Participant’s Account(s) as selected by the Participant, or as otherwise provided in this Article. Separate accounts may be maintained on the books of the Company to reflect the different Accounts chosen by the Participant, and the Participant shall designate the portion of each deferral that will be credited to each Account as set forth in Section 3.2(a), above. These Accounts shall be used solely to calculate the amount payable to each Participant under this Plan and shall not constitute a separate fund of assets.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60" w:top="274" w:right="239" w:bottom="1440" w:gutter="0" w:footer="0" w:header="0"/>
        </w:sectPr>
      </w:pPr>
    </w:p>
    <w:bookmarkStart w:id="50" w:name="page51"/>
    <w:bookmarkEnd w:id="50"/>
    <w:p>
      <w:pPr>
        <w:ind w:left="840" w:right="40" w:hanging="904"/>
        <w:spacing w:after="0" w:line="255" w:lineRule="auto"/>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b w:val="1"/>
          <w:bCs w:val="1"/>
          <w:u w:val="single" w:color="auto"/>
          <w:color w:val="auto"/>
        </w:rPr>
        <w:t>Timing of Credits; Withholding</w:t>
      </w:r>
      <w:r>
        <w:rPr>
          <w:rFonts w:ascii="Times New Roman" w:cs="Times New Roman" w:eastAsia="Times New Roman" w:hAnsi="Times New Roman"/>
          <w:sz w:val="18"/>
          <w:szCs w:val="18"/>
          <w:color w:val="auto"/>
        </w:rPr>
        <w:t>. A Participant’s deferred Compensation shall be credited to each Account designated by the Participant as soon as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practical after the date the Compensation deferred would have otherwise been payable to the Participant. Any Discretionary Contributions shall be credited to the appropriate Account(s) as provided by the Committee. Any withholding of taxes or other amounts with respect to deferred Compensation or other amounts credited under this Plan that is required by local, state or federal law shall be withheld from the Participant’s corresponding non-deferred portion of the Compensation to the maximum extent possible, and any remaining amount shall reduce the amount credited to the Participant’s Account in a manner specified by the Committee.</w:t>
      </w:r>
    </w:p>
    <w:p>
      <w:pPr>
        <w:spacing w:after="0" w:line="58" w:lineRule="exact"/>
        <w:rPr>
          <w:sz w:val="20"/>
          <w:szCs w:val="20"/>
          <w:color w:val="auto"/>
        </w:rPr>
      </w:pPr>
    </w:p>
    <w:p>
      <w:pPr>
        <w:ind w:left="840" w:hanging="904"/>
        <w:spacing w:after="0" w:line="253" w:lineRule="auto"/>
        <w:tabs>
          <w:tab w:leader="none" w:pos="8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u w:val="single" w:color="auto"/>
          <w:color w:val="auto"/>
        </w:rPr>
        <w:t>Valuation Funds</w:t>
      </w:r>
      <w:r>
        <w:rPr>
          <w:rFonts w:ascii="Times New Roman" w:cs="Times New Roman" w:eastAsia="Times New Roman" w:hAnsi="Times New Roman"/>
          <w:sz w:val="18"/>
          <w:szCs w:val="18"/>
          <w:color w:val="auto"/>
        </w:rPr>
        <w:t>. A Participant shall designate, at a time and in a manner acceptable to the Committee, one or more Valuation Funds for each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Account for the sole purpose of determining the amount of Interest to be credited or debited to such Account. Such election shall designate the portion of each deferral of Compensation made into each Account that shall be allocated among the available Valuation Fund(s), and such election shall apply to each succeeding deferral of Compensation until such time as the Participant shall file a new election with the Committee. Upon notice to the Committee, the Participant shall also be permitted to reallocate the balance in each Valuation Fund among the other available Valuation Funds as determined by the Committee. The manner in which such elections shall be made, the frequency with which such elections may be changed, and the manner in which such elections shall become effective shall be determined in accordance with the procedures to be adopted by the Committee from time to time. As of the Effective Date, such elections may be made on a daily basis electronically, and such elections shall become effective on the date made or the next available Determination Date. The election of deemed investments among the options provided shall be the sole responsibility of each Participant. A Participating Employer and Committee members are not authorized to make any recommendation to any Participant with respect to such election. Each Participant assumes all risk connected with any adjustment to the value of his or her Account. Neither the Committee nor the Company in any way guarantees against loss or depreciation.</w:t>
      </w:r>
    </w:p>
    <w:p>
      <w:pPr>
        <w:spacing w:after="0" w:line="56" w:lineRule="exact"/>
        <w:rPr>
          <w:sz w:val="20"/>
          <w:szCs w:val="20"/>
          <w:color w:val="auto"/>
        </w:rPr>
      </w:pPr>
    </w:p>
    <w:p>
      <w:pPr>
        <w:jc w:val="both"/>
        <w:ind w:left="840" w:right="360" w:hanging="904"/>
        <w:spacing w:after="0" w:line="312" w:lineRule="auto"/>
        <w:tabs>
          <w:tab w:leader="none" w:pos="8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b w:val="1"/>
          <w:bCs w:val="1"/>
          <w:u w:val="single" w:color="auto"/>
          <w:color w:val="auto"/>
        </w:rPr>
        <w:t>Discretionary Contributions</w:t>
      </w:r>
      <w:r>
        <w:rPr>
          <w:rFonts w:ascii="Times New Roman" w:cs="Times New Roman" w:eastAsia="Times New Roman" w:hAnsi="Times New Roman"/>
          <w:sz w:val="16"/>
          <w:szCs w:val="16"/>
          <w:color w:val="auto"/>
        </w:rPr>
        <w:t>. In its sole discretion, Company may make Discretionary Contributions to a Participant’s Account. Discretionary</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Contributions shall be credited at such times and in such amounts as approved by the Board or the Committee, in its sole discretion. Unless the Committee specifies otherwise, such Discretionary Contribution shall be allocated to the Company Contribution Account.</w:t>
      </w:r>
    </w:p>
    <w:p>
      <w:pPr>
        <w:spacing w:after="0" w:line="12" w:lineRule="exact"/>
        <w:rPr>
          <w:sz w:val="20"/>
          <w:szCs w:val="20"/>
          <w:color w:val="auto"/>
        </w:rPr>
      </w:pPr>
    </w:p>
    <w:p>
      <w:pPr>
        <w:ind w:left="840" w:right="580" w:hanging="904"/>
        <w:spacing w:after="0" w:line="277" w:lineRule="auto"/>
        <w:tabs>
          <w:tab w:leader="none" w:pos="8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u w:val="single" w:color="auto"/>
          <w:color w:val="auto"/>
        </w:rPr>
        <w:t>Determination of Accounts</w:t>
      </w:r>
      <w:r>
        <w:rPr>
          <w:rFonts w:ascii="Times New Roman" w:cs="Times New Roman" w:eastAsia="Times New Roman" w:hAnsi="Times New Roman"/>
          <w:sz w:val="18"/>
          <w:szCs w:val="18"/>
          <w:color w:val="auto"/>
        </w:rPr>
        <w:t>. Each Participant’s Account as of each Determination Date shall consist of the balance of the Account as of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immediately preceding Determination Date, adjusted as follows:</w:t>
      </w:r>
    </w:p>
    <w:p>
      <w:pPr>
        <w:spacing w:after="0" w:line="35" w:lineRule="exact"/>
        <w:rPr>
          <w:sz w:val="20"/>
          <w:szCs w:val="20"/>
          <w:color w:val="auto"/>
        </w:rPr>
      </w:pPr>
    </w:p>
    <w:p>
      <w:pPr>
        <w:jc w:val="both"/>
        <w:ind w:left="1400" w:right="600" w:hanging="567"/>
        <w:spacing w:after="0" w:line="264"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New Deferrals</w:t>
      </w:r>
      <w:r>
        <w:rPr>
          <w:rFonts w:ascii="Times New Roman" w:cs="Times New Roman" w:eastAsia="Times New Roman" w:hAnsi="Times New Roman"/>
          <w:sz w:val="18"/>
          <w:szCs w:val="18"/>
          <w:color w:val="auto"/>
        </w:rPr>
        <w:t>. Each Account shall be increased by any deferred Compensation credited since such prior Determination Date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 chosen by the Participant, except that no amount of new deferrals shall be credited to an Account at the same time that a distribution is to be made from that Account.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80"/>
          </w:cols>
          <w:pgMar w:left="320" w:top="272" w:right="299" w:bottom="1440" w:gutter="0" w:footer="0" w:header="0"/>
        </w:sectPr>
      </w:pPr>
    </w:p>
    <w:bookmarkStart w:id="51" w:name="page52"/>
    <w:bookmarkEnd w:id="51"/>
    <w:p>
      <w:pPr>
        <w:ind w:left="1480" w:hanging="567"/>
        <w:spacing w:after="0" w:line="277" w:lineRule="auto"/>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Contributions</w:t>
      </w:r>
      <w:r>
        <w:rPr>
          <w:rFonts w:ascii="Times New Roman" w:cs="Times New Roman" w:eastAsia="Times New Roman" w:hAnsi="Times New Roman"/>
          <w:sz w:val="18"/>
          <w:szCs w:val="18"/>
          <w:color w:val="auto"/>
        </w:rPr>
        <w:t>. Each Account shall be increased by any Discretionary Contributions credited since such prior Determination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in section 4.4, above, or as otherwise directed by the Committee.</w:t>
      </w:r>
    </w:p>
    <w:p>
      <w:pPr>
        <w:spacing w:after="0" w:line="35" w:lineRule="exact"/>
        <w:rPr>
          <w:rFonts w:ascii="Times New Roman" w:cs="Times New Roman" w:eastAsia="Times New Roman" w:hAnsi="Times New Roman"/>
          <w:sz w:val="18"/>
          <w:szCs w:val="18"/>
          <w:color w:val="auto"/>
        </w:rPr>
      </w:pPr>
    </w:p>
    <w:p>
      <w:pPr>
        <w:ind w:left="1480" w:hanging="567"/>
        <w:spacing w:after="0" w:line="259" w:lineRule="auto"/>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Distributions</w:t>
      </w:r>
      <w:r>
        <w:rPr>
          <w:rFonts w:ascii="Times New Roman" w:cs="Times New Roman" w:eastAsia="Times New Roman" w:hAnsi="Times New Roman"/>
          <w:sz w:val="18"/>
          <w:szCs w:val="18"/>
          <w:color w:val="auto"/>
        </w:rPr>
        <w:t>. Each Account shall be reduced by the amount of each benefit payment made from that Account since the prior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Distributions shall be deemed to have been made proportionally from each of the Valuation Funds maintained within such Account based on the proportion that such Valuation Fund bears to the sum of all Valuation Funds maintained within such Account for that Participant as of the Determination Date immediately preceding the date of payment.</w:t>
      </w:r>
    </w:p>
    <w:p>
      <w:pPr>
        <w:spacing w:after="0" w:line="51" w:lineRule="exact"/>
        <w:rPr>
          <w:rFonts w:ascii="Times New Roman" w:cs="Times New Roman" w:eastAsia="Times New Roman" w:hAnsi="Times New Roman"/>
          <w:sz w:val="18"/>
          <w:szCs w:val="18"/>
          <w:color w:val="auto"/>
        </w:rPr>
      </w:pPr>
    </w:p>
    <w:p>
      <w:pPr>
        <w:ind w:left="1480" w:right="20" w:hanging="567"/>
        <w:spacing w:after="0" w:line="334" w:lineRule="auto"/>
        <w:tabs>
          <w:tab w:leader="none" w:pos="14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Interest</w:t>
      </w:r>
      <w:r>
        <w:rPr>
          <w:rFonts w:ascii="Times New Roman" w:cs="Times New Roman" w:eastAsia="Times New Roman" w:hAnsi="Times New Roman"/>
          <w:sz w:val="16"/>
          <w:szCs w:val="16"/>
          <w:color w:val="auto"/>
        </w:rPr>
        <w:t>. Each Account shall be increased or decreased by the Interest credited to such Account since such Determination Date as though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balance of that Account as of the prior Determination Date had been invested in the applicable Valuation Funds chosen by the Participant.</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b w:val="1"/>
          <w:bCs w:val="1"/>
          <w:u w:val="single" w:color="auto"/>
          <w:color w:val="auto"/>
        </w:rPr>
        <w:t>Vesting of Accounts</w:t>
      </w:r>
      <w:r>
        <w:rPr>
          <w:rFonts w:ascii="Times New Roman" w:cs="Times New Roman" w:eastAsia="Times New Roman" w:hAnsi="Times New Roman"/>
          <w:sz w:val="16"/>
          <w:szCs w:val="16"/>
          <w:color w:val="auto"/>
        </w:rPr>
        <w:t>. Each Participant shall be vested in the amounts credited to such Participant’s Account and Interest thereon as follows:</w:t>
      </w:r>
    </w:p>
    <w:p>
      <w:pPr>
        <w:spacing w:after="0" w:line="90" w:lineRule="exact"/>
        <w:rPr>
          <w:sz w:val="20"/>
          <w:szCs w:val="20"/>
          <w:color w:val="auto"/>
        </w:rPr>
      </w:pPr>
    </w:p>
    <w:p>
      <w:pPr>
        <w:ind w:left="1480" w:right="60" w:hanging="567"/>
        <w:spacing w:after="0" w:line="277"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Amounts Deferred</w:t>
      </w:r>
      <w:r>
        <w:rPr>
          <w:rFonts w:ascii="Times New Roman" w:cs="Times New Roman" w:eastAsia="Times New Roman" w:hAnsi="Times New Roman"/>
          <w:sz w:val="18"/>
          <w:szCs w:val="18"/>
          <w:color w:val="auto"/>
        </w:rPr>
        <w:t>. Unless otherwise expressly provided by the Committee, a Participant shall be one hundred percent (100%) vested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in the amount of Compensation elected to be deferred under this Plan, including any Interest thereon.</w:t>
      </w:r>
    </w:p>
    <w:p>
      <w:pPr>
        <w:spacing w:after="0" w:line="35" w:lineRule="exact"/>
        <w:rPr>
          <w:rFonts w:ascii="Times New Roman" w:cs="Times New Roman" w:eastAsia="Times New Roman" w:hAnsi="Times New Roman"/>
          <w:sz w:val="18"/>
          <w:szCs w:val="18"/>
          <w:color w:val="auto"/>
        </w:rPr>
      </w:pPr>
    </w:p>
    <w:p>
      <w:pPr>
        <w:ind w:left="1480" w:hanging="567"/>
        <w:spacing w:after="0" w:line="264" w:lineRule="auto"/>
        <w:tabs>
          <w:tab w:leader="none" w:pos="1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Discretionary Contributions</w:t>
      </w:r>
      <w:r>
        <w:rPr>
          <w:rFonts w:ascii="Times New Roman" w:cs="Times New Roman" w:eastAsia="Times New Roman" w:hAnsi="Times New Roman"/>
          <w:sz w:val="18"/>
          <w:szCs w:val="18"/>
          <w:color w:val="auto"/>
        </w:rPr>
        <w:t>. A Participant’s Discretionary Contributions and Interest thereon shall become vested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at the time the contribution is made, except that a Participant’s Discretionary Contributions and Interest thereon shall become one hundred (100%) vested as of death, or Disability.</w:t>
      </w:r>
    </w:p>
    <w:p>
      <w:pPr>
        <w:spacing w:after="0" w:line="46" w:lineRule="exact"/>
        <w:rPr>
          <w:sz w:val="20"/>
          <w:szCs w:val="20"/>
          <w:color w:val="auto"/>
        </w:rPr>
      </w:pPr>
    </w:p>
    <w:p>
      <w:pPr>
        <w:ind w:left="920" w:right="560" w:hanging="904"/>
        <w:spacing w:after="0" w:line="342" w:lineRule="auto"/>
        <w:tabs>
          <w:tab w:leader="none" w:pos="90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b w:val="1"/>
          <w:bCs w:val="1"/>
          <w:u w:val="single" w:color="auto"/>
          <w:color w:val="auto"/>
        </w:rPr>
        <w:t>Statement of Accounts</w:t>
      </w:r>
      <w:r>
        <w:rPr>
          <w:rFonts w:ascii="Times New Roman" w:cs="Times New Roman" w:eastAsia="Times New Roman" w:hAnsi="Times New Roman"/>
          <w:sz w:val="16"/>
          <w:szCs w:val="16"/>
          <w:color w:val="auto"/>
        </w:rPr>
        <w:t>. To the extent that the Company does not arrange for Account balances to be accessible online by the Participant, the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Committee shall provide to each Participant a statement showing the balances in the Participant’s Account no less frequently than annually.</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 - </w:t>
      </w:r>
      <w:r>
        <w:rPr>
          <w:rFonts w:ascii="Times New Roman" w:cs="Times New Roman" w:eastAsia="Times New Roman" w:hAnsi="Times New Roman"/>
          <w:sz w:val="18"/>
          <w:szCs w:val="18"/>
          <w:b w:val="1"/>
          <w:bCs w:val="1"/>
          <w:u w:val="single" w:color="auto"/>
          <w:color w:val="auto"/>
        </w:rPr>
        <w:t>PLAN BENEFITS</w:t>
      </w:r>
    </w:p>
    <w:p>
      <w:pPr>
        <w:spacing w:after="0" w:line="212" w:lineRule="exact"/>
        <w:rPr>
          <w:sz w:val="20"/>
          <w:szCs w:val="20"/>
          <w:color w:val="auto"/>
        </w:rPr>
      </w:pPr>
    </w:p>
    <w:p>
      <w:pPr>
        <w:ind w:left="920" w:right="10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u w:val="single" w:color="auto"/>
          <w:color w:val="auto"/>
        </w:rPr>
        <w:t>Company Contribution Account</w:t>
      </w:r>
      <w:r>
        <w:rPr>
          <w:rFonts w:ascii="Times New Roman" w:cs="Times New Roman" w:eastAsia="Times New Roman" w:hAnsi="Times New Roman"/>
          <w:sz w:val="18"/>
          <w:szCs w:val="18"/>
          <w:color w:val="auto"/>
        </w:rPr>
        <w:t>. The vested portion of a Participant’s Company Contribution Account shall be distributed to the Participant upon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his or her termination of employment with the Company.</w:t>
      </w:r>
    </w:p>
    <w:p>
      <w:pPr>
        <w:spacing w:after="0" w:line="35" w:lineRule="exact"/>
        <w:rPr>
          <w:sz w:val="20"/>
          <w:szCs w:val="20"/>
          <w:color w:val="auto"/>
        </w:rPr>
      </w:pPr>
    </w:p>
    <w:p>
      <w:pPr>
        <w:ind w:left="1480" w:right="180" w:hanging="567"/>
        <w:spacing w:after="0" w:line="277" w:lineRule="auto"/>
        <w:tabs>
          <w:tab w:leader="none" w:pos="1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payable from the Company Contribution Account shall commence on the later of the April 1 of the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immediately following the date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2" w:right="259" w:bottom="1440" w:gutter="0" w:footer="0" w:header="0"/>
        </w:sectPr>
      </w:pPr>
    </w:p>
    <w:bookmarkStart w:id="52" w:name="page53"/>
    <w:bookmarkEnd w:id="52"/>
    <w:p>
      <w:pPr>
        <w:ind w:left="1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Participant’s Termination or the date that is six (6) months following the date of the Participant’s Termination.</w:t>
      </w:r>
    </w:p>
    <w:p>
      <w:pPr>
        <w:spacing w:after="0" w:line="88" w:lineRule="exact"/>
        <w:rPr>
          <w:sz w:val="20"/>
          <w:szCs w:val="20"/>
          <w:color w:val="auto"/>
        </w:rPr>
      </w:pPr>
    </w:p>
    <w:p>
      <w:pPr>
        <w:ind w:left="1480" w:right="20" w:hanging="567"/>
        <w:spacing w:after="0" w:line="257" w:lineRule="auto"/>
        <w:tabs>
          <w:tab w:leader="none" w:pos="1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benefit payment shall be that form selected by the Participant in the first Distribution Election coincident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initial crediting of amounts into the Company Contribution Account, and as permitted pursuant to Section 5.7, below, except that if the Participant terminates employment prior to Retirement, in which event, the Company Contribution Account shall be paid in the form of a lump sum payment. If the form of payment selected provides for subsequent payments, subsequent payments shall be made on or about the anniversary of the initial payment.</w:t>
      </w:r>
    </w:p>
    <w:p>
      <w:pPr>
        <w:spacing w:after="0" w:line="5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b w:val="1"/>
          <w:bCs w:val="1"/>
          <w:u w:val="single" w:color="auto"/>
          <w:color w:val="auto"/>
        </w:rPr>
        <w:t>Retirement Account</w:t>
      </w:r>
      <w:r>
        <w:rPr>
          <w:rFonts w:ascii="Times New Roman" w:cs="Times New Roman" w:eastAsia="Times New Roman" w:hAnsi="Times New Roman"/>
          <w:sz w:val="16"/>
          <w:szCs w:val="16"/>
          <w:color w:val="auto"/>
        </w:rPr>
        <w:t>. The vested portion of a Participant’s Retirement Account shall be distributed to the Participant upon his or her Termination.</w:t>
      </w:r>
    </w:p>
    <w:p>
      <w:pPr>
        <w:spacing w:after="0" w:line="90" w:lineRule="exact"/>
        <w:rPr>
          <w:sz w:val="20"/>
          <w:szCs w:val="20"/>
          <w:color w:val="auto"/>
        </w:rPr>
      </w:pPr>
    </w:p>
    <w:p>
      <w:pPr>
        <w:ind w:left="1480" w:right="440" w:hanging="567"/>
        <w:spacing w:after="0" w:line="264" w:lineRule="auto"/>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payable from the Retirement Account shall commence on the later of the April 1 of the calendar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date of the Participant’s Termination or the date that is six (6) months following the date of the Participant’s Termination.</w:t>
      </w:r>
    </w:p>
    <w:p>
      <w:pPr>
        <w:spacing w:after="0" w:line="46" w:lineRule="exact"/>
        <w:rPr>
          <w:rFonts w:ascii="Times New Roman" w:cs="Times New Roman" w:eastAsia="Times New Roman" w:hAnsi="Times New Roman"/>
          <w:sz w:val="18"/>
          <w:szCs w:val="18"/>
          <w:color w:val="auto"/>
        </w:rPr>
      </w:pPr>
    </w:p>
    <w:p>
      <w:pPr>
        <w:ind w:left="1480" w:right="20" w:hanging="567"/>
        <w:spacing w:after="0" w:line="257" w:lineRule="auto"/>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benefit payment shall be that form selected by the Participant in the first Deferral Commitment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 portion of the Compensation deferred be allocated to the Retirement Account, and as permitted pursuant to Section 5.7, below, except that if the Participant terminates employment prior to Retirement, in which event, the Retirement Account shall be paid in the form of a lump sum payment. If the form of payment selected provides for subsequent payments, subsequent payments shall be made on or about the anniversary of the initial payment.</w:t>
      </w:r>
    </w:p>
    <w:p>
      <w:pPr>
        <w:spacing w:after="0" w:line="53" w:lineRule="exact"/>
        <w:rPr>
          <w:sz w:val="20"/>
          <w:szCs w:val="20"/>
          <w:color w:val="auto"/>
        </w:rPr>
      </w:pPr>
    </w:p>
    <w:p>
      <w:pPr>
        <w:ind w:left="92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u w:val="single" w:color="auto"/>
          <w:color w:val="auto"/>
        </w:rPr>
        <w:t>In-Service Account</w:t>
      </w:r>
      <w:r>
        <w:rPr>
          <w:rFonts w:ascii="Times New Roman" w:cs="Times New Roman" w:eastAsia="Times New Roman" w:hAnsi="Times New Roman"/>
          <w:sz w:val="18"/>
          <w:szCs w:val="18"/>
          <w:color w:val="auto"/>
        </w:rPr>
        <w:t>. The vested portion of a Participant’s In-Service Account shall generally be distributed to the Participant upon the date specified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by the Participant.</w:t>
      </w:r>
    </w:p>
    <w:p>
      <w:pPr>
        <w:spacing w:after="0" w:line="35" w:lineRule="exact"/>
        <w:rPr>
          <w:sz w:val="20"/>
          <w:szCs w:val="20"/>
          <w:color w:val="auto"/>
        </w:rPr>
      </w:pPr>
    </w:p>
    <w:p>
      <w:pPr>
        <w:ind w:left="1480" w:hanging="567"/>
        <w:spacing w:after="0" w:line="293" w:lineRule="auto"/>
        <w:tabs>
          <w:tab w:leader="none" w:pos="14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Timing of Payment</w:t>
      </w:r>
      <w:r>
        <w:rPr>
          <w:rFonts w:ascii="Times New Roman" w:cs="Times New Roman" w:eastAsia="Times New Roman" w:hAnsi="Times New Roman"/>
          <w:sz w:val="16"/>
          <w:szCs w:val="16"/>
          <w:color w:val="auto"/>
        </w:rPr>
        <w:t>. Benefits payable from the In-Service Account shall commence on or about April 1 of the year specified in the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Deferral Commitment which designated a portion of the Compensation deferred be allocated to the In-Service Account. In no event shall the year selected be earlier than the first day of the sixth calendar year following the initial filing of the Deferral Commitment with respect to that In-Service Account. In the event that the Participant terminates employment with a Participating Employer prior to the year specified for benefit payment, the benefits under this section shall commence on the later of the April 1 of the calendar year immediately following the date of the Participant’s Termination or the date that is six (6) months following the date of the Participant’s Termination.</w:t>
      </w:r>
    </w:p>
    <w:p>
      <w:pPr>
        <w:spacing w:after="0" w:line="29" w:lineRule="exact"/>
        <w:rPr>
          <w:rFonts w:ascii="Times New Roman" w:cs="Times New Roman" w:eastAsia="Times New Roman" w:hAnsi="Times New Roman"/>
          <w:sz w:val="16"/>
          <w:szCs w:val="16"/>
          <w:color w:val="auto"/>
        </w:rPr>
      </w:pPr>
    </w:p>
    <w:p>
      <w:pPr>
        <w:ind w:left="1480" w:right="80" w:hanging="567"/>
        <w:spacing w:after="0" w:line="264" w:lineRule="auto"/>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w:t>
      </w:r>
      <w:r>
        <w:rPr>
          <w:rFonts w:ascii="Times New Roman" w:cs="Times New Roman" w:eastAsia="Times New Roman" w:hAnsi="Times New Roman"/>
          <w:sz w:val="18"/>
          <w:szCs w:val="18"/>
          <w:color w:val="auto"/>
        </w:rPr>
        <w:t>. The form of benefit payment from the In-Service Account shall be that form selected by the Participant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5.7, below, except that if the Participant terminates employment with a Participating Employer prior to the year specified for benefit payment, then the In-Service Account shall be paid in a lump sum. If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4" w:right="259" w:bottom="1440" w:gutter="0" w:footer="0" w:header="0"/>
        </w:sectPr>
      </w:pPr>
    </w:p>
    <w:bookmarkStart w:id="53" w:name="page54"/>
    <w:bookmarkEnd w:id="53"/>
    <w:p>
      <w:pPr>
        <w:ind w:left="1460" w:right="4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form of payment selected provides for subsequent payments, subsequent payments shall be made on or about the anniversary of the initial payment.</w:t>
      </w:r>
    </w:p>
    <w:p>
      <w:pPr>
        <w:spacing w:after="0" w:line="37" w:lineRule="exact"/>
        <w:rPr>
          <w:sz w:val="20"/>
          <w:szCs w:val="20"/>
          <w:color w:val="auto"/>
        </w:rPr>
      </w:pPr>
    </w:p>
    <w:p>
      <w:pPr>
        <w:ind w:left="1460" w:right="100" w:hanging="567"/>
        <w:spacing w:after="0" w:line="255"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of Time and/or Form of Payment</w:t>
      </w:r>
      <w:r>
        <w:rPr>
          <w:rFonts w:ascii="Times New Roman" w:cs="Times New Roman" w:eastAsia="Times New Roman" w:hAnsi="Times New Roman"/>
          <w:sz w:val="18"/>
          <w:szCs w:val="18"/>
          <w:color w:val="auto"/>
        </w:rPr>
        <w:t>. The Participant may subsequently amend the form of payment or the intended date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date later than that date of payment in force immediately prior to the filing of such request, by filing such amendment with the Committee no later than twelve (12) months prior to the current date of payment. The Participant may file this amendment, provided that each amendment must provide for a payout as otherwise permitted under this paragraph at a date no earlier than five (5) years after the date of payment in force immediately prior to the filing of such request, and the amendment may not take effect for twelve (12) months after the request is made. For purposes of this Article, a payment of amounts under this Plan, including the payment of annual installments over a number of years, shall be treated as a single payment, as provided in Treas. Reg. Section1-409A-2(b)(2)(iii).</w:t>
      </w:r>
    </w:p>
    <w:p>
      <w:pPr>
        <w:spacing w:after="0" w:line="54" w:lineRule="exact"/>
        <w:rPr>
          <w:sz w:val="20"/>
          <w:szCs w:val="20"/>
          <w:color w:val="auto"/>
        </w:rPr>
      </w:pPr>
    </w:p>
    <w:p>
      <w:pPr>
        <w:ind w:left="900" w:right="160" w:hanging="904"/>
        <w:spacing w:after="0" w:line="255" w:lineRule="auto"/>
        <w:tabs>
          <w:tab w:leader="none" w:pos="8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u w:val="single" w:color="auto"/>
          <w:color w:val="auto"/>
        </w:rPr>
        <w:t>Death Benefit</w:t>
      </w:r>
      <w:r>
        <w:rPr>
          <w:rFonts w:ascii="Times New Roman" w:cs="Times New Roman" w:eastAsia="Times New Roman" w:hAnsi="Times New Roman"/>
          <w:sz w:val="18"/>
          <w:szCs w:val="18"/>
          <w:color w:val="auto"/>
        </w:rPr>
        <w:t>. Upon the death of a Participant prior to the commencement of benefits under this Plan from any particular Account, Company shall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pay to the Participant’s Beneficiary an amount equal to the vested Account balance in that Account in the form of a lump sum payment as soon as administratively possible, but in no event later than the last day of the calendar year in which such death occurs (or, if later, the fifteenth day of the third month following the date of death). In the event of the death of the Participant after the commencement of benefits under this Plan from any Account, the benefits from that Account(s) shall be paid to the Participant’s designated Beneficiary from that Account at the same time and in the same manner as if the Participant had survived.</w:t>
      </w:r>
    </w:p>
    <w:p>
      <w:pPr>
        <w:spacing w:after="0" w:line="58" w:lineRule="exact"/>
        <w:rPr>
          <w:sz w:val="20"/>
          <w:szCs w:val="20"/>
          <w:color w:val="auto"/>
        </w:rPr>
      </w:pPr>
    </w:p>
    <w:p>
      <w:pPr>
        <w:ind w:left="900" w:hanging="904"/>
        <w:spacing w:after="0" w:line="289" w:lineRule="auto"/>
        <w:tabs>
          <w:tab w:leader="none" w:pos="8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6"/>
          <w:szCs w:val="16"/>
          <w:b w:val="1"/>
          <w:bCs w:val="1"/>
          <w:u w:val="single" w:color="auto"/>
          <w:color w:val="auto"/>
        </w:rPr>
        <w:t>Hardship Distributions</w:t>
      </w:r>
      <w:r>
        <w:rPr>
          <w:rFonts w:ascii="Times New Roman" w:cs="Times New Roman" w:eastAsia="Times New Roman" w:hAnsi="Times New Roman"/>
          <w:sz w:val="16"/>
          <w:szCs w:val="16"/>
          <w:color w:val="auto"/>
        </w:rPr>
        <w:t>. Upon a finding that a Participant has suffered a Financial Hardship, the Committee may, in its sole discretion, terminate the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existing Deferral Commitment, and/or make distributions from any or all of the Participant’s Accounts. The amount of such distribution shall be limited to the amount reasonably necessary to meet the Participant’s needs resulting from the Financial Hardship plus amounts necessary to pay taxes reasonably anticipated as a result of the distribution, after taking into account the extent to which such Financial Hardship is or may be relieved through the reimbursement or compensation by insurance, or otherwise or by liquidation of the Participant’s assets (to the extent that liquidation of such assets would not itself cause severe financial hardship). The amount of such distribution will not exceed the Participant’s vested Account balances. If payment is made due to Financial Hardship, the Participant’s deferrals under this Plan shall cease for the period of the Financial Hardship and for twelve (12) months thereafter. If the Participant is again eligible to participate, any resumption of the Participant’s deferrals under the Plan after such twelve (12) month period shall be made only at the election of the Participant in accordance with Article III herein.</w:t>
      </w:r>
    </w:p>
    <w:p>
      <w:pPr>
        <w:spacing w:after="0" w:line="32" w:lineRule="exact"/>
        <w:rPr>
          <w:sz w:val="20"/>
          <w:szCs w:val="20"/>
          <w:color w:val="auto"/>
        </w:rPr>
      </w:pPr>
    </w:p>
    <w:p>
      <w:pPr>
        <w:ind w:left="900" w:right="280" w:hanging="904"/>
        <w:spacing w:after="0" w:line="259" w:lineRule="auto"/>
        <w:tabs>
          <w:tab w:leader="none" w:pos="8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u w:val="single" w:color="auto"/>
          <w:color w:val="auto"/>
        </w:rPr>
        <w:t>Disability Distributions</w:t>
      </w:r>
      <w:r>
        <w:rPr>
          <w:rFonts w:ascii="Times New Roman" w:cs="Times New Roman" w:eastAsia="Times New Roman" w:hAnsi="Times New Roman"/>
          <w:sz w:val="18"/>
          <w:szCs w:val="18"/>
          <w:color w:val="auto"/>
        </w:rPr>
        <w:t>. Upon a finding that a Participant has suffered a Disability, the Committee shall make a distribution of all of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Participant’s Accounts. The amount of such distribution shall be made in the form of a lump sum and shall commence as soon as administratively practical after the determination of such Disability, but in no event will the distribution under this provision be made later than the last day of the calendar year in which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60" w:top="274" w:right="239" w:bottom="1440" w:gutter="0" w:footer="0" w:header="0"/>
        </w:sectPr>
      </w:pPr>
    </w:p>
    <w:bookmarkStart w:id="54" w:name="page55"/>
    <w:bookmarkEnd w:id="54"/>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Disability is determined (or, if later, the fifteenth day of the third month following the date the Disability is determined).</w:t>
      </w:r>
    </w:p>
    <w:p>
      <w:pPr>
        <w:spacing w:after="0" w:line="88" w:lineRule="exact"/>
        <w:rPr>
          <w:sz w:val="20"/>
          <w:szCs w:val="20"/>
          <w:color w:val="auto"/>
        </w:rPr>
      </w:pPr>
    </w:p>
    <w:p>
      <w:pPr>
        <w:ind w:left="920" w:right="8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b w:val="1"/>
          <w:bCs w:val="1"/>
          <w:u w:val="single" w:color="auto"/>
          <w:color w:val="auto"/>
        </w:rPr>
        <w:t>Form of Payment</w:t>
      </w:r>
      <w:r>
        <w:rPr>
          <w:rFonts w:ascii="Times New Roman" w:cs="Times New Roman" w:eastAsia="Times New Roman" w:hAnsi="Times New Roman"/>
          <w:sz w:val="18"/>
          <w:szCs w:val="18"/>
          <w:color w:val="auto"/>
        </w:rPr>
        <w:t>. Unless otherwise specified in this Article, the benefits payable from any Account under this Plan shall be paid in the form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benefit as provided below, and specified by the Participant in the Distribution Election applicable to that Account at the time of the initial deferral or credit to that Account. The permitted forms of benefit payments are:</w:t>
      </w:r>
    </w:p>
    <w:p>
      <w:pPr>
        <w:spacing w:after="0" w:line="48" w:lineRule="exact"/>
        <w:rPr>
          <w:sz w:val="20"/>
          <w:szCs w:val="20"/>
          <w:color w:val="auto"/>
        </w:rPr>
      </w:pPr>
    </w:p>
    <w:p>
      <w:pPr>
        <w:ind w:left="1480" w:hanging="567"/>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which is equal to the vested Account balance;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installments for a period of up to twenty (20) years (or in the event of payment of the In-Service Account, a maximum of five</w:t>
      </w:r>
    </w:p>
    <w:p>
      <w:pPr>
        <w:spacing w:after="0" w:line="21" w:lineRule="exact"/>
        <w:rPr>
          <w:rFonts w:ascii="Times New Roman" w:cs="Times New Roman" w:eastAsia="Times New Roman" w:hAnsi="Times New Roman"/>
          <w:sz w:val="18"/>
          <w:szCs w:val="18"/>
          <w:color w:val="auto"/>
        </w:rPr>
      </w:pPr>
    </w:p>
    <w:p>
      <w:pPr>
        <w:ind w:left="14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years) where the annual payment shall be equal to the vested balance of the Account immediately prior to the payment, multiplied by a fraction, the numerator of which is one (1) and the denominator of which commences at the number of annual payments initially chosen and is reduced by one (1) in each succeeding year. Interest on the unpaid balance shall be based on the most recent allocation among the available Valuation Funds chosen by the Participant, made in accordance with Section 4.3, above.</w:t>
      </w:r>
    </w:p>
    <w:p>
      <w:pPr>
        <w:spacing w:after="0" w:line="55" w:lineRule="exact"/>
        <w:rPr>
          <w:sz w:val="20"/>
          <w:szCs w:val="20"/>
          <w:color w:val="auto"/>
        </w:rPr>
      </w:pPr>
    </w:p>
    <w:p>
      <w:pPr>
        <w:ind w:left="920" w:right="18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b w:val="1"/>
          <w:bCs w:val="1"/>
          <w:u w:val="single" w:color="auto"/>
          <w:color w:val="auto"/>
        </w:rPr>
        <w:t>Small Account</w:t>
      </w:r>
      <w:r>
        <w:rPr>
          <w:rFonts w:ascii="Times New Roman" w:cs="Times New Roman" w:eastAsia="Times New Roman" w:hAnsi="Times New Roman"/>
          <w:sz w:val="18"/>
          <w:szCs w:val="18"/>
          <w:color w:val="auto"/>
        </w:rPr>
        <w:t>. If the Participant’s vested, unpaid balance of any Account as of the time the payments are to commence from such Account is less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than $25,000, then the Company may cause the remaining unpaid, vested portion of such Account to be paid in a lump sum, notwithstanding any election by the Participant to the contrary.</w:t>
      </w:r>
    </w:p>
    <w:p>
      <w:pPr>
        <w:spacing w:after="0" w:line="46" w:lineRule="exact"/>
        <w:rPr>
          <w:sz w:val="20"/>
          <w:szCs w:val="20"/>
          <w:color w:val="auto"/>
        </w:rPr>
      </w:pPr>
    </w:p>
    <w:p>
      <w:pPr>
        <w:ind w:left="920" w:right="26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b w:val="1"/>
          <w:bCs w:val="1"/>
          <w:u w:val="single" w:color="auto"/>
          <w:color w:val="auto"/>
        </w:rPr>
        <w:t>Withholding; Payroll Taxes</w:t>
      </w:r>
      <w:r>
        <w:rPr>
          <w:rFonts w:ascii="Times New Roman" w:cs="Times New Roman" w:eastAsia="Times New Roman" w:hAnsi="Times New Roman"/>
          <w:sz w:val="18"/>
          <w:szCs w:val="18"/>
          <w:color w:val="auto"/>
        </w:rPr>
        <w:t>. Company shall withhold from any payment made pursuant to this Plan any taxes required to be withheld from such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payments under local, state or federal law.</w:t>
      </w:r>
    </w:p>
    <w:p>
      <w:pPr>
        <w:spacing w:after="0" w:line="35" w:lineRule="exact"/>
        <w:rPr>
          <w:sz w:val="20"/>
          <w:szCs w:val="20"/>
          <w:color w:val="auto"/>
        </w:rPr>
      </w:pPr>
    </w:p>
    <w:p>
      <w:pPr>
        <w:ind w:left="920" w:right="100" w:hanging="904"/>
        <w:spacing w:after="0" w:line="302" w:lineRule="auto"/>
        <w:tabs>
          <w:tab w:leader="none" w:pos="90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6"/>
          <w:szCs w:val="16"/>
          <w:b w:val="1"/>
          <w:bCs w:val="1"/>
          <w:u w:val="single" w:color="auto"/>
          <w:color w:val="auto"/>
        </w:rPr>
        <w:t>Payments in Connection with a Domestic Relations Order</w:t>
      </w:r>
      <w:r>
        <w:rPr>
          <w:rFonts w:ascii="Times New Roman" w:cs="Times New Roman" w:eastAsia="Times New Roman" w:hAnsi="Times New Roman"/>
          <w:sz w:val="16"/>
          <w:szCs w:val="16"/>
          <w:color w:val="auto"/>
        </w:rPr>
        <w:t>. Notwithstanding anything to the contrary, the Company may make distributions to</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someone other than the Participant if such payment is necessary to comply with a domestic relations order, as defined in Section 414(p)(1)(B) of the Code, involving the Participant. Where the domestic relations order permits discretion on the part of the non-Participant spouse and such discretion has not been exercised, the Company shall distribute to the non-Participant spouse the amounts subject to the order as soon as practical.</w:t>
      </w:r>
    </w:p>
    <w:p>
      <w:pPr>
        <w:spacing w:after="0" w:line="19" w:lineRule="exact"/>
        <w:rPr>
          <w:sz w:val="20"/>
          <w:szCs w:val="20"/>
          <w:color w:val="auto"/>
        </w:rPr>
      </w:pPr>
    </w:p>
    <w:p>
      <w:pPr>
        <w:ind w:left="920" w:right="100" w:hanging="904"/>
        <w:spacing w:after="0" w:line="257" w:lineRule="auto"/>
        <w:tabs>
          <w:tab w:leader="none" w:pos="90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u w:val="single" w:color="auto"/>
          <w:color w:val="auto"/>
        </w:rPr>
        <w:t>Payment to Guardian</w:t>
      </w:r>
      <w:r>
        <w:rPr>
          <w:rFonts w:ascii="Times New Roman" w:cs="Times New Roman" w:eastAsia="Times New Roman" w:hAnsi="Times New Roman"/>
          <w:sz w:val="18"/>
          <w:szCs w:val="18"/>
          <w:color w:val="auto"/>
        </w:rPr>
        <w:t>. If a Plan benefit is payable to a minor or a person declared incompetent or to a person incapable of handling the disposition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the property, the Committee may direct payment to the guardian, legal representative or person having the care and custody of such minor, incompetent or person. The Committee may require proof of incompetency, minority, incapacity or guardianship as it may deem appropriate prior to distribution. Such distribution shall completely discharge the Committee and Company or any Participating Employer from all liability with respect to such benefit.</w:t>
      </w:r>
    </w:p>
    <w:p>
      <w:pPr>
        <w:spacing w:after="0" w:line="53" w:lineRule="exact"/>
        <w:rPr>
          <w:sz w:val="20"/>
          <w:szCs w:val="20"/>
          <w:color w:val="auto"/>
        </w:rPr>
      </w:pPr>
    </w:p>
    <w:p>
      <w:pPr>
        <w:ind w:left="920" w:right="4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b w:val="1"/>
          <w:bCs w:val="1"/>
          <w:u w:val="single" w:color="auto"/>
          <w:color w:val="auto"/>
        </w:rPr>
        <w:t>Effect of Payment</w:t>
      </w:r>
      <w:r>
        <w:rPr>
          <w:rFonts w:ascii="Times New Roman" w:cs="Times New Roman" w:eastAsia="Times New Roman" w:hAnsi="Times New Roman"/>
          <w:sz w:val="18"/>
          <w:szCs w:val="18"/>
          <w:color w:val="auto"/>
        </w:rPr>
        <w:t>. The full payment of the applicable benefit under this Article V shall completely discharge all obligations on the part of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Company or any Participating Employer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55" w:name="page56"/>
    <w:bookmarkEnd w:id="55"/>
    <w:p>
      <w:pPr>
        <w:ind w:left="920"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Participant (and the Participant’s Beneficiary) with respect to the operation of this Plan, and the Participant’s (and Participant’s Beneficiary’s) rights under this Plan shall terminate.</w:t>
      </w:r>
    </w:p>
    <w:p>
      <w:pPr>
        <w:spacing w:after="0" w:line="37" w:lineRule="exact"/>
        <w:rPr>
          <w:sz w:val="20"/>
          <w:szCs w:val="20"/>
          <w:color w:val="auto"/>
        </w:rPr>
      </w:pPr>
    </w:p>
    <w:p>
      <w:pPr>
        <w:ind w:left="92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b w:val="1"/>
          <w:bCs w:val="1"/>
          <w:u w:val="single" w:color="auto"/>
          <w:color w:val="auto"/>
        </w:rPr>
        <w:t>Permissible Acceleration of Payments</w:t>
      </w:r>
      <w:r>
        <w:rPr>
          <w:rFonts w:ascii="Times New Roman" w:cs="Times New Roman" w:eastAsia="Times New Roman" w:hAnsi="Times New Roman"/>
          <w:sz w:val="18"/>
          <w:szCs w:val="18"/>
          <w:color w:val="auto"/>
        </w:rPr>
        <w:t>. To the extent permitted by Section 409A of the Code, the Committee may, in its sole discretion, accelerate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time or schedule of a payment under the Plan as permitted and set forth in Treas. Reg. Section1-409A-3(j)(4), or as may otherwise be provided by the Treasury or the Internal Revenue Service from time to time.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VI - </w:t>
      </w:r>
      <w:r>
        <w:rPr>
          <w:rFonts w:ascii="Times New Roman" w:cs="Times New Roman" w:eastAsia="Times New Roman" w:hAnsi="Times New Roman"/>
          <w:sz w:val="18"/>
          <w:szCs w:val="18"/>
          <w:b w:val="1"/>
          <w:bCs w:val="1"/>
          <w:u w:val="single" w:color="auto"/>
          <w:color w:val="auto"/>
        </w:rPr>
        <w:t>BENEFICIARY DESIGNATION</w:t>
      </w:r>
    </w:p>
    <w:p>
      <w:pPr>
        <w:spacing w:after="0" w:line="212" w:lineRule="exact"/>
        <w:rPr>
          <w:sz w:val="20"/>
          <w:szCs w:val="20"/>
          <w:color w:val="auto"/>
        </w:rPr>
      </w:pPr>
    </w:p>
    <w:p>
      <w:pPr>
        <w:ind w:left="920" w:right="300" w:hanging="904"/>
        <w:spacing w:after="0" w:line="259" w:lineRule="auto"/>
        <w:tabs>
          <w:tab w:leader="none" w:pos="9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u w:val="single" w:color="auto"/>
          <w:color w:val="auto"/>
        </w:rPr>
        <w:t>Beneficiary Designation</w:t>
      </w:r>
      <w:r>
        <w:rPr>
          <w:rFonts w:ascii="Times New Roman" w:cs="Times New Roman" w:eastAsia="Times New Roman" w:hAnsi="Times New Roman"/>
          <w:sz w:val="18"/>
          <w:szCs w:val="18"/>
          <w:color w:val="auto"/>
        </w:rPr>
        <w:t>. Each Participant shall have the right, at any time, to designate one (1) or more persons or entity as Beneficiary (both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primary as well as secondary) to who benefits under this Plan shall be paid in the event of Participant’s death prior to complete distribution of the Participant’s vested Account balance. Each Beneficiary designation shall be in a written form prescribed by the Committee and shall be effective only when filed with the Committee during the Participant’s lifetime.</w:t>
      </w:r>
    </w:p>
    <w:p>
      <w:pPr>
        <w:spacing w:after="0" w:line="52" w:lineRule="exact"/>
        <w:rPr>
          <w:sz w:val="20"/>
          <w:szCs w:val="20"/>
          <w:color w:val="auto"/>
        </w:rPr>
      </w:pPr>
    </w:p>
    <w:p>
      <w:pPr>
        <w:ind w:left="920" w:right="1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u w:val="single" w:color="auto"/>
          <w:color w:val="auto"/>
        </w:rPr>
        <w:t>Changing Beneficiary</w:t>
      </w:r>
      <w:r>
        <w:rPr>
          <w:rFonts w:ascii="Times New Roman" w:cs="Times New Roman" w:eastAsia="Times New Roman" w:hAnsi="Times New Roman"/>
          <w:sz w:val="18"/>
          <w:szCs w:val="18"/>
          <w:color w:val="auto"/>
        </w:rPr>
        <w:t>. Any Beneficiary designation may be changed by a Participant without the consent of the previously named Beneficiary by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filing of a new Beneficiary designation with the Committee.</w:t>
      </w:r>
    </w:p>
    <w:p>
      <w:pPr>
        <w:spacing w:after="0" w:line="35" w:lineRule="exact"/>
        <w:rPr>
          <w:sz w:val="20"/>
          <w:szCs w:val="20"/>
          <w:color w:val="auto"/>
        </w:rPr>
      </w:pPr>
    </w:p>
    <w:p>
      <w:pPr>
        <w:ind w:left="920" w:right="32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u w:val="single" w:color="auto"/>
          <w:color w:val="auto"/>
        </w:rPr>
        <w:t>No Beneficiary Designation</w:t>
      </w:r>
      <w:r>
        <w:rPr>
          <w:rFonts w:ascii="Times New Roman" w:cs="Times New Roman" w:eastAsia="Times New Roman" w:hAnsi="Times New Roman"/>
          <w:sz w:val="18"/>
          <w:szCs w:val="18"/>
          <w:color w:val="auto"/>
        </w:rPr>
        <w:t>. If any Participant fails to designate a Beneficiary in the manner provided above, if the designation is void, or if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Beneficiary designated by a deceased Participant dies before the Participant or before complete distribution of the Participant’s benefits, the Participant’s Beneficiary shall be the person in the first of the following classes in which there is a survivor:</w:t>
      </w:r>
    </w:p>
    <w:p>
      <w:pPr>
        <w:spacing w:after="0" w:line="48" w:lineRule="exact"/>
        <w:rPr>
          <w:sz w:val="20"/>
          <w:szCs w:val="20"/>
          <w:color w:val="auto"/>
        </w:rPr>
      </w:pPr>
    </w:p>
    <w:p>
      <w:pPr>
        <w:ind w:left="1480" w:hanging="567"/>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surviving spouse;</w:t>
      </w:r>
    </w:p>
    <w:p>
      <w:pPr>
        <w:spacing w:after="0" w:line="90" w:lineRule="exact"/>
        <w:rPr>
          <w:rFonts w:ascii="Times New Roman" w:cs="Times New Roman" w:eastAsia="Times New Roman" w:hAnsi="Times New Roman"/>
          <w:sz w:val="18"/>
          <w:szCs w:val="18"/>
          <w:color w:val="auto"/>
        </w:rPr>
      </w:pPr>
    </w:p>
    <w:p>
      <w:pPr>
        <w:ind w:left="1480" w:right="120" w:hanging="567"/>
        <w:spacing w:after="0" w:line="275" w:lineRule="auto"/>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children in equal shares, except that if any of the children predeceases the Participant but leaves surviving issue, then such issue shall take by right of representation the share the deceased child would have taken if living;</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estate.</w:t>
      </w:r>
    </w:p>
    <w:p>
      <w:pPr>
        <w:spacing w:after="0" w:line="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6"/>
          <w:szCs w:val="16"/>
          <w:b w:val="1"/>
          <w:bCs w:val="1"/>
          <w:u w:val="single" w:color="auto"/>
          <w:color w:val="auto"/>
        </w:rPr>
        <w:t>Effect of Payment</w:t>
      </w:r>
      <w:r>
        <w:rPr>
          <w:rFonts w:ascii="Times New Roman" w:cs="Times New Roman" w:eastAsia="Times New Roman" w:hAnsi="Times New Roman"/>
          <w:sz w:val="16"/>
          <w:szCs w:val="16"/>
          <w:color w:val="auto"/>
        </w:rPr>
        <w:t>. Payment to the Beneficiary shall completely discharge the Company’s obligations under this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VII - </w:t>
      </w:r>
      <w:r>
        <w:rPr>
          <w:rFonts w:ascii="Times New Roman" w:cs="Times New Roman" w:eastAsia="Times New Roman" w:hAnsi="Times New Roman"/>
          <w:sz w:val="18"/>
          <w:szCs w:val="18"/>
          <w:b w:val="1"/>
          <w:bCs w:val="1"/>
          <w:u w:val="single" w:color="auto"/>
          <w:color w:val="auto"/>
        </w:rPr>
        <w:t>ADMINISTRATION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56" w:name="page57"/>
    <w:bookmarkEnd w:id="56"/>
    <w:p>
      <w:pPr>
        <w:ind w:left="900" w:right="160" w:hanging="904"/>
        <w:spacing w:after="0" w:line="264" w:lineRule="auto"/>
        <w:tabs>
          <w:tab w:leader="none" w:pos="8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w:t>
      </w:r>
      <w:r>
        <w:rPr>
          <w:sz w:val="20"/>
          <w:szCs w:val="20"/>
          <w:color w:val="auto"/>
        </w:rPr>
        <w:tab/>
      </w:r>
      <w:r>
        <w:rPr>
          <w:rFonts w:ascii="Times New Roman" w:cs="Times New Roman" w:eastAsia="Times New Roman" w:hAnsi="Times New Roman"/>
          <w:sz w:val="18"/>
          <w:szCs w:val="18"/>
          <w:b w:val="1"/>
          <w:bCs w:val="1"/>
          <w:u w:val="single" w:color="auto"/>
          <w:color w:val="auto"/>
        </w:rPr>
        <w:t>Committee; Duties</w:t>
      </w:r>
      <w:r>
        <w:rPr>
          <w:rFonts w:ascii="Times New Roman" w:cs="Times New Roman" w:eastAsia="Times New Roman" w:hAnsi="Times New Roman"/>
          <w:sz w:val="18"/>
          <w:szCs w:val="18"/>
          <w:color w:val="auto"/>
        </w:rPr>
        <w:t>. This Plan shall be administered by the Committee. The Committee shall have the authority to make, amend, interpret and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enforce all appropriate rules and regulations for the administration of the Plan and decide or resolve any and all questions, including interpretations of the Plan, as they may arise in such administration.</w:t>
      </w:r>
    </w:p>
    <w:p>
      <w:pPr>
        <w:spacing w:after="0" w:line="46" w:lineRule="exact"/>
        <w:rPr>
          <w:sz w:val="20"/>
          <w:szCs w:val="20"/>
          <w:color w:val="auto"/>
        </w:rPr>
      </w:pPr>
    </w:p>
    <w:p>
      <w:pPr>
        <w:ind w:left="900" w:right="40" w:hanging="904"/>
        <w:spacing w:after="0" w:line="288" w:lineRule="auto"/>
        <w:tabs>
          <w:tab w:leader="none" w:pos="8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6"/>
          <w:szCs w:val="16"/>
          <w:b w:val="1"/>
          <w:bCs w:val="1"/>
          <w:u w:val="single" w:color="auto"/>
          <w:color w:val="auto"/>
        </w:rPr>
        <w:t>Compliance with Section 409A of the Code</w:t>
      </w:r>
      <w:r>
        <w:rPr>
          <w:rFonts w:ascii="Times New Roman" w:cs="Times New Roman" w:eastAsia="Times New Roman" w:hAnsi="Times New Roman"/>
          <w:sz w:val="16"/>
          <w:szCs w:val="16"/>
          <w:color w:val="auto"/>
        </w:rPr>
        <w:t>. It is intended that the Plan comply with the provisions of Section 409A of the Code, so as to prevent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the inclusion in gross income of any amounts deferred hereunder in a taxable year that is prior to the taxable year or years in which such amounts would otherwise actually be paid or made available to Participants or Beneficiaries. This Plan shall be construed, administered, and governed in a manner that effects such intent, and the Committee shall not take any action that would be inconsistent with such intent. Although the Committee shall use its best efforts to avoid the imposition of taxation, interest and penalties under Section 409A of the Code, the tax treatment of deferrals under this Plan is not warranted or guaranteed. Neither the Company, any Participating Employer, the Board, any director, officer, employee and advisor, the Board nor the Committee (or any delegate thereof) shall be held liable for any taxes, interest, penalties or other monetary amounts owed by any Participant, Beneficiary or other taxpayer as a result of the Plan. For purposes of the Plan, the phrase “permitted by Section 409A of the Code,” or words or phrases of similar import, shall mean that the event or circumstance shall only be permitted to the extent it would not cause an amount deferred or payable under the Plan to be includible in the gross income of a Participant or Beneficiary under Section 409A(a)(1) of the Code.</w:t>
      </w:r>
    </w:p>
    <w:p>
      <w:pPr>
        <w:spacing w:after="0" w:line="34" w:lineRule="exact"/>
        <w:rPr>
          <w:sz w:val="20"/>
          <w:szCs w:val="20"/>
          <w:color w:val="auto"/>
        </w:rPr>
      </w:pPr>
    </w:p>
    <w:p>
      <w:pPr>
        <w:ind w:left="900" w:right="180" w:hanging="904"/>
        <w:spacing w:after="0" w:line="277" w:lineRule="auto"/>
        <w:tabs>
          <w:tab w:leader="none" w:pos="8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The Committee may, from time to time, employ agents and delegate to them such administrative duties as it sees fit, and may from time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time consult with counsel who may be counsel to the Company.</w:t>
      </w:r>
    </w:p>
    <w:p>
      <w:pPr>
        <w:spacing w:after="0" w:line="35" w:lineRule="exact"/>
        <w:rPr>
          <w:sz w:val="20"/>
          <w:szCs w:val="20"/>
          <w:color w:val="auto"/>
        </w:rPr>
      </w:pPr>
    </w:p>
    <w:p>
      <w:pPr>
        <w:ind w:left="900" w:right="120" w:hanging="904"/>
        <w:spacing w:after="0" w:line="264" w:lineRule="auto"/>
        <w:tabs>
          <w:tab w:leader="none" w:pos="8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u w:val="single" w:color="auto"/>
          <w:color w:val="auto"/>
        </w:rPr>
        <w:t>Binding Effect of Decisions</w:t>
      </w:r>
      <w:r>
        <w:rPr>
          <w:rFonts w:ascii="Times New Roman" w:cs="Times New Roman" w:eastAsia="Times New Roman" w:hAnsi="Times New Roman"/>
          <w:sz w:val="18"/>
          <w:szCs w:val="18"/>
          <w:color w:val="auto"/>
        </w:rPr>
        <w:t>. The decision or action of the Committee with respect to any question arising out of or in connection with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administration, interpretation and application of the Plan and the rules and regulations promulgated hereunder shall be final, conclusive and binding upon all persons having any interest in the Plan.</w:t>
      </w:r>
    </w:p>
    <w:p>
      <w:pPr>
        <w:spacing w:after="0" w:line="46" w:lineRule="exact"/>
        <w:rPr>
          <w:sz w:val="20"/>
          <w:szCs w:val="20"/>
          <w:color w:val="auto"/>
        </w:rPr>
      </w:pPr>
    </w:p>
    <w:p>
      <w:pPr>
        <w:ind w:left="900" w:hanging="904"/>
        <w:spacing w:after="0" w:line="264" w:lineRule="auto"/>
        <w:tabs>
          <w:tab w:leader="none" w:pos="8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u w:val="single" w:color="auto"/>
          <w:color w:val="auto"/>
        </w:rPr>
        <w:t>Indemnity of Committee</w:t>
      </w:r>
      <w:r>
        <w:rPr>
          <w:rFonts w:ascii="Times New Roman" w:cs="Times New Roman" w:eastAsia="Times New Roman" w:hAnsi="Times New Roman"/>
          <w:sz w:val="18"/>
          <w:szCs w:val="18"/>
          <w:color w:val="auto"/>
        </w:rPr>
        <w:t>. The Company shall indemnify and hold harmless the members of the Committee against any and all claims, loss,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damage, expense or liability arising from any action or failure to act with respect to this Plan on account of such member’s service on the Committee, except in the case of gross negligence or willful misconduct.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VIII - </w:t>
      </w:r>
      <w:r>
        <w:rPr>
          <w:rFonts w:ascii="Times New Roman" w:cs="Times New Roman" w:eastAsia="Times New Roman" w:hAnsi="Times New Roman"/>
          <w:sz w:val="18"/>
          <w:szCs w:val="18"/>
          <w:b w:val="1"/>
          <w:bCs w:val="1"/>
          <w:u w:val="single" w:color="auto"/>
          <w:color w:val="auto"/>
        </w:rPr>
        <w:t>CLAIMS PROCEDURE</w:t>
      </w:r>
    </w:p>
    <w:p>
      <w:pPr>
        <w:spacing w:after="0" w:line="212" w:lineRule="exact"/>
        <w:rPr>
          <w:sz w:val="20"/>
          <w:szCs w:val="20"/>
          <w:color w:val="auto"/>
        </w:rPr>
      </w:pPr>
    </w:p>
    <w:p>
      <w:pPr>
        <w:ind w:left="900" w:right="120" w:hanging="904"/>
        <w:spacing w:after="0" w:line="259" w:lineRule="auto"/>
        <w:tabs>
          <w:tab w:leader="none" w:pos="8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u w:val="single" w:color="auto"/>
          <w:color w:val="auto"/>
        </w:rPr>
        <w:t>Claim</w:t>
      </w:r>
      <w:r>
        <w:rPr>
          <w:rFonts w:ascii="Times New Roman" w:cs="Times New Roman" w:eastAsia="Times New Roman" w:hAnsi="Times New Roman"/>
          <w:sz w:val="18"/>
          <w:szCs w:val="18"/>
          <w:color w:val="auto"/>
        </w:rPr>
        <w:t>. Any person or entity claiming a benefit, requesting an interpretation or ruling under the Plan (hereinafter referred to as “Claimant”),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requesting information under the Plan shall present the request in writing to the Committee, which shall respond in writing as soon as practical, but in no event later than ninety (90) days after receiving the initial claim (or no later than forty-five (45) days after receiving the initial claim regarding a Disability under this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60" w:top="272" w:right="239" w:bottom="1440" w:gutter="0" w:footer="0" w:header="0"/>
        </w:sectPr>
      </w:pPr>
    </w:p>
    <w:bookmarkStart w:id="57" w:name="page58"/>
    <w:bookmarkEnd w:id="57"/>
    <w:p>
      <w:pPr>
        <w:spacing w:after="0"/>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6"/>
          <w:szCs w:val="16"/>
          <w:b w:val="1"/>
          <w:bCs w:val="1"/>
          <w:u w:val="single" w:color="auto"/>
          <w:color w:val="auto"/>
        </w:rPr>
        <w:t>Denial of Claim</w:t>
      </w:r>
      <w:r>
        <w:rPr>
          <w:rFonts w:ascii="Times New Roman" w:cs="Times New Roman" w:eastAsia="Times New Roman" w:hAnsi="Times New Roman"/>
          <w:sz w:val="16"/>
          <w:szCs w:val="16"/>
          <w:color w:val="auto"/>
        </w:rPr>
        <w:t>. If the claim or request is denied, the written notice of denial shall state:</w:t>
      </w:r>
    </w:p>
    <w:p>
      <w:pPr>
        <w:spacing w:after="0" w:line="92" w:lineRule="exact"/>
        <w:rPr>
          <w:sz w:val="20"/>
          <w:szCs w:val="20"/>
          <w:color w:val="auto"/>
        </w:rPr>
      </w:pPr>
    </w:p>
    <w:p>
      <w:pPr>
        <w:ind w:left="1480" w:hanging="567"/>
        <w:spacing w:after="0"/>
        <w:tabs>
          <w:tab w:leader="none" w:pos="1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denial, with specific reference to the Plan provisions on which the denial is based;</w:t>
      </w:r>
    </w:p>
    <w:p>
      <w:pPr>
        <w:spacing w:after="0" w:line="90" w:lineRule="exact"/>
        <w:rPr>
          <w:rFonts w:ascii="Times New Roman" w:cs="Times New Roman" w:eastAsia="Times New Roman" w:hAnsi="Times New Roman"/>
          <w:sz w:val="18"/>
          <w:szCs w:val="18"/>
          <w:color w:val="auto"/>
        </w:rPr>
      </w:pPr>
    </w:p>
    <w:p>
      <w:pPr>
        <w:ind w:left="1480" w:right="260" w:hanging="567"/>
        <w:spacing w:after="0" w:line="334" w:lineRule="auto"/>
        <w:tabs>
          <w:tab w:leader="none" w:pos="14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any additional material or information required and an explanation of why it is necessary, in which event the time frames listed in section 8.1 shall be one hundred and eighty (180) and seventy-five (75) days from the date of the initial claim respectively; and</w:t>
      </w:r>
    </w:p>
    <w:p>
      <w:pPr>
        <w:spacing w:after="0" w:line="1" w:lineRule="exact"/>
        <w:rPr>
          <w:rFonts w:ascii="Times New Roman" w:cs="Times New Roman" w:eastAsia="Times New Roman" w:hAnsi="Times New Roman"/>
          <w:sz w:val="16"/>
          <w:szCs w:val="16"/>
          <w:color w:val="auto"/>
        </w:rPr>
      </w:pPr>
    </w:p>
    <w:p>
      <w:pPr>
        <w:ind w:left="1480" w:hanging="567"/>
        <w:spacing w:after="0"/>
        <w:tabs>
          <w:tab w:leader="none" w:pos="1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Plan’s claim review procedure.</w:t>
      </w:r>
    </w:p>
    <w:p>
      <w:pPr>
        <w:spacing w:after="0" w:line="88" w:lineRule="exact"/>
        <w:rPr>
          <w:sz w:val="20"/>
          <w:szCs w:val="20"/>
          <w:color w:val="auto"/>
        </w:rPr>
      </w:pPr>
    </w:p>
    <w:p>
      <w:pPr>
        <w:ind w:left="920" w:hanging="904"/>
        <w:spacing w:after="0" w:line="255" w:lineRule="auto"/>
        <w:tabs>
          <w:tab w:leader="none" w:pos="9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u w:val="single" w:color="auto"/>
          <w:color w:val="auto"/>
        </w:rPr>
        <w:t>Review of Claim</w:t>
      </w:r>
      <w:r>
        <w:rPr>
          <w:rFonts w:ascii="Times New Roman" w:cs="Times New Roman" w:eastAsia="Times New Roman" w:hAnsi="Times New Roman"/>
          <w:sz w:val="18"/>
          <w:szCs w:val="18"/>
          <w:color w:val="auto"/>
        </w:rPr>
        <w:t>. Any Claimant whose claim or request is denied or who has not received a response within ninety (90) days (or forty-five (45) days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in the event of a claim regarding a Disability) may request a review by notice given in writing to the Committee. Such request must be made within sixty (60) days (or one hundred and eighty (180) days in the event of a claim regarding a Disability) after receipt by the Claimant of the written notice of denial, or in the event Claimant has not received a response sixty (60) days (or one hundred and eighty (180) days in the event of a claim regarding a Disability) after receipt by the Committee of Claimant’s claim or request.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54" w:lineRule="exact"/>
        <w:rPr>
          <w:sz w:val="20"/>
          <w:szCs w:val="20"/>
          <w:color w:val="auto"/>
        </w:rPr>
      </w:pPr>
    </w:p>
    <w:p>
      <w:pPr>
        <w:ind w:left="920" w:right="120" w:hanging="904"/>
        <w:spacing w:after="0" w:line="257" w:lineRule="auto"/>
        <w:tabs>
          <w:tab w:leader="none" w:pos="9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u w:val="single" w:color="auto"/>
          <w:color w:val="auto"/>
        </w:rPr>
        <w:t>Final Decision</w:t>
      </w:r>
      <w:r>
        <w:rPr>
          <w:rFonts w:ascii="Times New Roman" w:cs="Times New Roman" w:eastAsia="Times New Roman" w:hAnsi="Times New Roman"/>
          <w:sz w:val="18"/>
          <w:szCs w:val="18"/>
          <w:color w:val="auto"/>
        </w:rPr>
        <w:t>. The decision on review shall normally be made within sixty (60) days (or forty-five (45) days in the event of a claim regarding a</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Disability) after the Committee’s receipt of claimant’s claim or request. If an extension of time is required for a hearing or other special circumstances, the Claimant shall be notified and the time limit shall be one hundred twenty (120) days (or ninety (90) days in the event of a claim regarding a Disability). The decision shall be in writing and shall state the reasons and the relevant Plan provisions. All decisions on review shall be final and bind all parties concerned.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IX - </w:t>
      </w:r>
      <w:r>
        <w:rPr>
          <w:rFonts w:ascii="Times New Roman" w:cs="Times New Roman" w:eastAsia="Times New Roman" w:hAnsi="Times New Roman"/>
          <w:sz w:val="18"/>
          <w:szCs w:val="18"/>
          <w:b w:val="1"/>
          <w:bCs w:val="1"/>
          <w:u w:val="single" w:color="auto"/>
          <w:color w:val="auto"/>
        </w:rPr>
        <w:t>AMENDMENT AND TERMINATION OF PLAN</w:t>
      </w:r>
    </w:p>
    <w:p>
      <w:pPr>
        <w:spacing w:after="0" w:line="212" w:lineRule="exact"/>
        <w:rPr>
          <w:sz w:val="20"/>
          <w:szCs w:val="20"/>
          <w:color w:val="auto"/>
        </w:rPr>
      </w:pPr>
    </w:p>
    <w:p>
      <w:pPr>
        <w:ind w:left="920" w:right="20" w:hanging="904"/>
        <w:spacing w:after="0" w:line="291" w:lineRule="auto"/>
        <w:tabs>
          <w:tab w:leader="none" w:pos="9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6"/>
          <w:szCs w:val="16"/>
          <w:b w:val="1"/>
          <w:bCs w:val="1"/>
          <w:u w:val="single" w:color="auto"/>
          <w:color w:val="auto"/>
        </w:rPr>
        <w:t>Amendment</w:t>
      </w:r>
      <w:r>
        <w:rPr>
          <w:rFonts w:ascii="Times New Roman" w:cs="Times New Roman" w:eastAsia="Times New Roman" w:hAnsi="Times New Roman"/>
          <w:sz w:val="16"/>
          <w:szCs w:val="16"/>
          <w:color w:val="auto"/>
        </w:rPr>
        <w:t>. The Board or the Committee may at any time amend the Plan by written instrument, notice of which is given to all Participants and to</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Beneficiary receiving installment payments, provided however, that no amendment shall reduce the amount vested or accrued in any Account as of the date the amendment is adopted. Notwithstanding the foregoing or any provision of the Plan to the contrary, the Board or the Committee may at any time (in its sole discretion and without the consent of any Participant) modify, amend or terminate any or all of the provisions of this Plan or take any other action, to the extent necessary or advisable to conform the provisions of the Plan with Section 409A of the Code, the regulations issued thereunder or an exception thereto, regardless of whether such modification, amendment or termination of this Plan or other action shall adversely affect the rights of a Participant under the Plan. Termination of this Plan shall not be a distribution event under the Plan unless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2" w:right="239" w:bottom="1440" w:gutter="0" w:footer="0" w:header="0"/>
        </w:sectPr>
      </w:pPr>
    </w:p>
    <w:bookmarkStart w:id="58" w:name="page59"/>
    <w:bookmarkEnd w:id="58"/>
    <w:p>
      <w:pPr>
        <w:ind w:left="920"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permitted under Section 409A. In addition, any amendment which adds a distribution event to the Plan shall not be affective with respect to Accounts already established as of the time of such amendment.</w:t>
      </w:r>
    </w:p>
    <w:p>
      <w:pPr>
        <w:spacing w:after="0" w:line="37" w:lineRule="exact"/>
        <w:rPr>
          <w:sz w:val="20"/>
          <w:szCs w:val="20"/>
          <w:color w:val="auto"/>
        </w:rPr>
      </w:pPr>
    </w:p>
    <w:p>
      <w:pPr>
        <w:ind w:left="920" w:right="20" w:hanging="904"/>
        <w:spacing w:after="0" w:line="259" w:lineRule="auto"/>
        <w:tabs>
          <w:tab w:leader="none" w:pos="9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u w:val="single" w:color="auto"/>
          <w:color w:val="auto"/>
        </w:rPr>
        <w:t>Company’s Right to Terminate</w:t>
      </w:r>
      <w:r>
        <w:rPr>
          <w:rFonts w:ascii="Times New Roman" w:cs="Times New Roman" w:eastAsia="Times New Roman" w:hAnsi="Times New Roman"/>
          <w:sz w:val="18"/>
          <w:szCs w:val="18"/>
          <w:color w:val="auto"/>
        </w:rPr>
        <w:t>. The Board or the Committee may, in its sole discretion, terminate the entire Plan, or terminate a portion of the Plan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that is identified as an elective account balance plan as defined in Treas. Reg. Section1.409A -1(c)(2)(i)(A), or as a non-elective account balance plan as defined in Treas. Reg. Section1.409A -1(c)(2)(i)(B), and require distribution of all benefits due under the Plan or portion thereof, in accordance with the applicable requirements of Treas. Reg. Section1.409A-3(j)(4)(ix).</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 - </w:t>
      </w:r>
      <w:r>
        <w:rPr>
          <w:rFonts w:ascii="Times New Roman" w:cs="Times New Roman" w:eastAsia="Times New Roman" w:hAnsi="Times New Roman"/>
          <w:sz w:val="18"/>
          <w:szCs w:val="18"/>
          <w:b w:val="1"/>
          <w:bCs w:val="1"/>
          <w:u w:val="single" w:color="auto"/>
          <w:color w:val="auto"/>
        </w:rPr>
        <w:t>MISCELLANEOUS</w:t>
      </w:r>
    </w:p>
    <w:p>
      <w:pPr>
        <w:spacing w:after="0" w:line="212" w:lineRule="exact"/>
        <w:rPr>
          <w:sz w:val="20"/>
          <w:szCs w:val="20"/>
          <w:color w:val="auto"/>
        </w:rPr>
      </w:pPr>
    </w:p>
    <w:p>
      <w:pPr>
        <w:ind w:left="920" w:hanging="904"/>
        <w:spacing w:after="0" w:line="264"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Unfunded Plan</w:t>
      </w:r>
      <w:r>
        <w:rPr>
          <w:rFonts w:ascii="Times New Roman" w:cs="Times New Roman" w:eastAsia="Times New Roman" w:hAnsi="Times New Roman"/>
          <w:sz w:val="18"/>
          <w:szCs w:val="18"/>
          <w:color w:val="auto"/>
        </w:rPr>
        <w:t>. This plan is an unfunded plan maintained primarily to provide deferred compensation benefits for a select group of “management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highly-compensated employees” within the meaning of Sections 201, 301, and 401 of the Employee Retirement Income Security Act of 1974, as amended (“ERISA”), and therefore is exempt from the provisions of Parts 2, 3 and 4 of Title I of ERISA.</w:t>
      </w:r>
    </w:p>
    <w:p>
      <w:pPr>
        <w:spacing w:after="0" w:line="46" w:lineRule="exact"/>
        <w:rPr>
          <w:sz w:val="20"/>
          <w:szCs w:val="20"/>
          <w:color w:val="auto"/>
        </w:rPr>
      </w:pPr>
    </w:p>
    <w:p>
      <w:pPr>
        <w:jc w:val="both"/>
        <w:ind w:left="920" w:right="320" w:hanging="904"/>
        <w:spacing w:after="0" w:line="302" w:lineRule="auto"/>
        <w:tabs>
          <w:tab w:leader="none" w:pos="9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b w:val="1"/>
          <w:bCs w:val="1"/>
          <w:u w:val="single" w:color="auto"/>
          <w:color w:val="auto"/>
        </w:rPr>
        <w:t>Unsecured General Creditor</w:t>
      </w:r>
      <w:r>
        <w:rPr>
          <w:rFonts w:ascii="Times New Roman" w:cs="Times New Roman" w:eastAsia="Times New Roman" w:hAnsi="Times New Roman"/>
          <w:sz w:val="16"/>
          <w:szCs w:val="16"/>
          <w:color w:val="auto"/>
        </w:rPr>
        <w:t>. Notwithstanding any other provision of this Plan, Participants and Participants’ Beneficiaries shall be unsecured</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general creditors, with no secured or preferential rights to any assets of Company or any other party for payment of benefits under this Plan. Any property held by Company for the purpose of generating the cash flow for benefit payments shall remain its general, unpledged and unrestricted assets. Company’s obligation under the Plan shall be an unfunded and unsecured promise to pay money in the future.</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b w:val="1"/>
          <w:bCs w:val="1"/>
          <w:u w:val="single" w:color="auto"/>
          <w:color w:val="auto"/>
        </w:rPr>
        <w:t>Trust Fund</w:t>
      </w:r>
      <w:r>
        <w:rPr>
          <w:rFonts w:ascii="Times New Roman" w:cs="Times New Roman" w:eastAsia="Times New Roman" w:hAnsi="Times New Roman"/>
          <w:sz w:val="16"/>
          <w:szCs w:val="16"/>
          <w:color w:val="auto"/>
        </w:rPr>
        <w:t>. Company shall be responsible for the payment of all benefits provided under the Plan. At its discretion, Company may establish one</w:t>
      </w:r>
    </w:p>
    <w:p>
      <w:pPr>
        <w:spacing w:after="0" w:line="23" w:lineRule="exact"/>
        <w:rPr>
          <w:sz w:val="20"/>
          <w:szCs w:val="20"/>
          <w:color w:val="auto"/>
        </w:rPr>
      </w:pPr>
    </w:p>
    <w:p>
      <w:pPr>
        <w:jc w:val="both"/>
        <w:ind w:left="920" w:right="180" w:hanging="7"/>
        <w:spacing w:after="0" w:line="254" w:lineRule="auto"/>
        <w:tabs>
          <w:tab w:leader="none" w:pos="11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trusts, with such trustees as the Board or the Committee may approve, for the purpose of assisting in the payment of such benefits. The assets of any such trust shall be held for payment of all Company’s general creditors in the event of insolvency. To the extent any benefits provided under the Plan are paid from any such trust, Company shall have no further obligation to pay them. If not paid from the trust, such benefits shall remain the obligation of Company.</w:t>
      </w:r>
    </w:p>
    <w:p>
      <w:pPr>
        <w:spacing w:after="0" w:line="55" w:lineRule="exact"/>
        <w:rPr>
          <w:sz w:val="20"/>
          <w:szCs w:val="20"/>
          <w:color w:val="auto"/>
        </w:rPr>
      </w:pPr>
    </w:p>
    <w:p>
      <w:pPr>
        <w:ind w:left="920" w:right="180" w:hanging="904"/>
        <w:spacing w:after="0" w:line="297" w:lineRule="auto"/>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b w:val="1"/>
          <w:bCs w:val="1"/>
          <w:u w:val="single" w:color="auto"/>
          <w:color w:val="auto"/>
        </w:rPr>
        <w:t>Nonassignability</w:t>
      </w:r>
      <w:r>
        <w:rPr>
          <w:rFonts w:ascii="Times New Roman" w:cs="Times New Roman" w:eastAsia="Times New Roman" w:hAnsi="Times New Roman"/>
          <w:sz w:val="16"/>
          <w:szCs w:val="16"/>
          <w:color w:val="auto"/>
        </w:rPr>
        <w:t>. Neither a Participant nor any other person shall have any right to commute, sell, assign, transfer, pledge, anticipate, mortgage or</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4" w:right="239" w:bottom="1440" w:gutter="0" w:footer="0" w:header="0"/>
        </w:sectPr>
      </w:pPr>
    </w:p>
    <w:bookmarkStart w:id="59" w:name="page60"/>
    <w:bookmarkEnd w:id="59"/>
    <w:p>
      <w:pPr>
        <w:ind w:left="900" w:right="140" w:hanging="904"/>
        <w:spacing w:after="0" w:line="264" w:lineRule="auto"/>
        <w:tabs>
          <w:tab w:leader="none" w:pos="8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18"/>
          <w:szCs w:val="18"/>
          <w:b w:val="1"/>
          <w:bCs w:val="1"/>
          <w:u w:val="single" w:color="auto"/>
          <w:color w:val="auto"/>
        </w:rPr>
        <w:t>Not a Contract of Employment</w:t>
      </w:r>
      <w:r>
        <w:rPr>
          <w:rFonts w:ascii="Times New Roman" w:cs="Times New Roman" w:eastAsia="Times New Roman" w:hAnsi="Times New Roman"/>
          <w:sz w:val="18"/>
          <w:szCs w:val="18"/>
          <w:color w:val="auto"/>
        </w:rPr>
        <w:t>. This Plan shall not constitute a contract of employment between Company or any Participating Employer and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Participant. Nothing in this Plan shall give a Participant the right to be retained in the service of Company or any Participating Employer or to interfere with the right of the Company or any Participating Employer to discipline or discharge a Participant at any time.</w:t>
      </w:r>
    </w:p>
    <w:p>
      <w:pPr>
        <w:spacing w:after="0" w:line="46" w:lineRule="exact"/>
        <w:rPr>
          <w:sz w:val="20"/>
          <w:szCs w:val="20"/>
          <w:color w:val="auto"/>
        </w:rPr>
      </w:pPr>
    </w:p>
    <w:p>
      <w:pPr>
        <w:ind w:left="900" w:hanging="904"/>
        <w:spacing w:after="0" w:line="264" w:lineRule="auto"/>
        <w:tabs>
          <w:tab w:leader="none" w:pos="8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u w:val="single" w:color="auto"/>
          <w:color w:val="auto"/>
        </w:rPr>
        <w:t>Protective Provisions</w:t>
      </w:r>
      <w:r>
        <w:rPr>
          <w:rFonts w:ascii="Times New Roman" w:cs="Times New Roman" w:eastAsia="Times New Roman" w:hAnsi="Times New Roman"/>
          <w:sz w:val="18"/>
          <w:szCs w:val="18"/>
          <w:color w:val="auto"/>
        </w:rPr>
        <w:t>. A Participant will cooperate with Company by furnishing any and all information requested by Company, in order to</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facilitate the payment of benefits hereunder, and by taking such physical examinations as Company may deem necessary and taking such other action as may be requested by Company.</w:t>
      </w:r>
    </w:p>
    <w:p>
      <w:pPr>
        <w:spacing w:after="0" w:line="46" w:lineRule="exact"/>
        <w:rPr>
          <w:sz w:val="20"/>
          <w:szCs w:val="20"/>
          <w:color w:val="auto"/>
        </w:rPr>
      </w:pPr>
    </w:p>
    <w:p>
      <w:pPr>
        <w:ind w:left="900" w:right="60" w:hanging="904"/>
        <w:spacing w:after="0" w:line="277" w:lineRule="auto"/>
        <w:tabs>
          <w:tab w:leader="none" w:pos="8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provisions of this Plan shall be construed and interpreted according to the laws of the Commonwealth of Pennsylvania, except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as preempted by federal law.</w:t>
      </w:r>
    </w:p>
    <w:p>
      <w:pPr>
        <w:spacing w:after="0" w:line="35" w:lineRule="exact"/>
        <w:rPr>
          <w:sz w:val="20"/>
          <w:szCs w:val="20"/>
          <w:color w:val="auto"/>
        </w:rPr>
      </w:pPr>
    </w:p>
    <w:p>
      <w:pPr>
        <w:ind w:left="900" w:right="260" w:hanging="904"/>
        <w:spacing w:after="0" w:line="277" w:lineRule="auto"/>
        <w:tabs>
          <w:tab w:leader="none" w:pos="88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b w:val="1"/>
          <w:bCs w:val="1"/>
          <w:u w:val="single" w:color="auto"/>
          <w:color w:val="auto"/>
        </w:rPr>
        <w:t>Validity</w:t>
      </w:r>
      <w:r>
        <w:rPr>
          <w:rFonts w:ascii="Times New Roman" w:cs="Times New Roman" w:eastAsia="Times New Roman" w:hAnsi="Times New Roman"/>
          <w:sz w:val="18"/>
          <w:szCs w:val="18"/>
          <w:color w:val="auto"/>
        </w:rPr>
        <w:t>. If any provision of this Plan shall be held illegal or invalid for any reason, said illegality or invalidity shall not affect the remaining parts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hereof, but this Plan shall be construed and enforced as if such illegal and invalid provision had never been inserted herein.</w:t>
      </w:r>
    </w:p>
    <w:p>
      <w:pPr>
        <w:spacing w:after="0" w:line="35" w:lineRule="exact"/>
        <w:rPr>
          <w:sz w:val="20"/>
          <w:szCs w:val="20"/>
          <w:color w:val="auto"/>
        </w:rPr>
      </w:pPr>
    </w:p>
    <w:p>
      <w:pPr>
        <w:ind w:left="900" w:right="40" w:hanging="904"/>
        <w:spacing w:after="0" w:line="259" w:lineRule="auto"/>
        <w:tabs>
          <w:tab w:leader="none" w:pos="88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Any notice required or permitted under the Plan shall be sufficient if in writing and hand delivered or sent by registered or certified mail.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Such notice shall be deemed given as of the date of delivery or, if delivery is made by mail, as of the date shown on the postmark on the receipt for registration or certification. Mailed notice to the Committee shall be directed to the Company’s address. Mailed notice to a Participant or Beneficiary shall be directed to the individual’s last known address in Company’s records.</w:t>
      </w:r>
    </w:p>
    <w:p>
      <w:pPr>
        <w:spacing w:after="0" w:line="52" w:lineRule="exact"/>
        <w:rPr>
          <w:sz w:val="20"/>
          <w:szCs w:val="20"/>
          <w:color w:val="auto"/>
        </w:rPr>
      </w:pPr>
    </w:p>
    <w:p>
      <w:pPr>
        <w:ind w:left="900" w:right="200" w:hanging="904"/>
        <w:spacing w:after="0" w:line="264" w:lineRule="auto"/>
        <w:tabs>
          <w:tab w:leader="none" w:pos="8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 The provisions of this Plan shall bind and inure to the benefit of Company and its successors and assigns. The term successors as used</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herein shall include any corporate or other business entity which shall, whether by merger, consolidation, purchase or otherwise acquire all or substantially all of the business and assets of Company, and successors of any such corporation or other business entity.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60" w:top="272" w:right="23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of the 29</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day of August, 2012</w:t>
      </w:r>
    </w:p>
    <w:p>
      <w:pPr>
        <w:spacing w:after="0" w:line="2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NBCUNIVERSAL MEDIA, LLC</w:t>
      </w: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15875</wp:posOffset>
            </wp:positionV>
            <wp:extent cx="26327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566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ATTEST:</w:t>
      </w:r>
      <w:r>
        <w:rPr>
          <w:sz w:val="20"/>
          <w:szCs w:val="20"/>
          <w:color w:val="auto"/>
        </w:rPr>
        <w:tab/>
      </w:r>
      <w:r>
        <w:rPr>
          <w:rFonts w:ascii="Times New Roman" w:cs="Times New Roman" w:eastAsia="Times New Roman" w:hAnsi="Times New Roman"/>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15875</wp:posOffset>
            </wp:positionV>
            <wp:extent cx="22898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274"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NBCUniversal Media, LLC;</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26, 2012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 Executive Officer</w:t>
      </w:r>
    </w:p>
    <w:p>
      <w:pPr>
        <w:sectPr>
          <w:pgSz w:w="11900" w:h="16838" w:orient="portrait"/>
          <w:cols w:equalWidth="0" w:num="1">
            <w:col w:w="11420"/>
          </w:cols>
          <w:pgMar w:left="240" w:top="123"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NBCUniversal Media, LLC;</w:t>
      </w:r>
    </w:p>
    <w:p>
      <w:pPr>
        <w:spacing w:after="0" w:line="76" w:lineRule="exact"/>
        <w:rPr>
          <w:rFonts w:ascii="Times New Roman" w:cs="Times New Roman" w:eastAsia="Times New Roman" w:hAnsi="Times New Roman"/>
          <w:sz w:val="18"/>
          <w:szCs w:val="18"/>
          <w:color w:val="auto"/>
        </w:rPr>
      </w:pPr>
    </w:p>
    <w:p>
      <w:pPr>
        <w:ind w:left="460" w:hanging="452"/>
        <w:spacing w:after="0" w:line="325" w:lineRule="auto"/>
        <w:tabs>
          <w:tab w:leader="none" w:pos="4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26, 2012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ANGELAKIS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Principal Financial Officer</w:t>
      </w:r>
    </w:p>
    <w:p>
      <w:pPr>
        <w:sectPr>
          <w:pgSz w:w="11900" w:h="16838" w:orient="portrait"/>
          <w:cols w:equalWidth="0" w:num="1">
            <w:col w:w="11420"/>
          </w:cols>
          <w:pgMar w:left="240" w:top="274"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26, 2012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Brian L. Roberts, the Principal Executive Officer, and Michael J. Angelakis, the Principal Financial Officer, of NBCUniversal Media, LLC, each certifies that, to the best of his knowledge:</w:t>
      </w:r>
    </w:p>
    <w:p>
      <w:pPr>
        <w:spacing w:after="0" w:line="25"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76"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NBCUniversal Media, LLC.</w:t>
      </w: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Principal Executive Officer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ANGELAKIS</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Principal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decimal"/>
      <w:start w:val="31"/>
    </w:lvl>
  </w:abstractNum>
  <w:abstractNum w:abstractNumId="9">
    <w:nsid w:val="2D1D5AE9"/>
    <w:multiLevelType w:val="hybridMultilevel"/>
    <w:lvl w:ilvl="0">
      <w:lvlJc w:val="left"/>
      <w:lvlText w:val="%1"/>
      <w:numFmt w:val="decimal"/>
      <w:start w:val="10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3"/>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lvl w:ilvl="1">
      <w:lvlJc w:val="left"/>
      <w:lvlText w:val="%2)"/>
      <w:numFmt w:val="lowerRoman"/>
      <w:start w:val="1"/>
    </w:lvl>
  </w:abstractNum>
  <w:abstractNum w:abstractNumId="15">
    <w:nsid w:val="B03E0C6"/>
    <w:multiLevelType w:val="hybridMultilevel"/>
    <w:lvl w:ilvl="0">
      <w:lvlJc w:val="left"/>
      <w:lvlText w:val="%1"/>
      <w:numFmt w:val="lowerLetter"/>
      <w:start w:val="1"/>
    </w:lvl>
    <w:lvl w:ilvl="1">
      <w:lvlJc w:val="left"/>
      <w:lvlText w:val="%2)"/>
      <w:numFmt w:val="lowerLetter"/>
      <w:start w:val="35"/>
    </w:lvl>
  </w:abstractNum>
  <w:abstractNum w:abstractNumId="16">
    <w:nsid w:val="189A769B"/>
    <w:multiLevelType w:val="hybridMultilevel"/>
    <w:lvl w:ilvl="0">
      <w:lvlJc w:val="left"/>
      <w:lvlText w:val="%1)"/>
      <w:numFmt w:val="lowerLetter"/>
      <w:start w:val="2"/>
    </w:lvl>
    <w:lvl w:ilvl="1">
      <w:lvlJc w:val="left"/>
      <w:lvlText w:val="%2"/>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3"/>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3"/>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2019-12-09T12:02:02Z</dcterms:created>
  <dcterms:modified xsi:type="dcterms:W3CDTF">2019-12-09T12:02:02Z</dcterms:modified>
</cp:coreProperties>
</file>