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247"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47"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38"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33"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February 13, 2014 (February 12, 2014)</w:t>
      </w:r>
    </w:p>
    <w:p>
      <w:pPr>
        <w:spacing w:after="0" w:line="140"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Comcast Corporation</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35"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1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Pennsylvania</w:t>
            </w:r>
          </w:p>
        </w:tc>
        <w:tc>
          <w:tcPr>
            <w:tcW w:w="5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001-32871</w:t>
            </w:r>
          </w:p>
        </w:tc>
        <w:tc>
          <w:tcPr>
            <w:tcW w:w="16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27-0000798</w:t>
            </w:r>
          </w:p>
        </w:tc>
      </w:tr>
      <w:tr>
        <w:trPr>
          <w:trHeight w:val="216"/>
        </w:trPr>
        <w:tc>
          <w:tcPr>
            <w:tcW w:w="2160" w:type="dxa"/>
            <w:vAlign w:val="bottom"/>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ind w:right="50"/>
              <w:spacing w:after="0"/>
              <w:rPr>
                <w:sz w:val="20"/>
                <w:szCs w:val="20"/>
                <w:color w:val="auto"/>
              </w:rPr>
            </w:pPr>
            <w:r>
              <w:rPr>
                <w:rFonts w:ascii="Arial" w:cs="Arial" w:eastAsia="Arial" w:hAnsi="Arial"/>
                <w:sz w:val="18"/>
                <w:szCs w:val="18"/>
                <w:color w:val="auto"/>
                <w:w w:val="93"/>
              </w:rPr>
              <w:t>of Incorporation)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346"/>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One Comcast Center</w:t>
            </w:r>
          </w:p>
        </w:tc>
        <w:tc>
          <w:tcPr>
            <w:tcW w:w="1660" w:type="dxa"/>
            <w:vAlign w:val="bottom"/>
          </w:tcPr>
          <w:p>
            <w:pPr>
              <w:spacing w:after="0"/>
              <w:rPr>
                <w:sz w:val="24"/>
                <w:szCs w:val="24"/>
                <w:color w:val="auto"/>
              </w:rPr>
            </w:pPr>
          </w:p>
        </w:tc>
      </w:tr>
      <w:tr>
        <w:trPr>
          <w:trHeight w:val="220"/>
        </w:trPr>
        <w:tc>
          <w:tcPr>
            <w:tcW w:w="2160" w:type="dxa"/>
            <w:vAlign w:val="bottom"/>
          </w:tcPr>
          <w:p>
            <w:pPr>
              <w:spacing w:after="0"/>
              <w:rPr>
                <w:sz w:val="19"/>
                <w:szCs w:val="19"/>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Philadelphia, PA 19103-2838</w:t>
            </w:r>
          </w:p>
        </w:tc>
        <w:tc>
          <w:tcPr>
            <w:tcW w:w="1660" w:type="dxa"/>
            <w:vAlign w:val="bottom"/>
          </w:tcPr>
          <w:p>
            <w:pPr>
              <w:spacing w:after="0"/>
              <w:rPr>
                <w:sz w:val="19"/>
                <w:szCs w:val="19"/>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365"/>
        </w:trPr>
        <w:tc>
          <w:tcPr>
            <w:tcW w:w="216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(215) 286-1700</w:t>
            </w:r>
          </w:p>
        </w:tc>
        <w:tc>
          <w:tcPr>
            <w:tcW w:w="1660" w:type="dxa"/>
            <w:vAlign w:val="bottom"/>
          </w:tcPr>
          <w:p>
            <w:pPr>
              <w:spacing w:after="0"/>
              <w:rPr>
                <w:sz w:val="24"/>
                <w:szCs w:val="24"/>
                <w:color w:val="auto"/>
              </w:rPr>
            </w:pPr>
          </w:p>
        </w:tc>
      </w:tr>
      <w:tr>
        <w:trPr>
          <w:trHeight w:val="350"/>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N/A</w:t>
            </w:r>
          </w:p>
        </w:tc>
        <w:tc>
          <w:tcPr>
            <w:tcW w:w="166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660" w:type="dxa"/>
            <w:vAlign w:val="bottom"/>
          </w:tcPr>
          <w:p>
            <w:pPr>
              <w:spacing w:after="0"/>
              <w:rPr>
                <w:sz w:val="20"/>
                <w:szCs w:val="20"/>
                <w:color w:val="auto"/>
              </w:rPr>
            </w:pPr>
          </w:p>
        </w:tc>
      </w:tr>
    </w:tbl>
    <w:p>
      <w:pPr>
        <w:spacing w:after="0" w:line="130" w:lineRule="exact"/>
        <w:rPr>
          <w:sz w:val="24"/>
          <w:szCs w:val="24"/>
          <w:color w:val="auto"/>
        </w:rPr>
      </w:pPr>
    </w:p>
    <w:p>
      <w:pPr>
        <w:ind w:left="4600"/>
        <w:spacing w:after="0"/>
        <w:rPr>
          <w:sz w:val="20"/>
          <w:szCs w:val="20"/>
          <w:color w:val="auto"/>
        </w:rPr>
      </w:pPr>
      <w:r>
        <w:rPr>
          <w:rFonts w:ascii="Arial" w:cs="Arial" w:eastAsia="Arial" w:hAnsi="Arial"/>
          <w:sz w:val="14"/>
          <w:szCs w:val="14"/>
          <w:color w:val="auto"/>
        </w:rPr>
        <w:t>_______________________________</w:t>
      </w:r>
    </w:p>
    <w:p>
      <w:pPr>
        <w:spacing w:after="0" w:line="20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215" w:right="779" w:bottom="1440" w:gutter="0" w:footer="0" w:header="0"/>
        </w:sectPr>
      </w:pPr>
    </w:p>
    <w:bookmarkStart w:id="1" w:name="page2"/>
    <w:bookmarkEnd w:id="1"/>
    <w:p>
      <w:pPr>
        <w:spacing w:after="0"/>
        <w:tabs>
          <w:tab w:leader="none" w:pos="12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Merger Agreement</w:t>
      </w:r>
    </w:p>
    <w:p>
      <w:pPr>
        <w:spacing w:after="0" w:line="252" w:lineRule="exact"/>
        <w:rPr>
          <w:sz w:val="20"/>
          <w:szCs w:val="20"/>
          <w:color w:val="auto"/>
        </w:rPr>
      </w:pPr>
    </w:p>
    <w:p>
      <w:pPr>
        <w:jc w:val="both"/>
        <w:ind w:right="60" w:firstLine="648"/>
        <w:spacing w:after="0" w:line="281" w:lineRule="auto"/>
        <w:rPr>
          <w:sz w:val="20"/>
          <w:szCs w:val="20"/>
          <w:color w:val="auto"/>
        </w:rPr>
      </w:pPr>
      <w:r>
        <w:rPr>
          <w:rFonts w:ascii="Arial" w:cs="Arial" w:eastAsia="Arial" w:hAnsi="Arial"/>
          <w:sz w:val="17"/>
          <w:szCs w:val="17"/>
          <w:color w:val="auto"/>
        </w:rPr>
        <w:t>On February 12, 2014, Comcast Corporation, a Pennsylvania corporation (“</w:t>
      </w:r>
      <w:r>
        <w:rPr>
          <w:rFonts w:ascii="Arial" w:cs="Arial" w:eastAsia="Arial" w:hAnsi="Arial"/>
          <w:sz w:val="17"/>
          <w:szCs w:val="17"/>
          <w:b w:val="1"/>
          <w:bCs w:val="1"/>
          <w:color w:val="auto"/>
        </w:rPr>
        <w:t>Comcast</w:t>
      </w:r>
      <w:r>
        <w:rPr>
          <w:rFonts w:ascii="Arial" w:cs="Arial" w:eastAsia="Arial" w:hAnsi="Arial"/>
          <w:sz w:val="17"/>
          <w:szCs w:val="17"/>
          <w:color w:val="auto"/>
        </w:rPr>
        <w:t>”), Time Warner Cable Inc., a Delaware corporation (“</w:t>
      </w:r>
      <w:r>
        <w:rPr>
          <w:rFonts w:ascii="Arial" w:cs="Arial" w:eastAsia="Arial" w:hAnsi="Arial"/>
          <w:sz w:val="17"/>
          <w:szCs w:val="17"/>
          <w:b w:val="1"/>
          <w:bCs w:val="1"/>
          <w:color w:val="auto"/>
        </w:rPr>
        <w:t>TWC</w:t>
      </w:r>
      <w:r>
        <w:rPr>
          <w:rFonts w:ascii="Arial" w:cs="Arial" w:eastAsia="Arial" w:hAnsi="Arial"/>
          <w:sz w:val="17"/>
          <w:szCs w:val="17"/>
          <w:color w:val="auto"/>
        </w:rPr>
        <w:t>”), and Tango Acquisition Sub, Inc., a Delaware corporation and a wholly owned subsidiary of Comcast (“</w:t>
      </w:r>
      <w:r>
        <w:rPr>
          <w:rFonts w:ascii="Arial" w:cs="Arial" w:eastAsia="Arial" w:hAnsi="Arial"/>
          <w:sz w:val="17"/>
          <w:szCs w:val="17"/>
          <w:b w:val="1"/>
          <w:bCs w:val="1"/>
          <w:color w:val="auto"/>
        </w:rPr>
        <w:t>Merger Subsidiary</w:t>
      </w:r>
      <w:r>
        <w:rPr>
          <w:rFonts w:ascii="Arial" w:cs="Arial" w:eastAsia="Arial" w:hAnsi="Arial"/>
          <w:sz w:val="17"/>
          <w:szCs w:val="17"/>
          <w:color w:val="auto"/>
        </w:rPr>
        <w:t>”), entered into an Agreement and Plan of Merger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subject to the satisfaction or waiver of certain conditions, Merger Subsidiary will merge with and into TWC (the “</w:t>
      </w:r>
      <w:r>
        <w:rPr>
          <w:rFonts w:ascii="Arial" w:cs="Arial" w:eastAsia="Arial" w:hAnsi="Arial"/>
          <w:sz w:val="17"/>
          <w:szCs w:val="17"/>
          <w:b w:val="1"/>
          <w:bCs w:val="1"/>
          <w:color w:val="auto"/>
        </w:rPr>
        <w:t>Merger</w:t>
      </w:r>
      <w:r>
        <w:rPr>
          <w:rFonts w:ascii="Arial" w:cs="Arial" w:eastAsia="Arial" w:hAnsi="Arial"/>
          <w:sz w:val="17"/>
          <w:szCs w:val="17"/>
          <w:color w:val="auto"/>
        </w:rPr>
        <w:t>”), with TWC surviving as a wholly owned subsidiary of Comcast.</w:t>
      </w:r>
    </w:p>
    <w:p>
      <w:pPr>
        <w:spacing w:after="0" w:line="19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Upon the consummation of the Merger, each share of TWC common stock (other than treasury shares held by TWC and any shares of TWC common stock owned by Comcast) will be converted into the right to receive 2.875 shares of Comcast Class A Common Stock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Consideration</w:t>
      </w:r>
      <w:r>
        <w:rPr>
          <w:rFonts w:ascii="Arial" w:cs="Arial" w:eastAsia="Arial" w:hAnsi="Arial"/>
          <w:sz w:val="18"/>
          <w:szCs w:val="18"/>
          <w:color w:val="auto"/>
        </w:rPr>
        <w:t>”). No fractional shares of Comcast Class A Common Stock will be issued in the Merger and TWC’s stockholders will receive cash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any fractional shares.</w:t>
      </w:r>
    </w:p>
    <w:p>
      <w:pPr>
        <w:spacing w:after="0" w:line="21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TWC stock options and other equity awards will generally convert upon consummation of the Merger into stock options and equity awards with respect to Comcast Class A Common Stock, after giving effect to the 2.875 exchange ratio. However, in the case of (i) any restricted stock units held by current or former non-employee directors of TWC; and (ii) any options or restricted stock units held by former employees of TWC, such options or restricted stock units will be cancelled and converted into the right to receive cash from TWC. in an amount equal to the number of shares of stock that such options or restricted stock units would have converted into after giving effect to the 2.875 exchange ratio multiplied by the closing sale price of Comcast Class A Common Stock on the trading day immediately prior to the consummation of the Merger and, in the case of options, minus the aggregate exercise price of such options</w:t>
      </w:r>
    </w:p>
    <w:p>
      <w:pPr>
        <w:spacing w:after="0" w:line="2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Comcast and TWC each made customary representations, warranties and covenants in the Merger Agreement, including, among others, covenants by each of Comcast and TWC to, subject to certain exceptions, conduct its business in the ordinary course during the interim period between the execution of the Merger Agreement and the consummation of the Merger. Each of Comcast and TWC are permitted to pay regular quarterly cash dividends.</w:t>
      </w:r>
    </w:p>
    <w:p>
      <w:pPr>
        <w:spacing w:after="0" w:line="17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obligation of the parties to consummate the Merger is subject to customary closing conditions, including, among other things, (i) the approval and adoption of the Merger Agreement by TWC’s stockholders; (ii) the approval by Comcast’s shareholders of the issuance of Comcast Class A Common Stock in the Merger (the “</w:t>
      </w:r>
      <w:r>
        <w:rPr>
          <w:rFonts w:ascii="Arial" w:cs="Arial" w:eastAsia="Arial" w:hAnsi="Arial"/>
          <w:sz w:val="16"/>
          <w:szCs w:val="16"/>
          <w:b w:val="1"/>
          <w:bCs w:val="1"/>
          <w:color w:val="auto"/>
        </w:rPr>
        <w:t>Stock Issuance</w:t>
      </w:r>
      <w:r>
        <w:rPr>
          <w:rFonts w:ascii="Arial" w:cs="Arial" w:eastAsia="Arial" w:hAnsi="Arial"/>
          <w:sz w:val="16"/>
          <w:szCs w:val="16"/>
          <w:color w:val="auto"/>
        </w:rPr>
        <w:t>”); (iii) the expiration or termination of the applicable waiting period under the Hart-Scott-Rodino Antitrust Improvements Act of 1976; (iv) the receipt of applicable regulatory approvals from the Federal Communications Commission and local franchising authorities; (v) the absence of legal restraints and prohibitions; and (vi) the effectiveness of the registration statement on Form S-4 to be filed with the Securities and Exchange Commission and the approval of the listing on the NASDAQ of the Comcast Class A Common Stock to be issued in the Merger. Comcast’s obligation is further subject to the satisfaction of certain regulatory conditions without the imposition of burdensome conditions or actions as more fully described in the Merger Agreement. The obligation of each party to consummate the Merger is also conditioned upon the other party’s representations and warranties being true and correct (subject to certain materiality exceptions), the other party having performed in all material respects its material obligations under the Merger Agreement and the other party having not suffered a material adverse effect.</w:t>
      </w:r>
    </w:p>
    <w:p>
      <w:pPr>
        <w:spacing w:after="0" w:line="19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Merger Agreement requires each of Comcast and TWC to call and hold special shareholder meetings and, subject to certain exceptions, requires TWC’s board of directors to recommend that TWC’s stockholders approve and adopt the Merger Agreement. Prior to the approval and adoption of the Merger Agreement by TWC’s stockholders, TWC’s board of directors may, upon receipt of a Company Superior Proposal (as defined in the Merger Agreement) and in certain other circumstances, change its recommendation that TWC’s stockholders approve and adopt the Merger Agreement, subject to complying with notice and other specified conditions, including giving Comcast the opportunity to propose changes to the Merger Agreement in response to such Company Superior Proposal or other circumstances. If TWC’s board of directors changes its recommendation that TWC’s stockholders approve and adopt the Merger Agreement, Comcast may terminate the Merger Agreement. Unless Comcast terminates the Merger Agreement, TWC would remain obligated to call and hold the special meeting and does not have the right to terminate the merger agreement in connection with such a change in recommendation.</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Merger Agreement contains certain other termination rights for each of Comcast and TWC, including the right of each party to terminate the Merger Agreement if the Merger has not been consummated by the “end date” of February 12, 2015, subject to each party’s right to extend the end date for an additional six months if all closing conditions (other than receipt of antitrust and other specified regulatory approvals) have been satisfied by February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ind w:right="40" w:firstLine="648"/>
        <w:spacing w:after="0" w:line="277"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full text of the Merger Agreement, which is filed herewith as Exhibit 2.1 and is incorporated herein by reference.</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 copy of the Merger Agreement has been included as an exhibit to this Current Report on Form 8-Kto provide investors with information regarding its terms. It is not intended to provide any other factual information about Comcast, TWC or any of their respective subsidiaries or affiliates. The representations, warranties and covenants contained in the Merger Agreement were made only for purposes of that agreement and as of specific dates; were made solely for the benefit of the parties to the Merger Agreement; may be subject to limitations agreed upon by the contracting parties, including being qualified by confidential disclosures; may not have been intended to be statements of fact, but rather, as a method of allocating contractual risk and governing the contractual rights and relationships between the parties to the Merger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Comcast, TWC or any of their respective subsidiaries or affiliates. Moreover, information concerning the subject matter of the representations, warranties and covenants may change after the date of the Merger Agreement, which subsequent information may or may not be fully reflected in Comcast’s or TWC’s public disclosures.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Voting Agreement</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February 12, 2014, concurrently with the execution of the Merger Agreement, TWC entered into a voting agreement (the “</w:t>
      </w:r>
      <w:r>
        <w:rPr>
          <w:rFonts w:ascii="Arial" w:cs="Arial" w:eastAsia="Arial" w:hAnsi="Arial"/>
          <w:sz w:val="16"/>
          <w:szCs w:val="16"/>
          <w:b w:val="1"/>
          <w:bCs w:val="1"/>
          <w:color w:val="auto"/>
        </w:rPr>
        <w:t>Voting Agreement</w:t>
      </w:r>
      <w:r>
        <w:rPr>
          <w:rFonts w:ascii="Arial" w:cs="Arial" w:eastAsia="Arial" w:hAnsi="Arial"/>
          <w:sz w:val="16"/>
          <w:szCs w:val="16"/>
          <w:color w:val="auto"/>
        </w:rPr>
        <w:t>”) with Brian L. Roberts and certain family trusts and investment vehicles (collectively, the “</w:t>
      </w:r>
      <w:r>
        <w:rPr>
          <w:rFonts w:ascii="Arial" w:cs="Arial" w:eastAsia="Arial" w:hAnsi="Arial"/>
          <w:sz w:val="16"/>
          <w:szCs w:val="16"/>
          <w:b w:val="1"/>
          <w:bCs w:val="1"/>
          <w:color w:val="auto"/>
        </w:rPr>
        <w:t>Principal Stockholders</w:t>
      </w:r>
      <w:r>
        <w:rPr>
          <w:rFonts w:ascii="Arial" w:cs="Arial" w:eastAsia="Arial" w:hAnsi="Arial"/>
          <w:sz w:val="16"/>
          <w:szCs w:val="16"/>
          <w:color w:val="auto"/>
        </w:rPr>
        <w:t>”) which, together, hold approximately 471,435.749 shares of Comcast Class A Common Stock and 9,444,375 shares of Comcast Class B Common Stock. Pursuant to the Voting Agreement, each Principal Stockholder agreed, among other things, to vote all of its shares in favor of the Stock Issuance, and against any actions that would impede the consummation of the Merger. In addition, pursuant to the Voting Agreement, immediately after the execution of the Merger Agreement, each Principal Stockholder that is the holder of Comcast Class B Common Stock executed a written consent in favor of the Stock Issuance for purposes of the separate approval rights held by holders of Comcast Class B Common Stock pursuant to the Amended and Restated Articles of Incorporation of Comcast.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Stockholders further agreed, subject to certain exceptions, not to transfer or convert their shares of Comcast Class B Common Stock during the term of the Voting Agreement.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Voting Agreement will terminate upon the earlier of (i) the consummation of the Merger; (ii) the termination of the Merger Agreement in accordance with its terms; and (iii) the date on which the Merger Agreement is modified, amended or supplemented, or any waiver is granted thereunder, which has not been consented to by Brian L. Roberts or holders of a majority of the Class B Common Stock and would (A) increase the Exchange Ratio, (B) change the form of Merger Consideration or (C) otherwise amend certain provisions of the Merger Agreement in a manner materially adverse to investors.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foregoing description of the Voting Agreement does not purport to be complete, and is qualified in its entirety by reference to the full text of the Voting Agreement, which is filed herewith as Exhibit 2.2 and is incorporated herein by reference.</w:t>
      </w:r>
    </w:p>
    <w:p>
      <w:pPr>
        <w:spacing w:after="0" w:line="1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 copy of the joint press release announcing the execution of the Merger Agreement is attached hereto as Exhibit 99.1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and TWC, Comcast and TWC will file relevant materials with the Securities and Exchange Commission (the “SEC”), including a Comcast registration statement on Form S-4 that will include a joint proxy statement of Comcast and TWC that also constitutes a prospectus of Comcast, and a definitive joint proxy statement/prospectus will be mailed to shareholders of Comcast and TWC. INVESTORS AND SECURITY HOLDERS OF COMCAST AND TWC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TWC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TWC will be available free of charge on TWC’s website at http://ir.timewarnercable.com or by contacting TWC’s Investor Relations Department at 877-446-3689.</w:t>
      </w:r>
    </w:p>
    <w:p>
      <w:pPr>
        <w:spacing w:after="0" w:line="20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Comcast, TWC, their respective directors and certain of their respective executive officers may be considered participants in the solicitation of proxies in connection with the proposed transaction. Information about the directors and executive officers of TWC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in this communication regarding the proposed acquisition of TWC by Comcast, including any statements regarding the expected timetable for completing the transaction, benefits and synergies of the transaction, future opportunities for the combined company and products, and any other statements regarding Comcast’s and TWC’s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TWC’s operations into those of Comcast; and the diversion of management time on transaction-related issues. Additional information concerning these and other factors can be found in Comcast’s and TWC’s respective filings with the SEC, including Comcast’s and TWC’s most recent Annual Reports on Form 10-K, Quarterly Reports on Form 10-Q and Current Reports on Form 8-K. Comcast and TWC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 w:name="page5"/>
    <w:bookmarkEnd w:id="4"/>
    <w:p>
      <w:pPr>
        <w:spacing w:after="0"/>
        <w:tabs>
          <w:tab w:leader="none" w:pos="12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February 12, 2014 among Comcast Corporation, Time Warner Cable Inc. and Tango Acquisition Sub, Inc.*</w:t>
      </w:r>
    </w:p>
    <w:p>
      <w:pPr>
        <w:spacing w:after="0" w:line="197" w:lineRule="exact"/>
        <w:rPr>
          <w:sz w:val="20"/>
          <w:szCs w:val="20"/>
          <w:color w:val="auto"/>
        </w:rPr>
      </w:pPr>
    </w:p>
    <w:p>
      <w:pPr>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Voting Agreement dated as of February 12, 2014 among Time Warner Cable Inc., Brian L. Roberts, BRCC Holdings LLC, Irrevocable Deed of Trust of Brian L. Roberts for Children and Other Issue dated June 10, 1998 and Irrevocable Deed of Trust of Ralph J. Roberts for Brian L. Roberts and Other Beneficiaries dated May 11, 1993.*</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Joint Press Release dated February 12, 2014.</w:t>
      </w:r>
    </w:p>
    <w:p>
      <w:pPr>
        <w:spacing w:after="0" w:line="200" w:lineRule="exact"/>
        <w:rPr>
          <w:sz w:val="20"/>
          <w:szCs w:val="20"/>
          <w:color w:val="auto"/>
        </w:rPr>
      </w:pPr>
    </w:p>
    <w:p>
      <w:pPr>
        <w:spacing w:after="0" w:line="295" w:lineRule="exact"/>
        <w:rPr>
          <w:sz w:val="20"/>
          <w:szCs w:val="20"/>
          <w:color w:val="auto"/>
        </w:rPr>
      </w:pPr>
    </w:p>
    <w:p>
      <w:pPr>
        <w:ind w:left="660" w:hanging="4"/>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have been omitted from this filing pursuant to Item 601(b)(2) of Regulation S-K. Comcast agrees to furnish supplementally a copy of any omitted schedule to the SEC upon its request; provided, however, that Comcast may request confidential treatment pursuant to Rule 24b-2 of the Exchange Act for any schedule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960" w:type="dxa"/>
            <w:vAlign w:val="bottom"/>
            <w:gridSpan w:val="3"/>
          </w:tcPr>
          <w:p>
            <w:pPr>
              <w:ind w:left="2280"/>
              <w:spacing w:after="0"/>
              <w:rPr>
                <w:sz w:val="20"/>
                <w:szCs w:val="20"/>
                <w:color w:val="auto"/>
              </w:rPr>
            </w:pPr>
            <w:r>
              <w:rPr>
                <w:rFonts w:ascii="Arial" w:cs="Arial" w:eastAsia="Arial" w:hAnsi="Arial"/>
                <w:sz w:val="18"/>
                <w:szCs w:val="18"/>
                <w:color w:val="auto"/>
              </w:rPr>
              <w:t>Comcast Corporation</w:t>
            </w:r>
          </w:p>
        </w:tc>
      </w:tr>
      <w:tr>
        <w:trPr>
          <w:trHeight w:val="648"/>
        </w:trPr>
        <w:tc>
          <w:tcPr>
            <w:tcW w:w="3460" w:type="dxa"/>
            <w:vAlign w:val="bottom"/>
            <w:gridSpan w:val="2"/>
          </w:tcPr>
          <w:p>
            <w:pPr>
              <w:spacing w:after="0"/>
              <w:rPr>
                <w:sz w:val="20"/>
                <w:szCs w:val="20"/>
                <w:color w:val="auto"/>
              </w:rPr>
            </w:pPr>
            <w:r>
              <w:rPr>
                <w:rFonts w:ascii="Arial" w:cs="Arial" w:eastAsia="Arial" w:hAnsi="Arial"/>
                <w:sz w:val="18"/>
                <w:szCs w:val="18"/>
                <w:color w:val="auto"/>
              </w:rPr>
              <w:t>Date:  February 13, 2014</w:t>
            </w:r>
          </w:p>
        </w:tc>
        <w:tc>
          <w:tcPr>
            <w:tcW w:w="7960" w:type="dxa"/>
            <w:vAlign w:val="bottom"/>
            <w:gridSpan w:val="3"/>
          </w:tcPr>
          <w:p>
            <w:pPr>
              <w:ind w:left="2280"/>
              <w:spacing w:after="0"/>
              <w:rPr>
                <w:sz w:val="20"/>
                <w:szCs w:val="20"/>
                <w:color w:val="auto"/>
              </w:rPr>
            </w:pPr>
            <w:r>
              <w:rPr>
                <w:rFonts w:ascii="Arial" w:cs="Arial" w:eastAsia="Arial" w:hAnsi="Arial"/>
                <w:sz w:val="18"/>
                <w:szCs w:val="18"/>
                <w:color w:val="auto"/>
              </w:rPr>
              <w:t>By:  /s/ Arthur R. Block</w:t>
            </w:r>
          </w:p>
        </w:tc>
      </w:tr>
      <w:tr>
        <w:trPr>
          <w:trHeight w:val="195"/>
        </w:trPr>
        <w:tc>
          <w:tcPr>
            <w:tcW w:w="580" w:type="dxa"/>
            <w:vAlign w:val="bottom"/>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c>
          <w:tcPr>
            <w:tcW w:w="274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Arthur R. Block</w:t>
            </w:r>
          </w:p>
        </w:tc>
      </w:tr>
      <w:tr>
        <w:trPr>
          <w:trHeight w:val="216"/>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320" w:type="dxa"/>
            <w:vAlign w:val="bottom"/>
            <w:gridSpan w:val="2"/>
          </w:tcPr>
          <w:p>
            <w:pPr>
              <w:ind w:left="2740"/>
              <w:spacing w:after="0"/>
              <w:rPr>
                <w:sz w:val="20"/>
                <w:szCs w:val="20"/>
                <w:color w:val="auto"/>
              </w:rPr>
            </w:pPr>
            <w:r>
              <w:rPr>
                <w:rFonts w:ascii="Arial" w:cs="Arial" w:eastAsia="Arial" w:hAnsi="Arial"/>
                <w:sz w:val="18"/>
                <w:szCs w:val="18"/>
                <w:color w:val="auto"/>
              </w:rPr>
              <w:t>Title:</w:t>
            </w:r>
          </w:p>
        </w:tc>
        <w:tc>
          <w:tcPr>
            <w:tcW w:w="4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30"/>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Secretary</w:t>
            </w:r>
          </w:p>
        </w:tc>
      </w:tr>
      <w:tr>
        <w:trPr>
          <w:trHeight w:val="1145"/>
        </w:trPr>
        <w:tc>
          <w:tcPr>
            <w:tcW w:w="58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648"/>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Pr>
          <w:p>
            <w:pPr>
              <w:spacing w:after="0"/>
              <w:rPr>
                <w:sz w:val="24"/>
                <w:szCs w:val="24"/>
                <w:color w:val="auto"/>
              </w:rPr>
            </w:pPr>
          </w:p>
        </w:tc>
        <w:tc>
          <w:tcPr>
            <w:tcW w:w="10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0"/>
              </w:rPr>
              <w:t>Agreement and Plan of Merger dated as of February 12, 2014 among Comcast Corporation, Time Warner Cable Inc. and Tango Acquisition</w:t>
            </w:r>
          </w:p>
        </w:tc>
        <w:tc>
          <w:tcPr>
            <w:tcW w:w="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Sub, Inc.*</w:t>
            </w:r>
          </w:p>
        </w:tc>
        <w:tc>
          <w:tcPr>
            <w:tcW w:w="2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Voting Agreement dated as of February 12, 2014 among Time Warner Cable Inc., Brian L. Roberts, BRCC Holdings LLC, Irrevocable Deed</w:t>
            </w:r>
          </w:p>
        </w:tc>
        <w:tc>
          <w:tcPr>
            <w:tcW w:w="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of Trust of Brian L. Roberts for Children and Other Issue dated June 10, 1998 and Irrevocable Deed of Trust of Ralph J. Roberts for Brian</w:t>
            </w:r>
          </w:p>
        </w:tc>
        <w:tc>
          <w:tcPr>
            <w:tcW w:w="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L. Roberts and Other Beneficiaries dated May 11, 1993.*</w:t>
            </w:r>
          </w:p>
        </w:tc>
        <w:tc>
          <w:tcPr>
            <w:tcW w:w="2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Joint Press Release dated February 12, 2014.</w:t>
            </w:r>
          </w:p>
        </w:tc>
        <w:tc>
          <w:tcPr>
            <w:tcW w:w="20" w:type="dxa"/>
            <w:vAlign w:val="bottom"/>
          </w:tcPr>
          <w:p>
            <w:pPr>
              <w:spacing w:after="0"/>
              <w:rPr>
                <w:sz w:val="24"/>
                <w:szCs w:val="24"/>
                <w:color w:val="auto"/>
              </w:rPr>
            </w:pPr>
          </w:p>
        </w:tc>
      </w:tr>
      <w:tr>
        <w:trPr>
          <w:trHeight w:val="350"/>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 Schedules have been omitted from this filing pursuant to Item 601(b)(2) of Regulation S-K. Comcast agrees to furnish supplementally a</w:t>
            </w:r>
          </w:p>
        </w:tc>
        <w:tc>
          <w:tcPr>
            <w:tcW w:w="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copy of any omitted schedule to the SEC upon its request; provided, however, that Comcast may request confidential treatment pursuant to</w:t>
            </w:r>
          </w:p>
        </w:tc>
        <w:tc>
          <w:tcPr>
            <w:tcW w:w="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Rule 24b-2 of the Exchange Act for any schedule so furnished.</w:t>
            </w:r>
          </w:p>
        </w:tc>
        <w:tc>
          <w:tcPr>
            <w:tcW w:w="20" w:type="dxa"/>
            <w:vAlign w:val="bottom"/>
          </w:tcPr>
          <w:p>
            <w:pPr>
              <w:spacing w:after="0"/>
              <w:rPr>
                <w:sz w:val="20"/>
                <w:szCs w:val="20"/>
                <w:color w:val="auto"/>
              </w:rPr>
            </w:pPr>
          </w:p>
        </w:tc>
      </w:tr>
      <w:tr>
        <w:trPr>
          <w:trHeight w:val="1064"/>
        </w:trPr>
        <w:tc>
          <w:tcPr>
            <w:tcW w:w="1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99" w:right="2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5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TANGO ACQUISITION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426720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520"/>
        </w:trPr>
        <w:tc>
          <w:tcPr>
            <w:tcW w:w="898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20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1.01.</w:t>
            </w:r>
          </w:p>
        </w:tc>
        <w:tc>
          <w:tcPr>
            <w:tcW w:w="758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1.02.</w:t>
            </w:r>
          </w:p>
        </w:tc>
        <w:tc>
          <w:tcPr>
            <w:tcW w:w="7580" w:type="dxa"/>
            <w:vAlign w:val="bottom"/>
          </w:tcPr>
          <w:p>
            <w:pPr>
              <w:ind w:left="320"/>
              <w:spacing w:after="0"/>
              <w:rPr>
                <w:sz w:val="20"/>
                <w:szCs w:val="20"/>
                <w:color w:val="auto"/>
              </w:rPr>
            </w:pPr>
            <w:r>
              <w:rPr>
                <w:rFonts w:ascii="Arial" w:cs="Arial" w:eastAsia="Arial" w:hAnsi="Arial"/>
                <w:sz w:val="18"/>
                <w:szCs w:val="18"/>
                <w:color w:val="auto"/>
              </w:rPr>
              <w:t>Other Definitional and Interpretative Provisions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8980" w:type="dxa"/>
            <w:vAlign w:val="bottom"/>
            <w:gridSpan w:val="2"/>
          </w:tcPr>
          <w:p>
            <w:pPr>
              <w:spacing w:after="0"/>
              <w:rPr>
                <w:sz w:val="20"/>
                <w:szCs w:val="20"/>
                <w:color w:val="auto"/>
              </w:rPr>
            </w:pPr>
            <w:r>
              <w:rPr>
                <w:rFonts w:ascii="Arial" w:cs="Arial" w:eastAsia="Arial" w:hAnsi="Arial"/>
                <w:sz w:val="18"/>
                <w:szCs w:val="18"/>
                <w:color w:val="auto"/>
              </w:rPr>
              <w:t>ARTICLE 2 The Merger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2.01.</w:t>
            </w:r>
          </w:p>
        </w:tc>
        <w:tc>
          <w:tcPr>
            <w:tcW w:w="7580" w:type="dxa"/>
            <w:vAlign w:val="bottom"/>
          </w:tcPr>
          <w:p>
            <w:pPr>
              <w:ind w:left="320"/>
              <w:spacing w:after="0"/>
              <w:rPr>
                <w:sz w:val="20"/>
                <w:szCs w:val="20"/>
                <w:color w:val="auto"/>
              </w:rPr>
            </w:pPr>
            <w:r>
              <w:rPr>
                <w:rFonts w:ascii="Arial" w:cs="Arial" w:eastAsia="Arial" w:hAnsi="Arial"/>
                <w:sz w:val="18"/>
                <w:szCs w:val="18"/>
                <w:color w:val="auto"/>
              </w:rPr>
              <w:t>The Merger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2.02.</w:t>
            </w:r>
          </w:p>
        </w:tc>
        <w:tc>
          <w:tcPr>
            <w:tcW w:w="7580" w:type="dxa"/>
            <w:vAlign w:val="bottom"/>
          </w:tcPr>
          <w:p>
            <w:pPr>
              <w:ind w:left="320"/>
              <w:spacing w:after="0"/>
              <w:rPr>
                <w:sz w:val="20"/>
                <w:szCs w:val="20"/>
                <w:color w:val="auto"/>
              </w:rPr>
            </w:pPr>
            <w:r>
              <w:rPr>
                <w:rFonts w:ascii="Arial" w:cs="Arial" w:eastAsia="Arial" w:hAnsi="Arial"/>
                <w:sz w:val="18"/>
                <w:szCs w:val="18"/>
                <w:color w:val="auto"/>
              </w:rPr>
              <w:t>Conversion of Shares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2.03.</w:t>
            </w:r>
          </w:p>
        </w:tc>
        <w:tc>
          <w:tcPr>
            <w:tcW w:w="7580" w:type="dxa"/>
            <w:vAlign w:val="bottom"/>
          </w:tcPr>
          <w:p>
            <w:pPr>
              <w:ind w:left="320"/>
              <w:spacing w:after="0"/>
              <w:rPr>
                <w:sz w:val="20"/>
                <w:szCs w:val="20"/>
                <w:color w:val="auto"/>
              </w:rPr>
            </w:pPr>
            <w:r>
              <w:rPr>
                <w:rFonts w:ascii="Arial" w:cs="Arial" w:eastAsia="Arial" w:hAnsi="Arial"/>
                <w:sz w:val="18"/>
                <w:szCs w:val="18"/>
                <w:color w:val="auto"/>
              </w:rPr>
              <w:t>Surrender and Payment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2.04.</w:t>
            </w:r>
          </w:p>
        </w:tc>
        <w:tc>
          <w:tcPr>
            <w:tcW w:w="7580" w:type="dxa"/>
            <w:vAlign w:val="bottom"/>
          </w:tcPr>
          <w:p>
            <w:pPr>
              <w:ind w:left="320"/>
              <w:spacing w:after="0"/>
              <w:rPr>
                <w:sz w:val="20"/>
                <w:szCs w:val="20"/>
                <w:color w:val="auto"/>
              </w:rPr>
            </w:pPr>
            <w:r>
              <w:rPr>
                <w:rFonts w:ascii="Arial" w:cs="Arial" w:eastAsia="Arial" w:hAnsi="Arial"/>
                <w:sz w:val="18"/>
                <w:szCs w:val="18"/>
                <w:color w:val="auto"/>
              </w:rPr>
              <w:t>Equity-Based Awards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2.05.</w:t>
            </w:r>
          </w:p>
        </w:tc>
        <w:tc>
          <w:tcPr>
            <w:tcW w:w="758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2.06.</w:t>
            </w:r>
          </w:p>
        </w:tc>
        <w:tc>
          <w:tcPr>
            <w:tcW w:w="7580" w:type="dxa"/>
            <w:vAlign w:val="bottom"/>
          </w:tcPr>
          <w:p>
            <w:pPr>
              <w:ind w:left="320"/>
              <w:spacing w:after="0"/>
              <w:rPr>
                <w:sz w:val="20"/>
                <w:szCs w:val="20"/>
                <w:color w:val="auto"/>
              </w:rPr>
            </w:pPr>
            <w:r>
              <w:rPr>
                <w:rFonts w:ascii="Arial" w:cs="Arial" w:eastAsia="Arial" w:hAnsi="Arial"/>
                <w:sz w:val="18"/>
                <w:szCs w:val="18"/>
                <w:color w:val="auto"/>
              </w:rPr>
              <w:t>Fractional Shares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2.07.</w:t>
            </w:r>
          </w:p>
        </w:tc>
        <w:tc>
          <w:tcPr>
            <w:tcW w:w="7580" w:type="dxa"/>
            <w:vAlign w:val="bottom"/>
          </w:tcPr>
          <w:p>
            <w:pPr>
              <w:ind w:left="320"/>
              <w:spacing w:after="0"/>
              <w:rPr>
                <w:sz w:val="20"/>
                <w:szCs w:val="20"/>
                <w:color w:val="auto"/>
              </w:rPr>
            </w:pPr>
            <w:r>
              <w:rPr>
                <w:rFonts w:ascii="Arial" w:cs="Arial" w:eastAsia="Arial" w:hAnsi="Arial"/>
                <w:sz w:val="18"/>
                <w:szCs w:val="18"/>
                <w:color w:val="auto"/>
              </w:rPr>
              <w:t>Withholding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2.08.</w:t>
            </w:r>
          </w:p>
        </w:tc>
        <w:tc>
          <w:tcPr>
            <w:tcW w:w="7580" w:type="dxa"/>
            <w:vAlign w:val="bottom"/>
          </w:tcPr>
          <w:p>
            <w:pPr>
              <w:ind w:left="320"/>
              <w:spacing w:after="0"/>
              <w:rPr>
                <w:sz w:val="20"/>
                <w:szCs w:val="20"/>
                <w:color w:val="auto"/>
              </w:rPr>
            </w:pPr>
            <w:r>
              <w:rPr>
                <w:rFonts w:ascii="Arial" w:cs="Arial" w:eastAsia="Arial" w:hAnsi="Arial"/>
                <w:sz w:val="18"/>
                <w:szCs w:val="18"/>
                <w:color w:val="auto"/>
              </w:rPr>
              <w:t>Lost Certificates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8980" w:type="dxa"/>
            <w:vAlign w:val="bottom"/>
            <w:gridSpan w:val="2"/>
          </w:tcPr>
          <w:p>
            <w:pPr>
              <w:spacing w:after="0"/>
              <w:rPr>
                <w:sz w:val="20"/>
                <w:szCs w:val="20"/>
                <w:color w:val="auto"/>
              </w:rPr>
            </w:pPr>
            <w:r>
              <w:rPr>
                <w:rFonts w:ascii="Arial" w:cs="Arial" w:eastAsia="Arial" w:hAnsi="Arial"/>
                <w:sz w:val="18"/>
                <w:szCs w:val="18"/>
                <w:color w:val="auto"/>
              </w:rPr>
              <w:t>ARTICLE 3 The Surviving Corporation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3.01.</w:t>
            </w:r>
          </w:p>
        </w:tc>
        <w:tc>
          <w:tcPr>
            <w:tcW w:w="7580" w:type="dxa"/>
            <w:vAlign w:val="bottom"/>
          </w:tcPr>
          <w:p>
            <w:pPr>
              <w:ind w:left="320"/>
              <w:spacing w:after="0"/>
              <w:rPr>
                <w:sz w:val="20"/>
                <w:szCs w:val="20"/>
                <w:color w:val="auto"/>
              </w:rPr>
            </w:pPr>
            <w:r>
              <w:rPr>
                <w:rFonts w:ascii="Arial" w:cs="Arial" w:eastAsia="Arial" w:hAnsi="Arial"/>
                <w:sz w:val="18"/>
                <w:szCs w:val="18"/>
                <w:color w:val="auto"/>
              </w:rPr>
              <w:t>Certificate of Incorporation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3.02.</w:t>
            </w:r>
          </w:p>
        </w:tc>
        <w:tc>
          <w:tcPr>
            <w:tcW w:w="7580" w:type="dxa"/>
            <w:vAlign w:val="bottom"/>
          </w:tcPr>
          <w:p>
            <w:pPr>
              <w:ind w:left="320"/>
              <w:spacing w:after="0"/>
              <w:rPr>
                <w:sz w:val="20"/>
                <w:szCs w:val="20"/>
                <w:color w:val="auto"/>
              </w:rPr>
            </w:pPr>
            <w:r>
              <w:rPr>
                <w:rFonts w:ascii="Arial" w:cs="Arial" w:eastAsia="Arial" w:hAnsi="Arial"/>
                <w:sz w:val="18"/>
                <w:szCs w:val="18"/>
                <w:color w:val="auto"/>
              </w:rPr>
              <w:t>Bylaws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3.03.</w:t>
            </w:r>
          </w:p>
        </w:tc>
        <w:tc>
          <w:tcPr>
            <w:tcW w:w="7580" w:type="dxa"/>
            <w:vAlign w:val="bottom"/>
          </w:tcPr>
          <w:p>
            <w:pPr>
              <w:ind w:left="320"/>
              <w:spacing w:after="0"/>
              <w:rPr>
                <w:sz w:val="20"/>
                <w:szCs w:val="20"/>
                <w:color w:val="auto"/>
              </w:rPr>
            </w:pPr>
            <w:r>
              <w:rPr>
                <w:rFonts w:ascii="Arial" w:cs="Arial" w:eastAsia="Arial" w:hAnsi="Arial"/>
                <w:sz w:val="18"/>
                <w:szCs w:val="18"/>
                <w:color w:val="auto"/>
              </w:rPr>
              <w:t>Directors and Officers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898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of the Company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4.01.</w:t>
            </w:r>
          </w:p>
        </w:tc>
        <w:tc>
          <w:tcPr>
            <w:tcW w:w="7580" w:type="dxa"/>
            <w:vAlign w:val="bottom"/>
          </w:tcPr>
          <w:p>
            <w:pPr>
              <w:ind w:left="320"/>
              <w:spacing w:after="0"/>
              <w:rPr>
                <w:sz w:val="20"/>
                <w:szCs w:val="20"/>
                <w:color w:val="auto"/>
              </w:rPr>
            </w:pPr>
            <w:r>
              <w:rPr>
                <w:rFonts w:ascii="Arial" w:cs="Arial" w:eastAsia="Arial" w:hAnsi="Arial"/>
                <w:sz w:val="18"/>
                <w:szCs w:val="18"/>
                <w:color w:val="auto"/>
              </w:rPr>
              <w:t>Corporate Existence and Power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4.02.</w:t>
            </w:r>
          </w:p>
        </w:tc>
        <w:tc>
          <w:tcPr>
            <w:tcW w:w="758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4.03.</w:t>
            </w:r>
          </w:p>
        </w:tc>
        <w:tc>
          <w:tcPr>
            <w:tcW w:w="7580" w:type="dxa"/>
            <w:vAlign w:val="bottom"/>
          </w:tcPr>
          <w:p>
            <w:pPr>
              <w:ind w:left="320"/>
              <w:spacing w:after="0"/>
              <w:rPr>
                <w:sz w:val="20"/>
                <w:szCs w:val="20"/>
                <w:color w:val="auto"/>
              </w:rPr>
            </w:pPr>
            <w:r>
              <w:rPr>
                <w:rFonts w:ascii="Arial" w:cs="Arial" w:eastAsia="Arial" w:hAnsi="Arial"/>
                <w:sz w:val="18"/>
                <w:szCs w:val="18"/>
                <w:color w:val="auto"/>
              </w:rPr>
              <w:t>Governmental Authorization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4.04.</w:t>
            </w:r>
          </w:p>
        </w:tc>
        <w:tc>
          <w:tcPr>
            <w:tcW w:w="7580" w:type="dxa"/>
            <w:vAlign w:val="bottom"/>
          </w:tcPr>
          <w:p>
            <w:pPr>
              <w:ind w:left="320"/>
              <w:spacing w:after="0"/>
              <w:rPr>
                <w:sz w:val="20"/>
                <w:szCs w:val="20"/>
                <w:color w:val="auto"/>
              </w:rPr>
            </w:pPr>
            <w:r>
              <w:rPr>
                <w:rFonts w:ascii="Arial" w:cs="Arial" w:eastAsia="Arial" w:hAnsi="Arial"/>
                <w:sz w:val="18"/>
                <w:szCs w:val="18"/>
                <w:color w:val="auto"/>
              </w:rPr>
              <w:t>Non-contravention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4.05.</w:t>
            </w:r>
          </w:p>
        </w:tc>
        <w:tc>
          <w:tcPr>
            <w:tcW w:w="7580" w:type="dxa"/>
            <w:vAlign w:val="bottom"/>
          </w:tcPr>
          <w:p>
            <w:pPr>
              <w:ind w:left="320"/>
              <w:spacing w:after="0"/>
              <w:rPr>
                <w:sz w:val="20"/>
                <w:szCs w:val="20"/>
                <w:color w:val="auto"/>
              </w:rPr>
            </w:pPr>
            <w:r>
              <w:rPr>
                <w:rFonts w:ascii="Arial" w:cs="Arial" w:eastAsia="Arial" w:hAnsi="Arial"/>
                <w:sz w:val="18"/>
                <w:szCs w:val="18"/>
                <w:color w:val="auto"/>
              </w:rPr>
              <w:t>Capitalization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4.06.</w:t>
            </w:r>
          </w:p>
        </w:tc>
        <w:tc>
          <w:tcPr>
            <w:tcW w:w="7580" w:type="dxa"/>
            <w:vAlign w:val="bottom"/>
          </w:tcPr>
          <w:p>
            <w:pPr>
              <w:ind w:left="320"/>
              <w:spacing w:after="0"/>
              <w:rPr>
                <w:sz w:val="20"/>
                <w:szCs w:val="20"/>
                <w:color w:val="auto"/>
              </w:rPr>
            </w:pPr>
            <w:r>
              <w:rPr>
                <w:rFonts w:ascii="Arial" w:cs="Arial" w:eastAsia="Arial" w:hAnsi="Arial"/>
                <w:sz w:val="18"/>
                <w:szCs w:val="18"/>
                <w:color w:val="auto"/>
              </w:rPr>
              <w:t>Subsidiaries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4.07.</w:t>
            </w:r>
          </w:p>
        </w:tc>
        <w:tc>
          <w:tcPr>
            <w:tcW w:w="7580" w:type="dxa"/>
            <w:vAlign w:val="bottom"/>
          </w:tcPr>
          <w:p>
            <w:pPr>
              <w:ind w:left="320"/>
              <w:spacing w:after="0"/>
              <w:rPr>
                <w:sz w:val="20"/>
                <w:szCs w:val="20"/>
                <w:color w:val="auto"/>
              </w:rPr>
            </w:pPr>
            <w:r>
              <w:rPr>
                <w:rFonts w:ascii="Arial" w:cs="Arial" w:eastAsia="Arial" w:hAnsi="Arial"/>
                <w:sz w:val="18"/>
                <w:szCs w:val="18"/>
                <w:color w:val="auto"/>
              </w:rPr>
              <w:t>SEC Filings and the Sarbanes-Oxley Act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4.08.</w:t>
            </w:r>
          </w:p>
        </w:tc>
        <w:tc>
          <w:tcPr>
            <w:tcW w:w="758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4.09.</w:t>
            </w:r>
          </w:p>
        </w:tc>
        <w:tc>
          <w:tcPr>
            <w:tcW w:w="7580" w:type="dxa"/>
            <w:vAlign w:val="bottom"/>
          </w:tcPr>
          <w:p>
            <w:pPr>
              <w:ind w:left="320"/>
              <w:spacing w:after="0"/>
              <w:rPr>
                <w:sz w:val="20"/>
                <w:szCs w:val="20"/>
                <w:color w:val="auto"/>
              </w:rPr>
            </w:pPr>
            <w:r>
              <w:rPr>
                <w:rFonts w:ascii="Arial" w:cs="Arial" w:eastAsia="Arial" w:hAnsi="Arial"/>
                <w:sz w:val="18"/>
                <w:szCs w:val="18"/>
                <w:color w:val="auto"/>
              </w:rPr>
              <w:t>Disclosure Documents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4.10.</w:t>
            </w:r>
          </w:p>
        </w:tc>
        <w:tc>
          <w:tcPr>
            <w:tcW w:w="7580" w:type="dxa"/>
            <w:vAlign w:val="bottom"/>
          </w:tcPr>
          <w:p>
            <w:pPr>
              <w:ind w:left="320"/>
              <w:spacing w:after="0"/>
              <w:rPr>
                <w:sz w:val="20"/>
                <w:szCs w:val="20"/>
                <w:color w:val="auto"/>
              </w:rPr>
            </w:pPr>
            <w:r>
              <w:rPr>
                <w:rFonts w:ascii="Arial" w:cs="Arial" w:eastAsia="Arial" w:hAnsi="Arial"/>
                <w:sz w:val="18"/>
                <w:szCs w:val="18"/>
                <w:color w:val="auto"/>
              </w:rPr>
              <w:t>Absence of Certain Changes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4.11.</w:t>
            </w:r>
          </w:p>
        </w:tc>
        <w:tc>
          <w:tcPr>
            <w:tcW w:w="7580" w:type="dxa"/>
            <w:vAlign w:val="bottom"/>
          </w:tcPr>
          <w:p>
            <w:pPr>
              <w:ind w:left="320"/>
              <w:spacing w:after="0"/>
              <w:rPr>
                <w:sz w:val="20"/>
                <w:szCs w:val="20"/>
                <w:color w:val="auto"/>
              </w:rPr>
            </w:pPr>
            <w:r>
              <w:rPr>
                <w:rFonts w:ascii="Arial" w:cs="Arial" w:eastAsia="Arial" w:hAnsi="Arial"/>
                <w:sz w:val="18"/>
                <w:szCs w:val="18"/>
                <w:color w:val="auto"/>
              </w:rPr>
              <w:t>No Undisclosed Material Liabilities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4.12.</w:t>
            </w:r>
          </w:p>
        </w:tc>
        <w:tc>
          <w:tcPr>
            <w:tcW w:w="7580" w:type="dxa"/>
            <w:vAlign w:val="bottom"/>
          </w:tcPr>
          <w:p>
            <w:pPr>
              <w:ind w:left="320"/>
              <w:spacing w:after="0"/>
              <w:rPr>
                <w:sz w:val="20"/>
                <w:szCs w:val="20"/>
                <w:color w:val="auto"/>
              </w:rPr>
            </w:pPr>
            <w:r>
              <w:rPr>
                <w:rFonts w:ascii="Arial" w:cs="Arial" w:eastAsia="Arial" w:hAnsi="Arial"/>
                <w:sz w:val="18"/>
                <w:szCs w:val="18"/>
                <w:color w:val="auto"/>
              </w:rPr>
              <w:t>Compliance with Laws and Court Orders; Governmental Authorizations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80" w:top="76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400" w:type="dxa"/>
            <w:vAlign w:val="bottom"/>
          </w:tcPr>
          <w:p>
            <w:pPr>
              <w:ind w:left="140"/>
              <w:spacing w:after="0"/>
              <w:rPr>
                <w:sz w:val="20"/>
                <w:szCs w:val="20"/>
                <w:color w:val="auto"/>
              </w:rPr>
            </w:pPr>
            <w:r>
              <w:rPr>
                <w:rFonts w:ascii="Arial" w:cs="Arial" w:eastAsia="Arial" w:hAnsi="Arial"/>
                <w:sz w:val="18"/>
                <w:szCs w:val="18"/>
                <w:color w:val="auto"/>
              </w:rPr>
              <w:t>Section 4.13.</w:t>
            </w:r>
          </w:p>
        </w:tc>
        <w:tc>
          <w:tcPr>
            <w:tcW w:w="764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4.14.</w:t>
            </w:r>
          </w:p>
        </w:tc>
        <w:tc>
          <w:tcPr>
            <w:tcW w:w="7640" w:type="dxa"/>
            <w:vAlign w:val="bottom"/>
          </w:tcPr>
          <w:p>
            <w:pPr>
              <w:ind w:left="320"/>
              <w:spacing w:after="0"/>
              <w:rPr>
                <w:sz w:val="20"/>
                <w:szCs w:val="20"/>
                <w:color w:val="auto"/>
              </w:rPr>
            </w:pPr>
            <w:r>
              <w:rPr>
                <w:rFonts w:ascii="Arial" w:cs="Arial" w:eastAsia="Arial" w:hAnsi="Arial"/>
                <w:sz w:val="18"/>
                <w:szCs w:val="18"/>
                <w:color w:val="auto"/>
              </w:rPr>
              <w:t>Properties</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4.15.</w:t>
            </w:r>
          </w:p>
        </w:tc>
        <w:tc>
          <w:tcPr>
            <w:tcW w:w="764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4.16.</w:t>
            </w:r>
          </w:p>
        </w:tc>
        <w:tc>
          <w:tcPr>
            <w:tcW w:w="7640" w:type="dxa"/>
            <w:vAlign w:val="bottom"/>
          </w:tcPr>
          <w:p>
            <w:pPr>
              <w:ind w:left="320"/>
              <w:spacing w:after="0"/>
              <w:rPr>
                <w:sz w:val="20"/>
                <w:szCs w:val="20"/>
                <w:color w:val="auto"/>
              </w:rPr>
            </w:pPr>
            <w:r>
              <w:rPr>
                <w:rFonts w:ascii="Arial" w:cs="Arial" w:eastAsia="Arial" w:hAnsi="Arial"/>
                <w:sz w:val="18"/>
                <w:szCs w:val="18"/>
                <w:color w:val="auto"/>
              </w:rPr>
              <w:t>Taxes</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4.17.</w:t>
            </w:r>
          </w:p>
        </w:tc>
        <w:tc>
          <w:tcPr>
            <w:tcW w:w="7640" w:type="dxa"/>
            <w:vAlign w:val="bottom"/>
          </w:tcPr>
          <w:p>
            <w:pPr>
              <w:ind w:left="320"/>
              <w:spacing w:after="0"/>
              <w:rPr>
                <w:sz w:val="20"/>
                <w:szCs w:val="20"/>
                <w:color w:val="auto"/>
              </w:rPr>
            </w:pPr>
            <w:r>
              <w:rPr>
                <w:rFonts w:ascii="Arial" w:cs="Arial" w:eastAsia="Arial" w:hAnsi="Arial"/>
                <w:sz w:val="18"/>
                <w:szCs w:val="18"/>
                <w:color w:val="auto"/>
              </w:rPr>
              <w:t>Employees and Employee Benefit Plans</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4.18.</w:t>
            </w:r>
          </w:p>
        </w:tc>
        <w:tc>
          <w:tcPr>
            <w:tcW w:w="764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4.19.</w:t>
            </w:r>
          </w:p>
        </w:tc>
        <w:tc>
          <w:tcPr>
            <w:tcW w:w="7640" w:type="dxa"/>
            <w:vAlign w:val="bottom"/>
          </w:tcPr>
          <w:p>
            <w:pPr>
              <w:ind w:left="320"/>
              <w:spacing w:after="0"/>
              <w:rPr>
                <w:sz w:val="20"/>
                <w:szCs w:val="20"/>
                <w:color w:val="auto"/>
              </w:rPr>
            </w:pPr>
            <w:r>
              <w:rPr>
                <w:rFonts w:ascii="Arial" w:cs="Arial" w:eastAsia="Arial" w:hAnsi="Arial"/>
                <w:sz w:val="18"/>
                <w:szCs w:val="18"/>
                <w:color w:val="auto"/>
              </w:rPr>
              <w:t>Material Contracts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4.20.</w:t>
            </w:r>
          </w:p>
        </w:tc>
        <w:tc>
          <w:tcPr>
            <w:tcW w:w="7640" w:type="dxa"/>
            <w:vAlign w:val="bottom"/>
          </w:tcPr>
          <w:p>
            <w:pPr>
              <w:ind w:left="320"/>
              <w:spacing w:after="0"/>
              <w:rPr>
                <w:sz w:val="20"/>
                <w:szCs w:val="20"/>
                <w:color w:val="auto"/>
              </w:rPr>
            </w:pPr>
            <w:r>
              <w:rPr>
                <w:rFonts w:ascii="Arial" w:cs="Arial" w:eastAsia="Arial" w:hAnsi="Arial"/>
                <w:sz w:val="18"/>
                <w:szCs w:val="18"/>
                <w:color w:val="auto"/>
              </w:rPr>
              <w:t>Cable System and Subscriber Information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4.21.</w:t>
            </w:r>
          </w:p>
        </w:tc>
        <w:tc>
          <w:tcPr>
            <w:tcW w:w="7640" w:type="dxa"/>
            <w:vAlign w:val="bottom"/>
          </w:tcPr>
          <w:p>
            <w:pPr>
              <w:ind w:left="320"/>
              <w:spacing w:after="0"/>
              <w:rPr>
                <w:sz w:val="20"/>
                <w:szCs w:val="20"/>
                <w:color w:val="auto"/>
              </w:rPr>
            </w:pPr>
            <w:r>
              <w:rPr>
                <w:rFonts w:ascii="Arial" w:cs="Arial" w:eastAsia="Arial" w:hAnsi="Arial"/>
                <w:sz w:val="18"/>
                <w:szCs w:val="18"/>
                <w:color w:val="auto"/>
              </w:rPr>
              <w:t>Franchises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4.22.</w:t>
            </w:r>
          </w:p>
        </w:tc>
        <w:tc>
          <w:tcPr>
            <w:tcW w:w="7640" w:type="dxa"/>
            <w:vAlign w:val="bottom"/>
          </w:tcPr>
          <w:p>
            <w:pPr>
              <w:ind w:left="320"/>
              <w:spacing w:after="0"/>
              <w:rPr>
                <w:sz w:val="20"/>
                <w:szCs w:val="20"/>
                <w:color w:val="auto"/>
              </w:rPr>
            </w:pPr>
            <w:r>
              <w:rPr>
                <w:rFonts w:ascii="Arial" w:cs="Arial" w:eastAsia="Arial" w:hAnsi="Arial"/>
                <w:sz w:val="18"/>
                <w:szCs w:val="18"/>
                <w:color w:val="auto"/>
              </w:rPr>
              <w:t>Tax Treatment</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4.23.</w:t>
            </w:r>
          </w:p>
        </w:tc>
        <w:tc>
          <w:tcPr>
            <w:tcW w:w="7640" w:type="dxa"/>
            <w:vAlign w:val="bottom"/>
          </w:tcPr>
          <w:p>
            <w:pPr>
              <w:ind w:left="320"/>
              <w:spacing w:after="0"/>
              <w:rPr>
                <w:sz w:val="20"/>
                <w:szCs w:val="20"/>
                <w:color w:val="auto"/>
              </w:rPr>
            </w:pPr>
            <w:r>
              <w:rPr>
                <w:rFonts w:ascii="Arial" w:cs="Arial" w:eastAsia="Arial" w:hAnsi="Arial"/>
                <w:sz w:val="18"/>
                <w:szCs w:val="18"/>
                <w:color w:val="auto"/>
              </w:rPr>
              <w:t>Finders’ Fees</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4.24.</w:t>
            </w:r>
          </w:p>
        </w:tc>
        <w:tc>
          <w:tcPr>
            <w:tcW w:w="7640" w:type="dxa"/>
            <w:vAlign w:val="bottom"/>
          </w:tcPr>
          <w:p>
            <w:pPr>
              <w:ind w:left="320"/>
              <w:spacing w:after="0"/>
              <w:rPr>
                <w:sz w:val="20"/>
                <w:szCs w:val="20"/>
                <w:color w:val="auto"/>
              </w:rPr>
            </w:pPr>
            <w:r>
              <w:rPr>
                <w:rFonts w:ascii="Arial" w:cs="Arial" w:eastAsia="Arial" w:hAnsi="Arial"/>
                <w:sz w:val="18"/>
                <w:szCs w:val="18"/>
                <w:color w:val="auto"/>
              </w:rPr>
              <w:t>Opinion of Financial Advisor</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4.25.</w:t>
            </w:r>
          </w:p>
        </w:tc>
        <w:tc>
          <w:tcPr>
            <w:tcW w:w="7640" w:type="dxa"/>
            <w:vAlign w:val="bottom"/>
          </w:tcPr>
          <w:p>
            <w:pPr>
              <w:ind w:left="320"/>
              <w:spacing w:after="0"/>
              <w:rPr>
                <w:sz w:val="20"/>
                <w:szCs w:val="20"/>
                <w:color w:val="auto"/>
              </w:rPr>
            </w:pPr>
            <w:r>
              <w:rPr>
                <w:rFonts w:ascii="Arial" w:cs="Arial" w:eastAsia="Arial" w:hAnsi="Arial"/>
                <w:sz w:val="18"/>
                <w:szCs w:val="18"/>
                <w:color w:val="auto"/>
              </w:rPr>
              <w:t>Antitakeover Statutes</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4.26.</w:t>
            </w:r>
          </w:p>
        </w:tc>
        <w:tc>
          <w:tcPr>
            <w:tcW w:w="7640" w:type="dxa"/>
            <w:vAlign w:val="bottom"/>
          </w:tcPr>
          <w:p>
            <w:pPr>
              <w:ind w:left="320"/>
              <w:spacing w:after="0"/>
              <w:rPr>
                <w:sz w:val="20"/>
                <w:szCs w:val="20"/>
                <w:color w:val="auto"/>
              </w:rPr>
            </w:pPr>
            <w:r>
              <w:rPr>
                <w:rFonts w:ascii="Arial" w:cs="Arial" w:eastAsia="Arial" w:hAnsi="Arial"/>
                <w:sz w:val="18"/>
                <w:szCs w:val="18"/>
                <w:color w:val="auto"/>
              </w:rPr>
              <w:t>No Additional Representations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90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Parent</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5.01.</w:t>
            </w:r>
          </w:p>
        </w:tc>
        <w:tc>
          <w:tcPr>
            <w:tcW w:w="7640" w:type="dxa"/>
            <w:vAlign w:val="bottom"/>
          </w:tcPr>
          <w:p>
            <w:pPr>
              <w:ind w:left="320"/>
              <w:spacing w:after="0"/>
              <w:rPr>
                <w:sz w:val="20"/>
                <w:szCs w:val="20"/>
                <w:color w:val="auto"/>
              </w:rPr>
            </w:pPr>
            <w:r>
              <w:rPr>
                <w:rFonts w:ascii="Arial" w:cs="Arial" w:eastAsia="Arial" w:hAnsi="Arial"/>
                <w:sz w:val="18"/>
                <w:szCs w:val="18"/>
                <w:color w:val="auto"/>
              </w:rPr>
              <w:t>Corporate Existence and Power</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5.02.</w:t>
            </w:r>
          </w:p>
        </w:tc>
        <w:tc>
          <w:tcPr>
            <w:tcW w:w="764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5.03.</w:t>
            </w:r>
          </w:p>
        </w:tc>
        <w:tc>
          <w:tcPr>
            <w:tcW w:w="7640" w:type="dxa"/>
            <w:vAlign w:val="bottom"/>
          </w:tcPr>
          <w:p>
            <w:pPr>
              <w:ind w:left="320"/>
              <w:spacing w:after="0"/>
              <w:rPr>
                <w:sz w:val="20"/>
                <w:szCs w:val="20"/>
                <w:color w:val="auto"/>
              </w:rPr>
            </w:pPr>
            <w:r>
              <w:rPr>
                <w:rFonts w:ascii="Arial" w:cs="Arial" w:eastAsia="Arial" w:hAnsi="Arial"/>
                <w:sz w:val="18"/>
                <w:szCs w:val="18"/>
                <w:color w:val="auto"/>
              </w:rPr>
              <w:t>Governmental Authorization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5.04.</w:t>
            </w:r>
          </w:p>
        </w:tc>
        <w:tc>
          <w:tcPr>
            <w:tcW w:w="7640" w:type="dxa"/>
            <w:vAlign w:val="bottom"/>
          </w:tcPr>
          <w:p>
            <w:pPr>
              <w:ind w:left="320"/>
              <w:spacing w:after="0"/>
              <w:rPr>
                <w:sz w:val="20"/>
                <w:szCs w:val="20"/>
                <w:color w:val="auto"/>
              </w:rPr>
            </w:pPr>
            <w:r>
              <w:rPr>
                <w:rFonts w:ascii="Arial" w:cs="Arial" w:eastAsia="Arial" w:hAnsi="Arial"/>
                <w:sz w:val="18"/>
                <w:szCs w:val="18"/>
                <w:color w:val="auto"/>
              </w:rPr>
              <w:t>Non-contravention</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5.05.</w:t>
            </w:r>
          </w:p>
        </w:tc>
        <w:tc>
          <w:tcPr>
            <w:tcW w:w="7640" w:type="dxa"/>
            <w:vAlign w:val="bottom"/>
          </w:tcPr>
          <w:p>
            <w:pPr>
              <w:ind w:left="320"/>
              <w:spacing w:after="0"/>
              <w:rPr>
                <w:sz w:val="20"/>
                <w:szCs w:val="20"/>
                <w:color w:val="auto"/>
              </w:rPr>
            </w:pPr>
            <w:r>
              <w:rPr>
                <w:rFonts w:ascii="Arial" w:cs="Arial" w:eastAsia="Arial" w:hAnsi="Arial"/>
                <w:sz w:val="18"/>
                <w:szCs w:val="18"/>
                <w:color w:val="auto"/>
              </w:rPr>
              <w:t>Capitalization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5.06.</w:t>
            </w:r>
          </w:p>
        </w:tc>
        <w:tc>
          <w:tcPr>
            <w:tcW w:w="7640" w:type="dxa"/>
            <w:vAlign w:val="bottom"/>
          </w:tcPr>
          <w:p>
            <w:pPr>
              <w:ind w:left="320"/>
              <w:spacing w:after="0"/>
              <w:rPr>
                <w:sz w:val="20"/>
                <w:szCs w:val="20"/>
                <w:color w:val="auto"/>
              </w:rPr>
            </w:pPr>
            <w:r>
              <w:rPr>
                <w:rFonts w:ascii="Arial" w:cs="Arial" w:eastAsia="Arial" w:hAnsi="Arial"/>
                <w:sz w:val="18"/>
                <w:szCs w:val="18"/>
                <w:color w:val="auto"/>
              </w:rPr>
              <w:t>Subsidiaries</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5.07.</w:t>
            </w:r>
          </w:p>
        </w:tc>
        <w:tc>
          <w:tcPr>
            <w:tcW w:w="7640" w:type="dxa"/>
            <w:vAlign w:val="bottom"/>
          </w:tcPr>
          <w:p>
            <w:pPr>
              <w:ind w:left="320"/>
              <w:spacing w:after="0"/>
              <w:rPr>
                <w:sz w:val="20"/>
                <w:szCs w:val="20"/>
                <w:color w:val="auto"/>
              </w:rPr>
            </w:pPr>
            <w:r>
              <w:rPr>
                <w:rFonts w:ascii="Arial" w:cs="Arial" w:eastAsia="Arial" w:hAnsi="Arial"/>
                <w:sz w:val="18"/>
                <w:szCs w:val="18"/>
                <w:color w:val="auto"/>
              </w:rPr>
              <w:t>SEC Filings and the Sarbanes-Oxley Act</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5.08.</w:t>
            </w:r>
          </w:p>
        </w:tc>
        <w:tc>
          <w:tcPr>
            <w:tcW w:w="764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5.09.</w:t>
            </w:r>
          </w:p>
        </w:tc>
        <w:tc>
          <w:tcPr>
            <w:tcW w:w="7640" w:type="dxa"/>
            <w:vAlign w:val="bottom"/>
          </w:tcPr>
          <w:p>
            <w:pPr>
              <w:ind w:left="320"/>
              <w:spacing w:after="0"/>
              <w:rPr>
                <w:sz w:val="20"/>
                <w:szCs w:val="20"/>
                <w:color w:val="auto"/>
              </w:rPr>
            </w:pPr>
            <w:r>
              <w:rPr>
                <w:rFonts w:ascii="Arial" w:cs="Arial" w:eastAsia="Arial" w:hAnsi="Arial"/>
                <w:sz w:val="18"/>
                <w:szCs w:val="18"/>
                <w:color w:val="auto"/>
              </w:rPr>
              <w:t>Disclosure Documents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5.10.</w:t>
            </w:r>
          </w:p>
        </w:tc>
        <w:tc>
          <w:tcPr>
            <w:tcW w:w="7640" w:type="dxa"/>
            <w:vAlign w:val="bottom"/>
          </w:tcPr>
          <w:p>
            <w:pPr>
              <w:ind w:left="320"/>
              <w:spacing w:after="0"/>
              <w:rPr>
                <w:sz w:val="20"/>
                <w:szCs w:val="20"/>
                <w:color w:val="auto"/>
              </w:rPr>
            </w:pPr>
            <w:r>
              <w:rPr>
                <w:rFonts w:ascii="Arial" w:cs="Arial" w:eastAsia="Arial" w:hAnsi="Arial"/>
                <w:sz w:val="18"/>
                <w:szCs w:val="18"/>
                <w:color w:val="auto"/>
              </w:rPr>
              <w:t>Absence of Certain Changes</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5.11.</w:t>
            </w:r>
          </w:p>
        </w:tc>
        <w:tc>
          <w:tcPr>
            <w:tcW w:w="7640" w:type="dxa"/>
            <w:vAlign w:val="bottom"/>
          </w:tcPr>
          <w:p>
            <w:pPr>
              <w:ind w:left="320"/>
              <w:spacing w:after="0"/>
              <w:rPr>
                <w:sz w:val="20"/>
                <w:szCs w:val="20"/>
                <w:color w:val="auto"/>
              </w:rPr>
            </w:pPr>
            <w:r>
              <w:rPr>
                <w:rFonts w:ascii="Arial" w:cs="Arial" w:eastAsia="Arial" w:hAnsi="Arial"/>
                <w:sz w:val="18"/>
                <w:szCs w:val="18"/>
                <w:color w:val="auto"/>
              </w:rPr>
              <w:t>No Undisclosed Material Liabilities</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5.12.</w:t>
            </w:r>
          </w:p>
        </w:tc>
        <w:tc>
          <w:tcPr>
            <w:tcW w:w="7640" w:type="dxa"/>
            <w:vAlign w:val="bottom"/>
          </w:tcPr>
          <w:p>
            <w:pPr>
              <w:ind w:left="320"/>
              <w:spacing w:after="0"/>
              <w:rPr>
                <w:sz w:val="20"/>
                <w:szCs w:val="20"/>
                <w:color w:val="auto"/>
              </w:rPr>
            </w:pPr>
            <w:r>
              <w:rPr>
                <w:rFonts w:ascii="Arial" w:cs="Arial" w:eastAsia="Arial" w:hAnsi="Arial"/>
                <w:sz w:val="18"/>
                <w:szCs w:val="18"/>
                <w:color w:val="auto"/>
              </w:rPr>
              <w:t>Compliance with Laws and Court Orders; Governmental Authorizations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5.13.</w:t>
            </w:r>
          </w:p>
        </w:tc>
        <w:tc>
          <w:tcPr>
            <w:tcW w:w="764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5.14.</w:t>
            </w:r>
          </w:p>
        </w:tc>
        <w:tc>
          <w:tcPr>
            <w:tcW w:w="7640" w:type="dxa"/>
            <w:vAlign w:val="bottom"/>
          </w:tcPr>
          <w:p>
            <w:pPr>
              <w:ind w:left="320"/>
              <w:spacing w:after="0"/>
              <w:rPr>
                <w:sz w:val="20"/>
                <w:szCs w:val="20"/>
                <w:color w:val="auto"/>
              </w:rPr>
            </w:pPr>
            <w:r>
              <w:rPr>
                <w:rFonts w:ascii="Arial" w:cs="Arial" w:eastAsia="Arial" w:hAnsi="Arial"/>
                <w:sz w:val="18"/>
                <w:szCs w:val="18"/>
                <w:color w:val="auto"/>
              </w:rPr>
              <w:t>Taxes</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5.15.</w:t>
            </w:r>
          </w:p>
        </w:tc>
        <w:tc>
          <w:tcPr>
            <w:tcW w:w="7640" w:type="dxa"/>
            <w:vAlign w:val="bottom"/>
          </w:tcPr>
          <w:p>
            <w:pPr>
              <w:ind w:left="320"/>
              <w:spacing w:after="0"/>
              <w:rPr>
                <w:sz w:val="20"/>
                <w:szCs w:val="20"/>
                <w:color w:val="auto"/>
              </w:rPr>
            </w:pPr>
            <w:r>
              <w:rPr>
                <w:rFonts w:ascii="Arial" w:cs="Arial" w:eastAsia="Arial" w:hAnsi="Arial"/>
                <w:sz w:val="18"/>
                <w:szCs w:val="18"/>
                <w:color w:val="auto"/>
              </w:rPr>
              <w:t>Franchises</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5.16.</w:t>
            </w:r>
          </w:p>
        </w:tc>
        <w:tc>
          <w:tcPr>
            <w:tcW w:w="7640" w:type="dxa"/>
            <w:vAlign w:val="bottom"/>
          </w:tcPr>
          <w:p>
            <w:pPr>
              <w:ind w:left="320"/>
              <w:spacing w:after="0"/>
              <w:rPr>
                <w:sz w:val="20"/>
                <w:szCs w:val="20"/>
                <w:color w:val="auto"/>
              </w:rPr>
            </w:pPr>
            <w:r>
              <w:rPr>
                <w:rFonts w:ascii="Arial" w:cs="Arial" w:eastAsia="Arial" w:hAnsi="Arial"/>
                <w:sz w:val="18"/>
                <w:szCs w:val="18"/>
                <w:color w:val="auto"/>
              </w:rPr>
              <w:t>Tax Treatment</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5.17.</w:t>
            </w:r>
          </w:p>
        </w:tc>
        <w:tc>
          <w:tcPr>
            <w:tcW w:w="7640" w:type="dxa"/>
            <w:vAlign w:val="bottom"/>
          </w:tcPr>
          <w:p>
            <w:pPr>
              <w:ind w:left="320"/>
              <w:spacing w:after="0"/>
              <w:rPr>
                <w:sz w:val="20"/>
                <w:szCs w:val="20"/>
                <w:color w:val="auto"/>
              </w:rPr>
            </w:pPr>
            <w:r>
              <w:rPr>
                <w:rFonts w:ascii="Arial" w:cs="Arial" w:eastAsia="Arial" w:hAnsi="Arial"/>
                <w:sz w:val="18"/>
                <w:szCs w:val="18"/>
                <w:color w:val="auto"/>
              </w:rPr>
              <w:t>NBCUniversal Agreement</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5.18.</w:t>
            </w:r>
          </w:p>
        </w:tc>
        <w:tc>
          <w:tcPr>
            <w:tcW w:w="7640" w:type="dxa"/>
            <w:vAlign w:val="bottom"/>
          </w:tcPr>
          <w:p>
            <w:pPr>
              <w:ind w:left="320"/>
              <w:spacing w:after="0"/>
              <w:rPr>
                <w:sz w:val="20"/>
                <w:szCs w:val="20"/>
                <w:color w:val="auto"/>
              </w:rPr>
            </w:pPr>
            <w:r>
              <w:rPr>
                <w:rFonts w:ascii="Arial" w:cs="Arial" w:eastAsia="Arial" w:hAnsi="Arial"/>
                <w:sz w:val="18"/>
                <w:szCs w:val="18"/>
                <w:color w:val="auto"/>
              </w:rPr>
              <w:t>Finders’ Fees</w:t>
            </w:r>
          </w:p>
        </w:tc>
        <w:tc>
          <w:tcPr>
            <w:tcW w:w="2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5.19.</w:t>
            </w:r>
          </w:p>
        </w:tc>
        <w:tc>
          <w:tcPr>
            <w:tcW w:w="7640" w:type="dxa"/>
            <w:vAlign w:val="bottom"/>
          </w:tcPr>
          <w:p>
            <w:pPr>
              <w:ind w:left="320"/>
              <w:spacing w:after="0"/>
              <w:rPr>
                <w:sz w:val="20"/>
                <w:szCs w:val="20"/>
                <w:color w:val="auto"/>
              </w:rPr>
            </w:pPr>
            <w:r>
              <w:rPr>
                <w:rFonts w:ascii="Arial" w:cs="Arial" w:eastAsia="Arial" w:hAnsi="Arial"/>
                <w:sz w:val="18"/>
                <w:szCs w:val="18"/>
                <w:color w:val="auto"/>
              </w:rPr>
              <w:t>Opinion of Financial Advisor</w:t>
            </w:r>
          </w:p>
        </w:tc>
        <w:tc>
          <w:tcPr>
            <w:tcW w:w="23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57"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400" w:type="dxa"/>
            <w:vAlign w:val="bottom"/>
          </w:tcPr>
          <w:p>
            <w:pPr>
              <w:ind w:left="140"/>
              <w:spacing w:after="0"/>
              <w:rPr>
                <w:sz w:val="20"/>
                <w:szCs w:val="20"/>
                <w:color w:val="auto"/>
              </w:rPr>
            </w:pPr>
            <w:r>
              <w:rPr>
                <w:rFonts w:ascii="Arial" w:cs="Arial" w:eastAsia="Arial" w:hAnsi="Arial"/>
                <w:sz w:val="18"/>
                <w:szCs w:val="18"/>
                <w:color w:val="auto"/>
              </w:rPr>
              <w:t>Section 5.20.</w:t>
            </w:r>
          </w:p>
        </w:tc>
        <w:tc>
          <w:tcPr>
            <w:tcW w:w="7300" w:type="dxa"/>
            <w:vAlign w:val="bottom"/>
          </w:tcPr>
          <w:p>
            <w:pPr>
              <w:ind w:left="320"/>
              <w:spacing w:after="0"/>
              <w:rPr>
                <w:sz w:val="20"/>
                <w:szCs w:val="20"/>
                <w:color w:val="auto"/>
              </w:rPr>
            </w:pPr>
            <w:r>
              <w:rPr>
                <w:rFonts w:ascii="Arial" w:cs="Arial" w:eastAsia="Arial" w:hAnsi="Arial"/>
                <w:sz w:val="18"/>
                <w:szCs w:val="18"/>
                <w:color w:val="auto"/>
              </w:rPr>
              <w:t>No Additional Representations</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8700" w:type="dxa"/>
            <w:vAlign w:val="bottom"/>
            <w:gridSpan w:val="2"/>
          </w:tcPr>
          <w:p>
            <w:pPr>
              <w:spacing w:after="0"/>
              <w:rPr>
                <w:sz w:val="20"/>
                <w:szCs w:val="20"/>
                <w:color w:val="auto"/>
              </w:rPr>
            </w:pPr>
            <w:r>
              <w:rPr>
                <w:rFonts w:ascii="Arial" w:cs="Arial" w:eastAsia="Arial" w:hAnsi="Arial"/>
                <w:sz w:val="18"/>
                <w:szCs w:val="18"/>
                <w:color w:val="auto"/>
              </w:rPr>
              <w:t>ARTICLE 6 Covenants of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6.01.</w:t>
            </w:r>
          </w:p>
        </w:tc>
        <w:tc>
          <w:tcPr>
            <w:tcW w:w="7300" w:type="dxa"/>
            <w:vAlign w:val="bottom"/>
          </w:tcPr>
          <w:p>
            <w:pPr>
              <w:ind w:left="320"/>
              <w:spacing w:after="0"/>
              <w:rPr>
                <w:sz w:val="20"/>
                <w:szCs w:val="20"/>
                <w:color w:val="auto"/>
              </w:rPr>
            </w:pPr>
            <w:r>
              <w:rPr>
                <w:rFonts w:ascii="Arial" w:cs="Arial" w:eastAsia="Arial" w:hAnsi="Arial"/>
                <w:sz w:val="18"/>
                <w:szCs w:val="18"/>
                <w:color w:val="auto"/>
              </w:rPr>
              <w:t>Conduct of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6.02.</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Stockholder Meeting</w:t>
            </w:r>
          </w:p>
        </w:tc>
        <w:tc>
          <w:tcPr>
            <w:tcW w:w="2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6.03.</w:t>
            </w:r>
          </w:p>
        </w:tc>
        <w:tc>
          <w:tcPr>
            <w:tcW w:w="7300" w:type="dxa"/>
            <w:vAlign w:val="bottom"/>
          </w:tcPr>
          <w:p>
            <w:pPr>
              <w:ind w:left="320"/>
              <w:spacing w:after="0"/>
              <w:rPr>
                <w:sz w:val="20"/>
                <w:szCs w:val="20"/>
                <w:color w:val="auto"/>
              </w:rPr>
            </w:pPr>
            <w:r>
              <w:rPr>
                <w:rFonts w:ascii="Arial" w:cs="Arial" w:eastAsia="Arial" w:hAnsi="Arial"/>
                <w:sz w:val="18"/>
                <w:szCs w:val="18"/>
                <w:color w:val="auto"/>
              </w:rPr>
              <w:t>No Solicitation; Other Offers</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6.04.</w:t>
            </w:r>
          </w:p>
        </w:tc>
        <w:tc>
          <w:tcPr>
            <w:tcW w:w="730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6.05.</w:t>
            </w:r>
          </w:p>
        </w:tc>
        <w:tc>
          <w:tcPr>
            <w:tcW w:w="7300" w:type="dxa"/>
            <w:vAlign w:val="bottom"/>
          </w:tcPr>
          <w:p>
            <w:pPr>
              <w:ind w:left="320"/>
              <w:spacing w:after="0"/>
              <w:rPr>
                <w:sz w:val="20"/>
                <w:szCs w:val="20"/>
                <w:color w:val="auto"/>
              </w:rPr>
            </w:pPr>
            <w:r>
              <w:rPr>
                <w:rFonts w:ascii="Arial" w:cs="Arial" w:eastAsia="Arial" w:hAnsi="Arial"/>
                <w:sz w:val="18"/>
                <w:szCs w:val="18"/>
                <w:color w:val="auto"/>
              </w:rPr>
              <w:t>Voting of Shares</w:t>
            </w:r>
          </w:p>
        </w:tc>
        <w:tc>
          <w:tcPr>
            <w:tcW w:w="2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7"/>
        </w:trPr>
        <w:tc>
          <w:tcPr>
            <w:tcW w:w="8700" w:type="dxa"/>
            <w:vAlign w:val="bottom"/>
            <w:gridSpan w:val="2"/>
          </w:tcPr>
          <w:p>
            <w:pPr>
              <w:spacing w:after="0"/>
              <w:rPr>
                <w:sz w:val="20"/>
                <w:szCs w:val="20"/>
                <w:color w:val="auto"/>
              </w:rPr>
            </w:pPr>
            <w:r>
              <w:rPr>
                <w:rFonts w:ascii="Arial" w:cs="Arial" w:eastAsia="Arial" w:hAnsi="Arial"/>
                <w:sz w:val="18"/>
                <w:szCs w:val="18"/>
                <w:color w:val="auto"/>
              </w:rPr>
              <w:t>ARTICLE 7 Covenants of Parent</w:t>
            </w:r>
          </w:p>
        </w:tc>
        <w:tc>
          <w:tcPr>
            <w:tcW w:w="2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7.01.</w:t>
            </w:r>
          </w:p>
        </w:tc>
        <w:tc>
          <w:tcPr>
            <w:tcW w:w="7300" w:type="dxa"/>
            <w:vAlign w:val="bottom"/>
          </w:tcPr>
          <w:p>
            <w:pPr>
              <w:ind w:left="320"/>
              <w:spacing w:after="0"/>
              <w:rPr>
                <w:sz w:val="20"/>
                <w:szCs w:val="20"/>
                <w:color w:val="auto"/>
              </w:rPr>
            </w:pPr>
            <w:r>
              <w:rPr>
                <w:rFonts w:ascii="Arial" w:cs="Arial" w:eastAsia="Arial" w:hAnsi="Arial"/>
                <w:sz w:val="18"/>
                <w:szCs w:val="18"/>
                <w:color w:val="auto"/>
              </w:rPr>
              <w:t>Conduct of Parent</w:t>
            </w:r>
          </w:p>
        </w:tc>
        <w:tc>
          <w:tcPr>
            <w:tcW w:w="2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7.02.</w:t>
            </w:r>
          </w:p>
        </w:tc>
        <w:tc>
          <w:tcPr>
            <w:tcW w:w="7300" w:type="dxa"/>
            <w:vAlign w:val="bottom"/>
          </w:tcPr>
          <w:p>
            <w:pPr>
              <w:ind w:left="320"/>
              <w:spacing w:after="0"/>
              <w:rPr>
                <w:sz w:val="20"/>
                <w:szCs w:val="20"/>
                <w:color w:val="auto"/>
              </w:rPr>
            </w:pPr>
            <w:r>
              <w:rPr>
                <w:rFonts w:ascii="Arial" w:cs="Arial" w:eastAsia="Arial" w:hAnsi="Arial"/>
                <w:sz w:val="18"/>
                <w:szCs w:val="18"/>
                <w:color w:val="auto"/>
              </w:rPr>
              <w:t>Obligations of Merger Subsidiary</w:t>
            </w:r>
          </w:p>
        </w:tc>
        <w:tc>
          <w:tcPr>
            <w:tcW w:w="2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7.03.</w:t>
            </w:r>
          </w:p>
        </w:tc>
        <w:tc>
          <w:tcPr>
            <w:tcW w:w="7300" w:type="dxa"/>
            <w:vAlign w:val="bottom"/>
          </w:tcPr>
          <w:p>
            <w:pPr>
              <w:ind w:left="320"/>
              <w:spacing w:after="0"/>
              <w:rPr>
                <w:sz w:val="20"/>
                <w:szCs w:val="20"/>
                <w:color w:val="auto"/>
              </w:rPr>
            </w:pPr>
            <w:r>
              <w:rPr>
                <w:rFonts w:ascii="Arial" w:cs="Arial" w:eastAsia="Arial" w:hAnsi="Arial"/>
                <w:sz w:val="18"/>
                <w:szCs w:val="18"/>
                <w:color w:val="auto"/>
              </w:rPr>
              <w:t>Parent Shareholder Meeting</w:t>
            </w:r>
          </w:p>
        </w:tc>
        <w:tc>
          <w:tcPr>
            <w:tcW w:w="2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7.04.</w:t>
            </w:r>
          </w:p>
        </w:tc>
        <w:tc>
          <w:tcPr>
            <w:tcW w:w="7300" w:type="dxa"/>
            <w:vAlign w:val="bottom"/>
          </w:tcPr>
          <w:p>
            <w:pPr>
              <w:ind w:left="320"/>
              <w:spacing w:after="0"/>
              <w:rPr>
                <w:sz w:val="20"/>
                <w:szCs w:val="20"/>
                <w:color w:val="auto"/>
              </w:rPr>
            </w:pPr>
            <w:r>
              <w:rPr>
                <w:rFonts w:ascii="Arial" w:cs="Arial" w:eastAsia="Arial" w:hAnsi="Arial"/>
                <w:sz w:val="18"/>
                <w:szCs w:val="18"/>
                <w:color w:val="auto"/>
              </w:rPr>
              <w:t>Certain Prohibitions</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7.05.</w:t>
            </w:r>
          </w:p>
        </w:tc>
        <w:tc>
          <w:tcPr>
            <w:tcW w:w="7300" w:type="dxa"/>
            <w:vAlign w:val="bottom"/>
          </w:tcPr>
          <w:p>
            <w:pPr>
              <w:ind w:left="320"/>
              <w:spacing w:after="0"/>
              <w:rPr>
                <w:sz w:val="20"/>
                <w:szCs w:val="20"/>
                <w:color w:val="auto"/>
              </w:rPr>
            </w:pPr>
            <w:r>
              <w:rPr>
                <w:rFonts w:ascii="Arial" w:cs="Arial" w:eastAsia="Arial" w:hAnsi="Arial"/>
                <w:sz w:val="18"/>
                <w:szCs w:val="18"/>
                <w:color w:val="auto"/>
              </w:rPr>
              <w:t>Approval by Sole Stockholder of Merger Subsidiary</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7.06.</w:t>
            </w:r>
          </w:p>
        </w:tc>
        <w:tc>
          <w:tcPr>
            <w:tcW w:w="7300" w:type="dxa"/>
            <w:vAlign w:val="bottom"/>
          </w:tcPr>
          <w:p>
            <w:pPr>
              <w:ind w:left="320"/>
              <w:spacing w:after="0"/>
              <w:rPr>
                <w:sz w:val="20"/>
                <w:szCs w:val="20"/>
                <w:color w:val="auto"/>
              </w:rPr>
            </w:pPr>
            <w:r>
              <w:rPr>
                <w:rFonts w:ascii="Arial" w:cs="Arial" w:eastAsia="Arial" w:hAnsi="Arial"/>
                <w:sz w:val="18"/>
                <w:szCs w:val="18"/>
                <w:color w:val="auto"/>
              </w:rPr>
              <w:t>Voting of Shares</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7.07.</w:t>
            </w:r>
          </w:p>
        </w:tc>
        <w:tc>
          <w:tcPr>
            <w:tcW w:w="7300" w:type="dxa"/>
            <w:vAlign w:val="bottom"/>
          </w:tcPr>
          <w:p>
            <w:pPr>
              <w:ind w:left="320"/>
              <w:spacing w:after="0"/>
              <w:rPr>
                <w:sz w:val="20"/>
                <w:szCs w:val="20"/>
                <w:color w:val="auto"/>
              </w:rPr>
            </w:pPr>
            <w:r>
              <w:rPr>
                <w:rFonts w:ascii="Arial" w:cs="Arial" w:eastAsia="Arial" w:hAnsi="Arial"/>
                <w:sz w:val="18"/>
                <w:szCs w:val="18"/>
                <w:color w:val="auto"/>
              </w:rPr>
              <w:t>Director and Officer Indemnification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7.08.</w:t>
            </w:r>
          </w:p>
        </w:tc>
        <w:tc>
          <w:tcPr>
            <w:tcW w:w="7300" w:type="dxa"/>
            <w:vAlign w:val="bottom"/>
          </w:tcPr>
          <w:p>
            <w:pPr>
              <w:ind w:left="320"/>
              <w:spacing w:after="0"/>
              <w:rPr>
                <w:sz w:val="20"/>
                <w:szCs w:val="20"/>
                <w:color w:val="auto"/>
              </w:rPr>
            </w:pPr>
            <w:r>
              <w:rPr>
                <w:rFonts w:ascii="Arial" w:cs="Arial" w:eastAsia="Arial" w:hAnsi="Arial"/>
                <w:sz w:val="18"/>
                <w:szCs w:val="18"/>
                <w:color w:val="auto"/>
              </w:rPr>
              <w:t>Stock Exchange Listing</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7.09.</w:t>
            </w:r>
          </w:p>
        </w:tc>
        <w:tc>
          <w:tcPr>
            <w:tcW w:w="7300" w:type="dxa"/>
            <w:vAlign w:val="bottom"/>
          </w:tcPr>
          <w:p>
            <w:pPr>
              <w:ind w:left="320"/>
              <w:spacing w:after="0"/>
              <w:rPr>
                <w:sz w:val="20"/>
                <w:szCs w:val="20"/>
                <w:color w:val="auto"/>
              </w:rPr>
            </w:pPr>
            <w:r>
              <w:rPr>
                <w:rFonts w:ascii="Arial" w:cs="Arial" w:eastAsia="Arial" w:hAnsi="Arial"/>
                <w:sz w:val="18"/>
                <w:szCs w:val="18"/>
                <w:color w:val="auto"/>
              </w:rPr>
              <w:t>Employee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7"/>
        </w:trPr>
        <w:tc>
          <w:tcPr>
            <w:tcW w:w="8700" w:type="dxa"/>
            <w:vAlign w:val="bottom"/>
            <w:gridSpan w:val="2"/>
          </w:tcPr>
          <w:p>
            <w:pPr>
              <w:spacing w:after="0"/>
              <w:rPr>
                <w:sz w:val="20"/>
                <w:szCs w:val="20"/>
                <w:color w:val="auto"/>
              </w:rPr>
            </w:pPr>
            <w:r>
              <w:rPr>
                <w:rFonts w:ascii="Arial" w:cs="Arial" w:eastAsia="Arial" w:hAnsi="Arial"/>
                <w:sz w:val="18"/>
                <w:szCs w:val="18"/>
                <w:color w:val="auto"/>
              </w:rPr>
              <w:t>ARTICLE 8 Covenants of Parent and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8.01.</w:t>
            </w:r>
          </w:p>
        </w:tc>
        <w:tc>
          <w:tcPr>
            <w:tcW w:w="7300" w:type="dxa"/>
            <w:vAlign w:val="bottom"/>
          </w:tcPr>
          <w:p>
            <w:pPr>
              <w:ind w:left="320"/>
              <w:spacing w:after="0"/>
              <w:rPr>
                <w:sz w:val="20"/>
                <w:szCs w:val="20"/>
                <w:color w:val="auto"/>
              </w:rPr>
            </w:pPr>
            <w:r>
              <w:rPr>
                <w:rFonts w:ascii="Arial" w:cs="Arial" w:eastAsia="Arial" w:hAnsi="Arial"/>
                <w:sz w:val="18"/>
                <w:szCs w:val="18"/>
                <w:color w:val="auto"/>
              </w:rPr>
              <w:t>Reasonable Best Efforts</w:t>
            </w:r>
          </w:p>
        </w:tc>
        <w:tc>
          <w:tcPr>
            <w:tcW w:w="2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8.02.</w:t>
            </w:r>
          </w:p>
        </w:tc>
        <w:tc>
          <w:tcPr>
            <w:tcW w:w="7300" w:type="dxa"/>
            <w:vAlign w:val="bottom"/>
          </w:tcPr>
          <w:p>
            <w:pPr>
              <w:ind w:left="320"/>
              <w:spacing w:after="0"/>
              <w:rPr>
                <w:sz w:val="20"/>
                <w:szCs w:val="20"/>
                <w:color w:val="auto"/>
              </w:rPr>
            </w:pPr>
            <w:r>
              <w:rPr>
                <w:rFonts w:ascii="Arial" w:cs="Arial" w:eastAsia="Arial" w:hAnsi="Arial"/>
                <w:sz w:val="18"/>
                <w:szCs w:val="18"/>
                <w:color w:val="auto"/>
              </w:rPr>
              <w:t>Joint Proxy Statement/Prospectus; Registration Statement</w:t>
            </w:r>
          </w:p>
        </w:tc>
        <w:tc>
          <w:tcPr>
            <w:tcW w:w="2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8.03.</w:t>
            </w:r>
          </w:p>
        </w:tc>
        <w:tc>
          <w:tcPr>
            <w:tcW w:w="7300" w:type="dxa"/>
            <w:vAlign w:val="bottom"/>
          </w:tcPr>
          <w:p>
            <w:pPr>
              <w:ind w:left="320"/>
              <w:spacing w:after="0"/>
              <w:rPr>
                <w:sz w:val="20"/>
                <w:szCs w:val="20"/>
                <w:color w:val="auto"/>
              </w:rPr>
            </w:pPr>
            <w:r>
              <w:rPr>
                <w:rFonts w:ascii="Arial" w:cs="Arial" w:eastAsia="Arial" w:hAnsi="Arial"/>
                <w:sz w:val="18"/>
                <w:szCs w:val="18"/>
                <w:color w:val="auto"/>
              </w:rPr>
              <w:t>Public Announcements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8.04.</w:t>
            </w:r>
          </w:p>
        </w:tc>
        <w:tc>
          <w:tcPr>
            <w:tcW w:w="730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2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8.05.</w:t>
            </w:r>
          </w:p>
        </w:tc>
        <w:tc>
          <w:tcPr>
            <w:tcW w:w="7300" w:type="dxa"/>
            <w:vAlign w:val="bottom"/>
          </w:tcPr>
          <w:p>
            <w:pPr>
              <w:ind w:left="320"/>
              <w:spacing w:after="0"/>
              <w:rPr>
                <w:sz w:val="20"/>
                <w:szCs w:val="20"/>
                <w:color w:val="auto"/>
              </w:rPr>
            </w:pPr>
            <w:r>
              <w:rPr>
                <w:rFonts w:ascii="Arial" w:cs="Arial" w:eastAsia="Arial" w:hAnsi="Arial"/>
                <w:sz w:val="18"/>
                <w:szCs w:val="18"/>
                <w:color w:val="auto"/>
              </w:rPr>
              <w:t>Notices of Certain Events</w:t>
            </w:r>
          </w:p>
        </w:tc>
        <w:tc>
          <w:tcPr>
            <w:tcW w:w="2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8.06.</w:t>
            </w:r>
          </w:p>
        </w:tc>
        <w:tc>
          <w:tcPr>
            <w:tcW w:w="7300" w:type="dxa"/>
            <w:vAlign w:val="bottom"/>
          </w:tcPr>
          <w:p>
            <w:pPr>
              <w:ind w:left="320"/>
              <w:spacing w:after="0"/>
              <w:rPr>
                <w:sz w:val="20"/>
                <w:szCs w:val="20"/>
                <w:color w:val="auto"/>
              </w:rPr>
            </w:pPr>
            <w:r>
              <w:rPr>
                <w:rFonts w:ascii="Arial" w:cs="Arial" w:eastAsia="Arial" w:hAnsi="Arial"/>
                <w:sz w:val="18"/>
                <w:szCs w:val="18"/>
                <w:color w:val="auto"/>
              </w:rPr>
              <w:t>Access to Information</w:t>
            </w:r>
          </w:p>
        </w:tc>
        <w:tc>
          <w:tcPr>
            <w:tcW w:w="26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8.07.</w:t>
            </w:r>
          </w:p>
        </w:tc>
        <w:tc>
          <w:tcPr>
            <w:tcW w:w="7300" w:type="dxa"/>
            <w:vAlign w:val="bottom"/>
          </w:tcPr>
          <w:p>
            <w:pPr>
              <w:ind w:left="320"/>
              <w:spacing w:after="0"/>
              <w:rPr>
                <w:sz w:val="20"/>
                <w:szCs w:val="20"/>
                <w:color w:val="auto"/>
              </w:rPr>
            </w:pPr>
            <w:r>
              <w:rPr>
                <w:rFonts w:ascii="Arial" w:cs="Arial" w:eastAsia="Arial" w:hAnsi="Arial"/>
                <w:sz w:val="18"/>
                <w:szCs w:val="18"/>
                <w:color w:val="auto"/>
              </w:rPr>
              <w:t>Tax-free Reorganization</w:t>
            </w:r>
          </w:p>
        </w:tc>
        <w:tc>
          <w:tcPr>
            <w:tcW w:w="2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8.08.</w:t>
            </w:r>
          </w:p>
        </w:tc>
        <w:tc>
          <w:tcPr>
            <w:tcW w:w="7300" w:type="dxa"/>
            <w:vAlign w:val="bottom"/>
          </w:tcPr>
          <w:p>
            <w:pPr>
              <w:ind w:left="320"/>
              <w:spacing w:after="0"/>
              <w:rPr>
                <w:sz w:val="20"/>
                <w:szCs w:val="20"/>
                <w:color w:val="auto"/>
              </w:rPr>
            </w:pPr>
            <w:r>
              <w:rPr>
                <w:rFonts w:ascii="Arial" w:cs="Arial" w:eastAsia="Arial" w:hAnsi="Arial"/>
                <w:sz w:val="18"/>
                <w:szCs w:val="18"/>
                <w:color w:val="auto"/>
              </w:rPr>
              <w:t>Section 16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8.09.</w:t>
            </w:r>
          </w:p>
        </w:tc>
        <w:tc>
          <w:tcPr>
            <w:tcW w:w="7300" w:type="dxa"/>
            <w:vAlign w:val="bottom"/>
          </w:tcPr>
          <w:p>
            <w:pPr>
              <w:ind w:left="320"/>
              <w:spacing w:after="0"/>
              <w:rPr>
                <w:sz w:val="20"/>
                <w:szCs w:val="20"/>
                <w:color w:val="auto"/>
              </w:rPr>
            </w:pPr>
            <w:r>
              <w:rPr>
                <w:rFonts w:ascii="Arial" w:cs="Arial" w:eastAsia="Arial" w:hAnsi="Arial"/>
                <w:sz w:val="18"/>
                <w:szCs w:val="18"/>
                <w:color w:val="auto"/>
              </w:rPr>
              <w:t>Stock Exchange De-listing; 1934 Act Deregistration</w:t>
            </w:r>
          </w:p>
        </w:tc>
        <w:tc>
          <w:tcPr>
            <w:tcW w:w="2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8.10.</w:t>
            </w:r>
          </w:p>
        </w:tc>
        <w:tc>
          <w:tcPr>
            <w:tcW w:w="7300" w:type="dxa"/>
            <w:vAlign w:val="bottom"/>
          </w:tcPr>
          <w:p>
            <w:pPr>
              <w:ind w:left="320"/>
              <w:spacing w:after="0"/>
              <w:rPr>
                <w:sz w:val="20"/>
                <w:szCs w:val="20"/>
                <w:color w:val="auto"/>
              </w:rPr>
            </w:pPr>
            <w:r>
              <w:rPr>
                <w:rFonts w:ascii="Arial" w:cs="Arial" w:eastAsia="Arial" w:hAnsi="Arial"/>
                <w:sz w:val="18"/>
                <w:szCs w:val="18"/>
                <w:color w:val="auto"/>
              </w:rPr>
              <w:t>Dividends</w:t>
            </w:r>
          </w:p>
        </w:tc>
        <w:tc>
          <w:tcPr>
            <w:tcW w:w="2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8.11.</w:t>
            </w:r>
          </w:p>
        </w:tc>
        <w:tc>
          <w:tcPr>
            <w:tcW w:w="7300" w:type="dxa"/>
            <w:vAlign w:val="bottom"/>
          </w:tcPr>
          <w:p>
            <w:pPr>
              <w:ind w:left="320"/>
              <w:spacing w:after="0"/>
              <w:rPr>
                <w:sz w:val="20"/>
                <w:szCs w:val="20"/>
                <w:color w:val="auto"/>
              </w:rPr>
            </w:pPr>
            <w:r>
              <w:rPr>
                <w:rFonts w:ascii="Arial" w:cs="Arial" w:eastAsia="Arial" w:hAnsi="Arial"/>
                <w:sz w:val="18"/>
                <w:szCs w:val="18"/>
                <w:color w:val="auto"/>
              </w:rPr>
              <w:t>Stockholder Litigation</w:t>
            </w:r>
          </w:p>
        </w:tc>
        <w:tc>
          <w:tcPr>
            <w:tcW w:w="2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8700" w:type="dxa"/>
            <w:vAlign w:val="bottom"/>
            <w:gridSpan w:val="2"/>
          </w:tcPr>
          <w:p>
            <w:pPr>
              <w:spacing w:after="0"/>
              <w:rPr>
                <w:sz w:val="20"/>
                <w:szCs w:val="20"/>
                <w:color w:val="auto"/>
              </w:rPr>
            </w:pPr>
            <w:r>
              <w:rPr>
                <w:rFonts w:ascii="Arial" w:cs="Arial" w:eastAsia="Arial" w:hAnsi="Arial"/>
                <w:sz w:val="18"/>
                <w:szCs w:val="18"/>
                <w:color w:val="auto"/>
              </w:rPr>
              <w:t>ARTICLE 9 Conditions to the Merger</w:t>
            </w:r>
          </w:p>
        </w:tc>
        <w:tc>
          <w:tcPr>
            <w:tcW w:w="2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9.01.</w:t>
            </w:r>
          </w:p>
        </w:tc>
        <w:tc>
          <w:tcPr>
            <w:tcW w:w="7300" w:type="dxa"/>
            <w:vAlign w:val="bottom"/>
          </w:tcPr>
          <w:p>
            <w:pPr>
              <w:ind w:left="320"/>
              <w:spacing w:after="0"/>
              <w:rPr>
                <w:sz w:val="20"/>
                <w:szCs w:val="20"/>
                <w:color w:val="auto"/>
              </w:rPr>
            </w:pPr>
            <w:r>
              <w:rPr>
                <w:rFonts w:ascii="Arial" w:cs="Arial" w:eastAsia="Arial" w:hAnsi="Arial"/>
                <w:sz w:val="18"/>
                <w:szCs w:val="18"/>
                <w:color w:val="auto"/>
              </w:rPr>
              <w:t>Conditions to the Obligations of Each Party</w:t>
            </w:r>
          </w:p>
        </w:tc>
        <w:tc>
          <w:tcPr>
            <w:tcW w:w="2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9.02.</w:t>
            </w:r>
          </w:p>
        </w:tc>
        <w:tc>
          <w:tcPr>
            <w:tcW w:w="7300" w:type="dxa"/>
            <w:vAlign w:val="bottom"/>
          </w:tcPr>
          <w:p>
            <w:pPr>
              <w:ind w:left="320"/>
              <w:spacing w:after="0"/>
              <w:rPr>
                <w:sz w:val="20"/>
                <w:szCs w:val="20"/>
                <w:color w:val="auto"/>
              </w:rPr>
            </w:pPr>
            <w:r>
              <w:rPr>
                <w:rFonts w:ascii="Arial" w:cs="Arial" w:eastAsia="Arial" w:hAnsi="Arial"/>
                <w:sz w:val="18"/>
                <w:szCs w:val="18"/>
                <w:color w:val="auto"/>
              </w:rPr>
              <w:t>Conditions to the Obligations of Parent and Merger Subsidiary</w:t>
            </w:r>
          </w:p>
        </w:tc>
        <w:tc>
          <w:tcPr>
            <w:tcW w:w="26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9.03.</w:t>
            </w:r>
          </w:p>
        </w:tc>
        <w:tc>
          <w:tcPr>
            <w:tcW w:w="7300" w:type="dxa"/>
            <w:vAlign w:val="bottom"/>
          </w:tcPr>
          <w:p>
            <w:pPr>
              <w:ind w:left="320"/>
              <w:spacing w:after="0"/>
              <w:rPr>
                <w:sz w:val="20"/>
                <w:szCs w:val="20"/>
                <w:color w:val="auto"/>
              </w:rPr>
            </w:pPr>
            <w:r>
              <w:rPr>
                <w:rFonts w:ascii="Arial" w:cs="Arial" w:eastAsia="Arial" w:hAnsi="Arial"/>
                <w:sz w:val="18"/>
                <w:szCs w:val="18"/>
                <w:color w:val="auto"/>
              </w:rPr>
              <w:t>Conditions to the Obligations of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57" w:right="279" w:bottom="144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ARTICLE 10 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10.01.</w:t>
            </w:r>
          </w:p>
        </w:tc>
        <w:tc>
          <w:tcPr>
            <w:tcW w:w="6900" w:type="dxa"/>
            <w:vAlign w:val="bottom"/>
          </w:tcPr>
          <w:p>
            <w:pPr>
              <w:ind w:left="280"/>
              <w:spacing w:after="0"/>
              <w:rPr>
                <w:sz w:val="20"/>
                <w:szCs w:val="20"/>
                <w:color w:val="auto"/>
              </w:rPr>
            </w:pPr>
            <w:r>
              <w:rPr>
                <w:rFonts w:ascii="Arial" w:cs="Arial" w:eastAsia="Arial" w:hAnsi="Arial"/>
                <w:sz w:val="18"/>
                <w:szCs w:val="18"/>
                <w:color w:val="auto"/>
              </w:rPr>
              <w:t>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10.02.</w:t>
            </w:r>
          </w:p>
        </w:tc>
        <w:tc>
          <w:tcPr>
            <w:tcW w:w="6900" w:type="dxa"/>
            <w:vAlign w:val="bottom"/>
          </w:tcPr>
          <w:p>
            <w:pPr>
              <w:ind w:left="280"/>
              <w:spacing w:after="0"/>
              <w:rPr>
                <w:sz w:val="20"/>
                <w:szCs w:val="20"/>
                <w:color w:val="auto"/>
              </w:rPr>
            </w:pPr>
            <w:r>
              <w:rPr>
                <w:rFonts w:ascii="Arial" w:cs="Arial" w:eastAsia="Arial" w:hAnsi="Arial"/>
                <w:sz w:val="18"/>
                <w:szCs w:val="18"/>
                <w:color w:val="auto"/>
              </w:rPr>
              <w:t>Effect of 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97"/>
        </w:trPr>
        <w:tc>
          <w:tcPr>
            <w:tcW w:w="834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3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11.01.</w:t>
            </w:r>
          </w:p>
        </w:tc>
        <w:tc>
          <w:tcPr>
            <w:tcW w:w="6900" w:type="dxa"/>
            <w:vAlign w:val="bottom"/>
          </w:tcPr>
          <w:p>
            <w:pPr>
              <w:ind w:left="280"/>
              <w:spacing w:after="0"/>
              <w:rPr>
                <w:sz w:val="20"/>
                <w:szCs w:val="20"/>
                <w:color w:val="auto"/>
              </w:rPr>
            </w:pPr>
            <w:r>
              <w:rPr>
                <w:rFonts w:ascii="Arial" w:cs="Arial" w:eastAsia="Arial" w:hAnsi="Arial"/>
                <w:sz w:val="18"/>
                <w:szCs w:val="18"/>
                <w:color w:val="auto"/>
              </w:rPr>
              <w:t>Notices</w:t>
            </w:r>
          </w:p>
        </w:tc>
        <w:tc>
          <w:tcPr>
            <w:tcW w:w="3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11.02.</w:t>
            </w:r>
          </w:p>
        </w:tc>
        <w:tc>
          <w:tcPr>
            <w:tcW w:w="6900" w:type="dxa"/>
            <w:vAlign w:val="bottom"/>
          </w:tcPr>
          <w:p>
            <w:pPr>
              <w:ind w:left="280"/>
              <w:spacing w:after="0"/>
              <w:rPr>
                <w:sz w:val="20"/>
                <w:szCs w:val="20"/>
                <w:color w:val="auto"/>
              </w:rPr>
            </w:pPr>
            <w:r>
              <w:rPr>
                <w:rFonts w:ascii="Arial" w:cs="Arial" w:eastAsia="Arial" w:hAnsi="Arial"/>
                <w:sz w:val="18"/>
                <w:szCs w:val="18"/>
                <w:color w:val="auto"/>
              </w:rPr>
              <w:t>Survival of Representations and Warranties</w:t>
            </w:r>
          </w:p>
        </w:tc>
        <w:tc>
          <w:tcPr>
            <w:tcW w:w="3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11.03.</w:t>
            </w:r>
          </w:p>
        </w:tc>
        <w:tc>
          <w:tcPr>
            <w:tcW w:w="6900" w:type="dxa"/>
            <w:vAlign w:val="bottom"/>
          </w:tcPr>
          <w:p>
            <w:pPr>
              <w:ind w:left="280"/>
              <w:spacing w:after="0"/>
              <w:rPr>
                <w:sz w:val="20"/>
                <w:szCs w:val="20"/>
                <w:color w:val="auto"/>
              </w:rPr>
            </w:pPr>
            <w:r>
              <w:rPr>
                <w:rFonts w:ascii="Arial" w:cs="Arial" w:eastAsia="Arial" w:hAnsi="Arial"/>
                <w:sz w:val="18"/>
                <w:szCs w:val="18"/>
                <w:color w:val="auto"/>
              </w:rPr>
              <w:t>Amendments and Waivers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11.04.</w:t>
            </w:r>
          </w:p>
        </w:tc>
        <w:tc>
          <w:tcPr>
            <w:tcW w:w="6900" w:type="dxa"/>
            <w:vAlign w:val="bottom"/>
          </w:tcPr>
          <w:p>
            <w:pPr>
              <w:ind w:left="280"/>
              <w:spacing w:after="0"/>
              <w:rPr>
                <w:sz w:val="20"/>
                <w:szCs w:val="20"/>
                <w:color w:val="auto"/>
              </w:rPr>
            </w:pPr>
            <w:r>
              <w:rPr>
                <w:rFonts w:ascii="Arial" w:cs="Arial" w:eastAsia="Arial" w:hAnsi="Arial"/>
                <w:sz w:val="18"/>
                <w:szCs w:val="18"/>
                <w:color w:val="auto"/>
              </w:rPr>
              <w:t>Expenses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11.05.</w:t>
            </w:r>
          </w:p>
        </w:tc>
        <w:tc>
          <w:tcPr>
            <w:tcW w:w="6900" w:type="dxa"/>
            <w:vAlign w:val="bottom"/>
          </w:tcPr>
          <w:p>
            <w:pPr>
              <w:ind w:left="280"/>
              <w:spacing w:after="0"/>
              <w:rPr>
                <w:sz w:val="20"/>
                <w:szCs w:val="20"/>
                <w:color w:val="auto"/>
              </w:rPr>
            </w:pPr>
            <w:r>
              <w:rPr>
                <w:rFonts w:ascii="Arial" w:cs="Arial" w:eastAsia="Arial" w:hAnsi="Arial"/>
                <w:sz w:val="18"/>
                <w:szCs w:val="18"/>
                <w:color w:val="auto"/>
              </w:rPr>
              <w:t>Disclosure Schedule and SEC Document References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11.06.</w:t>
            </w:r>
          </w:p>
        </w:tc>
        <w:tc>
          <w:tcPr>
            <w:tcW w:w="6900" w:type="dxa"/>
            <w:vAlign w:val="bottom"/>
          </w:tcPr>
          <w:p>
            <w:pPr>
              <w:ind w:left="280"/>
              <w:spacing w:after="0"/>
              <w:rPr>
                <w:sz w:val="20"/>
                <w:szCs w:val="20"/>
                <w:color w:val="auto"/>
              </w:rPr>
            </w:pPr>
            <w:r>
              <w:rPr>
                <w:rFonts w:ascii="Arial" w:cs="Arial" w:eastAsia="Arial" w:hAnsi="Arial"/>
                <w:sz w:val="18"/>
                <w:szCs w:val="18"/>
                <w:color w:val="auto"/>
              </w:rPr>
              <w:t>Binding Effect; Benefit; Assignment</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11.07.</w:t>
            </w:r>
          </w:p>
        </w:tc>
        <w:tc>
          <w:tcPr>
            <w:tcW w:w="6900" w:type="dxa"/>
            <w:vAlign w:val="bottom"/>
          </w:tcPr>
          <w:p>
            <w:pPr>
              <w:ind w:left="280"/>
              <w:spacing w:after="0"/>
              <w:rPr>
                <w:sz w:val="20"/>
                <w:szCs w:val="20"/>
                <w:color w:val="auto"/>
              </w:rPr>
            </w:pPr>
            <w:r>
              <w:rPr>
                <w:rFonts w:ascii="Arial" w:cs="Arial" w:eastAsia="Arial" w:hAnsi="Arial"/>
                <w:sz w:val="18"/>
                <w:szCs w:val="18"/>
                <w:color w:val="auto"/>
              </w:rPr>
              <w:t>Governing Law</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11.08.</w:t>
            </w:r>
          </w:p>
        </w:tc>
        <w:tc>
          <w:tcPr>
            <w:tcW w:w="6900" w:type="dxa"/>
            <w:vAlign w:val="bottom"/>
          </w:tcPr>
          <w:p>
            <w:pPr>
              <w:ind w:left="280"/>
              <w:spacing w:after="0"/>
              <w:rPr>
                <w:sz w:val="20"/>
                <w:szCs w:val="20"/>
                <w:color w:val="auto"/>
              </w:rPr>
            </w:pPr>
            <w:r>
              <w:rPr>
                <w:rFonts w:ascii="Arial" w:cs="Arial" w:eastAsia="Arial" w:hAnsi="Arial"/>
                <w:sz w:val="18"/>
                <w:szCs w:val="18"/>
                <w:color w:val="auto"/>
              </w:rPr>
              <w:t>Jurisdiction</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11.09.</w:t>
            </w:r>
          </w:p>
        </w:tc>
        <w:tc>
          <w:tcPr>
            <w:tcW w:w="6900" w:type="dxa"/>
            <w:vAlign w:val="bottom"/>
          </w:tcPr>
          <w:p>
            <w:pPr>
              <w:ind w:left="280"/>
              <w:spacing w:after="0"/>
              <w:rPr>
                <w:sz w:val="20"/>
                <w:szCs w:val="20"/>
                <w:color w:val="auto"/>
              </w:rPr>
            </w:pPr>
            <w:r>
              <w:rPr>
                <w:rFonts w:ascii="Arial" w:cs="Arial" w:eastAsia="Arial" w:hAnsi="Arial"/>
                <w:sz w:val="18"/>
                <w:szCs w:val="18"/>
                <w:color w:val="auto"/>
              </w:rPr>
              <w:t>WAIVER OF JURY TRIAL</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11.10.</w:t>
            </w:r>
          </w:p>
        </w:tc>
        <w:tc>
          <w:tcPr>
            <w:tcW w:w="6900" w:type="dxa"/>
            <w:vAlign w:val="bottom"/>
          </w:tcPr>
          <w:p>
            <w:pPr>
              <w:ind w:left="280"/>
              <w:spacing w:after="0"/>
              <w:rPr>
                <w:sz w:val="20"/>
                <w:szCs w:val="20"/>
                <w:color w:val="auto"/>
              </w:rPr>
            </w:pPr>
            <w:r>
              <w:rPr>
                <w:rFonts w:ascii="Arial" w:cs="Arial" w:eastAsia="Arial" w:hAnsi="Arial"/>
                <w:sz w:val="18"/>
                <w:szCs w:val="18"/>
                <w:color w:val="auto"/>
              </w:rPr>
              <w:t>Counterparts; Effectiveness</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11.11.</w:t>
            </w:r>
          </w:p>
        </w:tc>
        <w:tc>
          <w:tcPr>
            <w:tcW w:w="6900" w:type="dxa"/>
            <w:vAlign w:val="bottom"/>
          </w:tcPr>
          <w:p>
            <w:pPr>
              <w:ind w:left="280"/>
              <w:spacing w:after="0"/>
              <w:rPr>
                <w:sz w:val="20"/>
                <w:szCs w:val="20"/>
                <w:color w:val="auto"/>
              </w:rPr>
            </w:pPr>
            <w:r>
              <w:rPr>
                <w:rFonts w:ascii="Arial" w:cs="Arial" w:eastAsia="Arial" w:hAnsi="Arial"/>
                <w:sz w:val="18"/>
                <w:szCs w:val="18"/>
                <w:color w:val="auto"/>
              </w:rPr>
              <w:t>Entire Agreement</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11.12.</w:t>
            </w:r>
          </w:p>
        </w:tc>
        <w:tc>
          <w:tcPr>
            <w:tcW w:w="690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11.13.</w:t>
            </w:r>
          </w:p>
        </w:tc>
        <w:tc>
          <w:tcPr>
            <w:tcW w:w="6900" w:type="dxa"/>
            <w:vAlign w:val="bottom"/>
          </w:tcPr>
          <w:p>
            <w:pPr>
              <w:ind w:left="280"/>
              <w:spacing w:after="0"/>
              <w:rPr>
                <w:sz w:val="20"/>
                <w:szCs w:val="20"/>
                <w:color w:val="auto"/>
              </w:rPr>
            </w:pPr>
            <w:r>
              <w:rPr>
                <w:rFonts w:ascii="Arial" w:cs="Arial" w:eastAsia="Arial" w:hAnsi="Arial"/>
                <w:sz w:val="18"/>
                <w:szCs w:val="18"/>
                <w:color w:val="auto"/>
              </w:rPr>
              <w:t>Specific Performance</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Schedule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5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12, 2014, among Time Warner Cable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Comcast Corporation, a Pennsylvania corporation (“</w:t>
      </w:r>
      <w:r>
        <w:rPr>
          <w:rFonts w:ascii="Arial" w:cs="Arial" w:eastAsia="Arial" w:hAnsi="Arial"/>
          <w:sz w:val="18"/>
          <w:szCs w:val="18"/>
          <w:b w:val="1"/>
          <w:bCs w:val="1"/>
          <w:color w:val="auto"/>
        </w:rPr>
        <w:t>Parent</w:t>
      </w:r>
      <w:r>
        <w:rPr>
          <w:rFonts w:ascii="Arial" w:cs="Arial" w:eastAsia="Arial" w:hAnsi="Arial"/>
          <w:sz w:val="18"/>
          <w:szCs w:val="18"/>
          <w:color w:val="auto"/>
        </w:rPr>
        <w:t>”), and Tango Acquisition Sub, Inc., a Delaware corporation and a wholly-owned subsidiary of Parent (“</w:t>
      </w:r>
      <w:r>
        <w:rPr>
          <w:rFonts w:ascii="Arial" w:cs="Arial" w:eastAsia="Arial" w:hAnsi="Arial"/>
          <w:sz w:val="18"/>
          <w:szCs w:val="18"/>
          <w:b w:val="1"/>
          <w:bCs w:val="1"/>
          <w:color w:val="auto"/>
        </w:rPr>
        <w:t>Merger Subsidiary</w:t>
      </w:r>
      <w:r>
        <w:rPr>
          <w:rFonts w:ascii="Arial" w:cs="Arial" w:eastAsia="Arial" w:hAnsi="Arial"/>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WHEREAS, the respective Boards of Directors of the Company and Merger Subsidiary have unanimously approved and deemed it advisable that the respective stockholders of the Company and Merger Subsidiary approve and adopt this Agreement pursuant to which, among other things, Parent would acquire the Company by means of a merger of Merger Subsidiary with and into the Company on the terms and subject to the conditions set forth in this Agreement and resolved to submit this Agreement to their respective stockholders for adoption;</w:t>
      </w:r>
    </w:p>
    <w:p>
      <w:pPr>
        <w:spacing w:after="0" w:line="21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WHEREAS, the Board of Directors of Parent has unanimously approved this Agreement, the merger of Merger Subsidiary with and into the Company and the other transactions contemplated hereby, determined that the terms of this Agreement are in the best interests of Parent, declared the advisability of this Agreement, recommended the approval by its stockholders of the issuance of shares of Parent Class A Common Stock contemplated by this Agreement and resolved to submit the issuance to its stockholders for approval;</w:t>
      </w:r>
    </w:p>
    <w:p>
      <w:pPr>
        <w:spacing w:after="0" w:line="21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WHEREAS, concurrently with the execution and delivery of this Agreement, and as a condition and inducement to the willingness of the Company to enter into this Agreement, certain stockholders of Parent (the “</w:t>
      </w:r>
      <w:r>
        <w:rPr>
          <w:rFonts w:ascii="Arial" w:cs="Arial" w:eastAsia="Arial" w:hAnsi="Arial"/>
          <w:sz w:val="18"/>
          <w:szCs w:val="18"/>
          <w:b w:val="1"/>
          <w:bCs w:val="1"/>
          <w:color w:val="auto"/>
        </w:rPr>
        <w:t>Principal Parent Stockholders</w:t>
      </w:r>
      <w:r>
        <w:rPr>
          <w:rFonts w:ascii="Arial" w:cs="Arial" w:eastAsia="Arial" w:hAnsi="Arial"/>
          <w:sz w:val="18"/>
          <w:szCs w:val="18"/>
          <w:color w:val="auto"/>
        </w:rPr>
        <w:t>”) are entering into a voting agreement (the “</w:t>
      </w:r>
      <w:r>
        <w:rPr>
          <w:rFonts w:ascii="Arial" w:cs="Arial" w:eastAsia="Arial" w:hAnsi="Arial"/>
          <w:sz w:val="18"/>
          <w:szCs w:val="18"/>
          <w:b w:val="1"/>
          <w:bCs w:val="1"/>
          <w:color w:val="auto"/>
        </w:rPr>
        <w:t>Voting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the Company pursuant to which the Principal Parent Stockholders have agreed, on the terms and subject to the conditions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Agreement, to, among other things, vote all of their shares of Parent Class B Common Stock and Parent Class A Common Stock in favor of the issuance of shares of Parent Class A Common Stock contemplated by this Agreement on the terms and subject to the conditions set forth in the Voting Agreement;</w:t>
      </w:r>
    </w:p>
    <w:p>
      <w:pPr>
        <w:spacing w:after="0" w:line="22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WHEREAS, pursuant to the Voting Agreement, immediately following the execution and delivery of this Agreement, the Principal Parent Stockholders will take all action necessary to approve the Parent Stock Issuance for purposes of the separate approval right of the holders of Parent Class B Common Stock pursuant to Article 7 of the Amended and Restated Articles of Incorporation of Parent;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 w:name="page14"/>
    <w:bookmarkEnd w:id="13"/>
    <w:p>
      <w:pPr>
        <w:ind w:right="100" w:firstLine="648"/>
        <w:spacing w:after="0" w:line="277" w:lineRule="auto"/>
        <w:rPr>
          <w:sz w:val="20"/>
          <w:szCs w:val="20"/>
          <w:color w:val="auto"/>
        </w:rPr>
      </w:pPr>
      <w:r>
        <w:rPr>
          <w:rFonts w:ascii="Arial" w:cs="Arial" w:eastAsia="Arial" w:hAnsi="Arial"/>
          <w:sz w:val="18"/>
          <w:szCs w:val="18"/>
          <w:color w:val="auto"/>
        </w:rPr>
        <w:t>WHEREAS, for U.S. federal income tax purposes, it is intended that the merger of Merger Subsidiary with and into the Company will qualify as a reorganization under the provisions of Section 368(a) of the Code and that this Agreement constitutes a plan of reorganization.</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herein, the parties hereto agree as follows:</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Definitions</w:t>
      </w:r>
    </w:p>
    <w:p>
      <w:pPr>
        <w:spacing w:after="0" w:line="28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 As used herein, the following terms have the following meanings: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34" w:lineRule="exact"/>
        <w:rPr>
          <w:sz w:val="20"/>
          <w:szCs w:val="20"/>
          <w:color w:val="auto"/>
        </w:rPr>
      </w:pPr>
    </w:p>
    <w:p>
      <w:pPr>
        <w:ind w:right="4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203"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System</w:t>
      </w:r>
      <w:r>
        <w:rPr>
          <w:rFonts w:ascii="Arial" w:cs="Arial" w:eastAsia="Arial" w:hAnsi="Arial"/>
          <w:sz w:val="18"/>
          <w:szCs w:val="18"/>
          <w:color w:val="auto"/>
        </w:rPr>
        <w:t>” means a cable system, as such term is defined in 47 U.S.C. § 522(7).</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5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Collective Bargaining Agreements</w:t>
      </w:r>
      <w:r>
        <w:rPr>
          <w:rFonts w:ascii="Arial" w:cs="Arial" w:eastAsia="Arial" w:hAnsi="Arial"/>
          <w:sz w:val="18"/>
          <w:szCs w:val="18"/>
          <w:color w:val="auto"/>
        </w:rPr>
        <w:t>” mean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 Act</w:t>
      </w:r>
      <w:r>
        <w:rPr>
          <w:rFonts w:ascii="Arial" w:cs="Arial" w:eastAsia="Arial" w:hAnsi="Arial"/>
          <w:sz w:val="18"/>
          <w:szCs w:val="18"/>
          <w:color w:val="auto"/>
        </w:rPr>
        <w:t>” means the Communications Act of 1934, together with the written orders, policies and decisions of the FCC.</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14" w:name="page15"/>
    <w:bookmarkEnd w:id="14"/>
    <w:p>
      <w:pPr>
        <w:ind w:right="6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Adverse Recommendation Change</w:t>
      </w:r>
      <w:r>
        <w:rPr>
          <w:rFonts w:ascii="Arial" w:cs="Arial" w:eastAsia="Arial" w:hAnsi="Arial"/>
          <w:sz w:val="17"/>
          <w:szCs w:val="17"/>
          <w:color w:val="auto"/>
        </w:rPr>
        <w:t>” means either of the following, as the context may indicate: (i) any failure by the Board of Directors of the Company to make (as required hereby), or any withdrawal or modification in a manner adverse to Parent of, the Company Board Recommendation or (ii) any recommendation by the Company’s Board of Directors of a Company Acquisition Proposal.</w:t>
      </w:r>
    </w:p>
    <w:p>
      <w:pPr>
        <w:spacing w:after="0" w:line="18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Acquisition Proposal</w:t>
      </w:r>
      <w:r>
        <w:rPr>
          <w:rFonts w:ascii="Arial" w:cs="Arial" w:eastAsia="Arial" w:hAnsi="Arial"/>
          <w:sz w:val="18"/>
          <w:szCs w:val="18"/>
          <w:color w:val="auto"/>
        </w:rPr>
        <w:t>” means, other than the transactions contemplated by this Agreement, any offer or proposal relating to (i) any acquisition or purchase, direct or indirect, of 25% or more of the consolidated assets of the Company and its Subsidiaries or 25% or more of any class of equity or voting securities of the Company or any of its Subsidiaries whose assets, individually or in the aggregate, constitute 25% or more of the consolidated assets of the Company, (ii) any tender offer (including a self-tender offer) or exchange offer that, if consummated, would result in such Third Party beneficially owning 25% or more of any class of equity or voting securities of the Company or any of its Subsidiaries whose assets, individually or in the aggregate, constitute 25% or more of the consolidated assets of the Company or (iii) a merger, consolidation, share exchange, business combination or other similar transaction involving the Company or any of its Subsidiaries whose assets, individually or in the aggregate, constitute 25% or more of the consolidated assets of the Company.</w:t>
      </w:r>
    </w:p>
    <w:p>
      <w:pPr>
        <w:spacing w:after="0" w:line="21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Balance Sheet</w:t>
      </w:r>
      <w:r>
        <w:rPr>
          <w:rFonts w:ascii="Arial" w:cs="Arial" w:eastAsia="Arial" w:hAnsi="Arial"/>
          <w:sz w:val="18"/>
          <w:szCs w:val="18"/>
          <w:color w:val="auto"/>
        </w:rPr>
        <w:t>” means the consolidated balance sheet of the Company as of December 31, 2013 and the footnotes thereto set forth in the Company 10-K.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Balance Sheet Date</w:t>
      </w:r>
      <w:r>
        <w:rPr>
          <w:rFonts w:ascii="Arial" w:cs="Arial" w:eastAsia="Arial" w:hAnsi="Arial"/>
          <w:sz w:val="18"/>
          <w:szCs w:val="18"/>
          <w:color w:val="auto"/>
        </w:rPr>
        <w:t>” means December 31, 2013.</w:t>
      </w:r>
    </w:p>
    <w:p>
      <w:pPr>
        <w:spacing w:after="0" w:line="25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means the disclosure schedule dated the date hereof regarding this Agreement that has been provided by the Company to Parent and Merger Subsidiary.</w:t>
      </w:r>
    </w:p>
    <w:p>
      <w:pPr>
        <w:spacing w:after="0" w:line="18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Intervening Event</w:t>
      </w:r>
      <w:r>
        <w:rPr>
          <w:rFonts w:ascii="Arial" w:cs="Arial" w:eastAsia="Arial" w:hAnsi="Arial"/>
          <w:sz w:val="17"/>
          <w:szCs w:val="17"/>
          <w:color w:val="auto"/>
        </w:rPr>
        <w:t>” means any material event, change, effect, development or occurrence occurring or arising after the date of this Agreement that (i) was not known or reasonably foreseeable to the Board of Directors or executive officers of the Company as of or prior to the date of this Agreement and (ii) does not relate to or involve a Company Acquisition Proposal; provided that (x) in no event shall any action taken by either party pursuant to the affirmative covenants set forth in Section 8.01, and the consequences of any such action, constitute, be deemed to contribute to or otherwise be taken into account in determining whether there has been a Company Intervening Event and (y) in no event shall any event, change, effect, development or occurrence that would fall within any of the exceptions to the definition of “</w:t>
      </w:r>
      <w:r>
        <w:rPr>
          <w:rFonts w:ascii="Arial" w:cs="Arial" w:eastAsia="Arial" w:hAnsi="Arial"/>
          <w:sz w:val="17"/>
          <w:szCs w:val="17"/>
          <w:b w:val="1"/>
          <w:bCs w:val="1"/>
          <w:color w:val="auto"/>
        </w:rPr>
        <w:t>Parent Material Adverse Effect</w:t>
      </w:r>
      <w:r>
        <w:rPr>
          <w:rFonts w:ascii="Arial" w:cs="Arial" w:eastAsia="Arial" w:hAnsi="Arial"/>
          <w:sz w:val="17"/>
          <w:szCs w:val="17"/>
          <w:color w:val="auto"/>
        </w:rPr>
        <w:t>” constitute, be deemed to contribute to or otherwise be taken into account in determining whether there has been a Company Intervening Event.</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Licenses</w:t>
      </w:r>
      <w:r>
        <w:rPr>
          <w:rFonts w:ascii="Arial" w:cs="Arial" w:eastAsia="Arial" w:hAnsi="Arial"/>
          <w:sz w:val="18"/>
          <w:szCs w:val="18"/>
          <w:color w:val="auto"/>
        </w:rPr>
        <w:t>” means Governmental Authorizations issued by the FCC to the Company or any of its Subsidiaries or Affiliates</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 material adverse effect on (i) the condition (financial or otherwise), business, assets or results of operations of the Company and its Subsidiaries, taken as a whole, or (ii) the Company’s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the Company and its Subsidiaries, taken as a whole, relative to other participants in the industry in which the Company and its Subsidiaries operate, (B) changes (including changes of Applicable Law) or conditions generally affecting the industry in which the Company and its Subsidiaries operate except to the extent (and only to the extent) having a materially disproportionate effect on the Company and its Subsidiaries, taken as a whole, relative to other participants in the industry in which the Company and its Subsidiaries operate, (C) acts of war, sabotage or terrorism or natural disasters (including hurricanes, tornadoes, floods or earthquakes) except to the extent (and only to the extent) having a materially disproportionate effect on the Company and its Subsidiaries, taken as a whole, relative to other participants in the industry in which the Company and its Subsidiaries operate, (D) the announcement or consummation of the transactions contemplated by this Agreement, including the impact thereof on the relationships, contractual or otherwise of the Company or any of its Subsidiaries with employees, labor unions, customers, suppliers or partners (it being understood that this clause (D) shall not apply to Sections 4.04, the first sentence of 4.17(c) and 4.18(d) and, to the extent related thereto, Section 9.02(a)(ii)(C) of this Agreement), (E) any failure by the Company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Company Material Adverse Effect may be taken into account in determining whether there has been a Company Material Adverse Effect), (F) any change in the price of the Company Stock on the NYSE (it being understood that this clause (F) shall not prevent a party from asserting that any fact, change, event, occurrence or effect that may have given rise or contributed to such change (but in no event changes in the trading price of Parent Stock) and that are not otherwise excluded from the definition of Company Material Adverse Effect may be taken into account in determining whether there has been a Company Material Adverse Effect), (G) changes in GAAP (or authoritative interpretation of GAAP), (H) any Company Transaction Litigation, to the extent directly relating to the negotiations between the parties and the terms and conditions of this Agreement, and (I) compliance with the terms of, or the taking of any action required by, this Agreement.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 w:name="page17"/>
    <w:bookmarkEnd w:id="1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Operating Plan</w:t>
      </w:r>
      <w:r>
        <w:rPr>
          <w:rFonts w:ascii="Arial" w:cs="Arial" w:eastAsia="Arial" w:hAnsi="Arial"/>
          <w:sz w:val="16"/>
          <w:szCs w:val="16"/>
          <w:color w:val="auto"/>
        </w:rPr>
        <w:t>” means the Operating Plan of the Company and its Subsidiaries for fiscal years 2014 to 2016 previously disclosed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w:t>
      </w:r>
      <w:r>
        <w:rPr>
          <w:rFonts w:ascii="Arial" w:cs="Arial" w:eastAsia="Arial" w:hAnsi="Arial"/>
          <w:sz w:val="18"/>
          <w:szCs w:val="18"/>
          <w:color w:val="auto"/>
        </w:rPr>
        <w:t>” means the common stock, $0.01 par value, of the Company.</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10-K</w:t>
      </w:r>
      <w:r>
        <w:rPr>
          <w:rFonts w:ascii="Arial" w:cs="Arial" w:eastAsia="Arial" w:hAnsi="Arial"/>
          <w:sz w:val="18"/>
          <w:szCs w:val="18"/>
          <w:color w:val="auto"/>
        </w:rPr>
        <w:t>” means the Company’s annual report on Form 10-K for the fiscal year ended December 31, 2013, in the form previously delivered to Parent.</w:t>
      </w:r>
    </w:p>
    <w:p>
      <w:pPr>
        <w:spacing w:after="0" w:line="189" w:lineRule="exact"/>
        <w:rPr>
          <w:sz w:val="20"/>
          <w:szCs w:val="20"/>
          <w:color w:val="auto"/>
        </w:rPr>
      </w:pPr>
    </w:p>
    <w:p>
      <w:pPr>
        <w:ind w:right="2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Competition Laws</w:t>
      </w:r>
      <w:r>
        <w:rPr>
          <w:rFonts w:ascii="Arial" w:cs="Arial" w:eastAsia="Arial" w:hAnsi="Arial"/>
          <w:sz w:val="16"/>
          <w:szCs w:val="16"/>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Delaware Law</w:t>
      </w:r>
      <w:r>
        <w:rPr>
          <w:rFonts w:ascii="Arial" w:cs="Arial" w:eastAsia="Arial" w:hAnsi="Arial"/>
          <w:sz w:val="18"/>
          <w:szCs w:val="18"/>
          <w:color w:val="auto"/>
        </w:rPr>
        <w:t>” means the General Corporation Law of the State of Delaware.</w:t>
      </w:r>
    </w:p>
    <w:p>
      <w:pPr>
        <w:spacing w:after="0" w:line="25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Applicable Law or any agreement with any Person relating to human health and safety, the environment or any pollutants, contaminants or hazardous or toxic substances, materials or wastes.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all Governmental Authorizations relating to or required by Environmental Laws.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5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of any entity means any other entity that, together with such entity, would be treated as a single employer under Section 414 of the Code.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w:t>
      </w:r>
      <w:r>
        <w:rPr>
          <w:rFonts w:ascii="Arial" w:cs="Arial" w:eastAsia="Arial" w:hAnsi="Arial"/>
          <w:sz w:val="18"/>
          <w:szCs w:val="18"/>
          <w:color w:val="auto"/>
        </w:rPr>
        <w:t>” means the Federal Communications Commission.</w:t>
      </w:r>
    </w:p>
    <w:p>
      <w:pPr>
        <w:spacing w:after="0" w:line="252"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FCC Order</w:t>
      </w:r>
      <w:r>
        <w:rPr>
          <w:rFonts w:ascii="Arial" w:cs="Arial" w:eastAsia="Arial" w:hAnsi="Arial"/>
          <w:sz w:val="16"/>
          <w:szCs w:val="16"/>
          <w:color w:val="auto"/>
        </w:rPr>
        <w:t>” means an order adopted, and the full text thereof released, by the FCC granting its consent to the transfer of control or assignment of the Company Licenses, pursuant to appropriate applications filed by the parties hereto with the FCC as contemplated by this Agreement.</w:t>
      </w:r>
    </w:p>
    <w:p>
      <w:pPr>
        <w:spacing w:after="0" w:line="143"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Franchise</w:t>
      </w:r>
      <w:r>
        <w:rPr>
          <w:rFonts w:ascii="Arial" w:cs="Arial" w:eastAsia="Arial" w:hAnsi="Arial"/>
          <w:sz w:val="16"/>
          <w:szCs w:val="16"/>
          <w:color w:val="auto"/>
        </w:rPr>
        <w:t>” means with respect to each Person, each franchise, as such term is defined in the Communications Act, granted by a Governmental Authority authorizing the construction, upgrade, maintenance or operation of any part of the Cable Systems that are part of such Person.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5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department, court, agency, commission or official, including any political subdivision thereof.</w:t>
      </w:r>
    </w:p>
    <w:p>
      <w:pPr>
        <w:spacing w:after="0" w:line="248" w:lineRule="exact"/>
        <w:rPr>
          <w:sz w:val="20"/>
          <w:szCs w:val="20"/>
          <w:color w:val="auto"/>
        </w:rPr>
      </w:pPr>
    </w:p>
    <w:p>
      <w:pPr>
        <w:ind w:right="4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Authorization</w:t>
      </w:r>
      <w:r>
        <w:rPr>
          <w:rFonts w:ascii="Arial" w:cs="Arial" w:eastAsia="Arial" w:hAnsi="Arial"/>
          <w:sz w:val="16"/>
          <w:szCs w:val="16"/>
          <w:color w:val="auto"/>
        </w:rPr>
        <w:t>” means any license (including any license or authorization issued by the FCC),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issued by or obtained from a Government Authority.</w:t>
      </w:r>
    </w:p>
    <w:p>
      <w:pPr>
        <w:spacing w:after="0" w:line="178"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w:t>
      </w:r>
      <w:r>
        <w:rPr>
          <w:rFonts w:ascii="Arial" w:cs="Arial" w:eastAsia="Arial" w:hAnsi="Arial"/>
          <w:sz w:val="18"/>
          <w:szCs w:val="18"/>
          <w:color w:val="auto"/>
        </w:rPr>
        <w:t>” means any pollutant, contaminant or toxic, radioactive, ignitable, corrosive, reactive or otherwise hazardous substance, waste or material, or any substance, waste or material having any constituent elements displaying any of the foregoing characteristics, including any substance, waste or material regulated under any Environmental Law.</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means any and all intellectual property rights or similar proprietary rights throughout the world, including all</w:t>
      </w:r>
    </w:p>
    <w:p>
      <w:pPr>
        <w:spacing w:after="0" w:line="39" w:lineRule="exact"/>
        <w:rPr>
          <w:sz w:val="20"/>
          <w:szCs w:val="20"/>
          <w:color w:val="auto"/>
        </w:rPr>
      </w:pPr>
    </w:p>
    <w:p>
      <w:pPr>
        <w:ind w:firstLine="8"/>
        <w:spacing w:after="0" w:line="268" w:lineRule="auto"/>
        <w:tabs>
          <w:tab w:leader="none" w:pos="215" w:val="left"/>
        </w:tabs>
        <w:numPr>
          <w:ilvl w:val="0"/>
          <w:numId w:val="4"/>
        </w:numPr>
        <w:rPr>
          <w:rFonts w:ascii="Arial" w:cs="Arial" w:eastAsia="Arial" w:hAnsi="Arial"/>
          <w:sz w:val="17"/>
          <w:szCs w:val="17"/>
          <w:color w:val="auto"/>
        </w:rPr>
      </w:pPr>
      <w:r>
        <w:rPr>
          <w:rFonts w:ascii="Arial" w:cs="Arial" w:eastAsia="Arial" w:hAnsi="Arial"/>
          <w:sz w:val="17"/>
          <w:szCs w:val="17"/>
          <w:color w:val="auto"/>
        </w:rPr>
        <w:t>patents and patent applications of any type issued or applied for in any jurisdiction, including all provisionals, nonprovisionals, divisions, continuations, continuations-in-part, reissues, extensions, supplementary protection certificates, reexaminations and the equivalents of any of the foregoing in any jurisdiction, and all inventions disclosed in each such registration, patent or patent application, (ii) trademarks, service marks, trade dress, logos, brand names, certification marks, domain names, trade names, corporate names and other indications of origin, whether or not registered, in any jurisdiction, and all registrations and applications for registration of the foregoing in any jurisdiction, and all goodwill associated with the foregoing, (iii) copyrights (whether or not registered) and registrations and applications for registration thereof in any jurisdiction, including all derivative works, moral rights, renewals, extensions or reversions associated with such copyrights, regardless of the medium of fixation or means of expression, (iv) know-how, trade secrets and other proprietary or confidential information and any and all rights in any jurisdiction to limit the use or disclosure thereof by any Person and (v) database rights, industrial designs, industrial property rights, publicity rights and privacy rights.</w:t>
      </w:r>
    </w:p>
    <w:p>
      <w:pPr>
        <w:spacing w:after="0" w:line="205" w:lineRule="exact"/>
        <w:rPr>
          <w:sz w:val="20"/>
          <w:szCs w:val="20"/>
          <w:color w:val="auto"/>
        </w:rPr>
      </w:pPr>
    </w:p>
    <w:p>
      <w:pPr>
        <w:ind w:right="5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any and all computers, computer software, firmware, middleware, servers, workstations, routers, hubs, switches, data communications lines and all other information technology equipment, and all associated documentation owned by the Company or its Subsidiaries or licensed or leased to the Company or its Subsidiaries (excluding any public networks).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 w:name="page19"/>
    <w:bookmarkEnd w:id="18"/>
    <w:p>
      <w:pPr>
        <w:ind w:right="2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w:t>
      </w:r>
      <w:r>
        <w:rPr>
          <w:rFonts w:ascii="Arial" w:cs="Arial" w:eastAsia="Arial" w:hAnsi="Arial"/>
          <w:sz w:val="16"/>
          <w:szCs w:val="16"/>
          <w:color w:val="auto"/>
        </w:rPr>
        <w:t>” means (i) with respect to the Company, the actual knowledge of the individuals listed in Section 1.01(a) of the Company Disclosure Schedule and (ii) with respect to Parent, the actual knowledge of the individuals listed in Section 1.01(a) of the Parent Disclosure Schedule.</w:t>
      </w:r>
    </w:p>
    <w:p>
      <w:pPr>
        <w:spacing w:after="0" w:line="143"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Licensed Intellectual Property Rights</w:t>
      </w:r>
      <w:r>
        <w:rPr>
          <w:rFonts w:ascii="Arial" w:cs="Arial" w:eastAsia="Arial" w:hAnsi="Arial"/>
          <w:sz w:val="17"/>
          <w:szCs w:val="17"/>
          <w:color w:val="auto"/>
        </w:rPr>
        <w:t>” means any and all Intellectual Property Rights owned by a Third Party and licensed or sublicensed to the Company or any of its Subsidiaries or for which the Company or any of its Subsidiaries has obtained a covenant not to be sued.</w:t>
      </w:r>
    </w:p>
    <w:p>
      <w:pPr>
        <w:spacing w:after="0" w:line="16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Select Market.</w:t>
      </w:r>
    </w:p>
    <w:p>
      <w:pPr>
        <w:spacing w:after="0" w:line="25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NBCUniversal Agreement</w:t>
      </w:r>
      <w:r>
        <w:rPr>
          <w:rFonts w:ascii="Arial" w:cs="Arial" w:eastAsia="Arial" w:hAnsi="Arial"/>
          <w:sz w:val="18"/>
          <w:szCs w:val="18"/>
          <w:color w:val="auto"/>
        </w:rPr>
        <w:t>” means the Transaction Agreement, dated as of February 12, 2013, by and among General Electric Company, Parent, National Broadcasting Company Holding, Inc., Navy Holdings, Inc., NBCUniversal, LLC and NBCUniversal Media, LLC.</w:t>
      </w:r>
    </w:p>
    <w:p>
      <w:pPr>
        <w:spacing w:after="0" w:line="189"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Owned Intellectual Property Rights</w:t>
      </w:r>
      <w:r>
        <w:rPr>
          <w:rFonts w:ascii="Arial" w:cs="Arial" w:eastAsia="Arial" w:hAnsi="Arial"/>
          <w:sz w:val="18"/>
          <w:szCs w:val="18"/>
          <w:color w:val="auto"/>
        </w:rPr>
        <w:t>” means any and all Intellectual Property Rights owned or purported to be owned by the Company or any of its Subsidiaries.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Balance Sheet</w:t>
      </w:r>
      <w:r>
        <w:rPr>
          <w:rFonts w:ascii="Arial" w:cs="Arial" w:eastAsia="Arial" w:hAnsi="Arial"/>
          <w:sz w:val="16"/>
          <w:szCs w:val="16"/>
          <w:color w:val="auto"/>
        </w:rPr>
        <w:t>” means the consolidated balance sheet of Parent as of December 31, 2013, and the footnotes thereto set forth in the Parent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Balance Sheet Date</w:t>
      </w:r>
      <w:r>
        <w:rPr>
          <w:rFonts w:ascii="Arial" w:cs="Arial" w:eastAsia="Arial" w:hAnsi="Arial"/>
          <w:sz w:val="18"/>
          <w:szCs w:val="18"/>
          <w:color w:val="auto"/>
        </w:rPr>
        <w:t>” means December 31, 2013.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Class A Common Stock</w:t>
      </w:r>
      <w:r>
        <w:rPr>
          <w:rFonts w:ascii="Arial" w:cs="Arial" w:eastAsia="Arial" w:hAnsi="Arial"/>
          <w:sz w:val="18"/>
          <w:szCs w:val="18"/>
          <w:color w:val="auto"/>
        </w:rPr>
        <w:t>” means the Class A Common Stock, par value $0.01 per share, of Parent.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Class A Special Common Stock</w:t>
      </w:r>
      <w:r>
        <w:rPr>
          <w:rFonts w:ascii="Arial" w:cs="Arial" w:eastAsia="Arial" w:hAnsi="Arial"/>
          <w:sz w:val="18"/>
          <w:szCs w:val="18"/>
          <w:color w:val="auto"/>
        </w:rPr>
        <w:t>” means the Class A Special Common Stock, par value $0.01 per share, of Parent.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Class B Common Stock</w:t>
      </w:r>
      <w:r>
        <w:rPr>
          <w:rFonts w:ascii="Arial" w:cs="Arial" w:eastAsia="Arial" w:hAnsi="Arial"/>
          <w:sz w:val="18"/>
          <w:szCs w:val="18"/>
          <w:color w:val="auto"/>
        </w:rPr>
        <w:t>” means the Class B Common Stock, par value $0.01 per share, of Parent.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Disclosure Schedule</w:t>
      </w:r>
      <w:r>
        <w:rPr>
          <w:rFonts w:ascii="Arial" w:cs="Arial" w:eastAsia="Arial" w:hAnsi="Arial"/>
          <w:sz w:val="18"/>
          <w:szCs w:val="18"/>
          <w:color w:val="auto"/>
        </w:rPr>
        <w:t>” means the disclosure schedule dated the date hereof regarding this Agreement that has been provided by Parent to the Company.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Material Adverse Effect</w:t>
      </w:r>
      <w:r>
        <w:rPr>
          <w:rFonts w:ascii="Arial" w:cs="Arial" w:eastAsia="Arial" w:hAnsi="Arial"/>
          <w:sz w:val="16"/>
          <w:szCs w:val="16"/>
          <w:color w:val="auto"/>
        </w:rPr>
        <w:t>” means a material adverse effect on (i) the condition (financial or otherwise), business, assets or results of operations of Parent and its Subsidiaries, taken as a whole, or (ii) Parent’s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Parent and its Subsidiaries, taken as a whole, relative to other participants in the industry in which Parent and its Subsidiaries operate, (B) changes (including changes of Applicable Law) or conditions generally affecting the industry in which Parent and its Subsidiaries operate except to the extent (and only to the extent) having a materially disproportionate effect on Parent and its Subsidiaries, taken as a whole, relative to other participants in the industry in which Parent and its Subsidiaries operate, (C) acts of war, sabotage or terrorism or natural disasters (including hurricanes, tornadoes, floods or earthquakes) except to the extent (and only to the extent) having a materially disproportionate effect on Parent and its Subsidiaries, taken as a whole, relative to other participants in the industry in which Parent and its Subsidiaries operate, (D) the announcement or consummation of the transactions contemplated by this Agreement, including the impact thereof on the relationships, contractual or otherwise, of Parent or any of its Subsidiaries with employees, labor unions, customers, suppliers or partners (it being understood that this clause (D) shall not apply to Section 5.04 and, to the extent related thereto, Section 9.03(a)(ii)(B) of this Agreement), (E) any failure by Parent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Parent Material Adverse Effect may be taken into account in determining whether there has been a Parent Material Adverse Effect), (F) any change in the price of Parent Stock on NASDAQ (it being understood that this clause (F) shall not prevent a party from asserting that any fact, change, event, occurrence or effect that may have given rise or contributed to such change (but in no event changes in the trading price of Company Stock) and that are not otherwise excluded from the definition of Parent Material Adverse Effect may be taken into account in determining whether there has been a Parent Material Adverse Effect), (G) changes in GAAP (or authoritative interpretation of GAAP), (H) any Parent Transaction Litigation, to the extent directly relating to the negotiations between the parties and the terms and conditions of this Agreement, and (I) compliance with the terms of, or the taking of any action required by,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w:t>
      </w:r>
      <w:r>
        <w:rPr>
          <w:rFonts w:ascii="Arial" w:cs="Arial" w:eastAsia="Arial" w:hAnsi="Arial"/>
          <w:sz w:val="16"/>
          <w:szCs w:val="16"/>
          <w:color w:val="auto"/>
        </w:rPr>
        <w:t>” means, collectively, Parent Class A Common Stock, Parent Class A Special Common Stock and Parent Class B Common Stock.</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10-K</w:t>
      </w:r>
      <w:r>
        <w:rPr>
          <w:rFonts w:ascii="Arial" w:cs="Arial" w:eastAsia="Arial" w:hAnsi="Arial"/>
          <w:sz w:val="18"/>
          <w:szCs w:val="18"/>
          <w:color w:val="auto"/>
        </w:rPr>
        <w:t>” means Parent’s annual report on Form 10-K for the fiscal year ended December 31, 2013.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Pennsylvania Law</w:t>
      </w:r>
      <w:r>
        <w:rPr>
          <w:rFonts w:ascii="Arial" w:cs="Arial" w:eastAsia="Arial" w:hAnsi="Arial"/>
          <w:sz w:val="18"/>
          <w:szCs w:val="18"/>
          <w:color w:val="auto"/>
        </w:rPr>
        <w:t>” means the Pennsylvania Business Corporation law of 1988.</w:t>
      </w:r>
    </w:p>
    <w:p>
      <w:pPr>
        <w:spacing w:after="0" w:line="25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Liens for Taxes not yet due and payable or that are being contested in good faith by appropriate proceedings, (ii) Liens in favor of vendors, carriers, warehousemen, repairmen, mechanics, workmen, materialmen, construction or similar Liens or other encumbrances arising by operation of Applicable Law, (iii) Liens affecting the interest of the grantor of any easements benefiting owned real property and Liens of record attaching to real property, fixtures or leasehold improvements, (iv) Liens reflected in the Company Balance Sheet or Parent Balance Sheet, as applicable, (v) Liens in favor of the lessors under real property leases, (vi) Liens imposed or promulgated by operation of Applicable Law with respect to real property and improvements, including zoning regulations, (vii) with respect to real property that is leased, any Lien to which the fee or any superior interest is subject, and</w:t>
      </w:r>
    </w:p>
    <w:p>
      <w:pPr>
        <w:spacing w:after="0" w:line="4" w:lineRule="exact"/>
        <w:rPr>
          <w:sz w:val="20"/>
          <w:szCs w:val="20"/>
          <w:color w:val="auto"/>
        </w:rPr>
      </w:pPr>
    </w:p>
    <w:p>
      <w:pPr>
        <w:ind w:right="460" w:firstLine="8"/>
        <w:spacing w:after="0" w:line="277" w:lineRule="auto"/>
        <w:tabs>
          <w:tab w:leader="none" w:pos="405" w:val="left"/>
        </w:tabs>
        <w:numPr>
          <w:ilvl w:val="0"/>
          <w:numId w:val="5"/>
        </w:numPr>
        <w:rPr>
          <w:rFonts w:ascii="Arial" w:cs="Arial" w:eastAsia="Arial" w:hAnsi="Arial"/>
          <w:sz w:val="17"/>
          <w:szCs w:val="17"/>
          <w:color w:val="auto"/>
        </w:rPr>
      </w:pPr>
      <w:r>
        <w:rPr>
          <w:rFonts w:ascii="Arial" w:cs="Arial" w:eastAsia="Arial" w:hAnsi="Arial"/>
          <w:sz w:val="17"/>
          <w:szCs w:val="17"/>
          <w:color w:val="auto"/>
        </w:rPr>
        <w:t>Liens, exceptions, defects or irregularities in title, easements, imperfections of title, claims, charges, security interests, rights-of- way, covenants, restrictions and other similar matters that would not, individually or in the aggregate, reasonably be expected to materially impair the continued use and operation of the assets to which they relate in the business of such entity and its Subsidiaries as presently conducted.</w:t>
      </w:r>
    </w:p>
    <w:p>
      <w:pPr>
        <w:spacing w:after="0" w:line="19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52"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persons performing similar functions are at any time directly or indirectly owned by such Person.</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means any (i) tax, governmental fee or other like assessment or charge of any kind whatsoever (including any payment required to be made to any state abandoned property administrator or other public official pursuant to an abandoned property, escheat or similar law and any withholding on amounts paid to or by any Person), together with any interest, penalty, addition to tax or additional amount imposed by any Governmental Authority (a “</w:t>
      </w:r>
      <w:r>
        <w:rPr>
          <w:rFonts w:ascii="Arial" w:cs="Arial" w:eastAsia="Arial" w:hAnsi="Arial"/>
          <w:sz w:val="17"/>
          <w:szCs w:val="17"/>
          <w:b w:val="1"/>
          <w:bCs w:val="1"/>
          <w:color w:val="auto"/>
        </w:rPr>
        <w:t>Taxing</w:t>
      </w:r>
      <w:r>
        <w:rPr>
          <w:rFonts w:ascii="Arial" w:cs="Arial" w:eastAsia="Arial" w:hAnsi="Arial"/>
          <w:sz w:val="17"/>
          <w:szCs w:val="17"/>
          <w:color w:val="auto"/>
        </w:rPr>
        <w:t xml:space="preserve"> </w:t>
      </w:r>
      <w:r>
        <w:rPr>
          <w:rFonts w:ascii="Arial" w:cs="Arial" w:eastAsia="Arial" w:hAnsi="Arial"/>
          <w:sz w:val="17"/>
          <w:szCs w:val="17"/>
          <w:b w:val="1"/>
          <w:bCs w:val="1"/>
          <w:color w:val="auto"/>
        </w:rPr>
        <w:t>Authority</w:t>
      </w:r>
      <w:r>
        <w:rPr>
          <w:rFonts w:ascii="Arial" w:cs="Arial" w:eastAsia="Arial" w:hAnsi="Arial"/>
          <w:sz w:val="17"/>
          <w:szCs w:val="17"/>
          <w:color w:val="auto"/>
        </w:rPr>
        <w:t>”) responsible for the imposition of any such tax (domestic or foreign), and any liability for any of the foregoing as transferee, (ii) liability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any amount of the type described in clause (i) as a result of being or having been a member of an affiliated, consolidated, combined or unitary group, or a party to any agreement or arrangement, as a result of which liability to a Taxing Authority is determined or taken into account with reference to the activities of any other Person, and (iii) liability for the payment of any amount as</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1" w:name="page22"/>
    <w:bookmarkEnd w:id="21"/>
    <w:p>
      <w:pPr>
        <w:ind w:right="400"/>
        <w:spacing w:after="0" w:line="308" w:lineRule="auto"/>
        <w:rPr>
          <w:sz w:val="20"/>
          <w:szCs w:val="20"/>
          <w:color w:val="auto"/>
        </w:rPr>
      </w:pPr>
      <w:r>
        <w:rPr>
          <w:rFonts w:ascii="Arial" w:cs="Arial" w:eastAsia="Arial" w:hAnsi="Arial"/>
          <w:sz w:val="17"/>
          <w:szCs w:val="17"/>
          <w:color w:val="auto"/>
        </w:rPr>
        <w:t>a result of being party to any Tax Sharing Agreement or with respect to the payment of any amount imposed on any Person of the type described in (i) or (ii) as a result of any existing express or implied agreement or arrangement (including an indemnification agreement or arrangement).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Representation Letters</w:t>
      </w:r>
      <w:r>
        <w:rPr>
          <w:rFonts w:ascii="Arial" w:cs="Arial" w:eastAsia="Arial" w:hAnsi="Arial"/>
          <w:sz w:val="16"/>
          <w:szCs w:val="16"/>
          <w:color w:val="auto"/>
        </w:rPr>
        <w:t>” means the letters delivered to Davis Polk &amp; Wardwell LLP, tax counsel to Parent, and Paul, Weiss, Rifkind, Wharton</w:t>
      </w:r>
    </w:p>
    <w:p>
      <w:pPr>
        <w:spacing w:after="0" w:line="50" w:lineRule="exact"/>
        <w:rPr>
          <w:sz w:val="20"/>
          <w:szCs w:val="20"/>
          <w:color w:val="auto"/>
        </w:rPr>
      </w:pPr>
    </w:p>
    <w:p>
      <w:pPr>
        <w:ind w:right="100" w:firstLine="8"/>
        <w:spacing w:after="0" w:line="254"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Garrison LLP, tax counsel to the Company, pursuant to Section 8.07(b), which shall contain representations of Parent or the Company, respectively, dated as of the Closing Date and signed by an officer of Parent or the Company, respectively, in each case as shall be reasonably necessary or appropriate to enable Davis Polk &amp; Wardwell LLP and Paul, Weiss, Rifkind, Wharton &amp; Garrison LLP to render the opinions described in Sections 9.02(b) and 9.03(b) hereof, respectively.</w:t>
      </w:r>
    </w:p>
    <w:p>
      <w:pPr>
        <w:spacing w:after="0" w:line="213" w:lineRule="exact"/>
        <w:rPr>
          <w:sz w:val="20"/>
          <w:szCs w:val="20"/>
          <w:color w:val="auto"/>
        </w:rPr>
      </w:pPr>
    </w:p>
    <w:p>
      <w:pPr>
        <w:ind w:right="2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Return</w:t>
      </w:r>
      <w:r>
        <w:rPr>
          <w:rFonts w:ascii="Arial" w:cs="Arial" w:eastAsia="Arial" w:hAnsi="Arial"/>
          <w:sz w:val="17"/>
          <w:szCs w:val="17"/>
          <w:color w:val="auto"/>
        </w:rPr>
        <w:t>” means any report, return, document, declaration or other information or filing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185"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Sharing Agreements</w:t>
      </w:r>
      <w:r>
        <w:rPr>
          <w:rFonts w:ascii="Arial" w:cs="Arial" w:eastAsia="Arial" w:hAnsi="Arial"/>
          <w:sz w:val="18"/>
          <w:szCs w:val="18"/>
          <w:color w:val="auto"/>
        </w:rPr>
        <w:t>” means all existing agreements or arrangements (whether or not written) binding a party or any of its Subsidiaries that provide for the allocation, apportionment, sharing or assignment of any Tax liability or benefit (excluding any indemnification agreement or arrangement pertaining to the sale or lease of assets or subsidiaries and any non-material commercially reasonable indemnity, sharing or similar agreements or arrangements where the inclusion of a Tax indemnification or allocation provision is customary or incidental to an agreement the primary nature of which is not Tax sharing or indemnification).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including as defined in Section 13(d) of the 1934 Act, other than Parent or any of its Affiliates.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regulations promulgated under the Code.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ind w:left="1300"/>
              <w:spacing w:after="0"/>
              <w:rPr>
                <w:sz w:val="20"/>
                <w:szCs w:val="20"/>
                <w:color w:val="auto"/>
              </w:rPr>
            </w:pPr>
            <w:r>
              <w:rPr>
                <w:rFonts w:ascii="Arial" w:cs="Arial" w:eastAsia="Arial" w:hAnsi="Arial"/>
                <w:sz w:val="18"/>
                <w:szCs w:val="18"/>
                <w:color w:val="auto"/>
              </w:rPr>
              <w:t>(b)</w:t>
            </w:r>
          </w:p>
        </w:tc>
        <w:tc>
          <w:tcPr>
            <w:tcW w:w="9600" w:type="dxa"/>
            <w:vAlign w:val="bottom"/>
          </w:tcPr>
          <w:p>
            <w:pPr>
              <w:ind w:left="120"/>
              <w:spacing w:after="0"/>
              <w:rPr>
                <w:sz w:val="20"/>
                <w:szCs w:val="20"/>
                <w:color w:val="auto"/>
              </w:rPr>
            </w:pPr>
            <w:r>
              <w:rPr>
                <w:rFonts w:ascii="Arial" w:cs="Arial" w:eastAsia="Arial" w:hAnsi="Arial"/>
                <w:sz w:val="18"/>
                <w:szCs w:val="18"/>
                <w:color w:val="auto"/>
              </w:rPr>
              <w:t>Each of the following terms is defined in the Section set forth opposite such term:</w:t>
            </w:r>
          </w:p>
        </w:tc>
      </w:tr>
      <w:tr>
        <w:trPr>
          <w:trHeight w:val="479"/>
        </w:trPr>
        <w:tc>
          <w:tcPr>
            <w:tcW w:w="1820" w:type="dxa"/>
            <w:vAlign w:val="bottom"/>
          </w:tcPr>
          <w:p>
            <w:pPr>
              <w:ind w:left="20"/>
              <w:spacing w:after="0"/>
              <w:rPr>
                <w:sz w:val="20"/>
                <w:szCs w:val="20"/>
                <w:color w:val="auto"/>
              </w:rPr>
            </w:pPr>
            <w:r>
              <w:rPr>
                <w:rFonts w:ascii="Arial" w:cs="Arial" w:eastAsia="Arial" w:hAnsi="Arial"/>
                <w:sz w:val="18"/>
                <w:szCs w:val="18"/>
                <w:color w:val="auto"/>
              </w:rPr>
              <w:t>Term</w:t>
            </w:r>
          </w:p>
        </w:tc>
        <w:tc>
          <w:tcPr>
            <w:tcW w:w="9600" w:type="dxa"/>
            <w:vAlign w:val="bottom"/>
          </w:tcPr>
          <w:p>
            <w:pPr>
              <w:ind w:left="7340"/>
              <w:spacing w:after="0"/>
              <w:rPr>
                <w:sz w:val="20"/>
                <w:szCs w:val="20"/>
                <w:color w:val="auto"/>
              </w:rPr>
            </w:pPr>
            <w:r>
              <w:rPr>
                <w:rFonts w:ascii="Arial" w:cs="Arial" w:eastAsia="Arial" w:hAnsi="Arial"/>
                <w:sz w:val="18"/>
                <w:szCs w:val="18"/>
                <w:color w:val="auto"/>
              </w:rPr>
              <w:t>Section</w:t>
            </w:r>
          </w:p>
        </w:tc>
      </w:tr>
      <w:tr>
        <w:trPr>
          <w:trHeight w:val="250"/>
        </w:trPr>
        <w:tc>
          <w:tcPr>
            <w:tcW w:w="1820" w:type="dxa"/>
            <w:vAlign w:val="bottom"/>
            <w:shd w:val="clear" w:color="auto" w:fill="D5EAEA"/>
          </w:tcPr>
          <w:p>
            <w:pPr>
              <w:ind w:left="20"/>
              <w:spacing w:after="0"/>
              <w:rPr>
                <w:sz w:val="20"/>
                <w:szCs w:val="20"/>
                <w:color w:val="auto"/>
              </w:rPr>
            </w:pPr>
            <w:r>
              <w:rPr>
                <w:rFonts w:ascii="Arial" w:cs="Arial" w:eastAsia="Arial" w:hAnsi="Arial"/>
                <w:sz w:val="18"/>
                <w:szCs w:val="18"/>
                <w:color w:val="auto"/>
              </w:rPr>
              <w:t>368 Reorganization</w:t>
            </w:r>
          </w:p>
        </w:tc>
        <w:tc>
          <w:tcPr>
            <w:tcW w:w="9600" w:type="dxa"/>
            <w:vAlign w:val="bottom"/>
            <w:shd w:val="clear" w:color="auto" w:fill="D5EAEA"/>
          </w:tcPr>
          <w:p>
            <w:pPr>
              <w:ind w:left="7340"/>
              <w:spacing w:after="0"/>
              <w:rPr>
                <w:sz w:val="20"/>
                <w:szCs w:val="20"/>
                <w:color w:val="auto"/>
              </w:rPr>
            </w:pPr>
            <w:r>
              <w:rPr>
                <w:rFonts w:ascii="Arial" w:cs="Arial" w:eastAsia="Arial" w:hAnsi="Arial"/>
                <w:sz w:val="18"/>
                <w:szCs w:val="18"/>
                <w:color w:val="auto"/>
              </w:rPr>
              <w:t>4.22</w:t>
            </w:r>
          </w:p>
        </w:tc>
      </w:tr>
      <w:tr>
        <w:trPr>
          <w:trHeight w:val="237"/>
        </w:trPr>
        <w:tc>
          <w:tcPr>
            <w:tcW w:w="1820" w:type="dxa"/>
            <w:vAlign w:val="bottom"/>
          </w:tcPr>
          <w:p>
            <w:pPr>
              <w:ind w:left="20"/>
              <w:spacing w:after="0"/>
              <w:rPr>
                <w:sz w:val="20"/>
                <w:szCs w:val="20"/>
                <w:color w:val="auto"/>
              </w:rPr>
            </w:pPr>
            <w:r>
              <w:rPr>
                <w:rFonts w:ascii="Arial" w:cs="Arial" w:eastAsia="Arial" w:hAnsi="Arial"/>
                <w:sz w:val="18"/>
                <w:szCs w:val="18"/>
                <w:color w:val="auto"/>
              </w:rPr>
              <w:t>Adjusted Option</w:t>
            </w:r>
          </w:p>
        </w:tc>
        <w:tc>
          <w:tcPr>
            <w:tcW w:w="9600" w:type="dxa"/>
            <w:vAlign w:val="bottom"/>
          </w:tcPr>
          <w:p>
            <w:pPr>
              <w:ind w:left="7340"/>
              <w:spacing w:after="0"/>
              <w:rPr>
                <w:sz w:val="20"/>
                <w:szCs w:val="20"/>
                <w:color w:val="auto"/>
              </w:rPr>
            </w:pPr>
            <w:r>
              <w:rPr>
                <w:rFonts w:ascii="Arial" w:cs="Arial" w:eastAsia="Arial" w:hAnsi="Arial"/>
                <w:sz w:val="18"/>
                <w:szCs w:val="18"/>
                <w:color w:val="auto"/>
              </w:rPr>
              <w:t>2.04(a)</w:t>
            </w:r>
          </w:p>
        </w:tc>
      </w:tr>
      <w:tr>
        <w:trPr>
          <w:trHeight w:val="249"/>
        </w:trPr>
        <w:tc>
          <w:tcPr>
            <w:tcW w:w="1820" w:type="dxa"/>
            <w:vAlign w:val="bottom"/>
            <w:shd w:val="clear" w:color="auto" w:fill="D5EAEA"/>
          </w:tcPr>
          <w:p>
            <w:pPr>
              <w:ind w:left="20"/>
              <w:spacing w:after="0"/>
              <w:rPr>
                <w:sz w:val="20"/>
                <w:szCs w:val="20"/>
                <w:color w:val="auto"/>
              </w:rPr>
            </w:pPr>
            <w:r>
              <w:rPr>
                <w:rFonts w:ascii="Arial" w:cs="Arial" w:eastAsia="Arial" w:hAnsi="Arial"/>
                <w:sz w:val="18"/>
                <w:szCs w:val="18"/>
                <w:color w:val="auto"/>
              </w:rPr>
              <w:t>Adjusted RSU</w:t>
            </w:r>
          </w:p>
        </w:tc>
        <w:tc>
          <w:tcPr>
            <w:tcW w:w="9600" w:type="dxa"/>
            <w:vAlign w:val="bottom"/>
            <w:shd w:val="clear" w:color="auto" w:fill="D5EAEA"/>
          </w:tcPr>
          <w:p>
            <w:pPr>
              <w:ind w:left="7340"/>
              <w:spacing w:after="0"/>
              <w:rPr>
                <w:sz w:val="20"/>
                <w:szCs w:val="20"/>
                <w:color w:val="auto"/>
              </w:rPr>
            </w:pPr>
            <w:r>
              <w:rPr>
                <w:rFonts w:ascii="Arial" w:cs="Arial" w:eastAsia="Arial" w:hAnsi="Arial"/>
                <w:sz w:val="18"/>
                <w:szCs w:val="18"/>
                <w:color w:val="auto"/>
              </w:rPr>
              <w:t>2.04(b)</w:t>
            </w:r>
          </w:p>
        </w:tc>
      </w:tr>
      <w:tr>
        <w:trPr>
          <w:trHeight w:val="237"/>
        </w:trPr>
        <w:tc>
          <w:tcPr>
            <w:tcW w:w="1820" w:type="dxa"/>
            <w:vAlign w:val="bottom"/>
          </w:tcPr>
          <w:p>
            <w:pPr>
              <w:ind w:left="20"/>
              <w:spacing w:after="0"/>
              <w:rPr>
                <w:sz w:val="20"/>
                <w:szCs w:val="20"/>
                <w:color w:val="auto"/>
              </w:rPr>
            </w:pPr>
            <w:r>
              <w:rPr>
                <w:rFonts w:ascii="Arial" w:cs="Arial" w:eastAsia="Arial" w:hAnsi="Arial"/>
                <w:sz w:val="18"/>
                <w:szCs w:val="18"/>
                <w:color w:val="auto"/>
              </w:rPr>
              <w:t>Agreement</w:t>
            </w:r>
          </w:p>
        </w:tc>
        <w:tc>
          <w:tcPr>
            <w:tcW w:w="9600" w:type="dxa"/>
            <w:vAlign w:val="bottom"/>
          </w:tcPr>
          <w:p>
            <w:pPr>
              <w:ind w:left="7340"/>
              <w:spacing w:after="0"/>
              <w:rPr>
                <w:sz w:val="20"/>
                <w:szCs w:val="20"/>
                <w:color w:val="auto"/>
              </w:rPr>
            </w:pPr>
            <w:r>
              <w:rPr>
                <w:rFonts w:ascii="Arial" w:cs="Arial" w:eastAsia="Arial" w:hAnsi="Arial"/>
                <w:sz w:val="18"/>
                <w:szCs w:val="18"/>
                <w:color w:val="auto"/>
              </w:rPr>
              <w:t>Preamble</w:t>
            </w:r>
          </w:p>
        </w:tc>
      </w:tr>
      <w:tr>
        <w:trPr>
          <w:trHeight w:val="249"/>
        </w:trPr>
        <w:tc>
          <w:tcPr>
            <w:tcW w:w="1820" w:type="dxa"/>
            <w:vAlign w:val="bottom"/>
            <w:shd w:val="clear" w:color="auto" w:fill="D5EAEA"/>
          </w:tcPr>
          <w:p>
            <w:pPr>
              <w:ind w:left="20"/>
              <w:spacing w:after="0"/>
              <w:rPr>
                <w:sz w:val="20"/>
                <w:szCs w:val="20"/>
                <w:color w:val="auto"/>
              </w:rPr>
            </w:pPr>
            <w:r>
              <w:rPr>
                <w:rFonts w:ascii="Arial" w:cs="Arial" w:eastAsia="Arial" w:hAnsi="Arial"/>
                <w:sz w:val="18"/>
                <w:szCs w:val="18"/>
                <w:color w:val="auto"/>
                <w:w w:val="97"/>
              </w:rPr>
              <w:t>Burdensome Condition</w:t>
            </w:r>
          </w:p>
        </w:tc>
        <w:tc>
          <w:tcPr>
            <w:tcW w:w="9600" w:type="dxa"/>
            <w:vAlign w:val="bottom"/>
            <w:shd w:val="clear" w:color="auto" w:fill="D5EAEA"/>
          </w:tcPr>
          <w:p>
            <w:pPr>
              <w:ind w:left="7340"/>
              <w:spacing w:after="0"/>
              <w:rPr>
                <w:sz w:val="20"/>
                <w:szCs w:val="20"/>
                <w:color w:val="auto"/>
              </w:rPr>
            </w:pPr>
            <w:r>
              <w:rPr>
                <w:rFonts w:ascii="Arial" w:cs="Arial" w:eastAsia="Arial" w:hAnsi="Arial"/>
                <w:sz w:val="18"/>
                <w:szCs w:val="18"/>
                <w:color w:val="auto"/>
              </w:rPr>
              <w:t>8.01</w:t>
            </w: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Certificates</w:t>
            </w:r>
          </w:p>
        </w:tc>
        <w:tc>
          <w:tcPr>
            <w:tcW w:w="9600" w:type="dxa"/>
            <w:vAlign w:val="bottom"/>
          </w:tcPr>
          <w:p>
            <w:pPr>
              <w:ind w:left="7340"/>
              <w:spacing w:after="0"/>
              <w:rPr>
                <w:sz w:val="20"/>
                <w:szCs w:val="20"/>
                <w:color w:val="auto"/>
              </w:rPr>
            </w:pPr>
            <w:r>
              <w:rPr>
                <w:rFonts w:ascii="Arial" w:cs="Arial" w:eastAsia="Arial" w:hAnsi="Arial"/>
                <w:sz w:val="18"/>
                <w:szCs w:val="18"/>
                <w:color w:val="auto"/>
              </w:rPr>
              <w:t>2.03</w:t>
            </w:r>
          </w:p>
        </w:tc>
      </w:tr>
      <w:tr>
        <w:trPr>
          <w:trHeight w:val="620"/>
        </w:trPr>
        <w:tc>
          <w:tcPr>
            <w:tcW w:w="1820" w:type="dxa"/>
            <w:vAlign w:val="bottom"/>
          </w:tcPr>
          <w:p>
            <w:pPr>
              <w:spacing w:after="0"/>
              <w:rPr>
                <w:sz w:val="24"/>
                <w:szCs w:val="24"/>
                <w:color w:val="auto"/>
              </w:rPr>
            </w:pPr>
          </w:p>
        </w:tc>
        <w:tc>
          <w:tcPr>
            <w:tcW w:w="9600" w:type="dxa"/>
            <w:vAlign w:val="bottom"/>
          </w:tcPr>
          <w:p>
            <w:pPr>
              <w:ind w:left="3800"/>
              <w:spacing w:after="0"/>
              <w:rPr>
                <w:sz w:val="20"/>
                <w:szCs w:val="20"/>
                <w:color w:val="auto"/>
              </w:rPr>
            </w:pPr>
            <w:r>
              <w:rPr>
                <w:rFonts w:ascii="Arial" w:cs="Arial" w:eastAsia="Arial" w:hAnsi="Arial"/>
                <w:sz w:val="18"/>
                <w:szCs w:val="18"/>
                <w:color w:val="auto"/>
              </w:rPr>
              <w:t>10</w:t>
            </w:r>
          </w:p>
        </w:tc>
      </w:tr>
      <w:tr>
        <w:trPr>
          <w:trHeight w:val="118"/>
        </w:trPr>
        <w:tc>
          <w:tcPr>
            <w:tcW w:w="1820" w:type="dxa"/>
            <w:vAlign w:val="bottom"/>
            <w:tcBorders>
              <w:bottom w:val="single" w:sz="8" w:color="808080"/>
            </w:tcBorders>
          </w:tcPr>
          <w:p>
            <w:pPr>
              <w:spacing w:after="0"/>
              <w:rPr>
                <w:sz w:val="10"/>
                <w:szCs w:val="10"/>
                <w:color w:val="auto"/>
              </w:rPr>
            </w:pPr>
          </w:p>
        </w:tc>
        <w:tc>
          <w:tcPr>
            <w:tcW w:w="9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3"/>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Closing</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2.01(b)</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w:t>
            </w:r>
          </w:p>
        </w:tc>
        <w:tc>
          <w:tcPr>
            <w:tcW w:w="7340" w:type="dxa"/>
            <w:vAlign w:val="bottom"/>
          </w:tcPr>
          <w:p>
            <w:pPr>
              <w:ind w:left="5080"/>
              <w:spacing w:after="0"/>
              <w:rPr>
                <w:sz w:val="20"/>
                <w:szCs w:val="20"/>
                <w:color w:val="auto"/>
              </w:rPr>
            </w:pPr>
            <w:r>
              <w:rPr>
                <w:rFonts w:ascii="Arial" w:cs="Arial" w:eastAsia="Arial" w:hAnsi="Arial"/>
                <w:sz w:val="18"/>
                <w:szCs w:val="18"/>
                <w:color w:val="auto"/>
              </w:rPr>
              <w:t>Preamble</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Board Recommendation</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4.02(b)</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International Plan</w:t>
            </w:r>
          </w:p>
        </w:tc>
        <w:tc>
          <w:tcPr>
            <w:tcW w:w="7340" w:type="dxa"/>
            <w:vAlign w:val="bottom"/>
          </w:tcPr>
          <w:p>
            <w:pPr>
              <w:ind w:left="5080"/>
              <w:spacing w:after="0"/>
              <w:rPr>
                <w:sz w:val="20"/>
                <w:szCs w:val="20"/>
                <w:color w:val="auto"/>
              </w:rPr>
            </w:pPr>
            <w:r>
              <w:rPr>
                <w:rFonts w:ascii="Arial" w:cs="Arial" w:eastAsia="Arial" w:hAnsi="Arial"/>
                <w:sz w:val="18"/>
                <w:szCs w:val="18"/>
                <w:color w:val="auto"/>
              </w:rPr>
              <w:t>4.17(i)</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Investment</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4.06(c)</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Material Contract</w:t>
            </w:r>
          </w:p>
        </w:tc>
        <w:tc>
          <w:tcPr>
            <w:tcW w:w="7340" w:type="dxa"/>
            <w:vAlign w:val="bottom"/>
          </w:tcPr>
          <w:p>
            <w:pPr>
              <w:ind w:left="5080"/>
              <w:spacing w:after="0"/>
              <w:rPr>
                <w:sz w:val="20"/>
                <w:szCs w:val="20"/>
                <w:color w:val="auto"/>
              </w:rPr>
            </w:pPr>
            <w:r>
              <w:rPr>
                <w:rFonts w:ascii="Arial" w:cs="Arial" w:eastAsia="Arial" w:hAnsi="Arial"/>
                <w:sz w:val="18"/>
                <w:szCs w:val="18"/>
                <w:color w:val="auto"/>
              </w:rPr>
              <w:t>10.01(b)(i)</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Plans</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4.17</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RSU</w:t>
            </w:r>
          </w:p>
        </w:tc>
        <w:tc>
          <w:tcPr>
            <w:tcW w:w="7340" w:type="dxa"/>
            <w:vAlign w:val="bottom"/>
          </w:tcPr>
          <w:p>
            <w:pPr>
              <w:ind w:left="5080"/>
              <w:spacing w:after="0"/>
              <w:rPr>
                <w:sz w:val="20"/>
                <w:szCs w:val="20"/>
                <w:color w:val="auto"/>
              </w:rPr>
            </w:pPr>
            <w:r>
              <w:rPr>
                <w:rFonts w:ascii="Arial" w:cs="Arial" w:eastAsia="Arial" w:hAnsi="Arial"/>
                <w:sz w:val="18"/>
                <w:szCs w:val="18"/>
                <w:color w:val="auto"/>
              </w:rPr>
              <w:t>2.04(b)</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SEC Documents</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4.07</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Securities</w:t>
            </w:r>
          </w:p>
        </w:tc>
        <w:tc>
          <w:tcPr>
            <w:tcW w:w="7340" w:type="dxa"/>
            <w:vAlign w:val="bottom"/>
          </w:tcPr>
          <w:p>
            <w:pPr>
              <w:ind w:left="5080"/>
              <w:spacing w:after="0"/>
              <w:rPr>
                <w:sz w:val="20"/>
                <w:szCs w:val="20"/>
                <w:color w:val="auto"/>
              </w:rPr>
            </w:pPr>
            <w:r>
              <w:rPr>
                <w:rFonts w:ascii="Arial" w:cs="Arial" w:eastAsia="Arial" w:hAnsi="Arial"/>
                <w:sz w:val="18"/>
                <w:szCs w:val="18"/>
                <w:color w:val="auto"/>
              </w:rPr>
              <w:t>4.05(b)</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Stock Option</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2.04</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Stockholder Approval</w:t>
            </w:r>
          </w:p>
        </w:tc>
        <w:tc>
          <w:tcPr>
            <w:tcW w:w="7340" w:type="dxa"/>
            <w:vAlign w:val="bottom"/>
          </w:tcPr>
          <w:p>
            <w:pPr>
              <w:ind w:left="5080"/>
              <w:spacing w:after="0"/>
              <w:rPr>
                <w:sz w:val="20"/>
                <w:szCs w:val="20"/>
                <w:color w:val="auto"/>
              </w:rPr>
            </w:pPr>
            <w:r>
              <w:rPr>
                <w:rFonts w:ascii="Arial" w:cs="Arial" w:eastAsia="Arial" w:hAnsi="Arial"/>
                <w:sz w:val="18"/>
                <w:szCs w:val="18"/>
                <w:color w:val="auto"/>
              </w:rPr>
              <w:t>4.02</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Stockholder Meeting</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6.02</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Subsidiary Securities</w:t>
            </w:r>
          </w:p>
        </w:tc>
        <w:tc>
          <w:tcPr>
            <w:tcW w:w="7340" w:type="dxa"/>
            <w:vAlign w:val="bottom"/>
          </w:tcPr>
          <w:p>
            <w:pPr>
              <w:ind w:left="5080"/>
              <w:spacing w:after="0"/>
              <w:rPr>
                <w:sz w:val="20"/>
                <w:szCs w:val="20"/>
                <w:color w:val="auto"/>
              </w:rPr>
            </w:pPr>
            <w:r>
              <w:rPr>
                <w:rFonts w:ascii="Arial" w:cs="Arial" w:eastAsia="Arial" w:hAnsi="Arial"/>
                <w:sz w:val="18"/>
                <w:szCs w:val="18"/>
                <w:color w:val="auto"/>
              </w:rPr>
              <w:t>4.06(b)</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Superior Proposal</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6.03(e)</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Confidentiality Agreement</w:t>
            </w:r>
          </w:p>
        </w:tc>
        <w:tc>
          <w:tcPr>
            <w:tcW w:w="7340" w:type="dxa"/>
            <w:vAlign w:val="bottom"/>
          </w:tcPr>
          <w:p>
            <w:pPr>
              <w:ind w:left="5080"/>
              <w:spacing w:after="0"/>
              <w:rPr>
                <w:sz w:val="20"/>
                <w:szCs w:val="20"/>
                <w:color w:val="auto"/>
              </w:rPr>
            </w:pPr>
            <w:r>
              <w:rPr>
                <w:rFonts w:ascii="Arial" w:cs="Arial" w:eastAsia="Arial" w:hAnsi="Arial"/>
                <w:sz w:val="18"/>
                <w:szCs w:val="18"/>
                <w:color w:val="auto"/>
              </w:rPr>
              <w:t>6.03(b)(i)</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Continuing Employee</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7.09</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D&amp;O Insurance</w:t>
            </w:r>
          </w:p>
        </w:tc>
        <w:tc>
          <w:tcPr>
            <w:tcW w:w="7340" w:type="dxa"/>
            <w:vAlign w:val="bottom"/>
          </w:tcPr>
          <w:p>
            <w:pPr>
              <w:ind w:left="5080"/>
              <w:spacing w:after="0"/>
              <w:rPr>
                <w:sz w:val="20"/>
                <w:szCs w:val="20"/>
                <w:color w:val="auto"/>
              </w:rPr>
            </w:pPr>
            <w:r>
              <w:rPr>
                <w:rFonts w:ascii="Arial" w:cs="Arial" w:eastAsia="Arial" w:hAnsi="Arial"/>
                <w:sz w:val="18"/>
                <w:szCs w:val="18"/>
                <w:color w:val="auto"/>
              </w:rPr>
              <w:t>7.07(c)</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Director</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2.04(c)</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Director RSU</w:t>
            </w:r>
          </w:p>
        </w:tc>
        <w:tc>
          <w:tcPr>
            <w:tcW w:w="7340" w:type="dxa"/>
            <w:vAlign w:val="bottom"/>
          </w:tcPr>
          <w:p>
            <w:pPr>
              <w:ind w:left="5080"/>
              <w:spacing w:after="0"/>
              <w:rPr>
                <w:sz w:val="20"/>
                <w:szCs w:val="20"/>
                <w:color w:val="auto"/>
              </w:rPr>
            </w:pPr>
            <w:r>
              <w:rPr>
                <w:rFonts w:ascii="Arial" w:cs="Arial" w:eastAsia="Arial" w:hAnsi="Arial"/>
                <w:sz w:val="18"/>
                <w:szCs w:val="18"/>
                <w:color w:val="auto"/>
              </w:rPr>
              <w:t>2.04(c)</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Effective Time</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2.01(c)</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End Date</w:t>
            </w:r>
          </w:p>
        </w:tc>
        <w:tc>
          <w:tcPr>
            <w:tcW w:w="7340" w:type="dxa"/>
            <w:vAlign w:val="bottom"/>
          </w:tcPr>
          <w:p>
            <w:pPr>
              <w:ind w:left="5080"/>
              <w:spacing w:after="0"/>
              <w:rPr>
                <w:sz w:val="20"/>
                <w:szCs w:val="20"/>
                <w:color w:val="auto"/>
              </w:rPr>
            </w:pPr>
            <w:r>
              <w:rPr>
                <w:rFonts w:ascii="Arial" w:cs="Arial" w:eastAsia="Arial" w:hAnsi="Arial"/>
                <w:sz w:val="18"/>
                <w:szCs w:val="18"/>
                <w:color w:val="auto"/>
              </w:rPr>
              <w:t>10.01(b)(i)</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Exchange Agent</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2.03</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Exchange Ratio</w:t>
            </w:r>
          </w:p>
        </w:tc>
        <w:tc>
          <w:tcPr>
            <w:tcW w:w="7340" w:type="dxa"/>
            <w:vAlign w:val="bottom"/>
          </w:tcPr>
          <w:p>
            <w:pPr>
              <w:ind w:left="5080"/>
              <w:spacing w:after="0"/>
              <w:rPr>
                <w:sz w:val="20"/>
                <w:szCs w:val="20"/>
                <w:color w:val="auto"/>
              </w:rPr>
            </w:pPr>
            <w:r>
              <w:rPr>
                <w:rFonts w:ascii="Arial" w:cs="Arial" w:eastAsia="Arial" w:hAnsi="Arial"/>
                <w:sz w:val="18"/>
                <w:szCs w:val="18"/>
                <w:color w:val="auto"/>
              </w:rPr>
              <w:t>2.02(a)</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Former Employee</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2.04(d)</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Former Employee Option</w:t>
            </w:r>
          </w:p>
        </w:tc>
        <w:tc>
          <w:tcPr>
            <w:tcW w:w="7340" w:type="dxa"/>
            <w:vAlign w:val="bottom"/>
          </w:tcPr>
          <w:p>
            <w:pPr>
              <w:ind w:left="5080"/>
              <w:spacing w:after="0"/>
              <w:rPr>
                <w:sz w:val="20"/>
                <w:szCs w:val="20"/>
                <w:color w:val="auto"/>
              </w:rPr>
            </w:pPr>
            <w:r>
              <w:rPr>
                <w:rFonts w:ascii="Arial" w:cs="Arial" w:eastAsia="Arial" w:hAnsi="Arial"/>
                <w:sz w:val="18"/>
                <w:szCs w:val="18"/>
                <w:color w:val="auto"/>
              </w:rPr>
              <w:t>2.04(d)</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Former Employee RSU</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2.04(d)(ii)</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Indemnified Person</w:t>
            </w:r>
          </w:p>
        </w:tc>
        <w:tc>
          <w:tcPr>
            <w:tcW w:w="7340" w:type="dxa"/>
            <w:vAlign w:val="bottom"/>
          </w:tcPr>
          <w:p>
            <w:pPr>
              <w:ind w:left="5080"/>
              <w:spacing w:after="0"/>
              <w:rPr>
                <w:sz w:val="20"/>
                <w:szCs w:val="20"/>
                <w:color w:val="auto"/>
              </w:rPr>
            </w:pPr>
            <w:r>
              <w:rPr>
                <w:rFonts w:ascii="Arial" w:cs="Arial" w:eastAsia="Arial" w:hAnsi="Arial"/>
                <w:sz w:val="18"/>
                <w:szCs w:val="18"/>
                <w:color w:val="auto"/>
              </w:rPr>
              <w:t>7.07</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internal controls</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4.07(f)</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Joint Proxy Statement/Prospectus</w:t>
            </w:r>
          </w:p>
        </w:tc>
        <w:tc>
          <w:tcPr>
            <w:tcW w:w="7340" w:type="dxa"/>
            <w:vAlign w:val="bottom"/>
          </w:tcPr>
          <w:p>
            <w:pPr>
              <w:ind w:left="5080"/>
              <w:spacing w:after="0"/>
              <w:rPr>
                <w:sz w:val="20"/>
                <w:szCs w:val="20"/>
                <w:color w:val="auto"/>
              </w:rPr>
            </w:pPr>
            <w:r>
              <w:rPr>
                <w:rFonts w:ascii="Arial" w:cs="Arial" w:eastAsia="Arial" w:hAnsi="Arial"/>
                <w:sz w:val="18"/>
                <w:szCs w:val="18"/>
                <w:color w:val="auto"/>
              </w:rPr>
              <w:t>4.09</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Lease</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4.14(b)</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Merger</w:t>
            </w:r>
          </w:p>
        </w:tc>
        <w:tc>
          <w:tcPr>
            <w:tcW w:w="7340" w:type="dxa"/>
            <w:vAlign w:val="bottom"/>
          </w:tcPr>
          <w:p>
            <w:pPr>
              <w:ind w:left="5080"/>
              <w:spacing w:after="0"/>
              <w:rPr>
                <w:sz w:val="20"/>
                <w:szCs w:val="20"/>
                <w:color w:val="auto"/>
              </w:rPr>
            </w:pPr>
            <w:r>
              <w:rPr>
                <w:rFonts w:ascii="Arial" w:cs="Arial" w:eastAsia="Arial" w:hAnsi="Arial"/>
                <w:sz w:val="18"/>
                <w:szCs w:val="18"/>
                <w:color w:val="auto"/>
              </w:rPr>
              <w:t>2.01</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Merger Communication</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8.03(b)</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Merger Consideration</w:t>
            </w:r>
          </w:p>
        </w:tc>
        <w:tc>
          <w:tcPr>
            <w:tcW w:w="7340" w:type="dxa"/>
            <w:vAlign w:val="bottom"/>
          </w:tcPr>
          <w:p>
            <w:pPr>
              <w:ind w:left="5080"/>
              <w:spacing w:after="0"/>
              <w:rPr>
                <w:sz w:val="20"/>
                <w:szCs w:val="20"/>
                <w:color w:val="auto"/>
              </w:rPr>
            </w:pPr>
            <w:r>
              <w:rPr>
                <w:rFonts w:ascii="Arial" w:cs="Arial" w:eastAsia="Arial" w:hAnsi="Arial"/>
                <w:sz w:val="18"/>
                <w:szCs w:val="18"/>
                <w:color w:val="auto"/>
              </w:rPr>
              <w:t>2.02(a)</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Merger Subsidiary</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Preamble</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Multiemployer Plan</w:t>
            </w:r>
          </w:p>
        </w:tc>
        <w:tc>
          <w:tcPr>
            <w:tcW w:w="7340" w:type="dxa"/>
            <w:vAlign w:val="bottom"/>
          </w:tcPr>
          <w:p>
            <w:pPr>
              <w:ind w:left="5080"/>
              <w:spacing w:after="0"/>
              <w:rPr>
                <w:sz w:val="20"/>
                <w:szCs w:val="20"/>
                <w:color w:val="auto"/>
              </w:rPr>
            </w:pPr>
            <w:r>
              <w:rPr>
                <w:rFonts w:ascii="Arial" w:cs="Arial" w:eastAsia="Arial" w:hAnsi="Arial"/>
                <w:sz w:val="18"/>
                <w:szCs w:val="18"/>
                <w:color w:val="auto"/>
              </w:rPr>
              <w:t>4.17(c)</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Notional Adjusted Option</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2.04(d)</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Notional Adjusted RSU</w:t>
            </w:r>
          </w:p>
        </w:tc>
        <w:tc>
          <w:tcPr>
            <w:tcW w:w="7340" w:type="dxa"/>
            <w:vAlign w:val="bottom"/>
          </w:tcPr>
          <w:p>
            <w:pPr>
              <w:ind w:left="5080"/>
              <w:spacing w:after="0"/>
              <w:rPr>
                <w:sz w:val="20"/>
                <w:szCs w:val="20"/>
                <w:color w:val="auto"/>
              </w:rPr>
            </w:pPr>
            <w:r>
              <w:rPr>
                <w:rFonts w:ascii="Arial" w:cs="Arial" w:eastAsia="Arial" w:hAnsi="Arial"/>
                <w:sz w:val="18"/>
                <w:szCs w:val="18"/>
                <w:color w:val="auto"/>
              </w:rPr>
              <w:t>2.04(c)</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NYSE</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4.03</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Parent</w:t>
            </w:r>
          </w:p>
        </w:tc>
        <w:tc>
          <w:tcPr>
            <w:tcW w:w="7340" w:type="dxa"/>
            <w:vAlign w:val="bottom"/>
          </w:tcPr>
          <w:p>
            <w:pPr>
              <w:ind w:left="5080"/>
              <w:spacing w:after="0"/>
              <w:rPr>
                <w:sz w:val="20"/>
                <w:szCs w:val="20"/>
                <w:color w:val="auto"/>
              </w:rPr>
            </w:pPr>
            <w:r>
              <w:rPr>
                <w:rFonts w:ascii="Arial" w:cs="Arial" w:eastAsia="Arial" w:hAnsi="Arial"/>
                <w:sz w:val="18"/>
                <w:szCs w:val="18"/>
                <w:color w:val="auto"/>
              </w:rPr>
              <w:t>Preamble</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Parent Board Recommendation</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5.02(b)</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Parent Plans</w:t>
            </w:r>
          </w:p>
        </w:tc>
        <w:tc>
          <w:tcPr>
            <w:tcW w:w="7340" w:type="dxa"/>
            <w:vAlign w:val="bottom"/>
          </w:tcPr>
          <w:p>
            <w:pPr>
              <w:ind w:left="5080"/>
              <w:spacing w:after="0"/>
              <w:rPr>
                <w:sz w:val="20"/>
                <w:szCs w:val="20"/>
                <w:color w:val="auto"/>
              </w:rPr>
            </w:pPr>
            <w:r>
              <w:rPr>
                <w:rFonts w:ascii="Arial" w:cs="Arial" w:eastAsia="Arial" w:hAnsi="Arial"/>
                <w:sz w:val="18"/>
                <w:szCs w:val="18"/>
                <w:color w:val="auto"/>
              </w:rPr>
              <w:t>7.09(c)</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Parent SEC Documents</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5.07</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Parent Securities</w:t>
            </w:r>
          </w:p>
        </w:tc>
        <w:tc>
          <w:tcPr>
            <w:tcW w:w="7340" w:type="dxa"/>
            <w:vAlign w:val="bottom"/>
          </w:tcPr>
          <w:p>
            <w:pPr>
              <w:ind w:left="5080"/>
              <w:spacing w:after="0"/>
              <w:rPr>
                <w:sz w:val="20"/>
                <w:szCs w:val="20"/>
                <w:color w:val="auto"/>
              </w:rPr>
            </w:pPr>
            <w:r>
              <w:rPr>
                <w:rFonts w:ascii="Arial" w:cs="Arial" w:eastAsia="Arial" w:hAnsi="Arial"/>
                <w:sz w:val="18"/>
                <w:szCs w:val="18"/>
                <w:color w:val="auto"/>
              </w:rPr>
              <w:t>5.05(b)</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Parent Shareholder Approval</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5.02</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Parent Shareholder Meeting</w:t>
            </w:r>
          </w:p>
        </w:tc>
        <w:tc>
          <w:tcPr>
            <w:tcW w:w="7340" w:type="dxa"/>
            <w:vAlign w:val="bottom"/>
          </w:tcPr>
          <w:p>
            <w:pPr>
              <w:ind w:left="5080"/>
              <w:spacing w:after="0"/>
              <w:rPr>
                <w:sz w:val="20"/>
                <w:szCs w:val="20"/>
                <w:color w:val="auto"/>
              </w:rPr>
            </w:pPr>
            <w:r>
              <w:rPr>
                <w:rFonts w:ascii="Arial" w:cs="Arial" w:eastAsia="Arial" w:hAnsi="Arial"/>
                <w:sz w:val="18"/>
                <w:szCs w:val="18"/>
                <w:color w:val="auto"/>
              </w:rPr>
              <w:t>7.03</w:t>
            </w:r>
          </w:p>
        </w:tc>
      </w:tr>
      <w:tr>
        <w:trPr>
          <w:trHeight w:val="620"/>
        </w:trPr>
        <w:tc>
          <w:tcPr>
            <w:tcW w:w="4080" w:type="dxa"/>
            <w:vAlign w:val="bottom"/>
          </w:tcPr>
          <w:p>
            <w:pPr>
              <w:spacing w:after="0"/>
              <w:rPr>
                <w:sz w:val="24"/>
                <w:szCs w:val="24"/>
                <w:color w:val="auto"/>
              </w:rPr>
            </w:pPr>
          </w:p>
        </w:tc>
        <w:tc>
          <w:tcPr>
            <w:tcW w:w="7340" w:type="dxa"/>
            <w:vAlign w:val="bottom"/>
          </w:tcPr>
          <w:p>
            <w:pPr>
              <w:ind w:left="1540"/>
              <w:spacing w:after="0"/>
              <w:rPr>
                <w:sz w:val="20"/>
                <w:szCs w:val="20"/>
                <w:color w:val="auto"/>
              </w:rPr>
            </w:pPr>
            <w:r>
              <w:rPr>
                <w:rFonts w:ascii="Arial" w:cs="Arial" w:eastAsia="Arial" w:hAnsi="Arial"/>
                <w:sz w:val="18"/>
                <w:szCs w:val="18"/>
                <w:color w:val="auto"/>
              </w:rPr>
              <w:t>11</w:t>
            </w:r>
          </w:p>
        </w:tc>
      </w:tr>
      <w:tr>
        <w:trPr>
          <w:trHeight w:val="118"/>
        </w:trPr>
        <w:tc>
          <w:tcPr>
            <w:tcW w:w="4080" w:type="dxa"/>
            <w:vAlign w:val="bottom"/>
            <w:tcBorders>
              <w:bottom w:val="single" w:sz="8" w:color="808080"/>
            </w:tcBorders>
          </w:tcPr>
          <w:p>
            <w:pPr>
              <w:spacing w:after="0"/>
              <w:rPr>
                <w:sz w:val="10"/>
                <w:szCs w:val="10"/>
                <w:color w:val="auto"/>
              </w:rPr>
            </w:pPr>
          </w:p>
        </w:tc>
        <w:tc>
          <w:tcPr>
            <w:tcW w:w="7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3"/>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Parent Stock Issuance</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7.03</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Principal Parent Stockholders</w:t>
            </w:r>
          </w:p>
        </w:tc>
        <w:tc>
          <w:tcPr>
            <w:tcW w:w="5500" w:type="dxa"/>
            <w:vAlign w:val="bottom"/>
          </w:tcPr>
          <w:p>
            <w:pPr>
              <w:ind w:left="3240"/>
              <w:spacing w:after="0"/>
              <w:rPr>
                <w:sz w:val="20"/>
                <w:szCs w:val="20"/>
                <w:color w:val="auto"/>
              </w:rPr>
            </w:pPr>
            <w:r>
              <w:rPr>
                <w:rFonts w:ascii="Arial" w:cs="Arial" w:eastAsia="Arial" w:hAnsi="Arial"/>
                <w:sz w:val="18"/>
                <w:szCs w:val="18"/>
                <w:color w:val="auto"/>
              </w:rPr>
              <w:t>Recitals</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Registration Statement</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4.09</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Representatives</w:t>
            </w:r>
          </w:p>
        </w:tc>
        <w:tc>
          <w:tcPr>
            <w:tcW w:w="5500" w:type="dxa"/>
            <w:vAlign w:val="bottom"/>
          </w:tcPr>
          <w:p>
            <w:pPr>
              <w:ind w:left="3240"/>
              <w:spacing w:after="0"/>
              <w:rPr>
                <w:sz w:val="20"/>
                <w:szCs w:val="20"/>
                <w:color w:val="auto"/>
              </w:rPr>
            </w:pPr>
            <w:r>
              <w:rPr>
                <w:rFonts w:ascii="Arial" w:cs="Arial" w:eastAsia="Arial" w:hAnsi="Arial"/>
                <w:sz w:val="18"/>
                <w:szCs w:val="18"/>
                <w:color w:val="auto"/>
              </w:rPr>
              <w:t>6.03</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Significant Subsidiary</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4.06</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Specified Company SEC Documents</w:t>
            </w:r>
          </w:p>
        </w:tc>
        <w:tc>
          <w:tcPr>
            <w:tcW w:w="5500" w:type="dxa"/>
            <w:vAlign w:val="bottom"/>
          </w:tcPr>
          <w:p>
            <w:pPr>
              <w:ind w:left="3240"/>
              <w:spacing w:after="0"/>
              <w:rPr>
                <w:sz w:val="20"/>
                <w:szCs w:val="20"/>
                <w:color w:val="auto"/>
              </w:rPr>
            </w:pPr>
            <w:r>
              <w:rPr>
                <w:rFonts w:ascii="Arial" w:cs="Arial" w:eastAsia="Arial" w:hAnsi="Arial"/>
                <w:sz w:val="18"/>
                <w:szCs w:val="18"/>
                <w:color w:val="auto"/>
              </w:rPr>
              <w:t>Article 4</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Specified Parent SEC Documents</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Article 5</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Surviving Corporation</w:t>
            </w:r>
          </w:p>
        </w:tc>
        <w:tc>
          <w:tcPr>
            <w:tcW w:w="5500" w:type="dxa"/>
            <w:vAlign w:val="bottom"/>
          </w:tcPr>
          <w:p>
            <w:pPr>
              <w:ind w:left="3240"/>
              <w:spacing w:after="0"/>
              <w:rPr>
                <w:sz w:val="20"/>
                <w:szCs w:val="20"/>
                <w:color w:val="auto"/>
              </w:rPr>
            </w:pPr>
            <w:r>
              <w:rPr>
                <w:rFonts w:ascii="Arial" w:cs="Arial" w:eastAsia="Arial" w:hAnsi="Arial"/>
                <w:sz w:val="18"/>
                <w:szCs w:val="18"/>
                <w:color w:val="auto"/>
              </w:rPr>
              <w:t>2.01</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Taxing Authority</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1.01</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Title IV Plan</w:t>
            </w:r>
          </w:p>
        </w:tc>
        <w:tc>
          <w:tcPr>
            <w:tcW w:w="5500" w:type="dxa"/>
            <w:vAlign w:val="bottom"/>
          </w:tcPr>
          <w:p>
            <w:pPr>
              <w:ind w:left="3240"/>
              <w:spacing w:after="0"/>
              <w:rPr>
                <w:sz w:val="20"/>
                <w:szCs w:val="20"/>
                <w:color w:val="auto"/>
              </w:rPr>
            </w:pPr>
            <w:r>
              <w:rPr>
                <w:rFonts w:ascii="Arial" w:cs="Arial" w:eastAsia="Arial" w:hAnsi="Arial"/>
                <w:sz w:val="18"/>
                <w:szCs w:val="18"/>
                <w:color w:val="auto"/>
              </w:rPr>
              <w:t>4.17(b)</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TWX</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4.16(b)</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Uncertificated Shares</w:t>
            </w:r>
          </w:p>
        </w:tc>
        <w:tc>
          <w:tcPr>
            <w:tcW w:w="5500" w:type="dxa"/>
            <w:vAlign w:val="bottom"/>
          </w:tcPr>
          <w:p>
            <w:pPr>
              <w:ind w:left="3240"/>
              <w:spacing w:after="0"/>
              <w:rPr>
                <w:sz w:val="20"/>
                <w:szCs w:val="20"/>
                <w:color w:val="auto"/>
              </w:rPr>
            </w:pPr>
            <w:r>
              <w:rPr>
                <w:rFonts w:ascii="Arial" w:cs="Arial" w:eastAsia="Arial" w:hAnsi="Arial"/>
                <w:sz w:val="18"/>
                <w:szCs w:val="18"/>
                <w:color w:val="auto"/>
              </w:rPr>
              <w:t>2.03</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Union Employee</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7.09</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Voting Agreement</w:t>
            </w:r>
          </w:p>
        </w:tc>
        <w:tc>
          <w:tcPr>
            <w:tcW w:w="5500" w:type="dxa"/>
            <w:vAlign w:val="bottom"/>
          </w:tcPr>
          <w:p>
            <w:pPr>
              <w:ind w:left="3240"/>
              <w:spacing w:after="0"/>
              <w:rPr>
                <w:sz w:val="20"/>
                <w:szCs w:val="20"/>
                <w:color w:val="auto"/>
              </w:rPr>
            </w:pPr>
            <w:r>
              <w:rPr>
                <w:rFonts w:ascii="Arial" w:cs="Arial" w:eastAsia="Arial" w:hAnsi="Arial"/>
                <w:sz w:val="18"/>
                <w:szCs w:val="18"/>
                <w:color w:val="auto"/>
              </w:rPr>
              <w:t>Recitals</w:t>
            </w:r>
          </w:p>
        </w:tc>
      </w:tr>
    </w:tbl>
    <w:p>
      <w:pPr>
        <w:spacing w:after="0" w:line="26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Other Definitional and Interpretative Provisions</w:t>
      </w:r>
      <w:r>
        <w:rPr>
          <w:rFonts w:ascii="Arial" w:cs="Arial" w:eastAsia="Arial" w:hAnsi="Arial"/>
          <w:sz w:val="16"/>
          <w:szCs w:val="16"/>
          <w:color w:val="auto"/>
        </w:rPr>
        <w:t>. The words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w:t>
      </w:r>
      <w:r>
        <w:rPr>
          <w:rFonts w:ascii="Arial" w:cs="Arial" w:eastAsia="Arial" w:hAnsi="Arial"/>
          <w:sz w:val="16"/>
          <w:szCs w:val="16"/>
          <w:b w:val="1"/>
          <w:bCs w:val="1"/>
          <w:color w:val="auto"/>
        </w:rPr>
        <w:t>include</w:t>
      </w:r>
      <w:r>
        <w:rPr>
          <w:rFonts w:ascii="Arial" w:cs="Arial" w:eastAsia="Arial" w:hAnsi="Arial"/>
          <w:sz w:val="16"/>
          <w:szCs w:val="16"/>
          <w:color w:val="auto"/>
        </w:rPr>
        <w:t>”, “</w:t>
      </w:r>
      <w:r>
        <w:rPr>
          <w:rFonts w:ascii="Arial" w:cs="Arial" w:eastAsia="Arial" w:hAnsi="Arial"/>
          <w:sz w:val="16"/>
          <w:szCs w:val="16"/>
          <w:b w:val="1"/>
          <w:bCs w:val="1"/>
          <w:color w:val="auto"/>
        </w:rPr>
        <w:t>includes</w:t>
      </w:r>
      <w:r>
        <w:rPr>
          <w:rFonts w:ascii="Arial" w:cs="Arial" w:eastAsia="Arial" w:hAnsi="Arial"/>
          <w:sz w:val="16"/>
          <w:szCs w:val="16"/>
          <w:color w:val="auto"/>
        </w:rPr>
        <w:t>” or “</w:t>
      </w:r>
      <w:r>
        <w:rPr>
          <w:rFonts w:ascii="Arial" w:cs="Arial" w:eastAsia="Arial" w:hAnsi="Arial"/>
          <w:sz w:val="16"/>
          <w:szCs w:val="16"/>
          <w:b w:val="1"/>
          <w:bCs w:val="1"/>
          <w:color w:val="auto"/>
        </w:rPr>
        <w:t>including</w:t>
      </w:r>
      <w:r>
        <w:rPr>
          <w:rFonts w:ascii="Arial" w:cs="Arial" w:eastAsia="Arial" w:hAnsi="Arial"/>
          <w:sz w:val="16"/>
          <w:szCs w:val="16"/>
          <w:color w:val="auto"/>
        </w:rPr>
        <w:t>” are used in this Agreement, they shall be deemed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whether or not they are in fact followed by those words or words of like import. “</w:t>
      </w:r>
      <w:r>
        <w:rPr>
          <w:rFonts w:ascii="Arial" w:cs="Arial" w:eastAsia="Arial" w:hAnsi="Arial"/>
          <w:sz w:val="16"/>
          <w:szCs w:val="16"/>
          <w:b w:val="1"/>
          <w:bCs w:val="1"/>
          <w:color w:val="auto"/>
        </w:rPr>
        <w:t>Writing</w:t>
      </w:r>
      <w:r>
        <w:rPr>
          <w:rFonts w:ascii="Arial" w:cs="Arial" w:eastAsia="Arial" w:hAnsi="Arial"/>
          <w:sz w:val="16"/>
          <w:szCs w:val="16"/>
          <w:color w:val="auto"/>
        </w:rPr>
        <w:t>”, “</w:t>
      </w:r>
      <w:r>
        <w:rPr>
          <w:rFonts w:ascii="Arial" w:cs="Arial" w:eastAsia="Arial" w:hAnsi="Arial"/>
          <w:sz w:val="16"/>
          <w:szCs w:val="16"/>
          <w:b w:val="1"/>
          <w:bCs w:val="1"/>
          <w:color w:val="auto"/>
        </w:rPr>
        <w:t>written</w:t>
      </w:r>
      <w:r>
        <w:rPr>
          <w:rFonts w:ascii="Arial" w:cs="Arial" w:eastAsia="Arial" w:hAnsi="Arial"/>
          <w:sz w:val="16"/>
          <w:szCs w:val="16"/>
          <w:color w:val="auto"/>
        </w:rPr>
        <w:t>”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w:t>
      </w:r>
      <w:r>
        <w:rPr>
          <w:rFonts w:ascii="Arial" w:cs="Arial" w:eastAsia="Arial" w:hAnsi="Arial"/>
          <w:sz w:val="16"/>
          <w:szCs w:val="16"/>
          <w:b w:val="1"/>
          <w:bCs w:val="1"/>
          <w:color w:val="auto"/>
        </w:rPr>
        <w:t>law</w:t>
      </w:r>
      <w:r>
        <w:rPr>
          <w:rFonts w:ascii="Arial" w:cs="Arial" w:eastAsia="Arial" w:hAnsi="Arial"/>
          <w:sz w:val="16"/>
          <w:szCs w:val="16"/>
          <w:color w:val="auto"/>
        </w:rPr>
        <w:t>”, “</w:t>
      </w:r>
      <w:r>
        <w:rPr>
          <w:rFonts w:ascii="Arial" w:cs="Arial" w:eastAsia="Arial" w:hAnsi="Arial"/>
          <w:sz w:val="16"/>
          <w:szCs w:val="16"/>
          <w:b w:val="1"/>
          <w:bCs w:val="1"/>
          <w:color w:val="auto"/>
        </w:rPr>
        <w:t>laws</w:t>
      </w:r>
      <w:r>
        <w:rPr>
          <w:rFonts w:ascii="Arial" w:cs="Arial" w:eastAsia="Arial" w:hAnsi="Arial"/>
          <w:sz w:val="16"/>
          <w:szCs w:val="16"/>
          <w:color w:val="auto"/>
        </w:rPr>
        <w:t>” or to a particular statute or law shall be deemed also to include any Applicable Law. The phrase “</w:t>
      </w:r>
      <w:r>
        <w:rPr>
          <w:rFonts w:ascii="Arial" w:cs="Arial" w:eastAsia="Arial" w:hAnsi="Arial"/>
          <w:sz w:val="16"/>
          <w:szCs w:val="16"/>
          <w:b w:val="1"/>
          <w:bCs w:val="1"/>
          <w:color w:val="auto"/>
        </w:rPr>
        <w:t>made available</w:t>
      </w:r>
      <w:r>
        <w:rPr>
          <w:rFonts w:ascii="Arial" w:cs="Arial" w:eastAsia="Arial" w:hAnsi="Arial"/>
          <w:sz w:val="16"/>
          <w:szCs w:val="16"/>
          <w:color w:val="auto"/>
        </w:rPr>
        <w:t>” shall be deemed to include any documents filed or furnished with the SEC.</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4" w:name="page25"/>
    <w:bookmarkEnd w:id="24"/>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Merger</w:t>
      </w:r>
    </w:p>
    <w:p>
      <w:pPr>
        <w:spacing w:after="0" w:line="261"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The Merger</w:t>
      </w:r>
      <w:r>
        <w:rPr>
          <w:rFonts w:ascii="Arial" w:cs="Arial" w:eastAsia="Arial" w:hAnsi="Arial"/>
          <w:sz w:val="18"/>
          <w:szCs w:val="18"/>
          <w:color w:val="auto"/>
        </w:rPr>
        <w:t>. (a) At the Effective Time, Merger Subsidiary shall be merged (the “</w:t>
      </w:r>
      <w:r>
        <w:rPr>
          <w:rFonts w:ascii="Arial" w:cs="Arial" w:eastAsia="Arial" w:hAnsi="Arial"/>
          <w:sz w:val="18"/>
          <w:szCs w:val="18"/>
          <w:b w:val="1"/>
          <w:bCs w:val="1"/>
          <w:color w:val="auto"/>
        </w:rPr>
        <w:t>Merger</w:t>
      </w:r>
      <w:r>
        <w:rPr>
          <w:rFonts w:ascii="Arial" w:cs="Arial" w:eastAsia="Arial" w:hAnsi="Arial"/>
          <w:sz w:val="18"/>
          <w:szCs w:val="18"/>
          <w:color w:val="auto"/>
        </w:rPr>
        <w:t>”) with and into the Company in accordance with Delaware Law, whereupon the separate existence of Merger Subsidiary shall cease, and the Company shall be the surviving corporation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and a wholly-owned subsidiary of Parent.</w:t>
      </w:r>
    </w:p>
    <w:p>
      <w:pPr>
        <w:spacing w:after="0" w:line="230" w:lineRule="exact"/>
        <w:rPr>
          <w:sz w:val="20"/>
          <w:szCs w:val="20"/>
          <w:color w:val="auto"/>
        </w:rPr>
      </w:pPr>
    </w:p>
    <w:p>
      <w:pPr>
        <w:ind w:firstLine="1305"/>
        <w:spacing w:after="0" w:line="298" w:lineRule="auto"/>
        <w:tabs>
          <w:tab w:leader="none" w:pos="1938"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 to the provisions of Article 9,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in New York City at the offices of Davis Polk &amp; Wardwell LLP, 450 Lexington Avenue, New York, New York, 10017 as soon as possible, but in any event no later than two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or at such other place, at such other time or on such other date as Parent and the Company may mutually agree.</w:t>
      </w:r>
    </w:p>
    <w:p>
      <w:pPr>
        <w:spacing w:after="0" w:line="212" w:lineRule="exact"/>
        <w:rPr>
          <w:rFonts w:ascii="Arial" w:cs="Arial" w:eastAsia="Arial" w:hAnsi="Arial"/>
          <w:sz w:val="16"/>
          <w:szCs w:val="16"/>
          <w:color w:val="auto"/>
        </w:rPr>
      </w:pPr>
    </w:p>
    <w:p>
      <w:pPr>
        <w:ind w:right="40" w:firstLine="1305"/>
        <w:spacing w:after="0" w:line="259" w:lineRule="auto"/>
        <w:tabs>
          <w:tab w:leader="none" w:pos="1928"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Closing, the Company and Merger Subsidiary shall file a certificate of merger with the Delaware Secretary of State and make all other filings or recordings required by Delaware Law in connection with the Merger. The Merger shall become effective at such time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 as the certificate of merger is duly filed with the Delaware Secretary of State (or at such later time as may be agreed to by the parties and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merger).</w:t>
      </w:r>
    </w:p>
    <w:p>
      <w:pPr>
        <w:spacing w:after="0" w:line="240" w:lineRule="exact"/>
        <w:rPr>
          <w:rFonts w:ascii="Arial" w:cs="Arial" w:eastAsia="Arial" w:hAnsi="Arial"/>
          <w:sz w:val="18"/>
          <w:szCs w:val="18"/>
          <w:color w:val="auto"/>
        </w:rPr>
      </w:pPr>
    </w:p>
    <w:p>
      <w:pPr>
        <w:ind w:right="100" w:firstLine="1305"/>
        <w:spacing w:after="0" w:line="342" w:lineRule="auto"/>
        <w:tabs>
          <w:tab w:leader="none" w:pos="1938"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and after the Effective Time, the Surviving Corporation shall possess all the rights, powers, privileges and franchises and be subject to all of the obligations, liabilities, restrictions and disabilities of the Company and Merger Subsidiary, all as provided under Delaware Law.</w:t>
      </w:r>
    </w:p>
    <w:p>
      <w:pPr>
        <w:spacing w:after="0" w:line="17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i w:val="1"/>
          <w:iCs w:val="1"/>
          <w:color w:val="auto"/>
        </w:rPr>
        <w:t>Section 2.02.</w:t>
      </w:r>
      <w:r>
        <w:rPr>
          <w:sz w:val="20"/>
          <w:szCs w:val="20"/>
          <w:color w:val="auto"/>
        </w:rPr>
        <w:tab/>
      </w:r>
      <w:r>
        <w:rPr>
          <w:rFonts w:ascii="Arial" w:cs="Arial" w:eastAsia="Arial" w:hAnsi="Arial"/>
          <w:sz w:val="16"/>
          <w:szCs w:val="16"/>
          <w:i w:val="1"/>
          <w:iCs w:val="1"/>
          <w:color w:val="auto"/>
        </w:rPr>
        <w:t>Conversion of Shares</w:t>
      </w:r>
      <w:r>
        <w:rPr>
          <w:rFonts w:ascii="Arial" w:cs="Arial" w:eastAsia="Arial" w:hAnsi="Arial"/>
          <w:sz w:val="16"/>
          <w:szCs w:val="16"/>
          <w:color w:val="auto"/>
        </w:rPr>
        <w:t>. At the Effective Time by virtue of the Merger and without any action on the part of any holder of shares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Stock or any holder of shares of common stock of Merger Subsidiary:</w:t>
      </w:r>
    </w:p>
    <w:p>
      <w:pPr>
        <w:spacing w:after="0" w:line="265" w:lineRule="exact"/>
        <w:rPr>
          <w:sz w:val="20"/>
          <w:szCs w:val="20"/>
          <w:color w:val="auto"/>
        </w:rPr>
      </w:pPr>
    </w:p>
    <w:p>
      <w:pPr>
        <w:ind w:right="100" w:firstLine="1305"/>
        <w:spacing w:after="0" w:line="276" w:lineRule="auto"/>
        <w:tabs>
          <w:tab w:leader="none" w:pos="1928"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otherwise provided in Section 2.02(c), each share of Company Stock outstanding immediately prior to the Effective Time shall be converted into the right to receive 2.8750 (the “</w:t>
      </w:r>
      <w:r>
        <w:rPr>
          <w:rFonts w:ascii="Arial" w:cs="Arial" w:eastAsia="Arial" w:hAnsi="Arial"/>
          <w:sz w:val="17"/>
          <w:szCs w:val="17"/>
          <w:b w:val="1"/>
          <w:bCs w:val="1"/>
          <w:color w:val="auto"/>
        </w:rPr>
        <w:t>Exchange Ratio</w:t>
      </w:r>
      <w:r>
        <w:rPr>
          <w:rFonts w:ascii="Arial" w:cs="Arial" w:eastAsia="Arial" w:hAnsi="Arial"/>
          <w:sz w:val="17"/>
          <w:szCs w:val="17"/>
          <w:color w:val="auto"/>
        </w:rPr>
        <w:t>”) shares of Parent Class A Common Stock (together with the cash in lieu of fractional shares of Parent Class A Common Stock as specified below, the “</w:t>
      </w:r>
      <w:r>
        <w:rPr>
          <w:rFonts w:ascii="Arial" w:cs="Arial" w:eastAsia="Arial" w:hAnsi="Arial"/>
          <w:sz w:val="17"/>
          <w:szCs w:val="17"/>
          <w:b w:val="1"/>
          <w:bCs w:val="1"/>
          <w:color w:val="auto"/>
        </w:rPr>
        <w:t>Merger Consideration</w:t>
      </w:r>
      <w:r>
        <w:rPr>
          <w:rFonts w:ascii="Arial" w:cs="Arial" w:eastAsia="Arial" w:hAnsi="Arial"/>
          <w:sz w:val="17"/>
          <w:szCs w:val="17"/>
          <w:color w:val="auto"/>
        </w:rPr>
        <w:t>”). As of the Effective Time, all such shares of Company Stock shall no longer be outstanding and shall automatically be canceled and retired and shall cease to exist, and shall thereafter represent only the right to receive the Merger Consideration and the right to receive any dividends or other distributions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pursuant to Section 2.03(f), in each case to be issued or paid in accordance with Section 2.03, without interest.</w:t>
      </w:r>
    </w:p>
    <w:p>
      <w:pPr>
        <w:spacing w:after="0" w:line="279" w:lineRule="exact"/>
        <w:rPr>
          <w:sz w:val="20"/>
          <w:szCs w:val="20"/>
          <w:color w:val="auto"/>
        </w:rPr>
      </w:pPr>
    </w:p>
    <w:p>
      <w:pPr>
        <w:ind w:right="20" w:firstLine="1305"/>
        <w:spacing w:after="0" w:line="264" w:lineRule="auto"/>
        <w:tabs>
          <w:tab w:leader="none" w:pos="1938"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235" w:lineRule="exact"/>
        <w:rPr>
          <w:rFonts w:ascii="Arial" w:cs="Arial" w:eastAsia="Arial" w:hAnsi="Arial"/>
          <w:sz w:val="18"/>
          <w:szCs w:val="18"/>
          <w:color w:val="auto"/>
        </w:rPr>
      </w:pPr>
    </w:p>
    <w:p>
      <w:pPr>
        <w:ind w:right="100" w:firstLine="1305"/>
        <w:spacing w:after="0" w:line="277" w:lineRule="auto"/>
        <w:tabs>
          <w:tab w:leader="none" w:pos="1928"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share of Company Stock held by the Company as treasury stock or owned by Parent immediately prior to the Effective Time shall be canceled, and no payment shall be made with respect thereto.</w:t>
      </w:r>
    </w:p>
    <w:p>
      <w:pPr>
        <w:spacing w:after="0" w:line="22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Surrender and Payment</w:t>
      </w:r>
      <w:r>
        <w:rPr>
          <w:rFonts w:ascii="Arial" w:cs="Arial" w:eastAsia="Arial" w:hAnsi="Arial"/>
          <w:sz w:val="16"/>
          <w:szCs w:val="16"/>
          <w:color w:val="auto"/>
        </w:rPr>
        <w:t>. (a) Prior to the Effective Time, Parent shall appoint an agent reasonably acceptable to the Company (the “</w:t>
      </w:r>
      <w:r>
        <w:rPr>
          <w:rFonts w:ascii="Arial" w:cs="Arial" w:eastAsia="Arial" w:hAnsi="Arial"/>
          <w:sz w:val="16"/>
          <w:szCs w:val="16"/>
          <w:b w:val="1"/>
          <w:bCs w:val="1"/>
          <w:color w:val="auto"/>
        </w:rPr>
        <w:t>Exchange Agent</w:t>
      </w:r>
      <w:r>
        <w:rPr>
          <w:rFonts w:ascii="Arial" w:cs="Arial" w:eastAsia="Arial" w:hAnsi="Arial"/>
          <w:sz w:val="16"/>
          <w:szCs w:val="16"/>
          <w:color w:val="auto"/>
        </w:rPr>
        <w:t>”) for the purpose of exchanging for the Merger Consideration (i) certificates representing shares of Company Stock (the “</w:t>
      </w:r>
      <w:r>
        <w:rPr>
          <w:rFonts w:ascii="Arial" w:cs="Arial" w:eastAsia="Arial" w:hAnsi="Arial"/>
          <w:sz w:val="16"/>
          <w:szCs w:val="16"/>
          <w:b w:val="1"/>
          <w:bCs w:val="1"/>
          <w:color w:val="auto"/>
        </w:rPr>
        <w:t>Certificates</w:t>
      </w:r>
      <w:r>
        <w:rPr>
          <w:rFonts w:ascii="Arial" w:cs="Arial" w:eastAsia="Arial" w:hAnsi="Arial"/>
          <w:sz w:val="16"/>
          <w:szCs w:val="16"/>
          <w:color w:val="auto"/>
        </w:rPr>
        <w:t>”) and (ii) uncertificated shares of Company Stock (the “</w:t>
      </w:r>
      <w:r>
        <w:rPr>
          <w:rFonts w:ascii="Arial" w:cs="Arial" w:eastAsia="Arial" w:hAnsi="Arial"/>
          <w:sz w:val="16"/>
          <w:szCs w:val="16"/>
          <w:b w:val="1"/>
          <w:bCs w:val="1"/>
          <w:color w:val="auto"/>
        </w:rPr>
        <w:t>Uncertificated Shares</w:t>
      </w:r>
      <w:r>
        <w:rPr>
          <w:rFonts w:ascii="Arial" w:cs="Arial" w:eastAsia="Arial" w:hAnsi="Arial"/>
          <w:sz w:val="16"/>
          <w:szCs w:val="16"/>
          <w:color w:val="auto"/>
        </w:rPr>
        <w:t>”). At or prior to the Effective Time, Parent shall make available to the Exchange Agent the Merger Consideration to be paid in respect of the Certificates and the Uncertificated Shares. Parent agrees to make available to the Exchange Agent from time to time, as needed, any dividends or distributions to which any Person is entitled pursuant to Section 2.03(f) of this Agreement. Promptly after the Effective Time, and in any event no later than the 10th Business Day following the Effective Time, Parent shall send, or shall cause the Exchange Agent to send, to each holder of record of shares of Company Stock at the Effective Time a letter of transmittal and instructions reasonably acceptable to the Company (which shall specify that the delivery shall be effected, and risk of loss and title shall pass, only upon proper delivery of the Certificates or transfer of the Uncertificated Shares to the Exchange Agent and which shall otherwise be in customary form and shall include customary provisions with respect to delivery of an “</w:t>
      </w:r>
      <w:r>
        <w:rPr>
          <w:rFonts w:ascii="Arial" w:cs="Arial" w:eastAsia="Arial" w:hAnsi="Arial"/>
          <w:sz w:val="16"/>
          <w:szCs w:val="16"/>
          <w:b w:val="1"/>
          <w:bCs w:val="1"/>
          <w:color w:val="auto"/>
        </w:rPr>
        <w:t>agent’s message</w:t>
      </w:r>
      <w:r>
        <w:rPr>
          <w:rFonts w:ascii="Arial" w:cs="Arial" w:eastAsia="Arial" w:hAnsi="Arial"/>
          <w:sz w:val="16"/>
          <w:szCs w:val="16"/>
          <w:color w:val="auto"/>
        </w:rPr>
        <w:t>” regarding the book-entry transfer of Uncertificated Shares) for use in such exchange.</w:t>
      </w:r>
    </w:p>
    <w:p>
      <w:pPr>
        <w:spacing w:after="0" w:line="223" w:lineRule="exact"/>
        <w:rPr>
          <w:sz w:val="20"/>
          <w:szCs w:val="20"/>
          <w:color w:val="auto"/>
        </w:rPr>
      </w:pPr>
    </w:p>
    <w:p>
      <w:pPr>
        <w:ind w:right="60" w:firstLine="1305"/>
        <w:spacing w:after="0" w:line="272" w:lineRule="auto"/>
        <w:tabs>
          <w:tab w:leader="none" w:pos="1938"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holder of shares of Company Stock that have been converted into the right to receive the Merger Consideration shall be entitled to receive, upon (i) surrender to the Exchange Agent of a Certificate, together with a properly completed letter of transmittal, or (ii) receipt of an “</w:t>
      </w:r>
      <w:r>
        <w:rPr>
          <w:rFonts w:ascii="Arial" w:cs="Arial" w:eastAsia="Arial" w:hAnsi="Arial"/>
          <w:sz w:val="17"/>
          <w:szCs w:val="17"/>
          <w:b w:val="1"/>
          <w:bCs w:val="1"/>
          <w:color w:val="auto"/>
        </w:rPr>
        <w:t>agent’s message</w:t>
      </w:r>
      <w:r>
        <w:rPr>
          <w:rFonts w:ascii="Arial" w:cs="Arial" w:eastAsia="Arial" w:hAnsi="Arial"/>
          <w:sz w:val="17"/>
          <w:szCs w:val="17"/>
          <w:color w:val="auto"/>
        </w:rPr>
        <w:t>” by the Exchange Agent (or such other evidence, if any, of transfer as the Exchange Agent may reasonably request) in the case of a book-entry transfer of Uncertificated Shares, the Merger Consideration in respect of the Company Stock represented by a Certificate or Uncertificated Share. The shares of Parent Class A Common Stock constituting part of such Merger Consideration, at Parent’s option, shall be in uncertificated book-entry form, unless a physical certificate is required under Applicable Law. Until so surrendered or transferred, as the case may be, each such Certificate or Uncertificated Share shall represent after the Effective Time for all purposes only the right to receive such Merger</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Consideration and the right to receive any dividends or other distributions pursuant to Section 2.03(f).</w:t>
      </w:r>
    </w:p>
    <w:p>
      <w:pPr>
        <w:spacing w:after="0" w:line="279" w:lineRule="exact"/>
        <w:rPr>
          <w:sz w:val="20"/>
          <w:szCs w:val="20"/>
          <w:color w:val="auto"/>
        </w:rPr>
      </w:pPr>
    </w:p>
    <w:p>
      <w:pPr>
        <w:ind w:right="120" w:firstLine="1305"/>
        <w:spacing w:after="0" w:line="276" w:lineRule="auto"/>
        <w:tabs>
          <w:tab w:leader="none" w:pos="19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pacing w:after="0" w:line="226" w:lineRule="exact"/>
        <w:rPr>
          <w:rFonts w:ascii="Arial" w:cs="Arial" w:eastAsia="Arial" w:hAnsi="Arial"/>
          <w:sz w:val="17"/>
          <w:szCs w:val="17"/>
          <w:color w:val="auto"/>
        </w:rPr>
      </w:pPr>
    </w:p>
    <w:p>
      <w:pPr>
        <w:ind w:right="180" w:firstLine="1305"/>
        <w:spacing w:after="0" w:line="264" w:lineRule="auto"/>
        <w:tabs>
          <w:tab w:leader="none" w:pos="19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the Effective Time, there shall be no further registration of transfers of shares of Company Stock. If, after the Effective Time, Certificates or Uncertificated Shares are presented to the Surviving Corporation or the Exchange Agent, they shall be canceled and exchanged for the Merger Consideration provided for, and in accordance with the procedures set forth, in this Article 2.</w:t>
      </w:r>
    </w:p>
    <w:p>
      <w:pPr>
        <w:spacing w:after="0" w:line="235" w:lineRule="exact"/>
        <w:rPr>
          <w:rFonts w:ascii="Arial" w:cs="Arial" w:eastAsia="Arial" w:hAnsi="Arial"/>
          <w:sz w:val="18"/>
          <w:szCs w:val="18"/>
          <w:color w:val="auto"/>
        </w:rPr>
      </w:pPr>
    </w:p>
    <w:p>
      <w:pPr>
        <w:ind w:firstLine="1305"/>
        <w:spacing w:after="0" w:line="270" w:lineRule="auto"/>
        <w:tabs>
          <w:tab w:leader="none" w:pos="19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portion of the Merger Consideration made available to the Exchange Agent pursuant to Section 2.03(a) that remains unclaimed by the holders of shares of Company Stock 12 months after the Effective Time shall be returned to Parent, upon demand, and any such holder who has not exchanged shares of Company Stock for the Merger Consideration in accordance with this Section 2.03 prior to that time shall thereafter look only to Parent for and Parent shall remain liable for, payment of the Merger Consideration, and any dividends and distributions with respect thereto pursuant to Section 2.03(f), in respect of such shares without any interest thereon. Notwithstanding the foregoing, Parent shall not be liable to any holder of shares of Company Stock for any amounts properly paid to a public official pursuant to applicable abandoned property, escheat or similar laws. Any amounts remaining unclaimed by holders of shares of Company Stock two years after the Effective Time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235" w:lineRule="exact"/>
        <w:rPr>
          <w:rFonts w:ascii="Arial" w:cs="Arial" w:eastAsia="Arial" w:hAnsi="Arial"/>
          <w:sz w:val="17"/>
          <w:szCs w:val="17"/>
          <w:color w:val="auto"/>
        </w:rPr>
      </w:pPr>
    </w:p>
    <w:p>
      <w:pPr>
        <w:ind w:right="40" w:firstLine="1305"/>
        <w:spacing w:after="0" w:line="302" w:lineRule="auto"/>
        <w:tabs>
          <w:tab w:leader="none" w:pos="19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dividends or other distributions with respect to securities of Parent constituting part of the Merger Consideration, and no cash payment in lieu of fractional shares as provided in Section 2.06, shall be paid to the holder of any Certificates not surrendered or of any Uncertificated Shares not transferred until such Certificates or Uncertificated Shares are surrendered or transferred, as the case may be, as provided in this Section. Following such surrender or transfer, there shall be paid, without interest, to the Person in whose name the securities of Parent have been registered, (i) at the time of such</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7" w:name="page28"/>
    <w:bookmarkEnd w:id="27"/>
    <w:p>
      <w:pPr>
        <w:ind w:right="140"/>
        <w:spacing w:after="0" w:line="279" w:lineRule="auto"/>
        <w:rPr>
          <w:sz w:val="20"/>
          <w:szCs w:val="20"/>
          <w:color w:val="auto"/>
        </w:rPr>
      </w:pPr>
      <w:r>
        <w:rPr>
          <w:rFonts w:ascii="Arial" w:cs="Arial" w:eastAsia="Arial" w:hAnsi="Arial"/>
          <w:sz w:val="17"/>
          <w:szCs w:val="17"/>
          <w:color w:val="auto"/>
        </w:rPr>
        <w:t>surrender or transfer, the amount of any cash payable in lieu of fractional shares to which such Person is entitled pursuant to Section 2.06 and the amount of all dividends or other distributions with a record date after the Effective Time previously paid or payable on the date of such surrender with respect to such securities, and (ii) at the appropriate payment date, the amount of dividends or other distributions with a record date after the Effective Time and prior to surrender or transfer and with a payment date subsequent to surrender or transfer payable with respect to such securities.</w:t>
      </w:r>
    </w:p>
    <w:p>
      <w:pPr>
        <w:spacing w:after="0" w:line="225" w:lineRule="exact"/>
        <w:rPr>
          <w:sz w:val="20"/>
          <w:szCs w:val="20"/>
          <w:color w:val="auto"/>
        </w:rPr>
      </w:pPr>
    </w:p>
    <w:p>
      <w:pPr>
        <w:ind w:right="120" w:firstLine="1305"/>
        <w:spacing w:after="0" w:line="259" w:lineRule="auto"/>
        <w:tabs>
          <w:tab w:leader="none" w:pos="19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of any transfer, documentary, sales, use, stamp, registration, value added and other such Taxes and fees (including any penalties and interest) incurred by a holder of Company Stock in connection with the Merger for which none of Parent, the Company, or a Subsidiary of the Company or Parent is liable, and the filing of any related Tax Returns and other documentation with respect to such Taxes and fees, shall be the sole responsibility of such holder.</w:t>
      </w:r>
    </w:p>
    <w:p>
      <w:pPr>
        <w:spacing w:after="0" w:line="24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Equity-Based Awards</w:t>
      </w:r>
      <w:r>
        <w:rPr>
          <w:rFonts w:ascii="Arial" w:cs="Arial" w:eastAsia="Arial" w:hAnsi="Arial"/>
          <w:sz w:val="17"/>
          <w:szCs w:val="17"/>
          <w:color w:val="auto"/>
        </w:rPr>
        <w:t>. (a) Except as provided in Section 2.04(d), the terms of each outstanding compensatory option to purchase shares of Company Stock (a “</w:t>
      </w:r>
      <w:r>
        <w:rPr>
          <w:rFonts w:ascii="Arial" w:cs="Arial" w:eastAsia="Arial" w:hAnsi="Arial"/>
          <w:sz w:val="17"/>
          <w:szCs w:val="17"/>
          <w:b w:val="1"/>
          <w:bCs w:val="1"/>
          <w:color w:val="auto"/>
        </w:rPr>
        <w:t>Company Stock Option</w:t>
      </w:r>
      <w:r>
        <w:rPr>
          <w:rFonts w:ascii="Arial" w:cs="Arial" w:eastAsia="Arial" w:hAnsi="Arial"/>
          <w:sz w:val="17"/>
          <w:szCs w:val="17"/>
          <w:color w:val="auto"/>
        </w:rPr>
        <w:t>”), whether or not exercisable or vested, shall be adjusted as necessary to provide that, at the Effective Time, each Company Stock Option outstanding immediately prior to the Effective Time shall be converted into an option (each, an “</w:t>
      </w:r>
      <w:r>
        <w:rPr>
          <w:rFonts w:ascii="Arial" w:cs="Arial" w:eastAsia="Arial" w:hAnsi="Arial"/>
          <w:sz w:val="17"/>
          <w:szCs w:val="17"/>
          <w:b w:val="1"/>
          <w:bCs w:val="1"/>
          <w:color w:val="auto"/>
        </w:rPr>
        <w:t>Adjusted Option</w:t>
      </w:r>
      <w:r>
        <w:rPr>
          <w:rFonts w:ascii="Arial" w:cs="Arial" w:eastAsia="Arial" w:hAnsi="Arial"/>
          <w:sz w:val="17"/>
          <w:szCs w:val="17"/>
          <w:color w:val="auto"/>
        </w:rPr>
        <w:t>”) to acquire, on the same terms and conditions as were applicable under such Company Stock Option immediately prior to the Effective Time, the number of shares of Parent Class A Common Stock equal to the product of (i)the number of shares of Company Stock subject to such Company Stock Option immediately prior to the Effective Time multiplied by (ii) the Exchange Ratio, with any fractional shares rounded down to the next lower whole number of shares. The exercise price per share of Parent Class A Common Stock subject to any such Adjusted Option will be an amount (rounded up to the nearest whole cent) equal to the quotient of (A) the exercise price per share of Company Stock subject to such Company Stock Option immediately prior to the Effective Time divided by (B) the Exchange Ratio, with any fractional cents rounded up to the next higher number of whole cents. Notwithstanding the foregoing, if the conversion of a Company Stock Option in accordance with the preceding provisions of this Section 2.04(a) would cause the related Adjusted Option to be treated as the grant of new stock right for purposes of Section 409A of the Code, such Company Stock Option shall not be converted in accordance with the preceding provisions but shall instead be converted in a manner reasonably acceptable to Parent and the Company that would not cause the related Adjusted Option to be treated as the grant of new stock right for purposes of Section 409A.</w:t>
      </w:r>
    </w:p>
    <w:p>
      <w:pPr>
        <w:spacing w:after="0" w:line="242" w:lineRule="exact"/>
        <w:rPr>
          <w:sz w:val="20"/>
          <w:szCs w:val="20"/>
          <w:color w:val="auto"/>
        </w:rPr>
      </w:pPr>
    </w:p>
    <w:p>
      <w:pPr>
        <w:jc w:val="both"/>
        <w:ind w:firstLine="1305"/>
        <w:spacing w:after="0" w:line="342" w:lineRule="auto"/>
        <w:tabs>
          <w:tab w:leader="none" w:pos="193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provided in Section 2.04(c) and Section 2.04(d), the terms of each outstanding restricted stock unit or deferred stock unit that, in either case, is settleable in shares of Company Stock (a “</w:t>
      </w:r>
      <w:r>
        <w:rPr>
          <w:rFonts w:ascii="Arial" w:cs="Arial" w:eastAsia="Arial" w:hAnsi="Arial"/>
          <w:sz w:val="16"/>
          <w:szCs w:val="16"/>
          <w:b w:val="1"/>
          <w:bCs w:val="1"/>
          <w:color w:val="auto"/>
        </w:rPr>
        <w:t>Company RSU</w:t>
      </w:r>
      <w:r>
        <w:rPr>
          <w:rFonts w:ascii="Arial" w:cs="Arial" w:eastAsia="Arial" w:hAnsi="Arial"/>
          <w:sz w:val="16"/>
          <w:szCs w:val="16"/>
          <w:color w:val="auto"/>
        </w:rPr>
        <w:t>”), whether or not vested, shall be adjusted as necessary to provide that, at the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28" w:name="page29"/>
    <w:bookmarkEnd w:id="28"/>
    <w:p>
      <w:pPr>
        <w:ind w:right="300"/>
        <w:spacing w:after="0" w:line="303" w:lineRule="auto"/>
        <w:rPr>
          <w:sz w:val="20"/>
          <w:szCs w:val="20"/>
          <w:color w:val="auto"/>
        </w:rPr>
      </w:pPr>
      <w:r>
        <w:rPr>
          <w:rFonts w:ascii="Arial" w:cs="Arial" w:eastAsia="Arial" w:hAnsi="Arial"/>
          <w:sz w:val="16"/>
          <w:szCs w:val="16"/>
          <w:color w:val="auto"/>
        </w:rPr>
        <w:t>Effective Time, each Company RSU outstanding immediately prior to the Effective Time shall be converted into a RSU (each, an “</w:t>
      </w:r>
      <w:r>
        <w:rPr>
          <w:rFonts w:ascii="Arial" w:cs="Arial" w:eastAsia="Arial" w:hAnsi="Arial"/>
          <w:sz w:val="16"/>
          <w:szCs w:val="16"/>
          <w:b w:val="1"/>
          <w:bCs w:val="1"/>
          <w:color w:val="auto"/>
        </w:rPr>
        <w:t>Adjusted RSU</w:t>
      </w:r>
      <w:r>
        <w:rPr>
          <w:rFonts w:ascii="Arial" w:cs="Arial" w:eastAsia="Arial" w:hAnsi="Arial"/>
          <w:sz w:val="16"/>
          <w:szCs w:val="16"/>
          <w:color w:val="auto"/>
        </w:rPr>
        <w:t>”) to acquire, on the same terms and conditions as were applicable under such Company RSU immediately prior to the Effective Time, the number of shares of Parent Class A Common Stock equal to the product of (i) the number of shares of Company Stock subject to such Company RSU immediately prior to the Effective Time multiplied by (ii) the Exchange Ratio, with any fractional shares rounded down to the next lower whole number of shares.</w:t>
      </w:r>
    </w:p>
    <w:p>
      <w:pPr>
        <w:spacing w:after="0" w:line="205" w:lineRule="exact"/>
        <w:rPr>
          <w:sz w:val="20"/>
          <w:szCs w:val="20"/>
          <w:color w:val="auto"/>
        </w:rPr>
      </w:pPr>
    </w:p>
    <w:p>
      <w:pPr>
        <w:ind w:right="60" w:firstLine="1305"/>
        <w:spacing w:after="0" w:line="255" w:lineRule="auto"/>
        <w:tabs>
          <w:tab w:leader="none" w:pos="19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 or promptly after the Effective Time, each outstanding Company RSU (each, a “</w:t>
      </w:r>
      <w:r>
        <w:rPr>
          <w:rFonts w:ascii="Arial" w:cs="Arial" w:eastAsia="Arial" w:hAnsi="Arial"/>
          <w:sz w:val="18"/>
          <w:szCs w:val="18"/>
          <w:b w:val="1"/>
          <w:bCs w:val="1"/>
          <w:color w:val="auto"/>
        </w:rPr>
        <w:t>Director RSU</w:t>
      </w:r>
      <w:r>
        <w:rPr>
          <w:rFonts w:ascii="Arial" w:cs="Arial" w:eastAsia="Arial" w:hAnsi="Arial"/>
          <w:sz w:val="18"/>
          <w:szCs w:val="18"/>
          <w:color w:val="auto"/>
        </w:rPr>
        <w:t>”) held by a non-employee director or former non-employee director of the Company (each, a “</w:t>
      </w:r>
      <w:r>
        <w:rPr>
          <w:rFonts w:ascii="Arial" w:cs="Arial" w:eastAsia="Arial" w:hAnsi="Arial"/>
          <w:sz w:val="18"/>
          <w:szCs w:val="18"/>
          <w:b w:val="1"/>
          <w:bCs w:val="1"/>
          <w:color w:val="auto"/>
        </w:rPr>
        <w:t>Director</w:t>
      </w:r>
      <w:r>
        <w:rPr>
          <w:rFonts w:ascii="Arial" w:cs="Arial" w:eastAsia="Arial" w:hAnsi="Arial"/>
          <w:sz w:val="18"/>
          <w:szCs w:val="18"/>
          <w:color w:val="auto"/>
        </w:rPr>
        <w:t>”), whether or not vested, shall be canceled, and the Company shall pay each such Director at or promptly after the Effective Time for each such Director RSU an amount in cash computed by first determining the Adjusted RSU that such Director would receive if the Director RSU held by such Director was converted into an Adjusted RSU pursuant to the methodology described in Section 2.04(b) (each, a “</w:t>
      </w:r>
      <w:r>
        <w:rPr>
          <w:rFonts w:ascii="Arial" w:cs="Arial" w:eastAsia="Arial" w:hAnsi="Arial"/>
          <w:sz w:val="18"/>
          <w:szCs w:val="18"/>
          <w:b w:val="1"/>
          <w:bCs w:val="1"/>
          <w:color w:val="auto"/>
        </w:rPr>
        <w:t>Notional Adjusted RSU</w:t>
      </w:r>
      <w:r>
        <w:rPr>
          <w:rFonts w:ascii="Arial" w:cs="Arial" w:eastAsia="Arial" w:hAnsi="Arial"/>
          <w:sz w:val="18"/>
          <w:szCs w:val="18"/>
          <w:color w:val="auto"/>
        </w:rPr>
        <w:t>”) and then multiplying (i) the closing sale price of a share of Parent Class A Common Stock on NASDAQ on the trading day immediately preceding the Effective Time by (ii) the number of shares of Parent Class A Common Stock with respect to the Notional Adjusted RSUs.</w:t>
      </w:r>
    </w:p>
    <w:p>
      <w:pPr>
        <w:spacing w:after="0" w:line="243" w:lineRule="exact"/>
        <w:rPr>
          <w:rFonts w:ascii="Arial" w:cs="Arial" w:eastAsia="Arial" w:hAnsi="Arial"/>
          <w:sz w:val="18"/>
          <w:szCs w:val="18"/>
          <w:color w:val="auto"/>
        </w:rPr>
      </w:pPr>
    </w:p>
    <w:p>
      <w:pPr>
        <w:ind w:firstLine="1305"/>
        <w:spacing w:after="0" w:line="286" w:lineRule="auto"/>
        <w:tabs>
          <w:tab w:leader="none" w:pos="1938" w:val="left"/>
        </w:tabs>
        <w:numPr>
          <w:ilvl w:val="1"/>
          <w:numId w:val="14"/>
        </w:numPr>
        <w:rPr>
          <w:rFonts w:ascii="Arial" w:cs="Arial" w:eastAsia="Arial" w:hAnsi="Arial"/>
          <w:sz w:val="16"/>
          <w:szCs w:val="16"/>
          <w:color w:val="auto"/>
        </w:rPr>
      </w:pPr>
      <w:r>
        <w:rPr>
          <w:rFonts w:ascii="Arial" w:cs="Arial" w:eastAsia="Arial" w:hAnsi="Arial"/>
          <w:sz w:val="16"/>
          <w:szCs w:val="16"/>
          <w:color w:val="auto"/>
        </w:rPr>
        <w:t>(i) At or promptly after the Effective Time, each outstanding Company Stock Option (each, a “</w:t>
      </w:r>
      <w:r>
        <w:rPr>
          <w:rFonts w:ascii="Arial" w:cs="Arial" w:eastAsia="Arial" w:hAnsi="Arial"/>
          <w:sz w:val="16"/>
          <w:szCs w:val="16"/>
          <w:b w:val="1"/>
          <w:bCs w:val="1"/>
          <w:color w:val="auto"/>
        </w:rPr>
        <w:t>Former Employee Option</w:t>
      </w:r>
      <w:r>
        <w:rPr>
          <w:rFonts w:ascii="Arial" w:cs="Arial" w:eastAsia="Arial" w:hAnsi="Arial"/>
          <w:sz w:val="16"/>
          <w:szCs w:val="16"/>
          <w:color w:val="auto"/>
        </w:rPr>
        <w:t>”) held by a former employee or individual contractor of the Company (each, a “</w:t>
      </w:r>
      <w:r>
        <w:rPr>
          <w:rFonts w:ascii="Arial" w:cs="Arial" w:eastAsia="Arial" w:hAnsi="Arial"/>
          <w:sz w:val="16"/>
          <w:szCs w:val="16"/>
          <w:b w:val="1"/>
          <w:bCs w:val="1"/>
          <w:color w:val="auto"/>
        </w:rPr>
        <w:t>Former Employee</w:t>
      </w:r>
      <w:r>
        <w:rPr>
          <w:rFonts w:ascii="Arial" w:cs="Arial" w:eastAsia="Arial" w:hAnsi="Arial"/>
          <w:sz w:val="16"/>
          <w:szCs w:val="16"/>
          <w:color w:val="auto"/>
        </w:rPr>
        <w:t>”), whether or not exercisable or vested, shall be cancelled, and the Company shall pay each such Former Employee at or promptly after the Effective Time for each such Former Employee Option an amount in cash computed by first determining the Adjusted Option that such Former Employee would receive if the Former Employee Option held by such Former Employee was converted into an Adjusted Option pursuant to the methodology described in Section 2.04(a) (each, a “</w:t>
      </w:r>
      <w:r>
        <w:rPr>
          <w:rFonts w:ascii="Arial" w:cs="Arial" w:eastAsia="Arial" w:hAnsi="Arial"/>
          <w:sz w:val="16"/>
          <w:szCs w:val="16"/>
          <w:b w:val="1"/>
          <w:bCs w:val="1"/>
          <w:color w:val="auto"/>
        </w:rPr>
        <w:t>Notional Adjusted Option</w:t>
      </w:r>
      <w:r>
        <w:rPr>
          <w:rFonts w:ascii="Arial" w:cs="Arial" w:eastAsia="Arial" w:hAnsi="Arial"/>
          <w:sz w:val="16"/>
          <w:szCs w:val="16"/>
          <w:color w:val="auto"/>
        </w:rPr>
        <w:t>”) and then multiplying</w:t>
      </w:r>
    </w:p>
    <w:p>
      <w:pPr>
        <w:spacing w:after="0" w:line="2" w:lineRule="exact"/>
        <w:rPr>
          <w:rFonts w:ascii="Arial" w:cs="Arial" w:eastAsia="Arial" w:hAnsi="Arial"/>
          <w:sz w:val="16"/>
          <w:szCs w:val="16"/>
          <w:color w:val="auto"/>
        </w:rPr>
      </w:pPr>
    </w:p>
    <w:p>
      <w:pPr>
        <w:jc w:val="both"/>
        <w:ind w:right="300" w:firstLine="8"/>
        <w:spacing w:after="0" w:line="292" w:lineRule="auto"/>
        <w:tabs>
          <w:tab w:leader="none" w:pos="2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excess of the closing sale price of a share of Parent Class A Common Stock on NASDAQ on the trading day immediately preceding the Effective Time over the per share exercise price of such Notional Adjusted Option, if any, by (B) the number of shares of Company Stock subject to such Notional Adjusted Option to the extent unexercised. For the avoidance of doubt, all Former Company Options outstanding as of the Effective Time that have a per share exercise price equal to or exceeding the closing sale price of a share of Parent Class A Common Stock on NASDAQ on the trading day immediately preceding the Effective Time shall be immediately cancelled and forfeited without any liability on the part of the Surviving Corporation or Parent.</w:t>
      </w:r>
    </w:p>
    <w:p>
      <w:pPr>
        <w:spacing w:after="0" w:line="212" w:lineRule="exact"/>
        <w:rPr>
          <w:rFonts w:ascii="Arial" w:cs="Arial" w:eastAsia="Arial" w:hAnsi="Arial"/>
          <w:sz w:val="16"/>
          <w:szCs w:val="16"/>
          <w:color w:val="auto"/>
        </w:rPr>
      </w:pPr>
    </w:p>
    <w:p>
      <w:pPr>
        <w:ind w:left="1300" w:right="120" w:firstLine="1949"/>
        <w:spacing w:after="0" w:line="347" w:lineRule="auto"/>
        <w:tabs>
          <w:tab w:leader="none" w:pos="3897" w:val="left"/>
        </w:tabs>
        <w:numPr>
          <w:ilvl w:val="2"/>
          <w:numId w:val="15"/>
        </w:numPr>
        <w:rPr>
          <w:rFonts w:ascii="Arial" w:cs="Arial" w:eastAsia="Arial" w:hAnsi="Arial"/>
          <w:sz w:val="16"/>
          <w:szCs w:val="16"/>
          <w:color w:val="auto"/>
        </w:rPr>
      </w:pPr>
      <w:r>
        <w:rPr>
          <w:rFonts w:ascii="Arial" w:cs="Arial" w:eastAsia="Arial" w:hAnsi="Arial"/>
          <w:sz w:val="16"/>
          <w:szCs w:val="16"/>
          <w:color w:val="auto"/>
        </w:rPr>
        <w:t>At or promptly after the Effective Time, each outstanding Company RSU (each, a “</w:t>
      </w:r>
      <w:r>
        <w:rPr>
          <w:rFonts w:ascii="Arial" w:cs="Arial" w:eastAsia="Arial" w:hAnsi="Arial"/>
          <w:sz w:val="16"/>
          <w:szCs w:val="16"/>
          <w:b w:val="1"/>
          <w:bCs w:val="1"/>
          <w:color w:val="auto"/>
        </w:rPr>
        <w:t>Former Employee</w:t>
      </w:r>
      <w:r>
        <w:rPr>
          <w:rFonts w:ascii="Arial" w:cs="Arial" w:eastAsia="Arial" w:hAnsi="Arial"/>
          <w:sz w:val="16"/>
          <w:szCs w:val="16"/>
          <w:color w:val="auto"/>
        </w:rPr>
        <w:t xml:space="preserve"> </w:t>
      </w:r>
      <w:r>
        <w:rPr>
          <w:rFonts w:ascii="Arial" w:cs="Arial" w:eastAsia="Arial" w:hAnsi="Arial"/>
          <w:sz w:val="16"/>
          <w:szCs w:val="16"/>
          <w:b w:val="1"/>
          <w:bCs w:val="1"/>
          <w:color w:val="auto"/>
        </w:rPr>
        <w:t>RSU</w:t>
      </w:r>
      <w:r>
        <w:rPr>
          <w:rFonts w:ascii="Arial" w:cs="Arial" w:eastAsia="Arial" w:hAnsi="Arial"/>
          <w:sz w:val="16"/>
          <w:szCs w:val="16"/>
          <w:color w:val="auto"/>
        </w:rPr>
        <w:t>”) held by a Former Employee, whether or not vested, shall be canceled, and the Company shall pay each such Former Employee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ind w:left="1300" w:right="120"/>
        <w:spacing w:after="0" w:line="259" w:lineRule="auto"/>
        <w:rPr>
          <w:sz w:val="20"/>
          <w:szCs w:val="20"/>
          <w:color w:val="auto"/>
        </w:rPr>
      </w:pPr>
      <w:r>
        <w:rPr>
          <w:rFonts w:ascii="Arial" w:cs="Arial" w:eastAsia="Arial" w:hAnsi="Arial"/>
          <w:sz w:val="18"/>
          <w:szCs w:val="18"/>
          <w:color w:val="auto"/>
        </w:rPr>
        <w:t>at or promptly after the Effective Time for each such Former Employee RSU an amount in cash computed by first determining the number of Notional Adjusted RSUs held by such Former Employee and then multiplying (A) the closing sale price of a share of Parent Class A Common Stock on NASDAQ on the trading day immediately preceding the Effective Time by (B) the number of shares of Parent Class A Common Stock with respect to the Notional Adjusted RSUs.</w:t>
      </w:r>
    </w:p>
    <w:p>
      <w:pPr>
        <w:spacing w:after="0" w:line="241" w:lineRule="exact"/>
        <w:rPr>
          <w:sz w:val="20"/>
          <w:szCs w:val="20"/>
          <w:color w:val="auto"/>
        </w:rPr>
      </w:pPr>
    </w:p>
    <w:p>
      <w:pPr>
        <w:ind w:right="80" w:firstLine="1305"/>
        <w:spacing w:after="0" w:line="269" w:lineRule="auto"/>
        <w:tabs>
          <w:tab w:leader="none" w:pos="19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Parent shall take such actions as are necessary for the assumption of the Company Stock Options and Company RSUs pursuant to Sections 2.04(a) and (b), including the reservation, issuance and listing of Parent Class A Common Stock as is necessary to effectuate the transactions contemplated by this Section 2.04. Parent shall prepare and file with the SEC a registration statement on an appropriate form, or a post-effective amendment to a registration statement previously filed under the 1933 Act, with respect to the shares of Parent Class A Common Stock subject to the Company Stock Options and Company RSUs to be assumed by Parent and, where applicable, shall use its reasonable best efforts to have such registration statement declared effective as soon as practicable following the Effective Time and to maintain the effectiveness of such registration statement covering such Company Stock Options and Company RSUs (and to maintain the current status of the prospectus contained therein) for so long as any Company Stock Option or any Company RSU remains outstanding. With respect to those individuals, if any, who, subsequent to the Effective Time, will be subject to the reporting requirements under Section 16(a) of the 1934 Act, where applicable, Parent shall administer any Company Stock Option and any Company RSU assumed pursuant to this Section 2.04 in a manner that complies with Rule 16b-3 promulgated under the 1934 Act to the extent such Company Stock Option or such Company RSU complied with such rule prior to the Merger.</w:t>
      </w:r>
    </w:p>
    <w:p>
      <w:pPr>
        <w:spacing w:after="0" w:line="237" w:lineRule="exact"/>
        <w:rPr>
          <w:rFonts w:ascii="Arial" w:cs="Arial" w:eastAsia="Arial" w:hAnsi="Arial"/>
          <w:sz w:val="17"/>
          <w:szCs w:val="17"/>
          <w:color w:val="auto"/>
        </w:rPr>
      </w:pPr>
    </w:p>
    <w:p>
      <w:pPr>
        <w:ind w:right="60" w:firstLine="1305"/>
        <w:spacing w:after="0" w:line="277" w:lineRule="auto"/>
        <w:tabs>
          <w:tab w:leader="none" w:pos="19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the Effective Time, the Company shall take any actions with respect to equity compensation plans or arrangements that are necessary to give effect to the transactions contemplated by this Section 2.04.</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Adjustments</w:t>
      </w:r>
      <w:r>
        <w:rPr>
          <w:rFonts w:ascii="Arial" w:cs="Arial" w:eastAsia="Arial" w:hAnsi="Arial"/>
          <w:sz w:val="18"/>
          <w:szCs w:val="18"/>
          <w:color w:val="auto"/>
        </w:rPr>
        <w:t>. If, during the period between the date of this Agreement and the Effective Time, the outstanding shares of capital stock of the Company or Parent shall have been changed into a different number of shares or a different class by reason of any reclassification, recapitalization, stock split or combination, exchange or readjustment of shares, or any stock dividend thereon with a record date during such period, or any other similar event, but excluding any change that results from (a) the exercise of stock options or other equity awards to purchase shares of Parent Stock or Company Stock or the settlement of restricted stock units or deferred stock units or (b) the grant of equity-based compensation to directors or employees of Parent or, subject to and in accordance with the terms of this Agreement, the Company under Parent’s or the Company’s, as applicable, equity compensation plans or arrangements, the Merger</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0" w:name="page31"/>
    <w:bookmarkEnd w:id="30"/>
    <w:p>
      <w:pPr>
        <w:ind w:right="440"/>
        <w:spacing w:after="0" w:line="277" w:lineRule="auto"/>
        <w:rPr>
          <w:sz w:val="20"/>
          <w:szCs w:val="20"/>
          <w:color w:val="auto"/>
        </w:rPr>
      </w:pPr>
      <w:r>
        <w:rPr>
          <w:rFonts w:ascii="Arial" w:cs="Arial" w:eastAsia="Arial" w:hAnsi="Arial"/>
          <w:sz w:val="18"/>
          <w:szCs w:val="18"/>
          <w:color w:val="auto"/>
        </w:rPr>
        <w:t>Consideration, amounts payable under Section 2.04 and any other amounts payable pursuant to this Agreement, as applicable, shall be appropriately and proportionately adjusted.</w:t>
      </w:r>
    </w:p>
    <w:p>
      <w:pPr>
        <w:spacing w:after="0" w:line="22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i w:val="1"/>
          <w:iCs w:val="1"/>
          <w:color w:val="auto"/>
        </w:rPr>
        <w:t>Fractional Shares</w:t>
      </w:r>
      <w:r>
        <w:rPr>
          <w:rFonts w:ascii="Arial" w:cs="Arial" w:eastAsia="Arial" w:hAnsi="Arial"/>
          <w:sz w:val="17"/>
          <w:szCs w:val="17"/>
          <w:color w:val="auto"/>
        </w:rPr>
        <w:t>. No fractional shares of Parent Class A Common Stock shall be issued in the Merger. All fractional shares of Parent Class A Common Stock that a holder of shares of Company Stock would otherwise be entitled to receive as a result of the Merger shall be aggregated and if a fractional share results from such aggregation, such holder shall be entitled to receive, in lieu thereof, an amount in cash without interest determined by multiplying the closing sale price of a share of Parent Class A Common Stock on NASDAQ on the trading day immediately preceding the Effective Time by the fraction of a share of Parent Class A Common Stock to which such holder would otherwise have been entitled.</w:t>
      </w:r>
    </w:p>
    <w:p>
      <w:pPr>
        <w:spacing w:after="0" w:line="22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Withholding</w:t>
      </w:r>
      <w:r>
        <w:rPr>
          <w:rFonts w:ascii="Arial" w:cs="Arial" w:eastAsia="Arial" w:hAnsi="Arial"/>
          <w:sz w:val="18"/>
          <w:szCs w:val="18"/>
          <w:color w:val="auto"/>
        </w:rPr>
        <w:t>. Notwithstanding any provision contained herein to the contrary, each of the Exchange Agent, the Surviving Corporation and Parent shall be entitled to deduct or withhold from the consideration otherwise payable to any Person pursuant to this Article 2 such amounts as it is required to deduct or withhold with respect to the making of such payment under any provision of federal, state, local or foreign tax law. The Company shall, and shall cause its Affiliates to, assist Parent in making such deductions and withholding as reasonably requested by Parent. If the Exchange Agent, the Surviving Corporation or Parent, as the case may be, so withholds amounts, such amounts shall be treated for all purposes of this Agreement as having been paid to the holder of the shares of Company Stock in respect of which the Exchange Agent, the Surviving Corporation or Parent, as the case may be, made such deduction and withholding.</w:t>
      </w:r>
    </w:p>
    <w:p>
      <w:pPr>
        <w:spacing w:after="0" w:line="24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Lost Certificates</w:t>
      </w:r>
      <w:r>
        <w:rPr>
          <w:rFonts w:ascii="Arial" w:cs="Arial" w:eastAsia="Arial" w:hAnsi="Arial"/>
          <w:sz w:val="16"/>
          <w:szCs w:val="16"/>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and any dividends or distributions with respect thereto pursuant to Section 2.03(f), as contemplated by this Article 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Surviving Corporation</w:t>
      </w:r>
    </w:p>
    <w:p>
      <w:pPr>
        <w:spacing w:after="0" w:line="26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The certificate of incorporation of the Company shall be the certificate of incorporation of the Surviving Corporation until amended in accordance with Applicable Law.</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p>
      <w:pPr>
        <w:ind w:right="200" w:firstLine="648"/>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Bylaws</w:t>
      </w:r>
      <w:r>
        <w:rPr>
          <w:rFonts w:ascii="Arial" w:cs="Arial" w:eastAsia="Arial" w:hAnsi="Arial"/>
          <w:sz w:val="18"/>
          <w:szCs w:val="18"/>
          <w:color w:val="auto"/>
        </w:rPr>
        <w:t>. At the Effective Time, the bylaws of the Company shall be amended to be identical to the bylaws of Merger Subsidiary in effect immediately prior to the Effective Time and as so amended shall be the bylaws of the Surviving Corporation until thereafter amended in accordance with Delaware Law.</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Directors and Officers</w:t>
      </w:r>
      <w:r>
        <w:rPr>
          <w:rFonts w:ascii="Arial" w:cs="Arial" w:eastAsia="Arial" w:hAnsi="Arial"/>
          <w:sz w:val="18"/>
          <w:szCs w:val="18"/>
          <w:color w:val="auto"/>
        </w:rPr>
        <w:t>. From and after the Effective Time, until successors are duly elected or appointed and qualified in accordance with Applicable Law, (i) the directors of Merger Subsidiary at the Effective Time shall be the directors of the Surviving Corporation and (ii) the officers of the Company at the Effective Time shall be the officers of the Surviving Corporation.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3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Subject to Section 11.05, except (a) as disclosed in (i) the Company SEC Documents (as defined below) filed or furnished by the Company with the SEC since January 1, 2013 and before the date of this Agreement or (ii) the Company 10-K (together, the “</w:t>
      </w:r>
      <w:r>
        <w:rPr>
          <w:rFonts w:ascii="Arial" w:cs="Arial" w:eastAsia="Arial" w:hAnsi="Arial"/>
          <w:sz w:val="18"/>
          <w:szCs w:val="18"/>
          <w:b w:val="1"/>
          <w:bCs w:val="1"/>
          <w:color w:val="auto"/>
        </w:rPr>
        <w:t>Specified Company SEC Documents</w:t>
      </w:r>
      <w:r>
        <w:rPr>
          <w:rFonts w:ascii="Arial" w:cs="Arial" w:eastAsia="Arial" w:hAnsi="Arial"/>
          <w:sz w:val="18"/>
          <w:szCs w:val="18"/>
          <w:color w:val="auto"/>
        </w:rPr>
        <w:t>”) or (b) as set forth in the Company Disclosure Schedule, the Company represents and warrants to Parent that:</w:t>
      </w:r>
    </w:p>
    <w:p>
      <w:pPr>
        <w:spacing w:after="0" w:line="23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Corporate Existence and Power</w:t>
      </w:r>
      <w:r>
        <w:rPr>
          <w:rFonts w:ascii="Arial" w:cs="Arial" w:eastAsia="Arial" w:hAnsi="Arial"/>
          <w:sz w:val="17"/>
          <w:szCs w:val="17"/>
          <w:color w:val="auto"/>
        </w:rPr>
        <w:t>. The Company is a corporation duly incorporated, validly existing and in good standing under the laws of the State of Delaware and has all corporate powers and all Governmental Authorizations required to carry on its business as now conducted, except for those Governmental Authorizations the absence of which would not reasonably be expected to have, individually or in the aggregate, a Company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Company Material Adverse Effect. Prior to the date hereof, the Company has delivered or made available to Parent true and complete copies of the certificate of incorporation and bylaws of the Company as in effect on the date of this Agreement.</w:t>
      </w:r>
    </w:p>
    <w:p>
      <w:pPr>
        <w:spacing w:after="0" w:line="23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Corporate Authorization</w:t>
      </w:r>
      <w:r>
        <w:rPr>
          <w:rFonts w:ascii="Arial" w:cs="Arial" w:eastAsia="Arial" w:hAnsi="Arial"/>
          <w:sz w:val="16"/>
          <w:szCs w:val="16"/>
          <w:color w:val="auto"/>
        </w:rPr>
        <w:t>. (a) The execution, delivery and performance by the Company of this Agreement and the Voting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and the consummation by the Company of the transactions contemplated hereby and thereby are within the Company’s corporate powers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except for the required approval of the Company’s stockholders in connection with the consummation of the Merger, have been duly authorized by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necessary corporate action on the part of the Company. The affirmative vote of the holders of a majority of the outstanding shares of Company Stock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Stockholder Approval</w:t>
      </w:r>
      <w:r>
        <w:rPr>
          <w:rFonts w:ascii="Arial" w:cs="Arial" w:eastAsia="Arial" w:hAnsi="Arial"/>
          <w:sz w:val="16"/>
          <w:szCs w:val="16"/>
          <w:color w:val="auto"/>
        </w:rPr>
        <w:t>”) is the only vote of the holders of any of the Company’s capital stock necessary in connection with the consummation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Merger. This Agreement, assuming due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2" w:name="page33"/>
    <w:bookmarkEnd w:id="32"/>
    <w:p>
      <w:pPr>
        <w:ind w:right="20"/>
        <w:spacing w:after="0" w:line="259" w:lineRule="auto"/>
        <w:rPr>
          <w:sz w:val="20"/>
          <w:szCs w:val="20"/>
          <w:color w:val="auto"/>
        </w:rPr>
      </w:pPr>
      <w:r>
        <w:rPr>
          <w:rFonts w:ascii="Arial" w:cs="Arial" w:eastAsia="Arial" w:hAnsi="Arial"/>
          <w:sz w:val="18"/>
          <w:szCs w:val="18"/>
          <w:color w:val="auto"/>
        </w:rPr>
        <w:t>authorization, execution and delivery by Parent and Merger Subsidiary, and the Voting Agreement, assuming due authorization, execution and delivery by the stockholders party thereto, constitute a valid and binding agreement of the Company enforceable against the Company in accordance with their terms (subject to applicable bankruptcy, insolvency, fraudulent transfer, reorganization, moratorium and other laws affecting creditors’ rights generally and general principles of equity).</w:t>
      </w:r>
    </w:p>
    <w:p>
      <w:pPr>
        <w:spacing w:after="0" w:line="241" w:lineRule="exact"/>
        <w:rPr>
          <w:sz w:val="20"/>
          <w:szCs w:val="20"/>
          <w:color w:val="auto"/>
        </w:rPr>
      </w:pPr>
    </w:p>
    <w:p>
      <w:pPr>
        <w:ind w:right="160" w:firstLine="1305"/>
        <w:spacing w:after="0" w:line="257" w:lineRule="auto"/>
        <w:tabs>
          <w:tab w:leader="none" w:pos="19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 meeting duly called and held, as of the date of this Agreement, the Company’s Board of Directors has (i) unanimously determined that this Agreement and the Voting Agreement and the transactions contemplated hereby and thereby are fair to and in the best interests of the Company’s stockholders, (ii) unanimously approved and declared advisable this Agreement and the transactions contemplated hereby and (iii) unanimously resolved, subject to Section 6.03(b), to recommend adoption of this Agreement by its stockholders (such recommendation, the “</w:t>
      </w:r>
      <w:r>
        <w:rPr>
          <w:rFonts w:ascii="Arial" w:cs="Arial" w:eastAsia="Arial" w:hAnsi="Arial"/>
          <w:sz w:val="18"/>
          <w:szCs w:val="18"/>
          <w:b w:val="1"/>
          <w:bCs w:val="1"/>
          <w:color w:val="auto"/>
        </w:rPr>
        <w:t>Company Board</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w:t>
      </w:r>
      <w:r>
        <w:rPr>
          <w:rFonts w:ascii="Arial" w:cs="Arial" w:eastAsia="Arial" w:hAnsi="Arial"/>
          <w:sz w:val="18"/>
          <w:szCs w:val="18"/>
          <w:color w:val="auto"/>
        </w:rPr>
        <w:t>”).</w:t>
      </w:r>
    </w:p>
    <w:p>
      <w:pPr>
        <w:spacing w:after="0" w:line="242"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The execution, delivery and performance by the Company of this Agreement and the consummation by the Company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the Company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 compliance with any state statutes or local franchise ordinances and agreements, (vi) compliance with any applicable requirements of the 1933 Act, the 1934 Act and any other applicable state or federal securities laws, (vii) compliance with any applicable requirements of the New York Stock Exchange (the “</w:t>
      </w:r>
      <w:r>
        <w:rPr>
          <w:rFonts w:ascii="Arial" w:cs="Arial" w:eastAsia="Arial" w:hAnsi="Arial"/>
          <w:sz w:val="16"/>
          <w:szCs w:val="16"/>
          <w:b w:val="1"/>
          <w:bCs w:val="1"/>
          <w:color w:val="auto"/>
        </w:rPr>
        <w:t>NYSE</w:t>
      </w:r>
      <w:r>
        <w:rPr>
          <w:rFonts w:ascii="Arial" w:cs="Arial" w:eastAsia="Arial" w:hAnsi="Arial"/>
          <w:sz w:val="16"/>
          <w:szCs w:val="16"/>
          <w:color w:val="auto"/>
        </w:rPr>
        <w:t>”) and (viii) any actions or filings the absence of which would not reasonably be expected to have, individually or in the aggregate, a Company Material Adverse Effect or materially interfere with or delay the consummation of the Merger.</w:t>
      </w:r>
    </w:p>
    <w:p>
      <w:pPr>
        <w:spacing w:after="0" w:line="22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Non-contravention</w:t>
      </w:r>
      <w:r>
        <w:rPr>
          <w:rFonts w:ascii="Arial" w:cs="Arial" w:eastAsia="Arial" w:hAnsi="Arial"/>
          <w:sz w:val="17"/>
          <w:szCs w:val="17"/>
          <w:color w:val="auto"/>
        </w:rPr>
        <w:t>. The execution, delivery and performance by the Company of this Agreement and the Voting Agreement and the consummation of the transactions contemplated hereby and thereby do not and will not (i) contravene, conflict with, or result in any violation or breach of any provision of the certificate of incorporation or bylaws of the Company, (ii) assuming compliance with the matters referred to in Section 4.03, contravene, conflict with or result in a violation or breach of any provision of any Applicable Law, (iii) assuming compliance with the matters referred to in Section 4.03, require any consent or other action by any Person under, constitute a default, or an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8"/>
          <w:szCs w:val="18"/>
          <w:color w:val="auto"/>
        </w:rPr>
        <w:t>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agreement or other instrument binding upon the Company or any of its Subsidiaries or any license, franchise, permit, certificate, approval or other similar authorization affecting, or relating in any way to, the assets or business of the Company and its Subsidiaries or (iv) result in the creation or imposition of any Lien, other than any Permitted Lien, on any asset of the Company or any of its Subsidiaries, with only such exceptions, in the case of each of clauses (ii) through (iv), as would not reasonably be expected to have, individually or in the aggregate, a Company Material Adverse Effect or materially interfere with or delay the consummation of the Merger.</w:t>
      </w:r>
    </w:p>
    <w:p>
      <w:pPr>
        <w:spacing w:after="0" w:line="24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Capitalization</w:t>
      </w:r>
      <w:r>
        <w:rPr>
          <w:rFonts w:ascii="Arial" w:cs="Arial" w:eastAsia="Arial" w:hAnsi="Arial"/>
          <w:sz w:val="16"/>
          <w:szCs w:val="16"/>
          <w:color w:val="auto"/>
        </w:rPr>
        <w:t>. (a) The authorized capital stock of the Company consists of 8,333,333,333 shares of Company Stock and 1,000,000,000 shares of preferred stock, par value $0.01, of the Company. As of February 10, 2014, there were outstanding (A) 276,825,317 shares of Company Stock, (B) Company Stock Options to purchase an aggregate of 7,474,354 shares of Company Stock at a weighted-average exercise price of $71.39 per share of Company Stock (of which options to purchase an aggregate of 2,456,624 shares of Company Stock were exercisable), (C) Company RSUs to acquire an aggregate of 3,967,053 shares of Company Stock, (D) no shares of preferred stock of the Company outstanding and (E) no shares of restricted Company Stock outstanding. All outstanding shares of capital stock of the Company have been, and all shares that may be issued pursuant to any equity compensation plan or arrangement will be, when issued in accordance with the respective terms thereof, duly authorized and validly issued, fully paid and nonassessable and free of preemptive rights. No Subsidiary of the Company owns any shares of capital stock of the Company or any Company Securities.</w:t>
      </w:r>
    </w:p>
    <w:p>
      <w:pPr>
        <w:spacing w:after="0" w:line="220" w:lineRule="exact"/>
        <w:rPr>
          <w:sz w:val="20"/>
          <w:szCs w:val="20"/>
          <w:color w:val="auto"/>
        </w:rPr>
      </w:pPr>
    </w:p>
    <w:p>
      <w:pPr>
        <w:ind w:right="20" w:firstLine="1305"/>
        <w:spacing w:after="0" w:line="270" w:lineRule="auto"/>
        <w:tabs>
          <w:tab w:leader="none" w:pos="193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There are no outstanding bonds, debentures, notes or other indebtedness of the Company having the right to vote on an as-converted basis (or convertible into, or exchangeable for, securities having the right to vote) on any matters on which stockholders of the Company may vote. As of February 10, 2014, except as set forth in this Section 4.05 and for changes since such date resulting from the exercise of Company Stock Options or the settlement of Company RSUs, in each case outstanding on such date, there are no issued, reserved for issuance or outstanding (i) shares of capital stock or other voting securities of or other ownership interests in the Company, (ii) securities of the Company convertible into or exchangeable for shares of capital stock or other voting securities of or other ownership interests in the Company, (iii) warrants, calls, options or other rights to acquire from the Company, or other obligation of the Company to issue, any shares of capital stock, voting securities or securities convertible into or exchangeable for capital stock or other voting securities of or other ownership interests in the Company or (iv) restricted shares, stock appreciation rights, performance units, contingent value rights, “</w:t>
      </w:r>
      <w:r>
        <w:rPr>
          <w:rFonts w:ascii="Arial" w:cs="Arial" w:eastAsia="Arial" w:hAnsi="Arial"/>
          <w:sz w:val="17"/>
          <w:szCs w:val="17"/>
          <w:b w:val="1"/>
          <w:bCs w:val="1"/>
          <w:color w:val="auto"/>
        </w:rPr>
        <w:t>phantom</w:t>
      </w:r>
      <w:r>
        <w:rPr>
          <w:rFonts w:ascii="Arial" w:cs="Arial" w:eastAsia="Arial" w:hAnsi="Arial"/>
          <w:sz w:val="17"/>
          <w:szCs w:val="17"/>
          <w:color w:val="auto"/>
        </w:rPr>
        <w:t>” stock</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4" w:name="page35"/>
    <w:bookmarkEnd w:id="34"/>
    <w:p>
      <w:pPr>
        <w:ind w:right="20"/>
        <w:spacing w:after="0" w:line="255" w:lineRule="auto"/>
        <w:rPr>
          <w:sz w:val="20"/>
          <w:szCs w:val="20"/>
          <w:color w:val="auto"/>
        </w:rPr>
      </w:pPr>
      <w:r>
        <w:rPr>
          <w:rFonts w:ascii="Arial" w:cs="Arial" w:eastAsia="Arial" w:hAnsi="Arial"/>
          <w:sz w:val="18"/>
          <w:szCs w:val="18"/>
          <w:color w:val="auto"/>
        </w:rPr>
        <w:t>or similar securities or rights issued or granted by the Company or any of its Subsidiaries that are derivative of, or provide economic benefits based, directly or indirectly, on the value or price of, any shares of capital stock or other voting securities of or other ownership interests in the Company (the items in clauses (i) through (iv) being referred to collectively as the “</w:t>
      </w:r>
      <w:r>
        <w:rPr>
          <w:rFonts w:ascii="Arial" w:cs="Arial" w:eastAsia="Arial" w:hAnsi="Arial"/>
          <w:sz w:val="18"/>
          <w:szCs w:val="18"/>
          <w:b w:val="1"/>
          <w:bCs w:val="1"/>
          <w:color w:val="auto"/>
        </w:rPr>
        <w:t>Company Securities</w:t>
      </w:r>
      <w:r>
        <w:rPr>
          <w:rFonts w:ascii="Arial" w:cs="Arial" w:eastAsia="Arial" w:hAnsi="Arial"/>
          <w:sz w:val="18"/>
          <w:szCs w:val="18"/>
          <w:color w:val="auto"/>
        </w:rPr>
        <w:t>”). There are no outstanding obligations of the Company or any of its Subsidiaries to repurchase, redeem or otherwise acquire any of the Company Securities, and neither the Company nor any of its Subsidiaries has sponsored an employee stock purchase plan. Neither the Company nor any of its Subsidiaries is a party to any voting trust, proxy, voting agreement or other similar agreement with respect to the voting of any Company Securities.</w:t>
      </w:r>
    </w:p>
    <w:p>
      <w:pPr>
        <w:spacing w:after="0" w:line="2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Subsidiaries</w:t>
      </w:r>
      <w:r>
        <w:rPr>
          <w:rFonts w:ascii="Arial" w:cs="Arial" w:eastAsia="Arial" w:hAnsi="Arial"/>
          <w:sz w:val="17"/>
          <w:szCs w:val="17"/>
          <w:color w:val="auto"/>
        </w:rPr>
        <w:t>. (a) Each Subsidiary of the Company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Company Material Adverse Effect. Each Subsidiary of the Company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Company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Company Material Adverse Effect. Section 4.06(a) of the Company Disclosure Schedule identifies all “</w:t>
      </w:r>
      <w:r>
        <w:rPr>
          <w:rFonts w:ascii="Arial" w:cs="Arial" w:eastAsia="Arial" w:hAnsi="Arial"/>
          <w:sz w:val="17"/>
          <w:szCs w:val="17"/>
          <w:b w:val="1"/>
          <w:bCs w:val="1"/>
          <w:color w:val="auto"/>
        </w:rPr>
        <w:t>significant subsidiaries</w:t>
      </w:r>
      <w:r>
        <w:rPr>
          <w:rFonts w:ascii="Arial" w:cs="Arial" w:eastAsia="Arial" w:hAnsi="Arial"/>
          <w:sz w:val="17"/>
          <w:szCs w:val="17"/>
          <w:color w:val="auto"/>
        </w:rPr>
        <w:t>” (as defined under Rule 1-02(w) of Regulation S-X promulgated pursuant to the 1934 Act) (each, a “</w:t>
      </w:r>
      <w:r>
        <w:rPr>
          <w:rFonts w:ascii="Arial" w:cs="Arial" w:eastAsia="Arial" w:hAnsi="Arial"/>
          <w:sz w:val="17"/>
          <w:szCs w:val="17"/>
          <w:b w:val="1"/>
          <w:bCs w:val="1"/>
          <w:color w:val="auto"/>
        </w:rPr>
        <w:t>Significant Subsidiary</w:t>
      </w:r>
      <w:r>
        <w:rPr>
          <w:rFonts w:ascii="Arial" w:cs="Arial" w:eastAsia="Arial" w:hAnsi="Arial"/>
          <w:sz w:val="17"/>
          <w:szCs w:val="17"/>
          <w:color w:val="auto"/>
        </w:rPr>
        <w:t>”) of the Company and their respective jurisdictions of organization</w:t>
      </w:r>
    </w:p>
    <w:p>
      <w:pPr>
        <w:spacing w:after="0" w:line="232" w:lineRule="exact"/>
        <w:rPr>
          <w:sz w:val="20"/>
          <w:szCs w:val="20"/>
          <w:color w:val="auto"/>
        </w:rPr>
      </w:pPr>
    </w:p>
    <w:p>
      <w:pPr>
        <w:ind w:right="60" w:firstLine="1305"/>
        <w:spacing w:after="0" w:line="271" w:lineRule="auto"/>
        <w:tabs>
          <w:tab w:leader="none" w:pos="1938"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of the outstanding capital stock or other voting securities of or other ownership interests in each Subsidiary of the Company, are owned by the Company,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the Company or any of its Subsidiaries convertible into, or exchangeable for, shares of capital stock or other voting securities of or other ownership interests in any Subsidiary of the Company, (ii) warrants, calls, options or other rights to acquire from the Company or any of its Subsidiaries, or other obligations of the Company or any of its Subsidiaries to issue, any shares of capital stock or other voting securities of or other ownership interests in or any securities convertible into, or exchangeable for, any shares of capital stock or other voting securities of or other ownership interests in any Subsidiary of the Company or (iii) restricted shares, stock appreciation rights, performance units,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5" w:name="page36"/>
    <w:bookmarkEnd w:id="35"/>
    <w:p>
      <w:pPr>
        <w:jc w:val="both"/>
        <w:ind w:right="80"/>
        <w:spacing w:after="0" w:line="303" w:lineRule="auto"/>
        <w:rPr>
          <w:sz w:val="20"/>
          <w:szCs w:val="20"/>
          <w:color w:val="auto"/>
        </w:rPr>
      </w:pPr>
      <w:r>
        <w:rPr>
          <w:rFonts w:ascii="Arial" w:cs="Arial" w:eastAsia="Arial" w:hAnsi="Arial"/>
          <w:sz w:val="16"/>
          <w:szCs w:val="16"/>
          <w:color w:val="auto"/>
        </w:rPr>
        <w:t>contingent value rights, “</w:t>
      </w:r>
      <w:r>
        <w:rPr>
          <w:rFonts w:ascii="Arial" w:cs="Arial" w:eastAsia="Arial" w:hAnsi="Arial"/>
          <w:sz w:val="16"/>
          <w:szCs w:val="16"/>
          <w:b w:val="1"/>
          <w:bCs w:val="1"/>
          <w:color w:val="auto"/>
        </w:rPr>
        <w:t>phantom</w:t>
      </w:r>
      <w:r>
        <w:rPr>
          <w:rFonts w:ascii="Arial" w:cs="Arial" w:eastAsia="Arial" w:hAnsi="Arial"/>
          <w:sz w:val="16"/>
          <w:szCs w:val="16"/>
          <w:color w:val="auto"/>
        </w:rPr>
        <w:t>” stock or similar securities or rights issued or granted by the Company or any of its Subsidiaries that are derivative of, or provide economic benefits based, directly or indirectly, on the value or price of, any capital stock or other voting securities of or other ownership interests in any Subsidiary of the Company (the items in clauses (i) through (iii) being referred to collectively as the “</w:t>
      </w:r>
      <w:r>
        <w:rPr>
          <w:rFonts w:ascii="Arial" w:cs="Arial" w:eastAsia="Arial" w:hAnsi="Arial"/>
          <w:sz w:val="16"/>
          <w:szCs w:val="16"/>
          <w:b w:val="1"/>
          <w:bCs w:val="1"/>
          <w:color w:val="auto"/>
        </w:rPr>
        <w:t>Company Subsidiary Securities</w:t>
      </w:r>
      <w:r>
        <w:rPr>
          <w:rFonts w:ascii="Arial" w:cs="Arial" w:eastAsia="Arial" w:hAnsi="Arial"/>
          <w:sz w:val="16"/>
          <w:szCs w:val="16"/>
          <w:color w:val="auto"/>
        </w:rPr>
        <w:t>”). There are no outstanding obligations of the Company or any of its Subsidiaries to repurchase, redeem or otherwise acquire any of the Company Subsidiary Securities.</w:t>
      </w:r>
    </w:p>
    <w:p>
      <w:pPr>
        <w:spacing w:after="0" w:line="209" w:lineRule="exact"/>
        <w:rPr>
          <w:sz w:val="20"/>
          <w:szCs w:val="20"/>
          <w:color w:val="auto"/>
        </w:rPr>
      </w:pPr>
    </w:p>
    <w:p>
      <w:pPr>
        <w:jc w:val="both"/>
        <w:ind w:firstLine="1305"/>
        <w:spacing w:after="0" w:line="291" w:lineRule="auto"/>
        <w:tabs>
          <w:tab w:leader="none" w:pos="1928" w:val="left"/>
        </w:tabs>
        <w:numPr>
          <w:ilvl w:val="1"/>
          <w:numId w:val="20"/>
        </w:numPr>
        <w:rPr>
          <w:rFonts w:ascii="Arial" w:cs="Arial" w:eastAsia="Arial" w:hAnsi="Arial"/>
          <w:sz w:val="16"/>
          <w:szCs w:val="16"/>
          <w:color w:val="auto"/>
        </w:rPr>
      </w:pPr>
      <w:r>
        <w:rPr>
          <w:rFonts w:ascii="Arial" w:cs="Arial" w:eastAsia="Arial" w:hAnsi="Arial"/>
          <w:sz w:val="16"/>
          <w:szCs w:val="16"/>
          <w:color w:val="auto"/>
        </w:rPr>
        <w:t>Section 4.06(c) of the Company Disclosure Schedule lists, as of the date of this Agreement, each Person other than a Subsidiary of the Company in which the Company owns, directly or indirectly, any shares of capital stock or other voting securities or other ownership interests, other than</w:t>
      </w:r>
    </w:p>
    <w:p>
      <w:pPr>
        <w:ind w:firstLine="8"/>
        <w:spacing w:after="0" w:line="290"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publicly traded securities held for investment which do not exceed 5% of the outstanding securities of any Person and (ii) securities held by any employee benefit plan of the Company or any of its Subsidiaries or any trustee or other fiduciary in such capacity under any such employee benefit plan (each, a “</w:t>
      </w:r>
      <w:r>
        <w:rPr>
          <w:rFonts w:ascii="Arial" w:cs="Arial" w:eastAsia="Arial" w:hAnsi="Arial"/>
          <w:sz w:val="16"/>
          <w:szCs w:val="16"/>
          <w:b w:val="1"/>
          <w:bCs w:val="1"/>
          <w:color w:val="auto"/>
        </w:rPr>
        <w:t>Company Investment</w:t>
      </w:r>
      <w:r>
        <w:rPr>
          <w:rFonts w:ascii="Arial" w:cs="Arial" w:eastAsia="Arial" w:hAnsi="Arial"/>
          <w:sz w:val="16"/>
          <w:szCs w:val="16"/>
          <w:color w:val="auto"/>
        </w:rPr>
        <w:t>”). All of the capital stock or other voting securities of or other ownership interests in each Company Investment that are owned, directly or indirectly, by the Company, are owned by the Company or a Subsidiary of the Company free and clear of all Liens and any other limitation or restriction (including any restriction on the right to vote, sell or otherwise dispose of such shares of capital stock or other voting securities or other ownership interests), except Liens under Applicable Law and restrictions on transfer set forth in the agreements governing any such Company Investment.</w:t>
      </w:r>
    </w:p>
    <w:p>
      <w:pPr>
        <w:spacing w:after="0" w:line="21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i w:val="1"/>
          <w:iCs w:val="1"/>
          <w:color w:val="auto"/>
        </w:rPr>
        <w:t>SEC Filings and the Sarbanes-Oxley Act</w:t>
      </w:r>
      <w:r>
        <w:rPr>
          <w:rFonts w:ascii="Arial" w:cs="Arial" w:eastAsia="Arial" w:hAnsi="Arial"/>
          <w:sz w:val="17"/>
          <w:szCs w:val="17"/>
          <w:color w:val="auto"/>
        </w:rPr>
        <w:t>. (a) The Company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the Company since January 1, 2011 (collectively, together with any exhibits and schedules thereto and other information incorporated therein, the “</w:t>
      </w:r>
      <w:r>
        <w:rPr>
          <w:rFonts w:ascii="Arial" w:cs="Arial" w:eastAsia="Arial" w:hAnsi="Arial"/>
          <w:sz w:val="17"/>
          <w:szCs w:val="17"/>
          <w:b w:val="1"/>
          <w:bCs w:val="1"/>
          <w:color w:val="auto"/>
        </w:rPr>
        <w:t>Company SEC Documents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64" w:lineRule="auto"/>
        <w:tabs>
          <w:tab w:leader="none" w:pos="19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its filing date (or as of the date of any amendment filed prior to the date hereof), each Company SEC Document complied, and each Company SEC Document filed subsequent to the date hereof will comply, as to form in all material respects with the applicable requirements of the 1933 Act and the 1934 Act and the Sarbanes-Oxley Act, as the case may be.</w:t>
      </w:r>
    </w:p>
    <w:p>
      <w:pPr>
        <w:spacing w:after="0" w:line="235" w:lineRule="exact"/>
        <w:rPr>
          <w:rFonts w:ascii="Arial" w:cs="Arial" w:eastAsia="Arial" w:hAnsi="Arial"/>
          <w:sz w:val="18"/>
          <w:szCs w:val="18"/>
          <w:color w:val="auto"/>
        </w:rPr>
      </w:pPr>
    </w:p>
    <w:p>
      <w:pPr>
        <w:ind w:right="140" w:firstLine="1305"/>
        <w:spacing w:after="0" w:line="259" w:lineRule="auto"/>
        <w:tabs>
          <w:tab w:leader="none" w:pos="19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its filing date (or, if amended or superseded by a subsequent filing prior to the date hereof, on the date of such filing), each Company SEC Document filed or furnished pursuant to the 1934 Act did not, and each Company SEC Document filed or furnished subsequent to the date hereof will not, contain any untrue statement of a material fact or omit to state any material fact required to be stated therein or necessary to make the statements</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therein, in light of the circumstances under which they were made, not misleading in any material respect.</w:t>
      </w:r>
    </w:p>
    <w:p>
      <w:pPr>
        <w:spacing w:after="0" w:line="279" w:lineRule="exact"/>
        <w:rPr>
          <w:sz w:val="20"/>
          <w:szCs w:val="20"/>
          <w:color w:val="auto"/>
        </w:rPr>
      </w:pPr>
    </w:p>
    <w:p>
      <w:pPr>
        <w:jc w:val="both"/>
        <w:ind w:right="260" w:firstLine="1305"/>
        <w:spacing w:after="0" w:line="286" w:lineRule="auto"/>
        <w:tabs>
          <w:tab w:leader="none" w:pos="1938"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219" w:lineRule="exact"/>
        <w:rPr>
          <w:rFonts w:ascii="Arial" w:cs="Arial" w:eastAsia="Arial" w:hAnsi="Arial"/>
          <w:sz w:val="17"/>
          <w:szCs w:val="17"/>
          <w:color w:val="auto"/>
        </w:rPr>
      </w:pPr>
    </w:p>
    <w:p>
      <w:pPr>
        <w:ind w:right="60" w:firstLine="1305"/>
        <w:spacing w:after="0" w:line="272" w:lineRule="auto"/>
        <w:tabs>
          <w:tab w:leader="none" w:pos="19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has established and maintains disclosure controls and procedures (as defined in Rule 13a-15 under the 1934 Act). Such disclosure controls and procedures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the Company’s principal executive officer and principal financial officer to material information required to be included in the Company’s periodic and current reports required under the 1934 Act. For purposes of this Agreement, “</w:t>
      </w:r>
      <w:r>
        <w:rPr>
          <w:rFonts w:ascii="Arial" w:cs="Arial" w:eastAsia="Arial" w:hAnsi="Arial"/>
          <w:sz w:val="17"/>
          <w:szCs w:val="17"/>
          <w:b w:val="1"/>
          <w:bCs w:val="1"/>
          <w:color w:val="auto"/>
        </w:rPr>
        <w:t>principal executive officer</w:t>
      </w:r>
      <w:r>
        <w:rPr>
          <w:rFonts w:ascii="Arial" w:cs="Arial" w:eastAsia="Arial" w:hAnsi="Arial"/>
          <w:sz w:val="17"/>
          <w:szCs w:val="17"/>
          <w:color w:val="auto"/>
        </w:rPr>
        <w:t>” and “</w:t>
      </w:r>
      <w:r>
        <w:rPr>
          <w:rFonts w:ascii="Arial" w:cs="Arial" w:eastAsia="Arial" w:hAnsi="Arial"/>
          <w:sz w:val="17"/>
          <w:szCs w:val="17"/>
          <w:b w:val="1"/>
          <w:bCs w:val="1"/>
          <w:color w:val="auto"/>
        </w:rPr>
        <w:t>principal financial officer</w:t>
      </w:r>
      <w:r>
        <w:rPr>
          <w:rFonts w:ascii="Arial" w:cs="Arial" w:eastAsia="Arial" w:hAnsi="Arial"/>
          <w:sz w:val="17"/>
          <w:szCs w:val="17"/>
          <w:color w:val="auto"/>
        </w:rPr>
        <w:t>” shall have the meanings given to such terms in the Sarbanes-Oxley Act.</w:t>
      </w:r>
    </w:p>
    <w:p>
      <w:pPr>
        <w:spacing w:after="0" w:line="231" w:lineRule="exact"/>
        <w:rPr>
          <w:rFonts w:ascii="Arial" w:cs="Arial" w:eastAsia="Arial" w:hAnsi="Arial"/>
          <w:sz w:val="17"/>
          <w:szCs w:val="17"/>
          <w:color w:val="auto"/>
        </w:rPr>
      </w:pPr>
    </w:p>
    <w:p>
      <w:pPr>
        <w:ind w:right="160" w:firstLine="1305"/>
        <w:spacing w:after="0" w:line="271" w:lineRule="auto"/>
        <w:tabs>
          <w:tab w:leader="none" w:pos="190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and its Subsidiaries have established and maintained a system of internal controls over financial reporting (as defined in Rule 13a-15 under the 1934 Act) (“</w:t>
      </w:r>
      <w:r>
        <w:rPr>
          <w:rFonts w:ascii="Arial" w:cs="Arial" w:eastAsia="Arial" w:hAnsi="Arial"/>
          <w:sz w:val="17"/>
          <w:szCs w:val="17"/>
          <w:b w:val="1"/>
          <w:bCs w:val="1"/>
          <w:color w:val="auto"/>
        </w:rPr>
        <w:t>internal controls</w:t>
      </w:r>
      <w:r>
        <w:rPr>
          <w:rFonts w:ascii="Arial" w:cs="Arial" w:eastAsia="Arial" w:hAnsi="Arial"/>
          <w:sz w:val="17"/>
          <w:szCs w:val="17"/>
          <w:color w:val="auto"/>
        </w:rPr>
        <w:t>”). Such internal controls are sufficient to provide reasonable assurance regarding the reliability of the Company’s financial reporting and the preparation of Company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are reasonably likely to adversely affect the Company’s ability to record, process, summarize and report financial information and (ii) any fraud, whether or not material, that involves management or other employees who have a significant role in internal controls. The Company has made available to Parent prior to the date hereof a summary of any such disclosure made by management to the Company’s auditors and audit committee since January 1, 2011.</w:t>
      </w:r>
    </w:p>
    <w:p>
      <w:pPr>
        <w:spacing w:after="0" w:line="232" w:lineRule="exact"/>
        <w:rPr>
          <w:rFonts w:ascii="Arial" w:cs="Arial" w:eastAsia="Arial" w:hAnsi="Arial"/>
          <w:sz w:val="17"/>
          <w:szCs w:val="17"/>
          <w:color w:val="auto"/>
        </w:rPr>
      </w:pPr>
    </w:p>
    <w:p>
      <w:pPr>
        <w:ind w:firstLine="1305"/>
        <w:spacing w:after="0" w:line="264" w:lineRule="auto"/>
        <w:tabs>
          <w:tab w:leader="none" w:pos="19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extended or maintained credit, arranged for the extension of credit, or renewed an extension of credit, in the form of a personal loan to or for any executive officer (as defined in Rule 3b-7 under the 1934 Act) or director of the Company in violation of Section 402 of the Sarbanes-Oxley Act.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ind w:right="360" w:firstLine="1305"/>
        <w:spacing w:after="0" w:line="277" w:lineRule="auto"/>
        <w:tabs>
          <w:tab w:leader="none" w:pos="19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in compliance, and has complied, in each case in all material respects with (i) the applicable provisions of the Sarbanes-Oxley Act and (ii) the applicable listing and corporate governance rules and regulations of the NYSE.</w:t>
      </w:r>
    </w:p>
    <w:p>
      <w:pPr>
        <w:spacing w:after="0" w:line="224" w:lineRule="exact"/>
        <w:rPr>
          <w:rFonts w:ascii="Arial" w:cs="Arial" w:eastAsia="Arial" w:hAnsi="Arial"/>
          <w:sz w:val="18"/>
          <w:szCs w:val="18"/>
          <w:color w:val="auto"/>
        </w:rPr>
      </w:pPr>
    </w:p>
    <w:p>
      <w:pPr>
        <w:ind w:right="140" w:firstLine="1305"/>
        <w:spacing w:after="0" w:line="259" w:lineRule="auto"/>
        <w:tabs>
          <w:tab w:leader="none" w:pos="18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principal executive officer and principal financial officer of the Company (or each former principal executive officer and principal financial officer of the Company, as applicable) have made all certifications required by Rule 13a-14 and 15d-14 under the 1934 Act and Sections 302 and 906 of the Sarbanes-Oxley Act and any related rules and regulations promulgated by the SEC and the NYSE, and the statements contained in any such certifications are complete and correct.</w:t>
      </w:r>
    </w:p>
    <w:p>
      <w:pPr>
        <w:spacing w:after="0" w:line="240" w:lineRule="exact"/>
        <w:rPr>
          <w:rFonts w:ascii="Arial" w:cs="Arial" w:eastAsia="Arial" w:hAnsi="Arial"/>
          <w:sz w:val="18"/>
          <w:szCs w:val="18"/>
          <w:color w:val="auto"/>
        </w:rPr>
      </w:pPr>
    </w:p>
    <w:p>
      <w:pPr>
        <w:jc w:val="both"/>
        <w:ind w:right="20" w:firstLine="1305"/>
        <w:spacing w:after="0" w:line="264" w:lineRule="auto"/>
        <w:tabs>
          <w:tab w:leader="none" w:pos="18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delivered or made available to Parent, prior to the date hereof, copies of the documentation creating or governing all securitization transactions and other off-balance sheet arrangements (as defined in Item 303 of Regulation S-K of the SEC) that existed or were effected by the Company or its Subsidiaries since January 1, 2011.</w:t>
      </w:r>
    </w:p>
    <w:p>
      <w:pPr>
        <w:spacing w:after="0" w:line="235" w:lineRule="exact"/>
        <w:rPr>
          <w:rFonts w:ascii="Arial" w:cs="Arial" w:eastAsia="Arial" w:hAnsi="Arial"/>
          <w:sz w:val="18"/>
          <w:szCs w:val="18"/>
          <w:color w:val="auto"/>
        </w:rPr>
      </w:pPr>
    </w:p>
    <w:p>
      <w:pPr>
        <w:ind w:right="20" w:firstLine="1305"/>
        <w:spacing w:after="0" w:line="257" w:lineRule="auto"/>
        <w:tabs>
          <w:tab w:leader="none" w:pos="19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Since the Company Balance Sheet Date, there has been no transaction, or series of similar transactions, agreements, arrangements or understandings, nor is there any proposed transaction as of the date of this Agreement, or series of similar transactions, agreements, arrangements or understandings to which the Company or any of its Subsidiaries was or is to be a party, that would be required to be disclosed under Item 404 of Regulation S-K promulgated under the 1933 Act that has not been disclosed in the Company’s definitive proxy statement on Schedule 14A filed with the SEC on April 4, 2013.</w:t>
      </w:r>
    </w:p>
    <w:p>
      <w:pPr>
        <w:spacing w:after="0" w:line="242" w:lineRule="exact"/>
        <w:rPr>
          <w:rFonts w:ascii="Arial" w:cs="Arial" w:eastAsia="Arial" w:hAnsi="Arial"/>
          <w:sz w:val="18"/>
          <w:szCs w:val="18"/>
          <w:color w:val="auto"/>
        </w:rPr>
      </w:pPr>
    </w:p>
    <w:p>
      <w:pPr>
        <w:ind w:right="20" w:firstLine="1305"/>
        <w:spacing w:after="0" w:line="277" w:lineRule="auto"/>
        <w:tabs>
          <w:tab w:leader="none" w:pos="18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2013, when filed with the SEC, will contain no material differences from the Company 10-K.</w:t>
      </w:r>
    </w:p>
    <w:p>
      <w:pPr>
        <w:spacing w:after="0" w:line="2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i w:val="1"/>
          <w:iCs w:val="1"/>
          <w:color w:val="auto"/>
        </w:rPr>
        <w:t>Financial Statements</w:t>
      </w:r>
      <w:r>
        <w:rPr>
          <w:rFonts w:ascii="Arial" w:cs="Arial" w:eastAsia="Arial" w:hAnsi="Arial"/>
          <w:sz w:val="17"/>
          <w:szCs w:val="17"/>
          <w:color w:val="auto"/>
        </w:rPr>
        <w:t>. The audited consolidated financial statements and unaudited consolidated interim financial statements of the Company included or incorporated by reference in the Company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the Company and its consolidated Subsidiaries as of the dates thereof and their consolidated results of operations and cash flows for the periods then ended (subject to normal year-end audit adjustments in the case of any unaudited interim financial statements).</w:t>
      </w:r>
    </w:p>
    <w:p>
      <w:pPr>
        <w:spacing w:after="0" w:line="23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Disclosure Documents</w:t>
      </w:r>
      <w:r>
        <w:rPr>
          <w:rFonts w:ascii="Arial" w:cs="Arial" w:eastAsia="Arial" w:hAnsi="Arial"/>
          <w:sz w:val="18"/>
          <w:szCs w:val="18"/>
          <w:color w:val="auto"/>
        </w:rPr>
        <w:t>. The information supplied by the Company in writing for inclusion or incorporation by reference in the registration statement on Form S-4 or any amendment or supplement thereto pursuant to</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8" w:name="page39"/>
    <w:bookmarkEnd w:id="38"/>
    <w:p>
      <w:pPr>
        <w:spacing w:after="0" w:line="284" w:lineRule="auto"/>
        <w:rPr>
          <w:sz w:val="20"/>
          <w:szCs w:val="20"/>
          <w:color w:val="auto"/>
        </w:rPr>
      </w:pPr>
      <w:r>
        <w:rPr>
          <w:rFonts w:ascii="Arial" w:cs="Arial" w:eastAsia="Arial" w:hAnsi="Arial"/>
          <w:sz w:val="16"/>
          <w:szCs w:val="16"/>
          <w:color w:val="auto"/>
        </w:rPr>
        <w:t>which shares of Parent Class A Common Stock issuable as part of the Merger Consideration will be registered with the SEC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in writing for inclusion in the joint proxy statement/prospectus, or any amendment or supplement thereto, to be sent to the Company stockholders and Parent shareholders in connection with the Merger and the other transactions contemplated by this Agreement (the “</w:t>
      </w:r>
      <w:r>
        <w:rPr>
          <w:rFonts w:ascii="Arial" w:cs="Arial" w:eastAsia="Arial" w:hAnsi="Arial"/>
          <w:sz w:val="16"/>
          <w:szCs w:val="16"/>
          <w:b w:val="1"/>
          <w:bCs w:val="1"/>
          <w:color w:val="auto"/>
        </w:rPr>
        <w:t>Joint</w:t>
      </w:r>
      <w:r>
        <w:rPr>
          <w:rFonts w:ascii="Arial" w:cs="Arial" w:eastAsia="Arial" w:hAnsi="Arial"/>
          <w:sz w:val="16"/>
          <w:szCs w:val="16"/>
          <w:color w:val="auto"/>
        </w:rPr>
        <w:t xml:space="preserv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shall not, on the date the Joint Proxy Statement/Prospectus, and any amendments or supplements thereto, is first mailed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4.09 will not apply to statements or omissions included or incorporated by reference in the Registration Statement or Joint Proxy Statement/Prospectus based upon information furnished by Parent or Merger Subsidiary or any of their respective representatives or advisors in writing specifically for use or incorporation by reference therein.</w:t>
      </w:r>
    </w:p>
    <w:p>
      <w:pPr>
        <w:spacing w:after="0" w:line="24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(a) From the Company Balance Sheet Date through the date of this Agreement, (i) the business of the Company and its Subsidiaries has been conducted in the ordinary course of business consistent with past practice in all material respects and (ii) there has not been any event, occurrence, development or state of circumstances or facts that has had or would reasonably be expected to have, individually or in the aggregate, a Company Material Adverse Effect.</w:t>
      </w:r>
    </w:p>
    <w:p>
      <w:pPr>
        <w:spacing w:after="0" w:line="241" w:lineRule="exact"/>
        <w:rPr>
          <w:sz w:val="20"/>
          <w:szCs w:val="20"/>
          <w:color w:val="auto"/>
        </w:rPr>
      </w:pPr>
    </w:p>
    <w:p>
      <w:pPr>
        <w:ind w:firstLine="1305"/>
        <w:spacing w:after="0" w:line="286" w:lineRule="auto"/>
        <w:tabs>
          <w:tab w:leader="none" w:pos="19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From the Company Balance Sheet Date until the date hereof, there has not been any action taken by the Company or any of its Subsidiaries that, if taken during the period from the date of this Agreement through the Effective Time without Parent’s consent, would constitute a breach of clause (b), (e), (f), (g), (h), (i), (l), (m), (o), (p) or (q) (as it relates to clauses (b), (e), (f), (g), (h), (i), (l), (m), (o) or (p)) of Section 6.01.</w:t>
      </w:r>
    </w:p>
    <w:p>
      <w:pPr>
        <w:spacing w:after="0" w:line="22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No Undisclosed Material Liabilities</w:t>
      </w:r>
      <w:r>
        <w:rPr>
          <w:rFonts w:ascii="Arial" w:cs="Arial" w:eastAsia="Arial" w:hAnsi="Arial"/>
          <w:sz w:val="18"/>
          <w:szCs w:val="18"/>
          <w:color w:val="auto"/>
        </w:rPr>
        <w:t>. There are no liabilities or obligations of the Company or any of its Subsidiaries of any kind whatsoever, whether accrued, contingent, absolute, determined, determinable or otherwise, other than: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39" w:name="page40"/>
    <w:bookmarkEnd w:id="39"/>
    <w:p>
      <w:pPr>
        <w:ind w:left="1940" w:hanging="635"/>
        <w:spacing w:after="0"/>
        <w:tabs>
          <w:tab w:leader="none" w:pos="1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liabilities or obligations disclosed, reflected, reserved against or otherwise provided for in the Company Balance Sheet or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thereto;</w:t>
      </w:r>
    </w:p>
    <w:p>
      <w:pPr>
        <w:spacing w:after="0" w:line="265" w:lineRule="exact"/>
        <w:rPr>
          <w:sz w:val="20"/>
          <w:szCs w:val="20"/>
          <w:color w:val="auto"/>
        </w:rPr>
      </w:pPr>
    </w:p>
    <w:p>
      <w:pPr>
        <w:ind w:left="1940" w:hanging="635"/>
        <w:spacing w:after="0"/>
        <w:tabs>
          <w:tab w:leader="none" w:pos="1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liabilities or obligations incurred in the ordinary course of business consistent with past practices since the Company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65" w:lineRule="exact"/>
        <w:rPr>
          <w:sz w:val="20"/>
          <w:szCs w:val="20"/>
          <w:color w:val="auto"/>
        </w:rPr>
      </w:pPr>
    </w:p>
    <w:p>
      <w:pPr>
        <w:ind w:left="1940" w:hanging="635"/>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or obligations arising out of this Agreement or the transactions contemplated hereby; and</w:t>
      </w:r>
    </w:p>
    <w:p>
      <w:pPr>
        <w:spacing w:after="0" w:line="279" w:lineRule="exact"/>
        <w:rPr>
          <w:rFonts w:ascii="Arial" w:cs="Arial" w:eastAsia="Arial" w:hAnsi="Arial"/>
          <w:sz w:val="18"/>
          <w:szCs w:val="18"/>
          <w:color w:val="auto"/>
        </w:rPr>
      </w:pPr>
    </w:p>
    <w:p>
      <w:pPr>
        <w:ind w:left="1940" w:hanging="635"/>
        <w:spacing w:after="0"/>
        <w:tabs>
          <w:tab w:leader="none" w:pos="1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liabilities or obligations that would not reasonably be expected to have, individually or in the aggregate, a Company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26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i w:val="1"/>
          <w:iCs w:val="1"/>
          <w:color w:val="auto"/>
        </w:rPr>
        <w:t>Compliance with Laws and Court Orders; Governmental Authorizations</w:t>
      </w:r>
      <w:r>
        <w:rPr>
          <w:rFonts w:ascii="Arial" w:cs="Arial" w:eastAsia="Arial" w:hAnsi="Arial"/>
          <w:sz w:val="17"/>
          <w:szCs w:val="17"/>
          <w:color w:val="auto"/>
        </w:rPr>
        <w:t>. (a) The Company and each of its Subsidiaries is and since January 1, 2012 has been in compliance with, and to the knowledge of the Company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Company Material Adverse Effect or to materially interfere with or delay the consummation of the Merger. There is no judgment, decree, injunction, rule or order of any arbitrator or Governmental Authority outstanding against the Company or any of its Subsidiaries that has had or would reasonably be expected to have, individually or in the aggregate, a Company Material Adverse Effect or that, as of the date hereof, seeks to materially interfere with or delay the consummation of the Merger.</w:t>
      </w:r>
    </w:p>
    <w:p>
      <w:pPr>
        <w:spacing w:after="0" w:line="232" w:lineRule="exact"/>
        <w:rPr>
          <w:sz w:val="20"/>
          <w:szCs w:val="20"/>
          <w:color w:val="auto"/>
        </w:rPr>
      </w:pPr>
    </w:p>
    <w:p>
      <w:pPr>
        <w:ind w:right="20" w:firstLine="1305"/>
        <w:spacing w:after="0" w:line="255" w:lineRule="auto"/>
        <w:tabs>
          <w:tab w:leader="none" w:pos="17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 Company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Company Material Adverse Effect, the Company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24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the Company, threatened against the Company, any of its Subsidiaries, any present or former officer, director or employee of the Company or any of its Subsidiaries or any other Person for whom the Company or any of its Subsidiaries may be liable or any of their respective properties may be affected before (or, in the case of threatened</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0" w:name="page41"/>
    <w:bookmarkEnd w:id="40"/>
    <w:p>
      <w:pPr>
        <w:ind w:right="220"/>
        <w:spacing w:after="0" w:line="264" w:lineRule="auto"/>
        <w:rPr>
          <w:sz w:val="20"/>
          <w:szCs w:val="20"/>
          <w:color w:val="auto"/>
        </w:rPr>
      </w:pPr>
      <w:r>
        <w:rPr>
          <w:rFonts w:ascii="Arial" w:cs="Arial" w:eastAsia="Arial" w:hAnsi="Arial"/>
          <w:sz w:val="18"/>
          <w:szCs w:val="18"/>
          <w:color w:val="auto"/>
        </w:rPr>
        <w:t>actions, suits, investigations or proceedings, that would be before) or by any Governmental Authority or arbitrator, that (i) would reasonably be expected to have, individually or in the aggregate, a Company Material Adverse Effect or (ii) as of the date hereof, seeks to materially interfere with or delay the consummation of the Merger.</w:t>
      </w:r>
    </w:p>
    <w:p>
      <w:pPr>
        <w:spacing w:after="0" w:line="23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Properties</w:t>
      </w:r>
      <w:r>
        <w:rPr>
          <w:rFonts w:ascii="Arial" w:cs="Arial" w:eastAsia="Arial" w:hAnsi="Arial"/>
          <w:sz w:val="18"/>
          <w:szCs w:val="18"/>
          <w:color w:val="auto"/>
        </w:rPr>
        <w:t>. (a)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Company Balance Sheet Date, subject to Permitted Liens, except as have been disposed of since the Company Balance Sheet Date in the ordinary course of business consistent with past practice.</w:t>
      </w:r>
    </w:p>
    <w:p>
      <w:pPr>
        <w:spacing w:after="0" w:line="241" w:lineRule="exact"/>
        <w:rPr>
          <w:sz w:val="20"/>
          <w:szCs w:val="20"/>
          <w:color w:val="auto"/>
        </w:rPr>
      </w:pPr>
    </w:p>
    <w:p>
      <w:pPr>
        <w:ind w:right="40" w:firstLine="1305"/>
        <w:spacing w:after="0" w:line="297" w:lineRule="auto"/>
        <w:tabs>
          <w:tab w:leader="none" w:pos="1938"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each lease, sublease or license (each, a “</w:t>
      </w:r>
      <w:r>
        <w:rPr>
          <w:rFonts w:ascii="Arial" w:cs="Arial" w:eastAsia="Arial" w:hAnsi="Arial"/>
          <w:sz w:val="16"/>
          <w:szCs w:val="16"/>
          <w:b w:val="1"/>
          <w:bCs w:val="1"/>
          <w:color w:val="auto"/>
        </w:rPr>
        <w:t>Lease</w:t>
      </w:r>
      <w:r>
        <w:rPr>
          <w:rFonts w:ascii="Arial" w:cs="Arial" w:eastAsia="Arial" w:hAnsi="Arial"/>
          <w:sz w:val="16"/>
          <w:szCs w:val="16"/>
          <w:color w:val="auto"/>
        </w:rPr>
        <w:t>”) under which the Company or any of its Subsidiaries leases, subleases or licenses any real property is valid and in full force and effect and (ii) neither the Company nor any of its Subsidiaries, nor to the Company’s knowledge any other party to a Lease, has violated any provision of, or 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21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i w:val="1"/>
          <w:iCs w:val="1"/>
          <w:color w:val="auto"/>
        </w:rPr>
        <w:t>Intellectual Property</w:t>
      </w:r>
      <w:r>
        <w:rPr>
          <w:rFonts w:ascii="Arial" w:cs="Arial" w:eastAsia="Arial" w:hAnsi="Arial"/>
          <w:sz w:val="16"/>
          <w:szCs w:val="16"/>
          <w:color w:val="auto"/>
        </w:rPr>
        <w:t>. (a) Except as would not reasonably be expected to have, individually or in the aggregate, a Company Material Adverse Effect, (i) the Company or one of its Subsidiaries is the owner of the Owned Intellectual Property Rights and holds all right, title and interest in and to all Owned Intellectual Property Rights and the Company’s or its applicable Subsidiary’s rights under all Licensed Intellectual Property Rights, in each case free and clear of any Lien (other than any Permitted Lien) and (ii) the Company and its Subsidiaries own or have a valid and enforceable license to use all Intellectual Property Rights necessary to, or used or held for use in, the conduct of the business of the Company and its Subsidiaries as currently conducted.</w:t>
      </w:r>
    </w:p>
    <w:p>
      <w:pPr>
        <w:spacing w:after="0" w:line="212" w:lineRule="exact"/>
        <w:rPr>
          <w:sz w:val="20"/>
          <w:szCs w:val="20"/>
          <w:color w:val="auto"/>
        </w:rPr>
      </w:pPr>
    </w:p>
    <w:p>
      <w:pPr>
        <w:ind w:right="240" w:firstLine="1305"/>
        <w:spacing w:after="0" w:line="273" w:lineRule="auto"/>
        <w:tabs>
          <w:tab w:leader="none" w:pos="1938"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(i) neither the Company nor any of its Subsidiaries has infringed, induced or contributed to the infringement of, misappropriated or otherwise violated any Intellectual Property Right of any Person and (ii) there is no claim, action, suit, investigation or proceeding pending against, or, to the knowledge of the Company, threatened against, the Company or any of its Subsidiaries or any of their respective present or former officers, directors or employees (A) based upon, or challenging or seeking to deny or restrict, the rights of the Company or any of its Subsidiaries in any of the Owned Intellectual Property Rights or Licensed Intellectual Property Rights, (B) alleging that any Owned Intellectual Property Right or Licensed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1" w:name="page42"/>
    <w:bookmarkEnd w:id="41"/>
    <w:p>
      <w:pPr>
        <w:jc w:val="both"/>
        <w:ind w:right="180"/>
        <w:spacing w:after="0" w:line="286" w:lineRule="auto"/>
        <w:rPr>
          <w:sz w:val="20"/>
          <w:szCs w:val="20"/>
          <w:color w:val="auto"/>
        </w:rPr>
      </w:pPr>
      <w:r>
        <w:rPr>
          <w:rFonts w:ascii="Arial" w:cs="Arial" w:eastAsia="Arial" w:hAnsi="Arial"/>
          <w:sz w:val="17"/>
          <w:szCs w:val="17"/>
          <w:color w:val="auto"/>
        </w:rPr>
        <w:t>Intellectual Property Right is invalid or unenforceable, or (C) alleging that the use of any of the Owned Intellectual Property Rights or Licensed Intellectual Property Rights or any services provided, processes used or products manufactured, used, imported or sold by the Company or any of its Subsidiaries do or may conflict with, misappropriate, infringe or otherwise violate any Intellectual Property Right of any Person.</w:t>
      </w:r>
    </w:p>
    <w:p>
      <w:pPr>
        <w:spacing w:after="0" w:line="220" w:lineRule="exact"/>
        <w:rPr>
          <w:sz w:val="20"/>
          <w:szCs w:val="20"/>
          <w:color w:val="auto"/>
        </w:rPr>
      </w:pPr>
    </w:p>
    <w:p>
      <w:pPr>
        <w:ind w:right="60" w:firstLine="1305"/>
        <w:spacing w:after="0" w:line="255" w:lineRule="auto"/>
        <w:tabs>
          <w:tab w:leader="none" w:pos="19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(i) the Company and its Subsidiaries have taken all actions reasonably necessary to maintain and protect the Owned Intellectual Property Rights and the Company’s and its applicable Subsidiary’s interest in any Licensed Intellectual Property Rights, including all Intellectual Property Rights of the Company the value of which to the Company is contingent upon maintaining the confidentiality thereof, (ii) none of the material Owned Intellectual Property Rights have been adjudged invalid or unenforceable in whole or part, and to the knowledge of the Company, all issued or registered Owned Intellectual Property Rights are valid and enforceable in all material respects, and (iii) to the knowledge of the Company, no Person has infringed, misappropriated or otherwise violated any Owned Intellectual Property Right.</w:t>
      </w:r>
    </w:p>
    <w:p>
      <w:pPr>
        <w:spacing w:after="0" w:line="243" w:lineRule="exact"/>
        <w:rPr>
          <w:rFonts w:ascii="Arial" w:cs="Arial" w:eastAsia="Arial" w:hAnsi="Arial"/>
          <w:sz w:val="18"/>
          <w:szCs w:val="18"/>
          <w:color w:val="auto"/>
        </w:rPr>
      </w:pPr>
    </w:p>
    <w:p>
      <w:pPr>
        <w:ind w:right="20" w:firstLine="1305"/>
        <w:spacing w:after="0" w:line="273" w:lineRule="auto"/>
        <w:tabs>
          <w:tab w:leader="none" w:pos="1938"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(i) the IT Assets operate and perform in a manner that permits the Company and each of its Subsidiaries to conduct its business as currently conducted, and (ii) the Company and its Subsidiaries have taken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and to the knowledge of the Company, no Person has gained unauthorized access to the IT Assets (or the information and transactions stored or contained therein or transmitted thereby).</w:t>
      </w:r>
    </w:p>
    <w:p>
      <w:pPr>
        <w:spacing w:after="0" w:line="232" w:lineRule="exact"/>
        <w:rPr>
          <w:rFonts w:ascii="Arial" w:cs="Arial" w:eastAsia="Arial" w:hAnsi="Arial"/>
          <w:sz w:val="17"/>
          <w:szCs w:val="17"/>
          <w:color w:val="auto"/>
        </w:rPr>
      </w:pPr>
    </w:p>
    <w:p>
      <w:pPr>
        <w:ind w:firstLine="1305"/>
        <w:spacing w:after="0" w:line="276" w:lineRule="auto"/>
        <w:tabs>
          <w:tab w:leader="none" w:pos="1928"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(i) the Company and its Subsidiaries have at all times complied with all Applicable Laws relating to privacy, data protection and the collection and use of personal information and user information gathered or accessed in the course of its operations, and (ii) no claims have been asserted or threatened against the Company or any of its Subsidiaries (and to the knowledge of the Company, no such claims are likely to be asserted or threatened) by any Person alleging a violation of such Person’s privacy, personal or confidentiality rights under any such Applicable Laws.</w:t>
      </w:r>
    </w:p>
    <w:p>
      <w:pPr>
        <w:spacing w:after="0" w:line="22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i w:val="1"/>
          <w:iCs w:val="1"/>
          <w:color w:val="auto"/>
        </w:rPr>
        <w:t>Taxes</w:t>
      </w:r>
      <w:r>
        <w:rPr>
          <w:rFonts w:ascii="Arial" w:cs="Arial" w:eastAsia="Arial" w:hAnsi="Arial"/>
          <w:sz w:val="16"/>
          <w:szCs w:val="16"/>
          <w:color w:val="auto"/>
        </w:rPr>
        <w:t>. Except as would not reasonably be expected to have, individually or in the aggregate, a Company Material Adverse Effect: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2" w:name="page43"/>
    <w:bookmarkEnd w:id="42"/>
    <w:p>
      <w:pPr>
        <w:ind w:left="-20" w:right="200" w:firstLine="656"/>
        <w:spacing w:after="0" w:line="277" w:lineRule="auto"/>
        <w:tabs>
          <w:tab w:leader="none" w:pos="8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Each income or franchise Tax Return and each other material Tax Return required to be filed with any Taxing Authority by the Company or any of its Subsidiaries has been filed when due and is true and complete in all material respects;</w:t>
      </w:r>
    </w:p>
    <w:p>
      <w:pPr>
        <w:spacing w:after="0" w:line="224" w:lineRule="exact"/>
        <w:rPr>
          <w:rFonts w:ascii="Arial" w:cs="Arial" w:eastAsia="Arial" w:hAnsi="Arial"/>
          <w:sz w:val="18"/>
          <w:szCs w:val="18"/>
          <w:color w:val="auto"/>
        </w:rPr>
      </w:pPr>
    </w:p>
    <w:p>
      <w:pPr>
        <w:ind w:left="1280" w:right="220" w:firstLine="815"/>
        <w:spacing w:after="0" w:line="277" w:lineRule="auto"/>
        <w:tabs>
          <w:tab w:leader="none" w:pos="274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paid to the appropriate Taxing Authority all Taxes shown as due and payable on all Tax Returns that have been so filed;</w:t>
      </w:r>
    </w:p>
    <w:p>
      <w:pPr>
        <w:spacing w:after="0" w:line="224" w:lineRule="exact"/>
        <w:rPr>
          <w:rFonts w:ascii="Arial" w:cs="Arial" w:eastAsia="Arial" w:hAnsi="Arial"/>
          <w:sz w:val="18"/>
          <w:szCs w:val="18"/>
          <w:color w:val="auto"/>
        </w:rPr>
      </w:pPr>
    </w:p>
    <w:p>
      <w:pPr>
        <w:ind w:left="1280" w:right="40" w:firstLine="815"/>
        <w:spacing w:after="0" w:line="277" w:lineRule="auto"/>
        <w:tabs>
          <w:tab w:leader="none" w:pos="279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accruals and reserves with respect to Taxes as set forth on the Company Balance Sheet are adequate (as determined in accordance with GAAP);</w:t>
      </w:r>
    </w:p>
    <w:p>
      <w:pPr>
        <w:spacing w:after="0" w:line="224" w:lineRule="exact"/>
        <w:rPr>
          <w:rFonts w:ascii="Arial" w:cs="Arial" w:eastAsia="Arial" w:hAnsi="Arial"/>
          <w:sz w:val="18"/>
          <w:szCs w:val="18"/>
          <w:color w:val="auto"/>
        </w:rPr>
      </w:pPr>
    </w:p>
    <w:p>
      <w:pPr>
        <w:ind w:left="1280" w:right="100" w:firstLine="815"/>
        <w:spacing w:after="0" w:line="277" w:lineRule="auto"/>
        <w:tabs>
          <w:tab w:leader="none" w:pos="2782" w:val="left"/>
        </w:tabs>
        <w:numPr>
          <w:ilvl w:val="2"/>
          <w:numId w:val="33"/>
        </w:numPr>
        <w:rPr>
          <w:rFonts w:ascii="Arial" w:cs="Arial" w:eastAsia="Arial" w:hAnsi="Arial"/>
          <w:sz w:val="18"/>
          <w:szCs w:val="18"/>
          <w:color w:val="auto"/>
        </w:rPr>
      </w:pPr>
      <w:r>
        <w:rPr>
          <w:rFonts w:ascii="Arial" w:cs="Arial" w:eastAsia="Arial" w:hAnsi="Arial"/>
          <w:sz w:val="18"/>
          <w:szCs w:val="18"/>
          <w:color w:val="auto"/>
        </w:rPr>
        <w:t>adequate accruals and reserves (as determined in accordance with GAAP) have been established for Taxes attributable to taxable periods (or portions thereof) from the Company Balance Sheet Date;</w:t>
      </w:r>
    </w:p>
    <w:p>
      <w:pPr>
        <w:spacing w:after="0" w:line="224" w:lineRule="exact"/>
        <w:rPr>
          <w:rFonts w:ascii="Arial" w:cs="Arial" w:eastAsia="Arial" w:hAnsi="Arial"/>
          <w:sz w:val="18"/>
          <w:szCs w:val="18"/>
          <w:color w:val="auto"/>
        </w:rPr>
      </w:pPr>
    </w:p>
    <w:p>
      <w:pPr>
        <w:ind w:left="1280" w:right="160" w:firstLine="815"/>
        <w:spacing w:after="0" w:line="277" w:lineRule="auto"/>
        <w:tabs>
          <w:tab w:leader="none" w:pos="273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there is no action, suit, investigation, proceeding or audit pending or, to the Company’s knowledge, threatened against or with respect to the Company or any of its Subsidiaries in respect of any material Tax; and</w:t>
      </w:r>
    </w:p>
    <w:p>
      <w:pPr>
        <w:spacing w:after="0" w:line="224" w:lineRule="exact"/>
        <w:rPr>
          <w:rFonts w:ascii="Arial" w:cs="Arial" w:eastAsia="Arial" w:hAnsi="Arial"/>
          <w:sz w:val="18"/>
          <w:szCs w:val="18"/>
          <w:color w:val="auto"/>
        </w:rPr>
      </w:pPr>
    </w:p>
    <w:p>
      <w:pPr>
        <w:ind w:left="1280" w:firstLine="815"/>
        <w:spacing w:after="0" w:line="312" w:lineRule="auto"/>
        <w:tabs>
          <w:tab w:leader="none" w:pos="2782"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there are no Liens for material Taxes on any of the assets of the Company or any of its Subsidiaries other than Liens for Taxes not yet due or being contested in good faith (and, in either case, which have been disclosed on Section 4.16(a)(vi) of the Company Disclosure Schedule) or for which adequate accruals or reserves have been established on the Company Balance Sheet.</w:t>
      </w:r>
    </w:p>
    <w:p>
      <w:pPr>
        <w:spacing w:after="0" w:line="196" w:lineRule="exact"/>
        <w:rPr>
          <w:rFonts w:ascii="Arial" w:cs="Arial" w:eastAsia="Arial" w:hAnsi="Arial"/>
          <w:sz w:val="16"/>
          <w:szCs w:val="16"/>
          <w:color w:val="auto"/>
        </w:rPr>
      </w:pPr>
    </w:p>
    <w:p>
      <w:pPr>
        <w:ind w:left="-20" w:right="40" w:firstLine="1305"/>
        <w:spacing w:after="0" w:line="347" w:lineRule="auto"/>
        <w:tabs>
          <w:tab w:leader="none" w:pos="1918" w:val="left"/>
        </w:tabs>
        <w:numPr>
          <w:ilvl w:val="1"/>
          <w:numId w:val="33"/>
        </w:numPr>
        <w:rPr>
          <w:rFonts w:ascii="Arial" w:cs="Arial" w:eastAsia="Arial" w:hAnsi="Arial"/>
          <w:sz w:val="16"/>
          <w:szCs w:val="16"/>
          <w:color w:val="auto"/>
        </w:rPr>
      </w:pPr>
      <w:r>
        <w:rPr>
          <w:rFonts w:ascii="Arial" w:cs="Arial" w:eastAsia="Arial" w:hAnsi="Arial"/>
          <w:sz w:val="16"/>
          <w:szCs w:val="16"/>
          <w:color w:val="auto"/>
        </w:rPr>
        <w:t>Under the Tax Sharing Agreement with Time Warner Inc. (“</w:t>
      </w:r>
      <w:r>
        <w:rPr>
          <w:rFonts w:ascii="Arial" w:cs="Arial" w:eastAsia="Arial" w:hAnsi="Arial"/>
          <w:sz w:val="16"/>
          <w:szCs w:val="16"/>
          <w:b w:val="1"/>
          <w:bCs w:val="1"/>
          <w:color w:val="auto"/>
        </w:rPr>
        <w:t>TWX</w:t>
      </w:r>
      <w:r>
        <w:rPr>
          <w:rFonts w:ascii="Arial" w:cs="Arial" w:eastAsia="Arial" w:hAnsi="Arial"/>
          <w:sz w:val="16"/>
          <w:szCs w:val="16"/>
          <w:color w:val="auto"/>
        </w:rPr>
        <w:t>”), the Company is not responsible for income and franchise taxes for taxable periods prior to and including March 31, 2003. The Company was part of the TWX federal consolidated tax return through March 12, 2009.</w:t>
      </w:r>
    </w:p>
    <w:p>
      <w:pPr>
        <w:spacing w:after="0" w:line="174" w:lineRule="exact"/>
        <w:rPr>
          <w:rFonts w:ascii="Arial" w:cs="Arial" w:eastAsia="Arial" w:hAnsi="Arial"/>
          <w:sz w:val="16"/>
          <w:szCs w:val="16"/>
          <w:color w:val="auto"/>
        </w:rPr>
      </w:pPr>
    </w:p>
    <w:p>
      <w:pPr>
        <w:ind w:left="-20" w:right="100" w:firstLine="1305"/>
        <w:spacing w:after="0" w:line="277" w:lineRule="auto"/>
        <w:tabs>
          <w:tab w:leader="none" w:pos="19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During the two-year period ending on the date hereof, none of the Subsidiaries of the Company was a distributing corporation or a controlled corporation in a transaction intended to be governed by Section 355 of the Code.</w:t>
      </w:r>
    </w:p>
    <w:p>
      <w:pPr>
        <w:spacing w:after="0" w:line="224" w:lineRule="exact"/>
        <w:rPr>
          <w:rFonts w:ascii="Arial" w:cs="Arial" w:eastAsia="Arial" w:hAnsi="Arial"/>
          <w:sz w:val="18"/>
          <w:szCs w:val="18"/>
          <w:color w:val="auto"/>
        </w:rPr>
      </w:pPr>
    </w:p>
    <w:p>
      <w:pPr>
        <w:jc w:val="both"/>
        <w:ind w:left="-20" w:right="280" w:firstLine="1305"/>
        <w:spacing w:after="0" w:line="302" w:lineRule="auto"/>
        <w:tabs>
          <w:tab w:leader="none" w:pos="1918" w:val="left"/>
        </w:tabs>
        <w:numPr>
          <w:ilvl w:val="1"/>
          <w:numId w:val="33"/>
        </w:numPr>
        <w:rPr>
          <w:rFonts w:ascii="Arial" w:cs="Arial" w:eastAsia="Arial" w:hAnsi="Arial"/>
          <w:sz w:val="16"/>
          <w:szCs w:val="16"/>
          <w:color w:val="auto"/>
        </w:rPr>
      </w:pPr>
      <w:r>
        <w:rPr>
          <w:rFonts w:ascii="Arial" w:cs="Arial" w:eastAsia="Arial" w:hAnsi="Arial"/>
          <w:sz w:val="16"/>
          <w:szCs w:val="16"/>
          <w:color w:val="auto"/>
        </w:rPr>
        <w:t>(i) Other than the Tax Sharing Agreement with TWX, neither the Company nor any of its Subsidiaries is, or has been, a party to any Tax Sharing Agreement (other than an agreement exclusively between or among the Company and its Subsidiaries) pursuant to which it will have any obligation to make any payments for Taxes after the Effective Time and (ii) neither the Company nor any of its Subsidiaries has been a member of an affiliated group filing a consolidated federal income Tax Return (other than a group the common parent of which was the Company or TWX).</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43" w:name="page44"/>
    <w:bookmarkEnd w:id="43"/>
    <w:p>
      <w:pPr>
        <w:ind w:right="180" w:firstLine="1305"/>
        <w:spacing w:after="0" w:line="282" w:lineRule="auto"/>
        <w:tabs>
          <w:tab w:leader="none" w:pos="19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w:t>
      </w:r>
      <w:r>
        <w:rPr>
          <w:rFonts w:ascii="Arial" w:cs="Arial" w:eastAsia="Arial" w:hAnsi="Arial"/>
          <w:sz w:val="18"/>
          <w:szCs w:val="18"/>
          <w:b w:val="1"/>
          <w:bCs w:val="1"/>
          <w:color w:val="auto"/>
        </w:rPr>
        <w:t>reportable transaction</w:t>
      </w:r>
      <w:r>
        <w:rPr>
          <w:rFonts w:ascii="Arial" w:cs="Arial" w:eastAsia="Arial" w:hAnsi="Arial"/>
          <w:sz w:val="18"/>
          <w:szCs w:val="18"/>
          <w:color w:val="auto"/>
        </w:rPr>
        <w:t>” within the meaning of Treasury Regulations Section 1.6011-4(b)(1).</w:t>
      </w:r>
    </w:p>
    <w:p>
      <w:pPr>
        <w:spacing w:after="0" w:line="219" w:lineRule="exact"/>
        <w:rPr>
          <w:rFonts w:ascii="Arial" w:cs="Arial" w:eastAsia="Arial" w:hAnsi="Arial"/>
          <w:sz w:val="18"/>
          <w:szCs w:val="18"/>
          <w:color w:val="auto"/>
        </w:rPr>
      </w:pPr>
    </w:p>
    <w:p>
      <w:pPr>
        <w:ind w:right="20" w:firstLine="1305"/>
        <w:spacing w:after="0" w:line="277" w:lineRule="auto"/>
        <w:tabs>
          <w:tab w:leader="none" w:pos="19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jurisdiction in which the Company or any of its Subsidiaries does not file Tax Returns has asserted that the Company or any of its Subsidiaries is or may be liable for Tax in that jurisdiction.</w:t>
      </w:r>
    </w:p>
    <w:p>
      <w:pPr>
        <w:spacing w:after="0" w:line="224" w:lineRule="exact"/>
        <w:rPr>
          <w:rFonts w:ascii="Arial" w:cs="Arial" w:eastAsia="Arial" w:hAnsi="Arial"/>
          <w:sz w:val="18"/>
          <w:szCs w:val="18"/>
          <w:color w:val="auto"/>
        </w:rPr>
      </w:pPr>
    </w:p>
    <w:p>
      <w:pPr>
        <w:ind w:left="1940" w:hanging="635"/>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None of the Subsidiaries of the Company owns any Company Stock.</w:t>
      </w:r>
    </w:p>
    <w:p>
      <w:pPr>
        <w:spacing w:after="0" w:line="27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i w:val="1"/>
          <w:iCs w:val="1"/>
          <w:color w:val="auto"/>
        </w:rPr>
        <w:t>Employees and Employee Benefit Plans</w:t>
      </w:r>
      <w:r>
        <w:rPr>
          <w:rFonts w:ascii="Arial" w:cs="Arial" w:eastAsia="Arial" w:hAnsi="Arial"/>
          <w:sz w:val="16"/>
          <w:szCs w:val="16"/>
          <w:color w:val="auto"/>
        </w:rPr>
        <w:t>. (a) Section 4.17 of the Company Disclosure Schedule contains a correct and complete list identifying each material “</w:t>
      </w:r>
      <w:r>
        <w:rPr>
          <w:rFonts w:ascii="Arial" w:cs="Arial" w:eastAsia="Arial" w:hAnsi="Arial"/>
          <w:sz w:val="16"/>
          <w:szCs w:val="16"/>
          <w:b w:val="1"/>
          <w:bCs w:val="1"/>
          <w:color w:val="auto"/>
        </w:rPr>
        <w:t>employee benefit plan,</w:t>
      </w:r>
      <w:r>
        <w:rPr>
          <w:rFonts w:ascii="Arial" w:cs="Arial" w:eastAsia="Arial" w:hAnsi="Arial"/>
          <w:sz w:val="16"/>
          <w:szCs w:val="16"/>
          <w:color w:val="auto"/>
        </w:rPr>
        <w:t>” as defined in Section 3(3) of ERISA, each material employment contract, material severance contract or plan and each other material plan or agreement providing for compensation, bonuses, profit-sharing, equity compensation or other forms of incentive or deferred compensation, insurance (including any self-insured arrangements), health or medical benefits, post-employment or retirement benefits (including compensation, pension, health, medical or life insurance benefits) which is maintained, administered or contributed to by the Company or any ERISA Affiliate and covers any current or former employee, director or other independent contractor of the Company or any of its Subsidiaries, or with respect to which the Company or any of its Subsidiaries has any liability, other than a Multiemployer Plan or a Company International Plan. As soon as reasonably practicable after the date hereof, but in no event more than 60 days after the date hereof, copies of such plans and any material Company International Plan and Multiemployer Plan (and, if applicable, related trust or funding agreements or insurance policies) and all amendments thereto and written interpretations thereof will be furnished to Parent together with the most recent annual report (Form 5500 including, if applicable, Schedule B thereto) and tax return (Form</w:t>
      </w:r>
    </w:p>
    <w:p>
      <w:pPr>
        <w:spacing w:after="0" w:line="6" w:lineRule="exact"/>
        <w:rPr>
          <w:sz w:val="20"/>
          <w:szCs w:val="20"/>
          <w:color w:val="auto"/>
        </w:rPr>
      </w:pPr>
    </w:p>
    <w:p>
      <w:pPr>
        <w:jc w:val="both"/>
        <w:ind w:right="280" w:firstLine="8"/>
        <w:spacing w:after="0" w:line="255"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prepared in connection with any such plan or trust and the most recent Internal Revenue Service determination letter for any such plan, to the extent applicable. Such plans (disregarding all materiality qualifiers in this Section 4.17(a)), including Company International Plans but not any Multiemployer Plan, are referred to collectively herein as the “</w:t>
      </w:r>
      <w:r>
        <w:rPr>
          <w:rFonts w:ascii="Arial" w:cs="Arial" w:eastAsia="Arial" w:hAnsi="Arial"/>
          <w:sz w:val="18"/>
          <w:szCs w:val="18"/>
          <w:b w:val="1"/>
          <w:bCs w:val="1"/>
          <w:color w:val="auto"/>
        </w:rPr>
        <w:t>Company Plans.</w:t>
      </w:r>
      <w:r>
        <w:rPr>
          <w:rFonts w:ascii="Arial" w:cs="Arial" w:eastAsia="Arial" w:hAnsi="Arial"/>
          <w:sz w:val="18"/>
          <w:szCs w:val="18"/>
          <w:color w:val="auto"/>
        </w:rPr>
        <w:t>”</w:t>
      </w:r>
    </w:p>
    <w:p>
      <w:pPr>
        <w:spacing w:after="0" w:line="244" w:lineRule="exact"/>
        <w:rPr>
          <w:rFonts w:ascii="Arial" w:cs="Arial" w:eastAsia="Arial" w:hAnsi="Arial"/>
          <w:sz w:val="18"/>
          <w:szCs w:val="18"/>
          <w:color w:val="auto"/>
        </w:rPr>
      </w:pPr>
    </w:p>
    <w:p>
      <w:pPr>
        <w:ind w:right="160" w:firstLine="1305"/>
        <w:spacing w:after="0" w:line="255" w:lineRule="auto"/>
        <w:tabs>
          <w:tab w:leader="none" w:pos="1938"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Company Plan (for the avoidance of doubt, other than any Multiemployer Plan) that is subject to Title IV of ERISA (each, a “</w:t>
      </w:r>
      <w:r>
        <w:rPr>
          <w:rFonts w:ascii="Arial" w:cs="Arial" w:eastAsia="Arial" w:hAnsi="Arial"/>
          <w:sz w:val="18"/>
          <w:szCs w:val="18"/>
          <w:b w:val="1"/>
          <w:bCs w:val="1"/>
          <w:color w:val="auto"/>
        </w:rPr>
        <w:t>Title IV Plan</w:t>
      </w:r>
      <w:r>
        <w:rPr>
          <w:rFonts w:ascii="Arial" w:cs="Arial" w:eastAsia="Arial" w:hAnsi="Arial"/>
          <w:sz w:val="18"/>
          <w:szCs w:val="18"/>
          <w:color w:val="auto"/>
        </w:rPr>
        <w:t>”) has any unfunded liabilities as of the date of this Agreement. The aggregate underfunded or unfunded, as applicable, liability for all Company Plans that are “</w:t>
      </w:r>
      <w:r>
        <w:rPr>
          <w:rFonts w:ascii="Arial" w:cs="Arial" w:eastAsia="Arial" w:hAnsi="Arial"/>
          <w:sz w:val="18"/>
          <w:szCs w:val="18"/>
          <w:b w:val="1"/>
          <w:bCs w:val="1"/>
          <w:color w:val="auto"/>
        </w:rPr>
        <w:t>excess benefit plans</w:t>
      </w:r>
      <w:r>
        <w:rPr>
          <w:rFonts w:ascii="Arial" w:cs="Arial" w:eastAsia="Arial" w:hAnsi="Arial"/>
          <w:sz w:val="18"/>
          <w:szCs w:val="18"/>
          <w:color w:val="auto"/>
        </w:rPr>
        <w:t>” (as defined in Section 3(36) of ERISA) or that provide deferred compensation (including, for this purpose, any analogous Company International Plans), computed using the actuarial assumptions used for the purposes of determining any liability under such Company Plan for purposes of the Company SEC Documents, is not reasonably be expected to have, individually or in the aggregate, a Company Material Adverse Effect.</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0" w:right="339" w:bottom="1440" w:gutter="0" w:footer="0" w:header="0"/>
        </w:sectPr>
      </w:pPr>
    </w:p>
    <w:bookmarkStart w:id="44" w:name="page45"/>
    <w:bookmarkEnd w:id="44"/>
    <w:p>
      <w:pPr>
        <w:ind w:right="60" w:firstLine="1305"/>
        <w:spacing w:after="0" w:line="285" w:lineRule="auto"/>
        <w:tabs>
          <w:tab w:leader="none" w:pos="192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neither the Company nor any of its ERISA Affiliates has incurred any liability on account of a “</w:t>
      </w:r>
      <w:r>
        <w:rPr>
          <w:rFonts w:ascii="Arial" w:cs="Arial" w:eastAsia="Arial" w:hAnsi="Arial"/>
          <w:sz w:val="16"/>
          <w:szCs w:val="16"/>
          <w:b w:val="1"/>
          <w:bCs w:val="1"/>
          <w:color w:val="auto"/>
        </w:rPr>
        <w:t>complete withdrawal</w:t>
      </w:r>
      <w:r>
        <w:rPr>
          <w:rFonts w:ascii="Arial" w:cs="Arial" w:eastAsia="Arial" w:hAnsi="Arial"/>
          <w:sz w:val="16"/>
          <w:szCs w:val="16"/>
          <w:color w:val="auto"/>
        </w:rPr>
        <w:t>” or a “</w:t>
      </w:r>
      <w:r>
        <w:rPr>
          <w:rFonts w:ascii="Arial" w:cs="Arial" w:eastAsia="Arial" w:hAnsi="Arial"/>
          <w:sz w:val="16"/>
          <w:szCs w:val="16"/>
          <w:b w:val="1"/>
          <w:bCs w:val="1"/>
          <w:color w:val="auto"/>
        </w:rPr>
        <w:t>partial withdrawal</w:t>
      </w:r>
      <w:r>
        <w:rPr>
          <w:rFonts w:ascii="Arial" w:cs="Arial" w:eastAsia="Arial" w:hAnsi="Arial"/>
          <w:sz w:val="16"/>
          <w:szCs w:val="16"/>
          <w:color w:val="auto"/>
        </w:rPr>
        <w:t>” (within the meaning of Sections 4203 and 4205 of ERISA, respectively) from any “</w:t>
      </w:r>
      <w:r>
        <w:rPr>
          <w:rFonts w:ascii="Arial" w:cs="Arial" w:eastAsia="Arial" w:hAnsi="Arial"/>
          <w:sz w:val="16"/>
          <w:szCs w:val="16"/>
          <w:b w:val="1"/>
          <w:bCs w:val="1"/>
          <w:color w:val="auto"/>
        </w:rPr>
        <w:t>multiemployer plan</w:t>
      </w:r>
      <w:r>
        <w:rPr>
          <w:rFonts w:ascii="Arial" w:cs="Arial" w:eastAsia="Arial" w:hAnsi="Arial"/>
          <w:sz w:val="16"/>
          <w:szCs w:val="16"/>
          <w:color w:val="auto"/>
        </w:rPr>
        <w:t>” as defined in Section 3(37) of ERISA (a “</w:t>
      </w:r>
      <w:r>
        <w:rPr>
          <w:rFonts w:ascii="Arial" w:cs="Arial" w:eastAsia="Arial" w:hAnsi="Arial"/>
          <w:sz w:val="16"/>
          <w:szCs w:val="16"/>
          <w:b w:val="1"/>
          <w:bCs w:val="1"/>
          <w:color w:val="auto"/>
        </w:rPr>
        <w:t>Multiemployer</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and, to the Company’s knowledge, no circumstances exist that would reasonably be expected to give rise to any such withdrawal (including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transactions contemplated by this Agreement). Neither the Company nor any of its ERISA Affiliates has received notice of any Multiemployer Plan’s</w:t>
      </w:r>
    </w:p>
    <w:p>
      <w:pPr>
        <w:spacing w:after="0" w:line="2" w:lineRule="exact"/>
        <w:rPr>
          <w:rFonts w:ascii="Arial" w:cs="Arial" w:eastAsia="Arial" w:hAnsi="Arial"/>
          <w:sz w:val="16"/>
          <w:szCs w:val="16"/>
          <w:color w:val="auto"/>
        </w:rPr>
      </w:pPr>
    </w:p>
    <w:p>
      <w:pPr>
        <w:ind w:right="60" w:firstLine="8"/>
        <w:spacing w:after="0" w:line="271" w:lineRule="auto"/>
        <w:tabs>
          <w:tab w:leader="none" w:pos="2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failure to satisfy the minimum funding requirements of Section 412 of the Code or application for or receipt of a waiver of such minimum funding requirements, (ii) “</w:t>
      </w:r>
      <w:r>
        <w:rPr>
          <w:rFonts w:ascii="Arial" w:cs="Arial" w:eastAsia="Arial" w:hAnsi="Arial"/>
          <w:sz w:val="17"/>
          <w:szCs w:val="17"/>
          <w:b w:val="1"/>
          <w:bCs w:val="1"/>
          <w:color w:val="auto"/>
        </w:rPr>
        <w:t>endangered status</w:t>
      </w:r>
      <w:r>
        <w:rPr>
          <w:rFonts w:ascii="Arial" w:cs="Arial" w:eastAsia="Arial" w:hAnsi="Arial"/>
          <w:sz w:val="17"/>
          <w:szCs w:val="17"/>
          <w:color w:val="auto"/>
        </w:rPr>
        <w:t>” or “</w:t>
      </w:r>
      <w:r>
        <w:rPr>
          <w:rFonts w:ascii="Arial" w:cs="Arial" w:eastAsia="Arial" w:hAnsi="Arial"/>
          <w:sz w:val="17"/>
          <w:szCs w:val="17"/>
          <w:b w:val="1"/>
          <w:bCs w:val="1"/>
          <w:color w:val="auto"/>
        </w:rPr>
        <w:t>critical status</w:t>
      </w:r>
      <w:r>
        <w:rPr>
          <w:rFonts w:ascii="Arial" w:cs="Arial" w:eastAsia="Arial" w:hAnsi="Arial"/>
          <w:sz w:val="17"/>
          <w:szCs w:val="17"/>
          <w:color w:val="auto"/>
        </w:rPr>
        <w:t>” (within the meaning of Section 432 of the Code) or (iii) insolvency, “</w:t>
      </w:r>
      <w:r>
        <w:rPr>
          <w:rFonts w:ascii="Arial" w:cs="Arial" w:eastAsia="Arial" w:hAnsi="Arial"/>
          <w:sz w:val="17"/>
          <w:szCs w:val="17"/>
          <w:b w:val="1"/>
          <w:bCs w:val="1"/>
          <w:color w:val="auto"/>
        </w:rPr>
        <w:t>reorganization</w:t>
      </w:r>
      <w:r>
        <w:rPr>
          <w:rFonts w:ascii="Arial" w:cs="Arial" w:eastAsia="Arial" w:hAnsi="Arial"/>
          <w:sz w:val="17"/>
          <w:szCs w:val="17"/>
          <w:color w:val="auto"/>
        </w:rPr>
        <w:t>” (within the meaning of Section 4241 of ERISA) or proposed or, to the Company’s knowledge, threatened termination. Except as would not reasonably be expected to have, individually or in the aggregate, a Company Material Adverse Effect, all contributions, surcharges and premium payments owed by the Company and its ERISA Affiliates with respect to each Multiemployer Plan have been paid when due.</w:t>
      </w:r>
    </w:p>
    <w:p>
      <w:pPr>
        <w:spacing w:after="0" w:line="232" w:lineRule="exact"/>
        <w:rPr>
          <w:rFonts w:ascii="Arial" w:cs="Arial" w:eastAsia="Arial" w:hAnsi="Arial"/>
          <w:sz w:val="17"/>
          <w:szCs w:val="17"/>
          <w:color w:val="auto"/>
        </w:rPr>
      </w:pPr>
    </w:p>
    <w:p>
      <w:pPr>
        <w:ind w:right="80" w:firstLine="1305"/>
        <w:spacing w:after="0" w:line="259" w:lineRule="auto"/>
        <w:tabs>
          <w:tab w:leader="none" w:pos="19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Company Plan that is intended to be qualified under Section 401(a) of the Code has received a favorable determination letter. Each Company Plan (for the avoidance of doubt, other than a Multiemployer Plan) has been established and operated in compliance with its terms and with all Applicable Laws, including ERISA and the Code, except as would not reasonably be expected to have, individually or in the aggregate, a Company Material Adverse Effect.</w:t>
      </w:r>
    </w:p>
    <w:p>
      <w:pPr>
        <w:spacing w:after="0" w:line="240" w:lineRule="exact"/>
        <w:rPr>
          <w:rFonts w:ascii="Arial" w:cs="Arial" w:eastAsia="Arial" w:hAnsi="Arial"/>
          <w:sz w:val="18"/>
          <w:szCs w:val="18"/>
          <w:color w:val="auto"/>
        </w:rPr>
      </w:pPr>
    </w:p>
    <w:p>
      <w:pPr>
        <w:ind w:firstLine="1305"/>
        <w:spacing w:after="0" w:line="293" w:lineRule="auto"/>
        <w:tabs>
          <w:tab w:leader="none" w:pos="1928" w:val="left"/>
        </w:tabs>
        <w:numPr>
          <w:ilvl w:val="1"/>
          <w:numId w:val="37"/>
        </w:numPr>
        <w:rPr>
          <w:rFonts w:ascii="Arial" w:cs="Arial" w:eastAsia="Arial" w:hAnsi="Arial"/>
          <w:sz w:val="16"/>
          <w:szCs w:val="16"/>
          <w:color w:val="auto"/>
        </w:rPr>
      </w:pPr>
      <w:r>
        <w:rPr>
          <w:rFonts w:ascii="Arial" w:cs="Arial" w:eastAsia="Arial" w:hAnsi="Arial"/>
          <w:sz w:val="16"/>
          <w:szCs w:val="16"/>
          <w:color w:val="auto"/>
        </w:rPr>
        <w:t>Except as disclosed in Section 4.17(e) of the Company Disclosure Schedule, the consummation of the transactions contemplated by this Agreement will not (either alone or together with any other event) entitle any employee, director or other independent contractor of the Company or any of its Subsidiaries to severance pay or accelerate the time of payment or vesting or trigger any payment or funding (through a grantor trust or otherwise) of material compensation or benefits under, increase the amount payable or trigger any other material obligation pursuant to, any Company Plan. Neither the Company nor any of its Subsidiaries has any obligation to gross-up, indemnify or otherwise reimburse any current or former employee, director or other independent contractor of the Company or any of its Subsidiaries for any Tax incurred by such individual, including under Section 409A or 4999 of the Code.</w:t>
      </w:r>
    </w:p>
    <w:p>
      <w:pPr>
        <w:spacing w:after="0" w:line="218" w:lineRule="exact"/>
        <w:rPr>
          <w:rFonts w:ascii="Arial" w:cs="Arial" w:eastAsia="Arial" w:hAnsi="Arial"/>
          <w:sz w:val="16"/>
          <w:szCs w:val="16"/>
          <w:color w:val="auto"/>
        </w:rPr>
      </w:pPr>
    </w:p>
    <w:p>
      <w:pPr>
        <w:ind w:right="300" w:firstLine="1305"/>
        <w:spacing w:after="0" w:line="264" w:lineRule="auto"/>
        <w:tabs>
          <w:tab w:leader="none" w:pos="19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in respect of post-retirement health, medical or life insurance benefits for retired, former or current employees, directors or other independent contractors of the Company or its Subsidiaries except as required to avoid excise tax under Section 4980B of the Code.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5" w:name="page46"/>
    <w:bookmarkEnd w:id="45"/>
    <w:p>
      <w:pPr>
        <w:ind w:left="-20" w:right="260" w:firstLine="1305"/>
        <w:spacing w:after="0" w:line="264" w:lineRule="auto"/>
        <w:tabs>
          <w:tab w:leader="none" w:pos="19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has been no amendment to, written interpretation or announcement (whether or not written) by the Company or any of its Affiliates relating to, or change in participation or coverage under, a Company Plan which would reasonably be expected to have, individually or in the aggregate, a Company Material Adverse Effect.</w:t>
      </w:r>
    </w:p>
    <w:p>
      <w:pPr>
        <w:spacing w:after="0" w:line="235" w:lineRule="exact"/>
        <w:rPr>
          <w:rFonts w:ascii="Arial" w:cs="Arial" w:eastAsia="Arial" w:hAnsi="Arial"/>
          <w:sz w:val="18"/>
          <w:szCs w:val="18"/>
          <w:color w:val="auto"/>
        </w:rPr>
      </w:pPr>
    </w:p>
    <w:p>
      <w:pPr>
        <w:ind w:left="-20" w:right="100" w:firstLine="1305"/>
        <w:spacing w:after="0" w:line="264" w:lineRule="auto"/>
        <w:tabs>
          <w:tab w:leader="none" w:pos="19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is no action, suit, investigation, audit or proceeding pending against or involving or, to the knowledge of the Company, threatened against or involving, any Company Plan before any Governmental Authority, except as would not reasonably be expected to have, individually or in the aggregate, a Company Material Adverse Effect.</w:t>
      </w:r>
    </w:p>
    <w:p>
      <w:pPr>
        <w:spacing w:after="0" w:line="235" w:lineRule="exact"/>
        <w:rPr>
          <w:rFonts w:ascii="Arial" w:cs="Arial" w:eastAsia="Arial" w:hAnsi="Arial"/>
          <w:sz w:val="18"/>
          <w:szCs w:val="18"/>
          <w:color w:val="auto"/>
        </w:rPr>
      </w:pPr>
    </w:p>
    <w:p>
      <w:pPr>
        <w:ind w:left="-20" w:right="80" w:firstLine="1305"/>
        <w:spacing w:after="0" w:line="293" w:lineRule="auto"/>
        <w:tabs>
          <w:tab w:leader="none" w:pos="1879"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Company Plan that covers former or current employees, directors or other independent contractors of the Company or any of its Subsidiaries who are located primarily outside of the United States (a “</w:t>
      </w:r>
      <w:r>
        <w:rPr>
          <w:rFonts w:ascii="Arial" w:cs="Arial" w:eastAsia="Arial" w:hAnsi="Arial"/>
          <w:sz w:val="16"/>
          <w:szCs w:val="16"/>
          <w:b w:val="1"/>
          <w:bCs w:val="1"/>
          <w:color w:val="auto"/>
        </w:rPr>
        <w:t>Company International Plan</w:t>
      </w:r>
      <w:r>
        <w:rPr>
          <w:rFonts w:ascii="Arial" w:cs="Arial" w:eastAsia="Arial" w:hAnsi="Arial"/>
          <w:sz w:val="16"/>
          <w:szCs w:val="16"/>
          <w:color w:val="auto"/>
        </w:rPr>
        <w:t>”) (i) if intended to qualify for special tax treatment, meets all the requirements for such treatment, and (ii) if required, to any extent, to be funded, book-reserved or secured by an insurance policy, is fully funded, book-reserved or secured by an insurance policy, as applicable, based on reasonable actuarial assumptions in accordance with applicable accounting principles. From and after the Effective Time, Parent and its Subsidiaries will receive the full benefit of any funds, accruals and reserves under the Company International Plans.</w:t>
      </w:r>
    </w:p>
    <w:p>
      <w:pPr>
        <w:spacing w:after="0" w:line="218" w:lineRule="exact"/>
        <w:rPr>
          <w:rFonts w:ascii="Arial" w:cs="Arial" w:eastAsia="Arial" w:hAnsi="Arial"/>
          <w:sz w:val="16"/>
          <w:szCs w:val="16"/>
          <w:color w:val="auto"/>
        </w:rPr>
      </w:pPr>
    </w:p>
    <w:p>
      <w:pPr>
        <w:ind w:left="-20" w:right="420" w:firstLine="1305"/>
        <w:spacing w:after="0" w:line="264" w:lineRule="auto"/>
        <w:tabs>
          <w:tab w:leader="none" w:pos="18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no Person has been treated as an independent contractor of the Company or any of its Subsidiaries for tax purposes, or for purposes of exclusion from any Company Plan, who should have been treated as an employee for such purposes.</w:t>
      </w:r>
    </w:p>
    <w:p>
      <w:pPr>
        <w:spacing w:after="0" w:line="235" w:lineRule="exact"/>
        <w:rPr>
          <w:rFonts w:ascii="Arial" w:cs="Arial" w:eastAsia="Arial" w:hAnsi="Arial"/>
          <w:sz w:val="18"/>
          <w:szCs w:val="18"/>
          <w:color w:val="auto"/>
        </w:rPr>
      </w:pPr>
    </w:p>
    <w:p>
      <w:pPr>
        <w:ind w:left="-20" w:firstLine="1305"/>
        <w:spacing w:after="0" w:line="291" w:lineRule="auto"/>
        <w:tabs>
          <w:tab w:leader="none" w:pos="1918"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none of the Company or any of its Subsidiaries has breached or otherwise failed to comply with the provisions of any Collective Bargaining Agreement and there are no grievances or arbitrations outstanding thereunder, and (ii) there are no formal organizational campaigns, corporate campaigns, petitions, demands for recognition via card-check or, to the knowledge of the Company, other unionization activities seeking recognition of a bargaining unit at the Company or any of its Subsidiaries. Except as would not reasonably be expected to have, individually or in the aggregate, a Company Material Adverse Effect, there are no unfair labor practice charges, grievances, pending arbitrations or other complaints or union representation questions before the National Labor Relations Board or other labor board of Governmental Authority that would reasonably be expected to affect the employees of the Company and its Subsidiaries.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44" w:right="259" w:bottom="1440" w:gutter="0" w:footer="0" w:header="0"/>
        </w:sectPr>
      </w:pPr>
    </w:p>
    <w:bookmarkStart w:id="46" w:name="page47"/>
    <w:bookmarkEnd w:id="46"/>
    <w:p>
      <w:pPr>
        <w:jc w:val="both"/>
        <w:ind w:right="240" w:firstLine="1305"/>
        <w:spacing w:after="0" w:line="264" w:lineRule="auto"/>
        <w:tabs>
          <w:tab w:leader="none" w:pos="18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there are no current or, to the knowledge of the Company, threatened strikes, slowdowns or work stoppages, and no such strike, slowdown or work stoppage has occurred within the three years preceding the date hereof.</w:t>
      </w:r>
    </w:p>
    <w:p>
      <w:pPr>
        <w:spacing w:after="0" w:line="23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i w:val="1"/>
          <w:iCs w:val="1"/>
          <w:color w:val="auto"/>
        </w:rPr>
        <w:t>Environmental Matters</w:t>
      </w:r>
      <w:r>
        <w:rPr>
          <w:rFonts w:ascii="Arial" w:cs="Arial" w:eastAsia="Arial" w:hAnsi="Arial"/>
          <w:sz w:val="16"/>
          <w:szCs w:val="16"/>
          <w:color w:val="auto"/>
        </w:rPr>
        <w:t>. (a) Except as would not reasonably be expected to have, individually or in the aggregate, a Company Material Adverse Effect, no notice, notification, demand, request for information, citation, summons or order has been received, no complaint has been filed, no penalty has been assessed, and no investigation, action, claim, suit, proceeding or review is pending or, to the knowledge of the Company, is threatened in relation to the Company or any of its Subsidiaries that relates to or arises out of any Environmental Law, Environmental Permit or Hazardous Substance.</w:t>
      </w:r>
    </w:p>
    <w:p>
      <w:pPr>
        <w:spacing w:after="0" w:line="208" w:lineRule="exact"/>
        <w:rPr>
          <w:sz w:val="20"/>
          <w:szCs w:val="20"/>
          <w:color w:val="auto"/>
        </w:rPr>
      </w:pPr>
    </w:p>
    <w:p>
      <w:pPr>
        <w:ind w:right="340" w:firstLine="1305"/>
        <w:spacing w:after="0" w:line="308" w:lineRule="auto"/>
        <w:tabs>
          <w:tab w:leader="none" w:pos="1938"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the Company and its Subsidiaries are and at all times have been in compliance with all Environmental Laws and all Environmental Permits.</w:t>
      </w:r>
    </w:p>
    <w:p>
      <w:pPr>
        <w:spacing w:after="0" w:line="200" w:lineRule="exact"/>
        <w:rPr>
          <w:rFonts w:ascii="Arial" w:cs="Arial" w:eastAsia="Arial" w:hAnsi="Arial"/>
          <w:sz w:val="17"/>
          <w:szCs w:val="17"/>
          <w:color w:val="auto"/>
        </w:rPr>
      </w:pPr>
    </w:p>
    <w:p>
      <w:pPr>
        <w:ind w:firstLine="1305"/>
        <w:spacing w:after="0" w:line="259" w:lineRule="auto"/>
        <w:tabs>
          <w:tab w:leader="none" w:pos="19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there are no liabilities or obligations of the Company or any of its Subsidiaries of any kind whatsoever, whether accrued, contingent, absolute, determined, determinable or otherwise, arising under or relating to any Environmental Law, Environmental Permit or Hazardous Substance (including any such liability or obligation retained or assumed by contract or by operation of law).</w:t>
      </w:r>
    </w:p>
    <w:p>
      <w:pPr>
        <w:spacing w:after="0" w:line="240" w:lineRule="exact"/>
        <w:rPr>
          <w:rFonts w:ascii="Arial" w:cs="Arial" w:eastAsia="Arial" w:hAnsi="Arial"/>
          <w:sz w:val="18"/>
          <w:szCs w:val="18"/>
          <w:color w:val="auto"/>
        </w:rPr>
      </w:pPr>
    </w:p>
    <w:p>
      <w:pPr>
        <w:ind w:right="260" w:firstLine="1305"/>
        <w:spacing w:after="0" w:line="264" w:lineRule="auto"/>
        <w:tabs>
          <w:tab w:leader="none" w:pos="19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hereby requires no filings to be made or actions to be taken pursuant to the New Jersey Industrial Site Recovery Act or the “</w:t>
      </w:r>
      <w:r>
        <w:rPr>
          <w:rFonts w:ascii="Arial" w:cs="Arial" w:eastAsia="Arial" w:hAnsi="Arial"/>
          <w:sz w:val="18"/>
          <w:szCs w:val="18"/>
          <w:b w:val="1"/>
          <w:bCs w:val="1"/>
          <w:color w:val="auto"/>
        </w:rPr>
        <w:t>Connecticut Property Transfer Law</w:t>
      </w:r>
      <w:r>
        <w:rPr>
          <w:rFonts w:ascii="Arial" w:cs="Arial" w:eastAsia="Arial" w:hAnsi="Arial"/>
          <w:sz w:val="18"/>
          <w:szCs w:val="18"/>
          <w:color w:val="auto"/>
        </w:rPr>
        <w:t>” (Sections 22a-134 through 22-134e of the Connecticut General Statutes).</w:t>
      </w:r>
    </w:p>
    <w:p>
      <w:pPr>
        <w:spacing w:after="0" w:line="23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Material Contracts</w:t>
      </w:r>
      <w:r>
        <w:rPr>
          <w:rFonts w:ascii="Arial" w:cs="Arial" w:eastAsia="Arial" w:hAnsi="Arial"/>
          <w:sz w:val="18"/>
          <w:szCs w:val="18"/>
          <w:color w:val="auto"/>
        </w:rPr>
        <w:t>. (a) As of the date of this Agreement, neither the Company nor any of its Subsidiaries is party to or bound by, whether in writing or not, any contract, arrangement, commitment or understanding that:</w:t>
      </w:r>
    </w:p>
    <w:p>
      <w:pPr>
        <w:spacing w:after="0" w:line="224" w:lineRule="exact"/>
        <w:rPr>
          <w:sz w:val="20"/>
          <w:szCs w:val="20"/>
          <w:color w:val="auto"/>
        </w:rPr>
      </w:pPr>
    </w:p>
    <w:p>
      <w:pPr>
        <w:ind w:left="1300" w:right="120" w:firstLine="815"/>
        <w:spacing w:after="0" w:line="276" w:lineRule="auto"/>
        <w:tabs>
          <w:tab w:leader="none" w:pos="271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contains any material exclusivity or similar provision (including with respect to any Intellectual Property Rights) that is binding on the Company or any of its Subsidiaries (or, after the Effective Time, the Surviving Corporation or any of its Subsidiaries or purportedly Parent or any of its Subsidiaries) or (B) otherwise limits or restricts in any material respect the Company or any of its Subsidiaries (or, after the Effective Time, the Surviving Corporation or any of its Subsidiaries or purportedly Parent or any of its Subsidiaries) from (1) engaging or competing in any material line of business in any location or with any Person,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47" w:name="page48"/>
    <w:bookmarkEnd w:id="47"/>
    <w:p>
      <w:pPr>
        <w:ind w:left="100" w:right="140" w:firstLine="5"/>
        <w:spacing w:after="0" w:line="277"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any products or services of or to any other Person or in any geographic region or (3) obtaining products or services from any Person;</w:t>
      </w:r>
    </w:p>
    <w:p>
      <w:pPr>
        <w:spacing w:after="0" w:line="220" w:lineRule="exact"/>
        <w:rPr>
          <w:rFonts w:ascii="Arial" w:cs="Arial" w:eastAsia="Arial" w:hAnsi="Arial"/>
          <w:sz w:val="18"/>
          <w:szCs w:val="18"/>
          <w:color w:val="auto"/>
        </w:rPr>
      </w:pPr>
    </w:p>
    <w:p>
      <w:pPr>
        <w:ind w:left="100" w:right="40" w:firstLine="815"/>
        <w:spacing w:after="0" w:line="274" w:lineRule="auto"/>
        <w:tabs>
          <w:tab w:leader="none" w:pos="1562" w:val="left"/>
        </w:tabs>
        <w:numPr>
          <w:ilvl w:val="1"/>
          <w:numId w:val="42"/>
        </w:numPr>
        <w:rPr>
          <w:rFonts w:ascii="Arial" w:cs="Arial" w:eastAsia="Arial" w:hAnsi="Arial"/>
          <w:sz w:val="17"/>
          <w:szCs w:val="17"/>
          <w:color w:val="auto"/>
        </w:rPr>
      </w:pPr>
      <w:r>
        <w:rPr>
          <w:rFonts w:ascii="Arial" w:cs="Arial" w:eastAsia="Arial" w:hAnsi="Arial"/>
          <w:sz w:val="17"/>
          <w:szCs w:val="17"/>
          <w:color w:val="auto"/>
        </w:rPr>
        <w:t>includes (A) any “</w:t>
      </w:r>
      <w:r>
        <w:rPr>
          <w:rFonts w:ascii="Arial" w:cs="Arial" w:eastAsia="Arial" w:hAnsi="Arial"/>
          <w:sz w:val="17"/>
          <w:szCs w:val="17"/>
          <w:b w:val="1"/>
          <w:bCs w:val="1"/>
          <w:color w:val="auto"/>
        </w:rPr>
        <w:t>most favored nations</w:t>
      </w:r>
      <w:r>
        <w:rPr>
          <w:rFonts w:ascii="Arial" w:cs="Arial" w:eastAsia="Arial" w:hAnsi="Arial"/>
          <w:sz w:val="17"/>
          <w:szCs w:val="17"/>
          <w:color w:val="auto"/>
        </w:rPr>
        <w:t>” terms and conditions (including with respect to pricing) granted by the Company to a Third Party, (B) any arrangement whereby the Company grants any right of first refusal or right of first offer or similar right to a Third Party or (C) any arrangement between the Company and a Third Party that limits or purports to limit in any respect the ability of the Company or its Subsidiaries (or, after the Effective Time, the Surviving Corporation or any of its Subsidiaries or purportedly Parent or any of its Subsidiaries) to own, operate, sell, license, transfer, pledge or otherwise dispose of any material assets or business, in each case of clauses (A), (B) and (C), that is material to the Company and its Subsidiaries, taken as a whole;</w:t>
      </w:r>
    </w:p>
    <w:p>
      <w:pPr>
        <w:spacing w:after="0" w:line="231" w:lineRule="exact"/>
        <w:rPr>
          <w:rFonts w:ascii="Arial" w:cs="Arial" w:eastAsia="Arial" w:hAnsi="Arial"/>
          <w:sz w:val="17"/>
          <w:szCs w:val="17"/>
          <w:color w:val="auto"/>
        </w:rPr>
      </w:pPr>
    </w:p>
    <w:p>
      <w:pPr>
        <w:ind w:left="100" w:firstLine="815"/>
        <w:spacing w:after="0" w:line="259" w:lineRule="auto"/>
        <w:tabs>
          <w:tab w:leader="none" w:pos="161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joint venture, alliance or partnership agreement that either (A) is material to the Company and its Subsidiaries, taken as a whole, or (B) would reasonably be expected to require the Company and its Subsidiaries to make expenditures in excess of $100,000,000 in the aggregate during the 12-month period following the date hereof, but excluding any joint venture, alliance or partnership agreement to which Parent or any of its Subsidiaries is a party;</w:t>
      </w:r>
    </w:p>
    <w:p>
      <w:pPr>
        <w:spacing w:after="0" w:line="240" w:lineRule="exact"/>
        <w:rPr>
          <w:rFonts w:ascii="Arial" w:cs="Arial" w:eastAsia="Arial" w:hAnsi="Arial"/>
          <w:sz w:val="18"/>
          <w:szCs w:val="18"/>
          <w:color w:val="auto"/>
        </w:rPr>
      </w:pPr>
    </w:p>
    <w:p>
      <w:pPr>
        <w:jc w:val="both"/>
        <w:ind w:left="100" w:right="60" w:firstLine="815"/>
        <w:spacing w:after="0" w:line="342" w:lineRule="auto"/>
        <w:tabs>
          <w:tab w:leader="none" w:pos="1602" w:val="left"/>
        </w:tabs>
        <w:numPr>
          <w:ilvl w:val="1"/>
          <w:numId w:val="42"/>
        </w:numPr>
        <w:rPr>
          <w:rFonts w:ascii="Arial" w:cs="Arial" w:eastAsia="Arial" w:hAnsi="Arial"/>
          <w:sz w:val="16"/>
          <w:szCs w:val="16"/>
          <w:color w:val="auto"/>
        </w:rPr>
      </w:pPr>
      <w:r>
        <w:rPr>
          <w:rFonts w:ascii="Arial" w:cs="Arial" w:eastAsia="Arial" w:hAnsi="Arial"/>
          <w:sz w:val="16"/>
          <w:szCs w:val="16"/>
          <w:color w:val="auto"/>
        </w:rPr>
        <w:t>is a loan, guarantee of indebtedness or credit agreement, note, bond, mortgage, indenture or other binding commitment (other than those between the Company and its Subsidiaries) relating to indebtedness in an amount in excess of $100,000,000 individually;</w:t>
      </w:r>
    </w:p>
    <w:p>
      <w:pPr>
        <w:spacing w:after="0" w:line="177" w:lineRule="exact"/>
        <w:rPr>
          <w:rFonts w:ascii="Arial" w:cs="Arial" w:eastAsia="Arial" w:hAnsi="Arial"/>
          <w:sz w:val="16"/>
          <w:szCs w:val="16"/>
          <w:color w:val="auto"/>
        </w:rPr>
      </w:pPr>
    </w:p>
    <w:p>
      <w:pPr>
        <w:ind w:left="100" w:right="60" w:firstLine="815"/>
        <w:spacing w:after="0" w:line="277" w:lineRule="auto"/>
        <w:tabs>
          <w:tab w:leader="none" w:pos="15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material interest, rate, currency or other swap or derivative transaction (other than those entered into in the ordinary course of business solely for hedging purposes);</w:t>
      </w:r>
    </w:p>
    <w:p>
      <w:pPr>
        <w:spacing w:after="0" w:line="224" w:lineRule="exact"/>
        <w:rPr>
          <w:rFonts w:ascii="Arial" w:cs="Arial" w:eastAsia="Arial" w:hAnsi="Arial"/>
          <w:sz w:val="18"/>
          <w:szCs w:val="18"/>
          <w:color w:val="auto"/>
        </w:rPr>
      </w:pPr>
    </w:p>
    <w:p>
      <w:pPr>
        <w:ind w:left="100" w:right="20" w:firstLine="815"/>
        <w:spacing w:after="0" w:line="257" w:lineRule="auto"/>
        <w:tabs>
          <w:tab w:leader="none" w:pos="160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an acquisition agreement, asset purchase or sale agreement, stock purchase or sale agreement or other similar agreement pursuant to which (A) the Company reasonably expects that it is required to pay total consideration including assumption of debt after the date hereof to be in excess of $100,000,000 or (B) any other Person has the right to acquire any assets of the Company or any of its Subsidiaries (or any interests therein) after the date of this Agreement with a fair market value or purchase price of more than $100,000,000;</w:t>
      </w:r>
    </w:p>
    <w:p>
      <w:pPr>
        <w:spacing w:after="0" w:line="36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48" w:name="page49"/>
    <w:bookmarkEnd w:id="48"/>
    <w:p>
      <w:pPr>
        <w:ind w:left="1300" w:right="40" w:firstLine="815"/>
        <w:spacing w:after="0" w:line="308" w:lineRule="auto"/>
        <w:tabs>
          <w:tab w:leader="none" w:pos="28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 a material contract, arrangement, commitment or understanding with the FCC or any other Governmental Authority relating to the operation or construction of Cable Systems that are not fully reflected in the Franchises;</w:t>
      </w:r>
    </w:p>
    <w:p>
      <w:pPr>
        <w:spacing w:after="0" w:line="200" w:lineRule="exact"/>
        <w:rPr>
          <w:rFonts w:ascii="Arial" w:cs="Arial" w:eastAsia="Arial" w:hAnsi="Arial"/>
          <w:sz w:val="17"/>
          <w:szCs w:val="17"/>
          <w:color w:val="auto"/>
        </w:rPr>
      </w:pPr>
    </w:p>
    <w:p>
      <w:pPr>
        <w:ind w:left="1300" w:right="320" w:firstLine="815"/>
        <w:spacing w:after="0" w:line="302" w:lineRule="auto"/>
        <w:tabs>
          <w:tab w:leader="none" w:pos="29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is an agreement pursuant to which the Company or any of its Subsidiaries manages, operates or provides material services to any Cable Systems that are not, directly or indirectly, wholly owned by the Company (including any agreement pursuant to which the Company or any of its Subsidiaries is required to cause any such Cable Systems to be included in programming service distribution agreements and other similar agreements to which the Company or any of its Subsidiaries are party); or</w:t>
      </w:r>
    </w:p>
    <w:p>
      <w:pPr>
        <w:spacing w:after="0" w:line="208" w:lineRule="exact"/>
        <w:rPr>
          <w:rFonts w:ascii="Arial" w:cs="Arial" w:eastAsia="Arial" w:hAnsi="Arial"/>
          <w:sz w:val="16"/>
          <w:szCs w:val="16"/>
          <w:color w:val="auto"/>
        </w:rPr>
      </w:pPr>
    </w:p>
    <w:p>
      <w:pPr>
        <w:jc w:val="both"/>
        <w:ind w:left="1300" w:firstLine="815"/>
        <w:spacing w:after="0" w:line="264" w:lineRule="auto"/>
        <w:tabs>
          <w:tab w:leader="none" w:pos="28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 settlement or similar agreement with any Governmental Authority or order or consent of a Governmental Authority to which the Company or any of its Subsidiaries is subject involving future performance by the Company or any of its Subsidiaries which is material to the Company and its Subsidiaries, taken as a whole;</w:t>
      </w:r>
    </w:p>
    <w:p>
      <w:pPr>
        <w:spacing w:after="0" w:line="20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(each such contract listed in Section 4.19 of the Company Disclosure Schedule and any contract of the Company or any of its Subsidiaries that is a “</w:t>
      </w:r>
      <w:r>
        <w:rPr>
          <w:rFonts w:ascii="Arial" w:cs="Arial" w:eastAsia="Arial" w:hAnsi="Arial"/>
          <w:sz w:val="18"/>
          <w:szCs w:val="18"/>
          <w:b w:val="1"/>
          <w:bCs w:val="1"/>
          <w:color w:val="auto"/>
        </w:rPr>
        <w:t>material contract</w:t>
      </w:r>
      <w:r>
        <w:rPr>
          <w:rFonts w:ascii="Arial" w:cs="Arial" w:eastAsia="Arial" w:hAnsi="Arial"/>
          <w:sz w:val="18"/>
          <w:szCs w:val="18"/>
          <w:color w:val="auto"/>
        </w:rPr>
        <w:t>” (as such term is defined in Item 601(b)(10) of Regulation S-K of the SEC) (other than any Company Plan), a “</w:t>
      </w:r>
      <w:r>
        <w:rPr>
          <w:rFonts w:ascii="Arial" w:cs="Arial" w:eastAsia="Arial" w:hAnsi="Arial"/>
          <w:sz w:val="18"/>
          <w:szCs w:val="18"/>
          <w:b w:val="1"/>
          <w:bCs w:val="1"/>
          <w:color w:val="auto"/>
        </w:rPr>
        <w:t>Company 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Contract</w:t>
      </w:r>
      <w:r>
        <w:rPr>
          <w:rFonts w:ascii="Arial" w:cs="Arial" w:eastAsia="Arial" w:hAnsi="Arial"/>
          <w:sz w:val="18"/>
          <w:szCs w:val="18"/>
          <w:color w:val="auto"/>
        </w:rPr>
        <w:t>”).</w:t>
      </w:r>
    </w:p>
    <w:p>
      <w:pPr>
        <w:spacing w:after="0" w:line="235" w:lineRule="exact"/>
        <w:rPr>
          <w:sz w:val="20"/>
          <w:szCs w:val="20"/>
          <w:color w:val="auto"/>
        </w:rPr>
      </w:pPr>
    </w:p>
    <w:p>
      <w:pPr>
        <w:ind w:right="40" w:firstLine="1305"/>
        <w:spacing w:after="0" w:line="259" w:lineRule="auto"/>
        <w:tabs>
          <w:tab w:leader="none" w:pos="19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for this Agreement or as listed in Schedule 4.19 of the Company Disclosure Schedule, as of the date hereof, none of the Company or any of the Company Subsidiaries is a party to or bound by any “</w:t>
      </w:r>
      <w:r>
        <w:rPr>
          <w:rFonts w:ascii="Arial" w:cs="Arial" w:eastAsia="Arial" w:hAnsi="Arial"/>
          <w:sz w:val="18"/>
          <w:szCs w:val="18"/>
          <w:b w:val="1"/>
          <w:bCs w:val="1"/>
          <w:color w:val="auto"/>
        </w:rPr>
        <w:t>material contract</w:t>
      </w:r>
      <w:r>
        <w:rPr>
          <w:rFonts w:ascii="Arial" w:cs="Arial" w:eastAsia="Arial" w:hAnsi="Arial"/>
          <w:sz w:val="18"/>
          <w:szCs w:val="18"/>
          <w:color w:val="auto"/>
        </w:rPr>
        <w:t>” (as such term is defined in Item 601(b)(10) of Regulation S-K of the SEC) that is to be performed after the date of this Agreement that has not been filed as an exhibit to or incorporated by reference in a Company SEC Document.</w:t>
      </w:r>
    </w:p>
    <w:p>
      <w:pPr>
        <w:spacing w:after="0" w:line="240" w:lineRule="exact"/>
        <w:rPr>
          <w:rFonts w:ascii="Arial" w:cs="Arial" w:eastAsia="Arial" w:hAnsi="Arial"/>
          <w:sz w:val="18"/>
          <w:szCs w:val="18"/>
          <w:color w:val="auto"/>
        </w:rPr>
      </w:pPr>
    </w:p>
    <w:p>
      <w:pPr>
        <w:ind w:right="40" w:firstLine="1305"/>
        <w:spacing w:after="0" w:line="272" w:lineRule="auto"/>
        <w:tabs>
          <w:tab w:leader="none" w:pos="19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each Company Material Contract is valid and binding and in full force and effect and, to the Company’s knowledge, enforceable against the other party or parties thereto in accordance with its terms (except as enforceability may be limited by applicable bankruptcy, insolvency, reorganization, moratorium, fraudulent transfer and similar laws of general applicability relating to or affecting creditors’ rights or by general equity principles). Except for breaches, violations or defaults which would not reasonably be expected to have, individually or in the aggregate, a Company Material Adverse Effect, neither the Company nor any of its Subsidiaries, nor to the Company’s knowledge any other party to a Company Material Contract, has violated any provision of, or taken or failed to take any act which, with or without notice, lapse of time, or both, would constitute a default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49" w:name="page50"/>
    <w:bookmarkEnd w:id="49"/>
    <w:p>
      <w:pPr>
        <w:ind w:right="20"/>
        <w:spacing w:after="0" w:line="277" w:lineRule="auto"/>
        <w:rPr>
          <w:sz w:val="20"/>
          <w:szCs w:val="20"/>
          <w:color w:val="auto"/>
        </w:rPr>
      </w:pPr>
      <w:r>
        <w:rPr>
          <w:rFonts w:ascii="Arial" w:cs="Arial" w:eastAsia="Arial" w:hAnsi="Arial"/>
          <w:sz w:val="18"/>
          <w:szCs w:val="18"/>
          <w:color w:val="auto"/>
        </w:rPr>
        <w:t>under the provisions of such Company Material Contract, and neither the Company nor any of its Subsidiaries has received written notice that it has breached, violated or defaulted under any Company Material Contract.</w:t>
      </w:r>
    </w:p>
    <w:p>
      <w:pPr>
        <w:spacing w:after="0" w:line="224"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i w:val="1"/>
          <w:iCs w:val="1"/>
          <w:color w:val="auto"/>
        </w:rPr>
        <w:t>Cable System and Subscriber Information</w:t>
      </w:r>
      <w:r>
        <w:rPr>
          <w:rFonts w:ascii="Arial" w:cs="Arial" w:eastAsia="Arial" w:hAnsi="Arial"/>
          <w:sz w:val="16"/>
          <w:szCs w:val="16"/>
          <w:color w:val="auto"/>
        </w:rPr>
        <w:t>. (a) Section 4.20(a) of the Company Disclosure Schedule sets forth a complete list of cable franchise areas in which the Company operates as of January 18, 2014. The Company does not manage or operate any Cable Systems which it does not, directly or indirectly, wholly own, and the Company does not own any Cable Systems that it does not, directly or indirectly, manage and operate.</w:t>
      </w:r>
    </w:p>
    <w:p>
      <w:pPr>
        <w:spacing w:after="0" w:line="201" w:lineRule="exact"/>
        <w:rPr>
          <w:sz w:val="20"/>
          <w:szCs w:val="20"/>
          <w:color w:val="auto"/>
        </w:rPr>
      </w:pPr>
    </w:p>
    <w:p>
      <w:pPr>
        <w:ind w:firstLine="1305"/>
        <w:spacing w:after="0" w:line="264" w:lineRule="auto"/>
        <w:tabs>
          <w:tab w:leader="none" w:pos="1938"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4.20(b) of the Company Disclosure Schedule sets forth the aggregate number of subscribers by franchise area as of January 18, 2014, as calculated in accordance with the Company’s policy with respect to calculating subscribers as of the Company Balance Sheet Date, including as to disconnects.</w:t>
      </w:r>
    </w:p>
    <w:p>
      <w:pPr>
        <w:spacing w:after="0" w:line="23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i w:val="1"/>
          <w:iCs w:val="1"/>
          <w:color w:val="auto"/>
        </w:rPr>
        <w:t>Franchises</w:t>
      </w:r>
      <w:r>
        <w:rPr>
          <w:rFonts w:ascii="Arial" w:cs="Arial" w:eastAsia="Arial" w:hAnsi="Arial"/>
          <w:sz w:val="18"/>
          <w:szCs w:val="18"/>
          <w:color w:val="auto"/>
        </w:rPr>
        <w:t>. (a) The Company has provided to Parent a true and complete list of each Franchise operated by the Company or any of its Subsidiaries. Except as would not reasonably be expected to have, individually or in the aggregate, a Company Material Adverse Effect, (i) the Cable Systems owned or operated by the Company and its Subsidiaries are in compliance with the applicable Franchises in all material respects and (ii) there are no material ongoing or, to the Company’s knowledge, threatened audits or similar proceedings undertaken by Governmental Authorities with respect to any of the Franchises of the Company or its Subsidiaries.</w:t>
      </w:r>
    </w:p>
    <w:p>
      <w:pPr>
        <w:spacing w:after="0" w:line="242" w:lineRule="exact"/>
        <w:rPr>
          <w:sz w:val="20"/>
          <w:szCs w:val="20"/>
          <w:color w:val="auto"/>
        </w:rPr>
      </w:pPr>
    </w:p>
    <w:p>
      <w:pPr>
        <w:ind w:firstLine="1305"/>
        <w:spacing w:after="0" w:line="269" w:lineRule="auto"/>
        <w:tabs>
          <w:tab w:leader="none" w:pos="1938"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(i) each of the Company’s and its Subsidiaries’ Franchises is in full force and effect and a valid request for renewal has been duly and timely filed under Section 626 of the Communications Act, or applicable state franchise renewal provisions, regulations and obligations, with the proper Governmental Authority with respect to each of the Company’s and its Subsidiaries’ Franchises that has expired or will expire within 36 months after the date of this Agreement, (ii) notices of renewal have been filed pursuant to the formal renewal procedures established by Section 626(a) of the Communications Act, or applicable state franchise renewal provisions, regulations and obligations, (iii) there are no applications (other than renewal applications) relating to any of the Company’s or its Subsidiaries’ Franchises pending before any Governmental Authority, (iv) neither the Company nor any of its Subsidiaries has received written notice from any Person that any of its Franchises will not be renewed or that the applicable Governmental Authority has challenged or raised any material objection to or, as of the date hereof, otherwise questioned in any material respect, a request for any such renewal, (v) none of the Company, any of its Subsidiaries or any Governmental Authority has commenced or requested the commencement of an administrative proceeding concerning the renewal of a material Franchise of the Company or its Subsidiaries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0" w:name="page51"/>
    <w:bookmarkEnd w:id="50"/>
    <w:p>
      <w:pPr>
        <w:jc w:val="both"/>
        <w:ind w:right="80"/>
        <w:spacing w:after="0" w:line="264" w:lineRule="auto"/>
        <w:rPr>
          <w:sz w:val="20"/>
          <w:szCs w:val="20"/>
          <w:color w:val="auto"/>
        </w:rPr>
      </w:pPr>
      <w:r>
        <w:rPr>
          <w:rFonts w:ascii="Arial" w:cs="Arial" w:eastAsia="Arial" w:hAnsi="Arial"/>
          <w:sz w:val="18"/>
          <w:szCs w:val="18"/>
          <w:color w:val="auto"/>
        </w:rPr>
        <w:t>as provided in Section 626(c)(1) of the Communications Act, or in applicable state franchise renewal provisions, regulations and obligations, and (vi) to the Company’s knowledge, there exist no facts or circumstances that make it reasonably likely that any of the Company’s or its Subsidiaries’ Franchises will not be renewed or extended on commercially reasonable terms.</w:t>
      </w:r>
    </w:p>
    <w:p>
      <w:pPr>
        <w:spacing w:after="0" w:line="235" w:lineRule="exact"/>
        <w:rPr>
          <w:sz w:val="20"/>
          <w:szCs w:val="20"/>
          <w:color w:val="auto"/>
        </w:rPr>
      </w:pPr>
    </w:p>
    <w:p>
      <w:pPr>
        <w:ind w:right="20" w:firstLine="1305"/>
        <w:spacing w:after="0" w:line="259" w:lineRule="auto"/>
        <w:tabs>
          <w:tab w:leader="none" w:pos="19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made any material commitment, with respect to its Franchises, to any Governmental Authority except (i) as set forth on Section 4.21(c)(i) of the Company Disclosure Schedule and (ii) such other Franchise commitments that (A) are commercially reasonable given the relevant Franchise and locality and (B) would not reasonably be expected to have, individually or in the aggregate, a Company Material Adverse Effect.</w:t>
      </w:r>
    </w:p>
    <w:p>
      <w:pPr>
        <w:spacing w:after="0" w:line="24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i w:val="1"/>
          <w:iCs w:val="1"/>
          <w:color w:val="auto"/>
        </w:rPr>
        <w:t>Tax Treatment</w:t>
      </w:r>
      <w:r>
        <w:rPr>
          <w:rFonts w:ascii="Arial" w:cs="Arial" w:eastAsia="Arial" w:hAnsi="Arial"/>
          <w:sz w:val="16"/>
          <w:szCs w:val="16"/>
          <w:color w:val="auto"/>
        </w:rPr>
        <w:t>. Neither the Company nor any of its Affiliates has taken or agreed to take any action, or is aware of any fact or circumstance, that would prevent the Merger from qualifying as a reorganization within the meaning of Section 368 of the Code (a “</w:t>
      </w:r>
      <w:r>
        <w:rPr>
          <w:rFonts w:ascii="Arial" w:cs="Arial" w:eastAsia="Arial" w:hAnsi="Arial"/>
          <w:sz w:val="16"/>
          <w:szCs w:val="16"/>
          <w:b w:val="1"/>
          <w:bCs w:val="1"/>
          <w:color w:val="auto"/>
        </w:rPr>
        <w:t>368 Reorganization</w:t>
      </w:r>
      <w:r>
        <w:rPr>
          <w:rFonts w:ascii="Arial" w:cs="Arial" w:eastAsia="Arial" w:hAnsi="Arial"/>
          <w:sz w:val="16"/>
          <w:szCs w:val="16"/>
          <w:color w:val="auto"/>
        </w:rPr>
        <w:t>”).</w:t>
      </w:r>
    </w:p>
    <w:p>
      <w:pPr>
        <w:spacing w:after="0" w:line="17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4.23. </w:t>
      </w:r>
      <w:r>
        <w:rPr>
          <w:rFonts w:ascii="Arial" w:cs="Arial" w:eastAsia="Arial" w:hAnsi="Arial"/>
          <w:sz w:val="17"/>
          <w:szCs w:val="17"/>
          <w:i w:val="1"/>
          <w:iCs w:val="1"/>
          <w:color w:val="auto"/>
        </w:rPr>
        <w:t>Finders’ Fees</w:t>
      </w:r>
      <w:r>
        <w:rPr>
          <w:rFonts w:ascii="Arial" w:cs="Arial" w:eastAsia="Arial" w:hAnsi="Arial"/>
          <w:sz w:val="17"/>
          <w:szCs w:val="17"/>
          <w:color w:val="auto"/>
        </w:rPr>
        <w:t>. Except for Allen &amp; Company LLC, Centerview Partners LLC, Citigroup Global Markets Inc. and Morgan Stanley &amp; Co. LLC, copies of whose engagement agreements have been delivered to Parent prior to the date hereof, there is no investment banker, broker, finder or other intermediary that has been retained by or is authorized to act on behalf of the Company or any of its Subsidiaries who might be entitled to any fee or commission from the Company or any of its Affiliates in connection with the transactions contemplated by this Agreement.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The Board of Directors of the Company has received the separate opinions of Allen &amp; Company LLC, Centerview Partners LLC, Citigroup Global Markets Inc. and Morgan Stanley &amp; Co. LLC, each a financial advisor to the Company (or, in the case of Centerview Partners LLC, to the independent members of the Board of Directors of the Company), to the effect that, as of the date of such opinion, and based upon and subject to the factors and assumptions set forth therein, the Exchange Ratio is fair from a financial point of view to the holders of Company Stock.</w:t>
      </w:r>
    </w:p>
    <w:p>
      <w:pPr>
        <w:spacing w:after="0" w:line="20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4.25. </w:t>
      </w:r>
      <w:r>
        <w:rPr>
          <w:rFonts w:ascii="Arial" w:cs="Arial" w:eastAsia="Arial" w:hAnsi="Arial"/>
          <w:sz w:val="17"/>
          <w:szCs w:val="17"/>
          <w:i w:val="1"/>
          <w:iCs w:val="1"/>
          <w:color w:val="auto"/>
        </w:rPr>
        <w:t>Antitakeover Statutes</w:t>
      </w:r>
      <w:r>
        <w:rPr>
          <w:rFonts w:ascii="Arial" w:cs="Arial" w:eastAsia="Arial" w:hAnsi="Arial"/>
          <w:sz w:val="17"/>
          <w:szCs w:val="17"/>
          <w:color w:val="auto"/>
        </w:rPr>
        <w:t>. The Company has taken all action necessary to exempt the Merger, this Agreement, and the transactions contemplated hereby from Section 203 of Delaware Law, and, accordingly, neither such Section nor any other antitakeover or similar statute or regulation applies or purports to apply to any such transactions. No other “</w:t>
      </w:r>
      <w:r>
        <w:rPr>
          <w:rFonts w:ascii="Arial" w:cs="Arial" w:eastAsia="Arial" w:hAnsi="Arial"/>
          <w:sz w:val="17"/>
          <w:szCs w:val="17"/>
          <w:b w:val="1"/>
          <w:bCs w:val="1"/>
          <w:color w:val="auto"/>
        </w:rPr>
        <w:t>control share acquisition,</w:t>
      </w:r>
      <w:r>
        <w:rPr>
          <w:rFonts w:ascii="Arial" w:cs="Arial" w:eastAsia="Arial" w:hAnsi="Arial"/>
          <w:sz w:val="17"/>
          <w:szCs w:val="17"/>
          <w:color w:val="auto"/>
        </w:rPr>
        <w:t>” “</w:t>
      </w:r>
      <w:r>
        <w:rPr>
          <w:rFonts w:ascii="Arial" w:cs="Arial" w:eastAsia="Arial" w:hAnsi="Arial"/>
          <w:sz w:val="17"/>
          <w:szCs w:val="17"/>
          <w:b w:val="1"/>
          <w:bCs w:val="1"/>
          <w:color w:val="auto"/>
        </w:rPr>
        <w:t>fair price,</w:t>
      </w:r>
      <w:r>
        <w:rPr>
          <w:rFonts w:ascii="Arial" w:cs="Arial" w:eastAsia="Arial" w:hAnsi="Arial"/>
          <w:sz w:val="17"/>
          <w:szCs w:val="17"/>
          <w:color w:val="auto"/>
        </w:rPr>
        <w:t>” “</w:t>
      </w:r>
      <w:r>
        <w:rPr>
          <w:rFonts w:ascii="Arial" w:cs="Arial" w:eastAsia="Arial" w:hAnsi="Arial"/>
          <w:sz w:val="17"/>
          <w:szCs w:val="17"/>
          <w:b w:val="1"/>
          <w:bCs w:val="1"/>
          <w:color w:val="auto"/>
        </w:rPr>
        <w:t>moratorium</w:t>
      </w:r>
      <w:r>
        <w:rPr>
          <w:rFonts w:ascii="Arial" w:cs="Arial" w:eastAsia="Arial" w:hAnsi="Arial"/>
          <w:sz w:val="17"/>
          <w:szCs w:val="17"/>
          <w:color w:val="auto"/>
        </w:rPr>
        <w:t>” or other antitakeover laws enacted under U.S. state or federal laws apply to this Agreement or any of the transactions contemplated hereby.</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1" w:name="page52"/>
    <w:bookmarkEnd w:id="51"/>
    <w:p>
      <w:pPr>
        <w:ind w:right="60" w:firstLine="648"/>
        <w:spacing w:after="0" w:line="270" w:lineRule="auto"/>
        <w:rPr>
          <w:sz w:val="20"/>
          <w:szCs w:val="20"/>
          <w:color w:val="auto"/>
        </w:rPr>
      </w:pPr>
      <w:r>
        <w:rPr>
          <w:rFonts w:ascii="Arial" w:cs="Arial" w:eastAsia="Arial" w:hAnsi="Arial"/>
          <w:sz w:val="17"/>
          <w:szCs w:val="17"/>
          <w:color w:val="auto"/>
        </w:rPr>
        <w:t xml:space="preserve">Section 4.26. </w:t>
      </w:r>
      <w:r>
        <w:rPr>
          <w:rFonts w:ascii="Arial" w:cs="Arial" w:eastAsia="Arial" w:hAnsi="Arial"/>
          <w:sz w:val="17"/>
          <w:szCs w:val="17"/>
          <w:i w:val="1"/>
          <w:iCs w:val="1"/>
          <w:color w:val="auto"/>
        </w:rPr>
        <w:t>No Additional Representations</w:t>
      </w:r>
      <w:r>
        <w:rPr>
          <w:rFonts w:ascii="Arial" w:cs="Arial" w:eastAsia="Arial" w:hAnsi="Arial"/>
          <w:sz w:val="17"/>
          <w:szCs w:val="17"/>
          <w:color w:val="auto"/>
        </w:rPr>
        <w:t>. Except for the representations and warranties made by the Company in this Article 4, neither the Company nor any other Person makes any express or implied representation or warranty with respect to the Company or its Subsidiaries or their respective businesses, 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Subsidiary, or any of their Affiliates or Representatives with respect to (a) any financial projection, forecast, estimate, budget or prospect information relating to the Company, any of its Subsidiaries or their respective businesses, or (b) any oral or, except for the representations and warranties made by the Company in this Article 4, written information presented to Parent, Merger Subsidiary or any of their Affiliates or Representatives in the course of their due diligence investigation of the Company, the negotiation of this Agreement or in the course of the transactions contemplated hereby. Notwithstanding the foregoing, this Section 4.26 shall not limit Parent’s or Merger Subsidiary’s remedies in the case of fraud.</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 of Parent</w:t>
      </w:r>
    </w:p>
    <w:p>
      <w:pPr>
        <w:spacing w:after="0" w:line="23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Subject to Section 11.05, except (a) as disclosed in the Parent SEC Documents (as defined below) filed or furnished by Parent with the SEC since January 1, 2013 and before the date of this Agreement (the “</w:t>
      </w:r>
      <w:r>
        <w:rPr>
          <w:rFonts w:ascii="Arial" w:cs="Arial" w:eastAsia="Arial" w:hAnsi="Arial"/>
          <w:sz w:val="18"/>
          <w:szCs w:val="18"/>
          <w:b w:val="1"/>
          <w:bCs w:val="1"/>
          <w:color w:val="auto"/>
        </w:rPr>
        <w:t>Specified Parent SEC Documents</w:t>
      </w:r>
      <w:r>
        <w:rPr>
          <w:rFonts w:ascii="Arial" w:cs="Arial" w:eastAsia="Arial" w:hAnsi="Arial"/>
          <w:sz w:val="18"/>
          <w:szCs w:val="18"/>
          <w:color w:val="auto"/>
        </w:rPr>
        <w:t>”) or (b) as set forth in the Parent Disclosure Schedule, Parent represents and warrants to the Company that:</w:t>
      </w:r>
    </w:p>
    <w:p>
      <w:pPr>
        <w:spacing w:after="0" w:line="23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Each of Parent and Merger Subsidiary is a corporation duly incorporated, validly existing and in good standing under the laws of its jurisdiction of incorporation and has all corporate powers and all Governmental Authorizations required to carry on its business as now conducted, except for those Governmental Authorizations the absence of which would not reasonably be expected to have, individually or in the aggregate, a Parent Material Adverse Effect. Parent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Parent Material Adverse Effect. Prior to the date hereof, Parent has delivered or made available to the Company true and complete copies of the certificates of incorporation and bylaws of Parent and Merger Subsidiary as in effect on the date of this Agreement. Since the date of its incorporation, Merger Subsidiary has not engaged in any activities other than in connection with or as contemplated by this Agreement.</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52" w:name="page53"/>
    <w:bookmarkEnd w:id="52"/>
    <w:p>
      <w:pPr>
        <w:ind w:firstLine="648"/>
        <w:spacing w:after="0" w:line="268"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Corporate Authorization</w:t>
      </w:r>
      <w:r>
        <w:rPr>
          <w:rFonts w:ascii="Arial" w:cs="Arial" w:eastAsia="Arial" w:hAnsi="Arial"/>
          <w:sz w:val="17"/>
          <w:szCs w:val="17"/>
          <w:color w:val="auto"/>
        </w:rPr>
        <w:t>. (a) The execution, delivery and performance by Parent and Merger Subsidiary of this Agreement and the consummation by Parent and Merger Subsidiary of the transactions contemplated hereby are within the corporate powers of Parent and Merger Subsidiary and, except for (i) the required approval of Parent’s shareholders in connection with the Parent Stock Issuance and (ii) the approval of Parent as the sole stockholder of Merger Subsidiary, have been duly authorized by all necessary corporate action on the part of Parent and Merger Subsidiary. The affirmative vote of the holders of a majority of votes cast by holders of Parent Class A Common Stock and Parent Class B Common Stock (with each share of Parent Class A Common Stock being entitled to a number of votes per share determined in accordance with Parent’s Amended and Restated Articles of Incorporation and each share of Parent Class B Common Stock being entitled to a number of votes per share determined in accordance with Parent’s Amended and Restated Articles of Incorporation (which Parent Class B Common Stock is entitled to 33 1/3% of the combined voting power of Parent’s Class A Common Stock and Class B Common Stock)) and the affirmative vote of the holders of a majority of the outstanding shares of Parent Class B Common Stock (the “</w:t>
      </w:r>
      <w:r>
        <w:rPr>
          <w:rFonts w:ascii="Arial" w:cs="Arial" w:eastAsia="Arial" w:hAnsi="Arial"/>
          <w:sz w:val="17"/>
          <w:szCs w:val="17"/>
          <w:b w:val="1"/>
          <w:bCs w:val="1"/>
          <w:color w:val="auto"/>
        </w:rPr>
        <w:t>Parent Shareholder Approval</w:t>
      </w:r>
      <w:r>
        <w:rPr>
          <w:rFonts w:ascii="Arial" w:cs="Arial" w:eastAsia="Arial" w:hAnsi="Arial"/>
          <w:sz w:val="17"/>
          <w:szCs w:val="17"/>
          <w:color w:val="auto"/>
        </w:rPr>
        <w:t>”) are the only votes of the holders of any of Parent’s capital stock necessary in connection with the consummation of the transactions contemplated hereby, including the Parent Stock Issuance. This Agreement, assuming due authorization, execution and delivery by the Company, constitutes a valid and binding agreement of each of Parent and Merger Subsidiary, enforceable against Parent and Merger Subsidiary in accordance with its terms (subject to applicable bankruptcy, insolvency, fraudulent transfer, reorganization, moratorium and other laws affecting creditors’ rights generally and general principles of equity).</w:t>
      </w:r>
    </w:p>
    <w:p>
      <w:pPr>
        <w:spacing w:after="0" w:line="239" w:lineRule="exact"/>
        <w:rPr>
          <w:sz w:val="20"/>
          <w:szCs w:val="20"/>
          <w:color w:val="auto"/>
        </w:rPr>
      </w:pPr>
    </w:p>
    <w:p>
      <w:pPr>
        <w:ind w:right="100" w:firstLine="1305"/>
        <w:spacing w:after="0" w:line="259" w:lineRule="auto"/>
        <w:tabs>
          <w:tab w:leader="none" w:pos="19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a meeting duly called and held, as of the date of this Agreement, Parent’s Board of Directors has (i) unanimously determined that this Agreement and the transactions contemplated hereby are fair to and in the best interests of Parent, (ii) unanimously approved and declared advisable this Agreement and the transactions contemplated hereby and (iii) unanimously resolved to recommend that Parent’s shareholders grant the Parent Shareholder Approval (such recommendation, the “</w:t>
      </w:r>
      <w:r>
        <w:rPr>
          <w:rFonts w:ascii="Arial" w:cs="Arial" w:eastAsia="Arial" w:hAnsi="Arial"/>
          <w:sz w:val="18"/>
          <w:szCs w:val="18"/>
          <w:b w:val="1"/>
          <w:bCs w:val="1"/>
          <w:color w:val="auto"/>
        </w:rPr>
        <w:t>Parent Board Recommendation</w:t>
      </w:r>
      <w:r>
        <w:rPr>
          <w:rFonts w:ascii="Arial" w:cs="Arial" w:eastAsia="Arial" w:hAnsi="Arial"/>
          <w:sz w:val="18"/>
          <w:szCs w:val="18"/>
          <w:color w:val="auto"/>
        </w:rPr>
        <w:t>”).</w:t>
      </w:r>
    </w:p>
    <w:p>
      <w:pPr>
        <w:spacing w:after="0" w:line="24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Governmental Authorization</w:t>
      </w:r>
      <w:r>
        <w:rPr>
          <w:rFonts w:ascii="Arial" w:cs="Arial" w:eastAsia="Arial" w:hAnsi="Arial"/>
          <w:sz w:val="18"/>
          <w:szCs w:val="18"/>
          <w:color w:val="auto"/>
        </w:rPr>
        <w:t>. The execution, delivery and performance by Parent and Merger Subsidiary of this Agreement and the consummation by Parent and Merger Subsidiary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Parent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3" w:name="page54"/>
    <w:bookmarkEnd w:id="53"/>
    <w:p>
      <w:pPr>
        <w:ind w:right="20"/>
        <w:spacing w:after="0" w:line="279" w:lineRule="auto"/>
        <w:rPr>
          <w:sz w:val="20"/>
          <w:szCs w:val="20"/>
          <w:color w:val="auto"/>
        </w:rPr>
      </w:pPr>
      <w:r>
        <w:rPr>
          <w:rFonts w:ascii="Arial" w:cs="Arial" w:eastAsia="Arial" w:hAnsi="Arial"/>
          <w:sz w:val="17"/>
          <w:szCs w:val="17"/>
          <w:color w:val="auto"/>
        </w:rPr>
        <w:t>over the assets of the Company and its Subsidiaries, (vi) compliance with any state statutes or local franchise ordinances and agreements, (vi) compliance with any applicable requirements of the 1933 Act, the 1934 Act and any other applicable state or federal securities laws, (vii) compliance with any applicable requirements of the NASDAQ and (viii) any actions or filings the absence of which would not reasonably be expected to have, individually or in the aggregate, a Parent Material Adverse Effect or materially interfere with or delay the consummation of the Merger.</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Parent and Merger Subsidiary of this Agreement and the consummation by Parent and Merger Subsidiary of the transactions contemplated hereby do not and will not (i) contravene, conflict with, or result in any violation or breach of any provision of the articles or certificate of incorporation, respectively, or bylaws of Parent or Merger Subsidiary, (ii) assuming compliance with the matters referred to in Section 5.03, contravene, conflict with or result in a violation or breach of any provision of any Applicable Law,</w:t>
      </w:r>
    </w:p>
    <w:p>
      <w:pPr>
        <w:spacing w:after="0" w:line="2" w:lineRule="exact"/>
        <w:rPr>
          <w:sz w:val="20"/>
          <w:szCs w:val="20"/>
          <w:color w:val="auto"/>
        </w:rPr>
      </w:pPr>
    </w:p>
    <w:p>
      <w:pPr>
        <w:ind w:firstLine="8"/>
        <w:spacing w:after="0" w:line="269" w:lineRule="auto"/>
        <w:tabs>
          <w:tab w:leader="none" w:pos="31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agreement or other instrument binding upon Parent or any of its Subsidiaries or any license, franchise, permit, certificate, approval or other similar authorization affecting, or relating in any way to, the assets or business of Parent and its Subsidiaries or (iv) result in the creation or imposition of any Lien, other than any Permitted Lien, on any asset of Parent or any of its Subsidiaries, with only such exceptions, in the case of each of clauses (ii) through (iv), for such as would not reasonably be expected to have, individually or in the aggregate, a Parent Material Adverse Effect.</w:t>
      </w:r>
    </w:p>
    <w:p>
      <w:pPr>
        <w:spacing w:after="0" w:line="23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i w:val="1"/>
          <w:iCs w:val="1"/>
          <w:color w:val="auto"/>
        </w:rPr>
        <w:t>Capitalization</w:t>
      </w:r>
      <w:r>
        <w:rPr>
          <w:rFonts w:ascii="Arial" w:cs="Arial" w:eastAsia="Arial" w:hAnsi="Arial"/>
          <w:sz w:val="17"/>
          <w:szCs w:val="17"/>
          <w:color w:val="auto"/>
        </w:rPr>
        <w:t>. (a) As of the date hereof, the authorized capital stock of Parent consists of (i) 7,500,000,000 shares of Parent Class A Common Stock, (ii) 7,500,000,000 shares of Parent Class A Special Common Stock, (iii) 75,000,000 shares of Parent Class B Common Stock and (iv) 20,000,000 shares of preferred stock, without par value. As of February 10, 2014, (A) 2,504,774,708 and 2,139,313,958 shares of Parent Class A Common Stock were issued and outstanding, respectively, (B) 525,915,541 and 454,980,777 shares of Parent Class A Special Common Stock were issued and outstanding, respectively, (C) 9,444,375 shares of Parent Class B Common Stock were issued and outstanding, (D) 102,036,956 shares of Parent Class A Common Stock were subject to compensatory options to purchase shares of Parent Class A Common Stock (of which options to purchase an aggregate of 32,032,051 shares of Parent Class A Common Stock were exercisable), (E) 1,068,177 shares of Parent Class A Special Common Stock were subject to compensatory options to purchase shares of Parent Class A Special Common Stock (all of which options were exercisable), (F) restricted stock units or deferred stock units that, in either case, is settleable in</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54" w:name="page55"/>
    <w:bookmarkEnd w:id="54"/>
    <w:p>
      <w:pPr>
        <w:spacing w:after="0" w:line="273" w:lineRule="auto"/>
        <w:rPr>
          <w:sz w:val="20"/>
          <w:szCs w:val="20"/>
          <w:color w:val="auto"/>
        </w:rPr>
      </w:pPr>
      <w:r>
        <w:rPr>
          <w:rFonts w:ascii="Arial" w:cs="Arial" w:eastAsia="Arial" w:hAnsi="Arial"/>
          <w:sz w:val="17"/>
          <w:szCs w:val="17"/>
          <w:color w:val="auto"/>
        </w:rPr>
        <w:t>shares of Parent Stock to acquire an aggregate of 26,335,032.95370 shares of Parent Class A Common Stock were issued and outstanding, (G) restricted stock units or deferred stock units that, in either case, is settleable in shares of Parent Stock to acquire an aggregate of 1,473 shares of Parent Class A Special Common Stock were issued and outstanding and (H) no shares of preferred stock were issued or outstanding. All outstanding shares of capital stock of Parent have been, and all shares that may be issued pursuant to any equity compensation plan or arrangement will be, when issued in accordance with the respective terms thereof, duly authorized and validly issued, fully paid and nonassessable and free of preemptive rights. As of the date hereof, no Subsidiary or Affiliate of Parent owns any shares of capital stock of Parent or any Parent Securities.</w:t>
      </w:r>
    </w:p>
    <w:p>
      <w:pPr>
        <w:spacing w:after="0" w:line="233" w:lineRule="exact"/>
        <w:rPr>
          <w:sz w:val="20"/>
          <w:szCs w:val="20"/>
          <w:color w:val="auto"/>
        </w:rPr>
      </w:pPr>
    </w:p>
    <w:p>
      <w:pPr>
        <w:ind w:right="20" w:firstLine="1305"/>
        <w:spacing w:after="0" w:line="269" w:lineRule="auto"/>
        <w:tabs>
          <w:tab w:leader="none" w:pos="1938"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of the date hereof, there are no outstanding bonds, debentures, notes or other indebtedness of Parent having the right to vote on an as-converted basis (or convertible into, or exchangeable for, securities having the right to vote) on any matters on which shareholders of Parent may vote. As of February 10, 2014, except as set forth in this Section 5.05, there are no issued, reserved for issuance or outstanding (i) shares of capital stock or other voting securities of or other ownership interests in Parent, (ii) securities of Parent convertible into or exchangeable for shares of capital stock or other voting securities of or other ownership interests in Parent, (iii) warrants, calls, options or other rights to acquire from Parent or other obligation of Parent to issue, any shares of capital stock, voting securities or securities convertible into or exchangeable for capital stock or other voting securities of or other ownership interests in Parent or (iv) restricted shares, stock appreciation rights, performance units, contingent value rights, “</w:t>
      </w:r>
      <w:r>
        <w:rPr>
          <w:rFonts w:ascii="Arial" w:cs="Arial" w:eastAsia="Arial" w:hAnsi="Arial"/>
          <w:sz w:val="17"/>
          <w:szCs w:val="17"/>
          <w:b w:val="1"/>
          <w:bCs w:val="1"/>
          <w:color w:val="auto"/>
        </w:rPr>
        <w:t>phantom</w:t>
      </w:r>
      <w:r>
        <w:rPr>
          <w:rFonts w:ascii="Arial" w:cs="Arial" w:eastAsia="Arial" w:hAnsi="Arial"/>
          <w:sz w:val="17"/>
          <w:szCs w:val="17"/>
          <w:color w:val="auto"/>
        </w:rPr>
        <w:t>” stock or similar securities or rights issued or granted by Parent or its Subsidiaries that are derivative of, or provide economic benefits based, directly or indirectly, on the value or price of, any shares of capital stock of or other voting securities of or other ownership interests in Parent (the items in clauses (i) through (iv)being referred to collectively as the “</w:t>
      </w:r>
      <w:r>
        <w:rPr>
          <w:rFonts w:ascii="Arial" w:cs="Arial" w:eastAsia="Arial" w:hAnsi="Arial"/>
          <w:sz w:val="17"/>
          <w:szCs w:val="17"/>
          <w:b w:val="1"/>
          <w:bCs w:val="1"/>
          <w:color w:val="auto"/>
        </w:rPr>
        <w:t>Parent Securities</w:t>
      </w:r>
      <w:r>
        <w:rPr>
          <w:rFonts w:ascii="Arial" w:cs="Arial" w:eastAsia="Arial" w:hAnsi="Arial"/>
          <w:sz w:val="17"/>
          <w:szCs w:val="17"/>
          <w:color w:val="auto"/>
        </w:rPr>
        <w:t>”). As of the date hereof, there are no outstanding obligations of Parent or any of its Subsidiaries to repurchase, redeem or otherwise acquire any of the Parent Securities. As of the date hereof, neither Parent nor any of its Subsidiaries is a party to any voting trust, proxy, voting agreement or other similar agreement with respect to the voting of any Parent Securities.</w:t>
      </w:r>
    </w:p>
    <w:p>
      <w:pPr>
        <w:spacing w:after="0" w:line="233" w:lineRule="exact"/>
        <w:rPr>
          <w:rFonts w:ascii="Arial" w:cs="Arial" w:eastAsia="Arial" w:hAnsi="Arial"/>
          <w:sz w:val="17"/>
          <w:szCs w:val="17"/>
          <w:color w:val="auto"/>
        </w:rPr>
      </w:pPr>
    </w:p>
    <w:p>
      <w:pPr>
        <w:ind w:firstLine="1305"/>
        <w:spacing w:after="0" w:line="264" w:lineRule="auto"/>
        <w:tabs>
          <w:tab w:leader="none" w:pos="19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shares of Parent Class A Common Stock to be issued as part of the Merger Consideration have been duly authorized and, when issued and delivered in accordance with the terms of this Agreement, will have been validly issued and will be fully paid and nonassessable and the issuance thereof is not subject to any preemptive or other similar right.</w:t>
      </w:r>
    </w:p>
    <w:p>
      <w:pPr>
        <w:spacing w:after="0" w:line="23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Subsidiaries</w:t>
      </w:r>
      <w:r>
        <w:rPr>
          <w:rFonts w:ascii="Arial" w:cs="Arial" w:eastAsia="Arial" w:hAnsi="Arial"/>
          <w:sz w:val="16"/>
          <w:szCs w:val="16"/>
          <w:color w:val="auto"/>
        </w:rPr>
        <w:t>. (a) Each Subsidiary of Parent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Parent Material Adverse Effect. Each Subsidiary of Parent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5" w:name="page56"/>
    <w:bookmarkEnd w:id="55"/>
    <w:p>
      <w:pPr>
        <w:ind w:right="180"/>
        <w:spacing w:after="0" w:line="259" w:lineRule="auto"/>
        <w:rPr>
          <w:sz w:val="20"/>
          <w:szCs w:val="20"/>
          <w:color w:val="auto"/>
        </w:rPr>
      </w:pPr>
      <w:r>
        <w:rPr>
          <w:rFonts w:ascii="Arial" w:cs="Arial" w:eastAsia="Arial" w:hAnsi="Arial"/>
          <w:sz w:val="18"/>
          <w:szCs w:val="18"/>
          <w:color w:val="auto"/>
        </w:rPr>
        <w:t>aggregate, a Parent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Parent Material Adverse Effect. The Parent 10-K identifies, as of its filing date, all Significant Subsidiaries of Parent and their respective jurisdictions of organization.</w:t>
      </w:r>
    </w:p>
    <w:p>
      <w:pPr>
        <w:spacing w:after="0" w:line="241" w:lineRule="exact"/>
        <w:rPr>
          <w:sz w:val="20"/>
          <w:szCs w:val="20"/>
          <w:color w:val="auto"/>
        </w:rPr>
      </w:pPr>
    </w:p>
    <w:p>
      <w:pPr>
        <w:ind w:firstLine="1305"/>
        <w:spacing w:after="0" w:line="287" w:lineRule="auto"/>
        <w:tabs>
          <w:tab w:leader="none" w:pos="1938"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of the outstanding capital stock or other voting securities of or other ownership interests in each Significant Subsidiary of Parent, are owned by Parent,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Parent or any of its Significant Subsidiaries convertible into, or exchangeable for, shares of capital stock or other voting securities of or other ownership interests in any Significant Subsidiary of Parent, (ii) warrants, calls, options or other rights to acquire from Parent or any of its Significant Subsidiaries, or other obligations of Parent or any of its Significant Subsidiaries to issue, any shares of capital stock or other voting securities of or other ownership interests in or any securities convertible into, or exchangeable for, any shares of capital stock or other voting securities of or other ownership interests in any Significant Subsidiary of Parent or (iii) restricted shares, stock appreciation rights, performance units, contingent value rights, “</w:t>
      </w:r>
      <w:r>
        <w:rPr>
          <w:rFonts w:ascii="Arial" w:cs="Arial" w:eastAsia="Arial" w:hAnsi="Arial"/>
          <w:sz w:val="16"/>
          <w:szCs w:val="16"/>
          <w:b w:val="1"/>
          <w:bCs w:val="1"/>
          <w:color w:val="auto"/>
        </w:rPr>
        <w:t>phantom</w:t>
      </w:r>
      <w:r>
        <w:rPr>
          <w:rFonts w:ascii="Arial" w:cs="Arial" w:eastAsia="Arial" w:hAnsi="Arial"/>
          <w:sz w:val="16"/>
          <w:szCs w:val="16"/>
          <w:color w:val="auto"/>
        </w:rPr>
        <w:t>” stock or similar securities or rights issued or granted by Parent or its Subsidiaries that are derivative of, or provide economic benefits based, directly or indirectly, on the value or price of, any capital stock or other voting securities of or other ownership interests in any Significant Subsidiary of Parent (the items in clauses (i) through (iii) being referred to collectively as the “</w:t>
      </w:r>
      <w:r>
        <w:rPr>
          <w:rFonts w:ascii="Arial" w:cs="Arial" w:eastAsia="Arial" w:hAnsi="Arial"/>
          <w:sz w:val="16"/>
          <w:szCs w:val="16"/>
          <w:b w:val="1"/>
          <w:bCs w:val="1"/>
          <w:color w:val="auto"/>
        </w:rPr>
        <w:t>Parent Subsidiary Securities</w:t>
      </w:r>
      <w:r>
        <w:rPr>
          <w:rFonts w:ascii="Arial" w:cs="Arial" w:eastAsia="Arial" w:hAnsi="Arial"/>
          <w:sz w:val="16"/>
          <w:szCs w:val="16"/>
          <w:color w:val="auto"/>
        </w:rPr>
        <w:t>”). There are no outstanding obligations of Parent or any of its Significant Subsidiaries to repurchase, redeem or otherwise acquire any of the Parent Subsidiary Securities.</w:t>
      </w:r>
    </w:p>
    <w:p>
      <w:pPr>
        <w:spacing w:after="0" w:line="22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SEC Filings and the Sarbanes-Oxley Act</w:t>
      </w:r>
      <w:r>
        <w:rPr>
          <w:rFonts w:ascii="Arial" w:cs="Arial" w:eastAsia="Arial" w:hAnsi="Arial"/>
          <w:sz w:val="18"/>
          <w:szCs w:val="18"/>
          <w:color w:val="auto"/>
        </w:rPr>
        <w:t>. (a) Parent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Parent since January 1, 2011 (collectively, together with any exhibits and schedules thereto and other information incorporated therein, the “</w:t>
      </w:r>
      <w:r>
        <w:rPr>
          <w:rFonts w:ascii="Arial" w:cs="Arial" w:eastAsia="Arial" w:hAnsi="Arial"/>
          <w:sz w:val="18"/>
          <w:szCs w:val="18"/>
          <w:b w:val="1"/>
          <w:bCs w:val="1"/>
          <w:color w:val="auto"/>
        </w:rPr>
        <w:t>Parent SEC Documents</w:t>
      </w:r>
      <w:r>
        <w:rPr>
          <w:rFonts w:ascii="Arial" w:cs="Arial" w:eastAsia="Arial" w:hAnsi="Arial"/>
          <w:sz w:val="18"/>
          <w:szCs w:val="18"/>
          <w:color w:val="auto"/>
        </w:rPr>
        <w:t>”).</w:t>
      </w:r>
    </w:p>
    <w:p>
      <w:pPr>
        <w:spacing w:after="0" w:line="241" w:lineRule="exact"/>
        <w:rPr>
          <w:sz w:val="20"/>
          <w:szCs w:val="20"/>
          <w:color w:val="auto"/>
        </w:rPr>
      </w:pPr>
    </w:p>
    <w:p>
      <w:pPr>
        <w:ind w:right="160" w:firstLine="1305"/>
        <w:spacing w:after="0" w:line="277" w:lineRule="auto"/>
        <w:tabs>
          <w:tab w:leader="none" w:pos="193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its filing date (or as of the date of any amendment filed prior to the date hereof), each Parent SEC Document complied, and each Parent SEC Document filed subsequent to the date hereof will comply, as to form</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in all material respects with the applicable requirements of the 1933 Act and the 1934 Act and the Sarbanes-Oxley Act, as the case may be.</w:t>
      </w:r>
    </w:p>
    <w:p>
      <w:pPr>
        <w:spacing w:after="0" w:line="279" w:lineRule="exact"/>
        <w:rPr>
          <w:sz w:val="20"/>
          <w:szCs w:val="20"/>
          <w:color w:val="auto"/>
        </w:rPr>
      </w:pPr>
    </w:p>
    <w:p>
      <w:pPr>
        <w:jc w:val="both"/>
        <w:ind w:right="180" w:firstLine="1305"/>
        <w:spacing w:after="0" w:line="279" w:lineRule="auto"/>
        <w:tabs>
          <w:tab w:leader="none" w:pos="1928" w:val="left"/>
        </w:tabs>
        <w:numPr>
          <w:ilvl w:val="0"/>
          <w:numId w:val="53"/>
        </w:numPr>
        <w:rPr>
          <w:rFonts w:ascii="Arial" w:cs="Arial" w:eastAsia="Arial" w:hAnsi="Arial"/>
          <w:sz w:val="17"/>
          <w:szCs w:val="17"/>
          <w:color w:val="auto"/>
        </w:rPr>
      </w:pPr>
      <w:r>
        <w:rPr>
          <w:rFonts w:ascii="Arial" w:cs="Arial" w:eastAsia="Arial" w:hAnsi="Arial"/>
          <w:sz w:val="17"/>
          <w:szCs w:val="17"/>
          <w:color w:val="auto"/>
        </w:rPr>
        <w:t>As of its filing date (or, if amended or superseded by a subsequent filing prior to the date hereof, on the date of such filing), each Parent SEC Document filed or furnished pursuant to the 1934 Act did not, and each Parent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225" w:lineRule="exact"/>
        <w:rPr>
          <w:rFonts w:ascii="Arial" w:cs="Arial" w:eastAsia="Arial" w:hAnsi="Arial"/>
          <w:sz w:val="17"/>
          <w:szCs w:val="17"/>
          <w:color w:val="auto"/>
        </w:rPr>
      </w:pPr>
    </w:p>
    <w:p>
      <w:pPr>
        <w:ind w:right="100" w:firstLine="1305"/>
        <w:spacing w:after="0" w:line="286" w:lineRule="auto"/>
        <w:tabs>
          <w:tab w:leader="none" w:pos="1938"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Parent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219" w:lineRule="exact"/>
        <w:rPr>
          <w:rFonts w:ascii="Arial" w:cs="Arial" w:eastAsia="Arial" w:hAnsi="Arial"/>
          <w:sz w:val="17"/>
          <w:szCs w:val="17"/>
          <w:color w:val="auto"/>
        </w:rPr>
      </w:pPr>
    </w:p>
    <w:p>
      <w:pPr>
        <w:ind w:right="20" w:firstLine="1305"/>
        <w:spacing w:after="0" w:line="255" w:lineRule="auto"/>
        <w:tabs>
          <w:tab w:leader="none" w:pos="19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Parent has established and maintains disclosure controls and procedures (as defined in Rule 13a-15 under the 1934 Act). Such disclosure controls and procedures are designed to ensure that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Parent’s principal executive officer and principal financial officer to material information required to be included in Parent’s periodic and current reports required under the 1934 Act.</w:t>
      </w:r>
    </w:p>
    <w:p>
      <w:pPr>
        <w:spacing w:after="0" w:line="247" w:lineRule="exact"/>
        <w:rPr>
          <w:rFonts w:ascii="Arial" w:cs="Arial" w:eastAsia="Arial" w:hAnsi="Arial"/>
          <w:sz w:val="18"/>
          <w:szCs w:val="18"/>
          <w:color w:val="auto"/>
        </w:rPr>
      </w:pPr>
    </w:p>
    <w:p>
      <w:pPr>
        <w:ind w:firstLine="1305"/>
        <w:spacing w:after="0" w:line="291" w:lineRule="auto"/>
        <w:tabs>
          <w:tab w:leader="none" w:pos="1908"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Parent and its Subsidiaries have established and maintained a system of internal controls over financial reporting (as defined in Rule 13a-15 under the 1934 Act) sufficient to provide reasonable assurance regarding the reliability of Parent’s financial reporting and the preparation of Parent financial statements for external purposes in accordance with GAAP. Parent has disclosed, based on its most recent evaluation of internal controls prior to the date hereof, to Parent’s auditors and audit committee (i) any significant deficiencies and material weaknesses in the design or operation of internal controls which are reasonably likely to adversely affect Parent’s ability to record, process, summarize and report financial information and (ii) any fraud, whether or not material, that involves management or other employees who have a significant role in internal controls. Parent has made available to the Company prior to the date hereof a summary of any such disclosure made by management to Parent’s auditors and audit committee since January 1, 2011.</w:t>
      </w:r>
    </w:p>
    <w:p>
      <w:pPr>
        <w:spacing w:after="0" w:line="221" w:lineRule="exact"/>
        <w:rPr>
          <w:rFonts w:ascii="Arial" w:cs="Arial" w:eastAsia="Arial" w:hAnsi="Arial"/>
          <w:sz w:val="16"/>
          <w:szCs w:val="16"/>
          <w:color w:val="auto"/>
        </w:rPr>
      </w:pPr>
    </w:p>
    <w:p>
      <w:pPr>
        <w:ind w:left="1940" w:hanging="635"/>
        <w:spacing w:after="0"/>
        <w:tabs>
          <w:tab w:leader="none" w:pos="1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Parent nor any of its Subsidiaries has extended or maintained credit, arranged for the extension of</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7" w:name="page58"/>
    <w:bookmarkEnd w:id="57"/>
    <w:p>
      <w:pPr>
        <w:ind w:right="20"/>
        <w:spacing w:after="0" w:line="277" w:lineRule="auto"/>
        <w:rPr>
          <w:sz w:val="20"/>
          <w:szCs w:val="20"/>
          <w:color w:val="auto"/>
        </w:rPr>
      </w:pPr>
      <w:r>
        <w:rPr>
          <w:rFonts w:ascii="Arial" w:cs="Arial" w:eastAsia="Arial" w:hAnsi="Arial"/>
          <w:sz w:val="18"/>
          <w:szCs w:val="18"/>
          <w:color w:val="auto"/>
        </w:rPr>
        <w:t>credit, or renewed an extension of credit, in the form of a personal loan to or for any executive officer (as defined in Rule 3b-7 under the 1934 Act) or director of Parent in violation of Section 402 of the Sarbanes-Oxley Act.</w:t>
      </w:r>
    </w:p>
    <w:p>
      <w:pPr>
        <w:spacing w:after="0" w:line="224" w:lineRule="exact"/>
        <w:rPr>
          <w:sz w:val="20"/>
          <w:szCs w:val="20"/>
          <w:color w:val="auto"/>
        </w:rPr>
      </w:pPr>
    </w:p>
    <w:p>
      <w:pPr>
        <w:ind w:right="180" w:firstLine="1305"/>
        <w:spacing w:after="0" w:line="277" w:lineRule="auto"/>
        <w:tabs>
          <w:tab w:leader="none" w:pos="19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Parent is in compliance, and has complied, in each case in all material respects with (i) the applicable provisions of the Sarbanes-Oxley Act and (ii) the applicable listing and corporate governance rules and regulations of NASDAQ.</w:t>
      </w:r>
    </w:p>
    <w:p>
      <w:pPr>
        <w:spacing w:after="0" w:line="224" w:lineRule="exact"/>
        <w:rPr>
          <w:rFonts w:ascii="Arial" w:cs="Arial" w:eastAsia="Arial" w:hAnsi="Arial"/>
          <w:sz w:val="18"/>
          <w:szCs w:val="18"/>
          <w:color w:val="auto"/>
        </w:rPr>
      </w:pPr>
    </w:p>
    <w:p>
      <w:pPr>
        <w:ind w:right="100" w:firstLine="1305"/>
        <w:spacing w:after="0" w:line="259" w:lineRule="auto"/>
        <w:tabs>
          <w:tab w:leader="none" w:pos="18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the principal executive officer and principal financial officer of Parent (or each former principal executive officer and principal financial officer of Parent, as applicable) have made all certifications required by Rule 13a-14 and 15d-14 under the 1934 Act and Sections 302 and 906 of the Sarbanes-Oxley Act and any related rules and regulations promulgated by the SEC and the NASDAQ, and the statements contained in any such certifications are complete and correct.</w:t>
      </w:r>
    </w:p>
    <w:p>
      <w:pPr>
        <w:spacing w:after="0" w:line="240" w:lineRule="exact"/>
        <w:rPr>
          <w:rFonts w:ascii="Arial" w:cs="Arial" w:eastAsia="Arial" w:hAnsi="Arial"/>
          <w:sz w:val="18"/>
          <w:szCs w:val="18"/>
          <w:color w:val="auto"/>
        </w:rPr>
      </w:pPr>
    </w:p>
    <w:p>
      <w:pPr>
        <w:ind w:right="40" w:firstLine="1305"/>
        <w:spacing w:after="0" w:line="277" w:lineRule="auto"/>
        <w:tabs>
          <w:tab w:leader="none" w:pos="18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Parent 10-K contains no material differences from Parent’s annual report on Form 10-K for the fiscal year ended December 31, 2013, in the form previously delivered to the Company.</w:t>
      </w:r>
    </w:p>
    <w:p>
      <w:pPr>
        <w:spacing w:after="0" w:line="224"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i w:val="1"/>
          <w:iCs w:val="1"/>
          <w:color w:val="auto"/>
        </w:rPr>
        <w:t>Financial Statements</w:t>
      </w:r>
      <w:r>
        <w:rPr>
          <w:rFonts w:ascii="Arial" w:cs="Arial" w:eastAsia="Arial" w:hAnsi="Arial"/>
          <w:sz w:val="17"/>
          <w:szCs w:val="17"/>
          <w:color w:val="auto"/>
        </w:rPr>
        <w:t>. The audited consolidated financial statements and unaudited consolidated interim financial statements of Parent included or incorporated by reference in the Parent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Parent and its consolidated Subsidiaries as of the dates thereof and their consolidated results of operations and cash flows for the periods then ended (subject to normal year end audit adjustments in the case of any unaudited interim financial statements).</w:t>
      </w:r>
    </w:p>
    <w:p>
      <w:pPr>
        <w:spacing w:after="0" w:line="23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Disclosure Documents</w:t>
      </w:r>
      <w:r>
        <w:rPr>
          <w:rFonts w:ascii="Arial" w:cs="Arial" w:eastAsia="Arial" w:hAnsi="Arial"/>
          <w:sz w:val="18"/>
          <w:szCs w:val="18"/>
          <w:color w:val="auto"/>
        </w:rPr>
        <w:t>. The information supplied by Parent in writing for inclusion or incorporation by reference in the Registration Statement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Parent in writing for inclusion in the Joint Proxy Statement/Prospectus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8" w:name="page59"/>
    <w:bookmarkEnd w:id="58"/>
    <w:p>
      <w:pPr>
        <w:ind w:right="280"/>
        <w:spacing w:after="0" w:line="259" w:lineRule="auto"/>
        <w:rPr>
          <w:sz w:val="20"/>
          <w:szCs w:val="20"/>
          <w:color w:val="auto"/>
        </w:rPr>
      </w:pPr>
      <w:r>
        <w:rPr>
          <w:rFonts w:ascii="Arial" w:cs="Arial" w:eastAsia="Arial" w:hAnsi="Arial"/>
          <w:sz w:val="18"/>
          <w:szCs w:val="18"/>
          <w:color w:val="auto"/>
        </w:rPr>
        <w:t>to be stated therein or necessary in order to make the statements therein, in light of the circumstances under which they were made, not misleading. The representations and warranties contained in this Section 5.09 will not apply to statements or omissions included or incorporated by reference in the Registration Statement or Joint Proxy Statement/Prospectus based upon information furnished by the Company or any of its representatives or advisors in writing specifically for use or incorporation by reference therein.</w:t>
      </w:r>
    </w:p>
    <w:p>
      <w:pPr>
        <w:spacing w:after="0" w:line="24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From the Parent Balance Sheet Date through the date of this Agreement: (a) the business of Parent and its Subsidiaries has been conducted in the ordinary course of business consistent with past practice in all material respects; and (b) there has not been any event, occurrence, development or state of circumstances or facts that has had or would reasonably be expected to have, individually or in the aggregate, a Parent Material Adverse Effect.</w:t>
      </w:r>
    </w:p>
    <w:p>
      <w:pPr>
        <w:spacing w:after="0" w:line="24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No Undisclosed Material Liabilities</w:t>
      </w:r>
      <w:r>
        <w:rPr>
          <w:rFonts w:ascii="Arial" w:cs="Arial" w:eastAsia="Arial" w:hAnsi="Arial"/>
          <w:sz w:val="18"/>
          <w:szCs w:val="18"/>
          <w:color w:val="auto"/>
        </w:rPr>
        <w:t>. There are no liabilities or obligations of Parent or any of its Subsidiaries of any kind whatsoever, whether accrued, contingent, absolute, determined, determinable or otherwise, other than:</w:t>
      </w:r>
    </w:p>
    <w:p>
      <w:pPr>
        <w:spacing w:after="0" w:line="224" w:lineRule="exact"/>
        <w:rPr>
          <w:sz w:val="20"/>
          <w:szCs w:val="20"/>
          <w:color w:val="auto"/>
        </w:rPr>
      </w:pPr>
    </w:p>
    <w:p>
      <w:pPr>
        <w:ind w:left="1940" w:hanging="635"/>
        <w:spacing w:after="0"/>
        <w:tabs>
          <w:tab w:leader="none" w:pos="19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liabilities or obligations disclosed, reflected, reserved against or otherwise provided for in the Parent Balance Sheet or in the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65" w:lineRule="exact"/>
        <w:rPr>
          <w:sz w:val="20"/>
          <w:szCs w:val="20"/>
          <w:color w:val="auto"/>
        </w:rPr>
      </w:pPr>
    </w:p>
    <w:p>
      <w:pPr>
        <w:ind w:left="1940" w:hanging="635"/>
        <w:spacing w:after="0"/>
        <w:tabs>
          <w:tab w:leader="none" w:pos="19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liabilities or obligations incurred in the ordinary course of business consistent with past practices since the Parent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65" w:lineRule="exact"/>
        <w:rPr>
          <w:sz w:val="20"/>
          <w:szCs w:val="20"/>
          <w:color w:val="auto"/>
        </w:rPr>
      </w:pPr>
    </w:p>
    <w:p>
      <w:pPr>
        <w:ind w:left="1940" w:hanging="635"/>
        <w:spacing w:after="0"/>
        <w:tabs>
          <w:tab w:leader="none" w:pos="1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liabilities or obligations arising out of this Agreement or the transactions contemplated hereby; and</w:t>
      </w:r>
    </w:p>
    <w:p>
      <w:pPr>
        <w:spacing w:after="0" w:line="279" w:lineRule="exact"/>
        <w:rPr>
          <w:rFonts w:ascii="Arial" w:cs="Arial" w:eastAsia="Arial" w:hAnsi="Arial"/>
          <w:sz w:val="18"/>
          <w:szCs w:val="18"/>
          <w:color w:val="auto"/>
        </w:rPr>
      </w:pPr>
    </w:p>
    <w:p>
      <w:pPr>
        <w:ind w:left="1940" w:hanging="635"/>
        <w:spacing w:after="0"/>
        <w:tabs>
          <w:tab w:leader="none" w:pos="19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liabilities or obligations that would not reasonably be expected to have, individually or in the aggregate, a Parent Material Adverse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6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Compliance with Laws and Court Orders; Governmental Authorizations</w:t>
      </w:r>
      <w:r>
        <w:rPr>
          <w:rFonts w:ascii="Arial" w:cs="Arial" w:eastAsia="Arial" w:hAnsi="Arial"/>
          <w:sz w:val="17"/>
          <w:szCs w:val="17"/>
          <w:color w:val="auto"/>
        </w:rPr>
        <w:t>. (a) Parent and each of its Subsidiaries is and since January 1, 2012 has been in compliance with, and to the knowledge of Parent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Parent Material Adverse Effect or to materially interfere with or delay the consummation of the Merger. There is no judgment, decree, injunction, rule or order of any arbitrator or Governmental Authority outstanding against Parent or any of its Subsidiaries that has had or would reasonably be expected to have, individually or in the aggregate, a Parent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Material Adverse Effect or that, as of the date hereof, seeks materially interefere with or delay the consummation of the Merger.</w:t>
      </w:r>
    </w:p>
    <w:p>
      <w:pPr>
        <w:spacing w:after="0" w:line="279" w:lineRule="exact"/>
        <w:rPr>
          <w:sz w:val="20"/>
          <w:szCs w:val="20"/>
          <w:color w:val="auto"/>
        </w:rPr>
      </w:pPr>
    </w:p>
    <w:p>
      <w:pPr>
        <w:ind w:firstLine="1305"/>
        <w:spacing w:after="0" w:line="297" w:lineRule="auto"/>
        <w:tabs>
          <w:tab w:leader="none" w:pos="1938"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Parent Material Adverse Effect, Parent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Parent Material Adverse Effect, Parent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21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Litigation</w:t>
      </w:r>
      <w:r>
        <w:rPr>
          <w:rFonts w:ascii="Arial" w:cs="Arial" w:eastAsia="Arial" w:hAnsi="Arial"/>
          <w:sz w:val="16"/>
          <w:szCs w:val="16"/>
          <w:color w:val="auto"/>
        </w:rPr>
        <w:t>. There is no action, suit, investigation or proceeding pending against, or, to the knowledge of Parent, threatened against Parent, any of its Subsidiaries, any present or former officer, director or employee of Parent or any of its Subsidiaries or any other Person for whom Parent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Parent Material Adverse Effect or (ii) as of the date hereof, seeks to materially interfere with or delay the consummation of the Merger.</w:t>
      </w:r>
    </w:p>
    <w:p>
      <w:pPr>
        <w:spacing w:after="0" w:line="21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i w:val="1"/>
          <w:iCs w:val="1"/>
          <w:color w:val="auto"/>
        </w:rPr>
        <w:t>Taxes</w:t>
      </w:r>
      <w:r>
        <w:rPr>
          <w:rFonts w:ascii="Arial" w:cs="Arial" w:eastAsia="Arial" w:hAnsi="Arial"/>
          <w:sz w:val="16"/>
          <w:szCs w:val="16"/>
          <w:color w:val="auto"/>
        </w:rPr>
        <w:t>. Except as would not reasonably be expected to have, individually or in the aggregate, a Parent Material Adverse Effect:</w:t>
      </w:r>
    </w:p>
    <w:p>
      <w:pPr>
        <w:spacing w:after="0" w:line="279" w:lineRule="exact"/>
        <w:rPr>
          <w:sz w:val="20"/>
          <w:szCs w:val="20"/>
          <w:color w:val="auto"/>
        </w:rPr>
      </w:pPr>
    </w:p>
    <w:p>
      <w:pPr>
        <w:ind w:right="120" w:firstLine="1305"/>
        <w:spacing w:after="0" w:line="277" w:lineRule="auto"/>
        <w:tabs>
          <w:tab w:leader="none" w:pos="19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Each income or franchise Tax Return and each other material Tax Return required to be filed with any Taxing Authority by Parent or any of its Subsidiaries has been filed when due and is true and complete in all material respects;</w:t>
      </w:r>
    </w:p>
    <w:p>
      <w:pPr>
        <w:spacing w:after="0" w:line="224" w:lineRule="exact"/>
        <w:rPr>
          <w:rFonts w:ascii="Arial" w:cs="Arial" w:eastAsia="Arial" w:hAnsi="Arial"/>
          <w:sz w:val="18"/>
          <w:szCs w:val="18"/>
          <w:color w:val="auto"/>
        </w:rPr>
      </w:pPr>
    </w:p>
    <w:p>
      <w:pPr>
        <w:ind w:left="1300" w:right="80" w:firstLine="491"/>
        <w:spacing w:after="0" w:line="277" w:lineRule="auto"/>
        <w:tabs>
          <w:tab w:leader="none" w:pos="2438"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Parent and each of its Subsidiaries has timely paid to the appropriate Taxing Authority all Taxes shown as due and payable on all Tax Returns that have been so filed;</w:t>
      </w:r>
    </w:p>
    <w:p>
      <w:pPr>
        <w:spacing w:after="0" w:line="224" w:lineRule="exact"/>
        <w:rPr>
          <w:rFonts w:ascii="Arial" w:cs="Arial" w:eastAsia="Arial" w:hAnsi="Arial"/>
          <w:sz w:val="18"/>
          <w:szCs w:val="18"/>
          <w:color w:val="auto"/>
        </w:rPr>
      </w:pPr>
    </w:p>
    <w:p>
      <w:pPr>
        <w:ind w:left="1300" w:right="360" w:firstLine="491"/>
        <w:spacing w:after="0" w:line="277" w:lineRule="auto"/>
        <w:tabs>
          <w:tab w:leader="none" w:pos="24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accruals and reserves with respect to Taxes as set forth on the Parent Balance Sheet are adequate (as determined in accordance with GAAP);</w:t>
      </w:r>
    </w:p>
    <w:p>
      <w:pPr>
        <w:spacing w:after="0" w:line="224" w:lineRule="exact"/>
        <w:rPr>
          <w:rFonts w:ascii="Arial" w:cs="Arial" w:eastAsia="Arial" w:hAnsi="Arial"/>
          <w:sz w:val="18"/>
          <w:szCs w:val="18"/>
          <w:color w:val="auto"/>
        </w:rPr>
      </w:pPr>
    </w:p>
    <w:p>
      <w:pPr>
        <w:ind w:left="1300" w:right="180" w:firstLine="491"/>
        <w:spacing w:after="0" w:line="277" w:lineRule="auto"/>
        <w:tabs>
          <w:tab w:leader="none" w:pos="24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adequate accruals and reserves (as determined in accordance with GAAP) have been established for Taxes attributable to taxable periods (or portions thereof) from the Parent Balance Sheet Date;</w:t>
      </w:r>
    </w:p>
    <w:p>
      <w:pPr>
        <w:spacing w:after="0" w:line="224" w:lineRule="exact"/>
        <w:rPr>
          <w:rFonts w:ascii="Arial" w:cs="Arial" w:eastAsia="Arial" w:hAnsi="Arial"/>
          <w:sz w:val="18"/>
          <w:szCs w:val="18"/>
          <w:color w:val="auto"/>
        </w:rPr>
      </w:pPr>
    </w:p>
    <w:p>
      <w:pPr>
        <w:ind w:left="2440" w:hanging="649"/>
        <w:spacing w:after="0"/>
        <w:tabs>
          <w:tab w:leader="none" w:pos="24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there is no action, suit, investigation, proceeding or audit pending or, to Parent’s knowledge, threatened against or with</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60" w:name="page61"/>
    <w:bookmarkEnd w:id="60"/>
    <w:p>
      <w:pPr>
        <w:ind w:left="1300"/>
        <w:spacing w:after="0"/>
        <w:rPr>
          <w:sz w:val="20"/>
          <w:szCs w:val="20"/>
          <w:color w:val="auto"/>
        </w:rPr>
      </w:pPr>
      <w:r>
        <w:rPr>
          <w:rFonts w:ascii="Arial" w:cs="Arial" w:eastAsia="Arial" w:hAnsi="Arial"/>
          <w:sz w:val="18"/>
          <w:szCs w:val="18"/>
          <w:color w:val="auto"/>
        </w:rPr>
        <w:t>respect to Parent or any of its Subsidiaries in respect of any material Tax; and</w:t>
      </w:r>
    </w:p>
    <w:p>
      <w:pPr>
        <w:spacing w:after="0" w:line="279" w:lineRule="exact"/>
        <w:rPr>
          <w:sz w:val="20"/>
          <w:szCs w:val="20"/>
          <w:color w:val="auto"/>
        </w:rPr>
      </w:pPr>
    </w:p>
    <w:p>
      <w:pPr>
        <w:ind w:left="1300" w:right="80" w:firstLine="491"/>
        <w:spacing w:after="0" w:line="286" w:lineRule="auto"/>
        <w:tabs>
          <w:tab w:leader="none" w:pos="2478"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there are no Liens for material Taxes on any of the assets of Parent or any of its Subsidiaries other than Liens for Taxes not yet due or being contested in good faith (and, in either case, which have been disclosed on Section 5.14(a)(vi) of the Parent Disclosure Schedule) or for which adequate accruals or reserves have been established on the Parent Balance Sheet.</w:t>
      </w:r>
    </w:p>
    <w:p>
      <w:pPr>
        <w:spacing w:after="0" w:line="219" w:lineRule="exact"/>
        <w:rPr>
          <w:rFonts w:ascii="Arial" w:cs="Arial" w:eastAsia="Arial" w:hAnsi="Arial"/>
          <w:sz w:val="17"/>
          <w:szCs w:val="17"/>
          <w:color w:val="auto"/>
        </w:rPr>
      </w:pPr>
    </w:p>
    <w:p>
      <w:pPr>
        <w:ind w:right="80" w:firstLine="1305"/>
        <w:spacing w:after="0" w:line="279" w:lineRule="auto"/>
        <w:tabs>
          <w:tab w:leader="none" w:pos="193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income and franchise Tax Returns of Parent and its Subsidiaries through the Tax year ended December 31, 1993 have been examined and the examinations have been closed or are Tax Returns with respect to which the applicable period for assessment, after giving effect to extensions or waivers, has expired. The federal Tax Returns have been examined and the applicable federal statute of limitations (including extensions) have expired for Tax years through December 31, 2000 as well as for Tax years December 31, 2007 and December 31, 2008.</w:t>
      </w:r>
    </w:p>
    <w:p>
      <w:pPr>
        <w:spacing w:after="0" w:line="225" w:lineRule="exact"/>
        <w:rPr>
          <w:rFonts w:ascii="Arial" w:cs="Arial" w:eastAsia="Arial" w:hAnsi="Arial"/>
          <w:sz w:val="17"/>
          <w:szCs w:val="17"/>
          <w:color w:val="auto"/>
        </w:rPr>
      </w:pPr>
    </w:p>
    <w:p>
      <w:pPr>
        <w:ind w:right="880" w:firstLine="1305"/>
        <w:spacing w:after="0" w:line="277" w:lineRule="auto"/>
        <w:tabs>
          <w:tab w:leader="none" w:pos="19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jurisdiction in which Parent or any of its Subsidiaries does not file Tax Returns has asserted that Parent or any of its Subsidiaries is or may be liable for Tax in that jurisdiction.</w:t>
      </w:r>
    </w:p>
    <w:p>
      <w:pPr>
        <w:spacing w:after="0" w:line="22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i w:val="1"/>
          <w:iCs w:val="1"/>
          <w:color w:val="auto"/>
        </w:rPr>
        <w:t>Franchises</w:t>
      </w:r>
      <w:r>
        <w:rPr>
          <w:rFonts w:ascii="Arial" w:cs="Arial" w:eastAsia="Arial" w:hAnsi="Arial"/>
          <w:sz w:val="16"/>
          <w:szCs w:val="16"/>
          <w:color w:val="auto"/>
        </w:rPr>
        <w:t>. Except as would not reasonably be expected to have, individually or in the aggregate, a Parent Material Adverse Effect,</w:t>
      </w:r>
    </w:p>
    <w:p>
      <w:pPr>
        <w:spacing w:after="0" w:line="23" w:lineRule="exact"/>
        <w:rPr>
          <w:sz w:val="20"/>
          <w:szCs w:val="20"/>
          <w:color w:val="auto"/>
        </w:rPr>
      </w:pPr>
    </w:p>
    <w:p>
      <w:pPr>
        <w:ind w:right="80" w:firstLine="8"/>
        <w:spacing w:after="0" w:line="255" w:lineRule="auto"/>
        <w:tabs>
          <w:tab w:leader="none" w:pos="2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Cable Systems owned or operated by Parent and its Subsidiaries are in compliance with the applicable Franchises in all material respects and (b) there are no material ongoing or, to Parent’s knowledge, threatened audits or similar proceedings undertaken by Governmental Authorities with respect to any of the Franchises of Parent or its Subsidiaries.</w:t>
      </w:r>
    </w:p>
    <w:p>
      <w:pPr>
        <w:spacing w:after="0" w:line="24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i w:val="1"/>
          <w:iCs w:val="1"/>
          <w:color w:val="auto"/>
        </w:rPr>
        <w:t>Tax Treatment</w:t>
      </w:r>
      <w:r>
        <w:rPr>
          <w:rFonts w:ascii="Arial" w:cs="Arial" w:eastAsia="Arial" w:hAnsi="Arial"/>
          <w:sz w:val="18"/>
          <w:szCs w:val="18"/>
          <w:color w:val="auto"/>
        </w:rPr>
        <w:t>. Neither Parent nor any of its Affiliates has taken or agreed to take any action or is aware of any fact or circumstance that would prevent the Merger from qualifying as a 368 Reorganization.</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i w:val="1"/>
          <w:iCs w:val="1"/>
          <w:color w:val="auto"/>
        </w:rPr>
        <w:t>Certain Agreements</w:t>
      </w:r>
      <w:r>
        <w:rPr>
          <w:rFonts w:ascii="Arial" w:cs="Arial" w:eastAsia="Arial" w:hAnsi="Arial"/>
          <w:sz w:val="18"/>
          <w:szCs w:val="18"/>
          <w:color w:val="auto"/>
        </w:rPr>
        <w:t>. (a) Prior to the date hereof, Parent has provided to the Company true, correct and complete copies of the NBCUniversal Agreement and any amendments, modifications or waivers thereof. The transactions contemplated by the NBCUniversal Agreement were consummated in accordance with the terms thereof and without any waivers of the conditions thereto set forth therein, and, to Parent’s knowledge, since the date of the consummation of the transactions contemplated by the NBCUniversal Agreement, there has not occurred any fact, circumstance, effect, change, event or development that, individually or in the aggregate, has had or would reasonably be expected to have a Parent Material Adverse Effect on the business acquired by Parent thereunder.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1" w:name="page62"/>
    <w:bookmarkEnd w:id="61"/>
    <w:p>
      <w:pPr>
        <w:ind w:right="120" w:firstLine="656"/>
        <w:spacing w:after="0" w:line="264" w:lineRule="auto"/>
        <w:tabs>
          <w:tab w:leader="none" w:pos="8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of the date hereof, neither Parent nor any of its Subsidiaries is a party to any agreement (whether written or oral) with any Person (other than Parent’s Representatives in such capacity) with respect to any possible transaction involving the acquisition of the Company, or any of the Company’s material assets.</w:t>
      </w:r>
    </w:p>
    <w:p>
      <w:pPr>
        <w:spacing w:after="0" w:line="23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i w:val="1"/>
          <w:iCs w:val="1"/>
          <w:color w:val="auto"/>
        </w:rPr>
        <w:t>Finders’ Fees</w:t>
      </w:r>
      <w:r>
        <w:rPr>
          <w:rFonts w:ascii="Arial" w:cs="Arial" w:eastAsia="Arial" w:hAnsi="Arial"/>
          <w:sz w:val="17"/>
          <w:szCs w:val="17"/>
          <w:color w:val="auto"/>
        </w:rPr>
        <w:t>. Except for J.P. Morgan Securities LLC, Paul J. Taubman and Barclays Capital Inc., there is no investment banker, broker, finder or other intermediary that has been retained by or is authorized to act on behalf of Parent or any of its Subsidiaries who might be entitled to any fee or commission from Parent or any of its Affiliates in connection with the transactions contemplated by this Agreement.</w:t>
      </w:r>
    </w:p>
    <w:p>
      <w:pPr>
        <w:spacing w:after="0" w:line="22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Opinion of Financial Advisor</w:t>
      </w:r>
      <w:r>
        <w:rPr>
          <w:rFonts w:ascii="Arial" w:cs="Arial" w:eastAsia="Arial" w:hAnsi="Arial"/>
          <w:sz w:val="18"/>
          <w:szCs w:val="18"/>
          <w:color w:val="auto"/>
        </w:rPr>
        <w:t>. Parent’s Board of Directors has received the opinion of J.P. Morgan Securities LLC, financial advisor to Parent, to the effect that, as of the date of such opinion, and based upon and subject to the factors and assumptions set forth therein, the Exchange Ratio is fair to Parent from a financial point of view.</w:t>
      </w:r>
    </w:p>
    <w:p>
      <w:pPr>
        <w:spacing w:after="0" w:line="23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No Additional Representations</w:t>
      </w:r>
      <w:r>
        <w:rPr>
          <w:rFonts w:ascii="Arial" w:cs="Arial" w:eastAsia="Arial" w:hAnsi="Arial"/>
          <w:sz w:val="16"/>
          <w:szCs w:val="16"/>
          <w:color w:val="auto"/>
        </w:rPr>
        <w:t>. Except for the representations and warranties made by Parent in this Article 5, none of Parent, Merger Subsidiary or any other Person makes any express or implied representation or warranty with respect to Parent or its Subsidiaries or their respective businesses, operations, assets, liabilities, conditions (financial or otherwise) or prospects in connection with this Agreement or the transactions contemplated hereby, and each of Parent and Merger Subsidiary hereby disclaims any such other representations or warranties. In particular, without limiting the foregoing disclaimer, none of Parent, Merger Subsidiary or any other Person makes or has made any representation or warranty to the Company or any of its Affiliates or Representatives with respect to (a) any financial projection, forecast, estimate, budget or prospect information relating to Parent, any of its Subsidiaries or their respective businesses, or (b) any oral or, except for the representations and warranties made by Parent in this Article 5, written information presented to the Company or any of its Affiliates or Representatives in the course of their due diligence investigation of Parent, the negotiation of this Agreement or in the course of the transactions contemplated hereby. Notwithstanding the foregoing, this Section 5.20 shall not limit the Company’s remedies in the case of fraud.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 of the Company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 that: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Conduct of the Company</w:t>
      </w:r>
      <w:r>
        <w:rPr>
          <w:rFonts w:ascii="Arial" w:cs="Arial" w:eastAsia="Arial" w:hAnsi="Arial"/>
          <w:sz w:val="18"/>
          <w:szCs w:val="18"/>
          <w:color w:val="auto"/>
        </w:rPr>
        <w:t>. From the date hereof until the Effective Time, except as expressly contemplated by this Agreement, as set forth in Section 6.01 of the Company Disclosure Schedule, as consented to in writing by Parent, as contemplated by or reasonably necessary to implement the Company</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t>Operating Plan (or, with respect to any initiative therein, reallocations among line items within such initiative that are not in the aggregate more burdensome to the Company in any material respect) or as required by Applicable Law, the Company shall, and shall cause each of its Subsidiaries to, conduct its business in all material respects in the ordinary course consistent with past practice and use its commercially reasonable efforts to (i) preserve intact its business organization, (ii) maintain in effect all of its material foreign, federal, state and local licenses, permits, consents, franchises, approvals and authorizations, and</w:t>
      </w:r>
    </w:p>
    <w:p>
      <w:pPr>
        <w:spacing w:after="0" w:line="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maintain its existing relationships with its material customers, lenders, suppliers and others having material business relationships with it and with</w:t>
      </w:r>
    </w:p>
    <w:p>
      <w:pPr>
        <w:spacing w:after="0" w:line="20" w:lineRule="exact"/>
        <w:rPr>
          <w:rFonts w:ascii="Arial" w:cs="Arial" w:eastAsia="Arial" w:hAnsi="Arial"/>
          <w:sz w:val="17"/>
          <w:szCs w:val="17"/>
          <w:color w:val="auto"/>
        </w:rPr>
      </w:pPr>
    </w:p>
    <w:p>
      <w:pPr>
        <w:ind w:right="20"/>
        <w:spacing w:after="0" w:line="252" w:lineRule="auto"/>
        <w:rPr>
          <w:rFonts w:ascii="Arial" w:cs="Arial" w:eastAsia="Arial" w:hAnsi="Arial"/>
          <w:sz w:val="17"/>
          <w:szCs w:val="17"/>
          <w:color w:val="auto"/>
        </w:rPr>
      </w:pPr>
      <w:r>
        <w:rPr>
          <w:rFonts w:ascii="Arial" w:cs="Arial" w:eastAsia="Arial" w:hAnsi="Arial"/>
          <w:sz w:val="18"/>
          <w:szCs w:val="18"/>
          <w:color w:val="auto"/>
        </w:rPr>
        <w:t>Governmental Authorities with jurisdiction over the Company’s operations. Without limiting the generality of the foregoing, from the date hereof until the Effective Time, except as expressly contemplated by this Agreement, as set forth in Section 6.01 of the Company Disclosure Schedule, as consented to in writing by Parent (solely in the case of the following clauses (d), (e), (f), (g), (h), (i), (j) and (p), such consent not to be unreasonably withheld, conditioned or delayed),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not, nor shall it permit any of its Subsidiaries to:</w:t>
      </w:r>
    </w:p>
    <w:p>
      <w:pPr>
        <w:spacing w:after="0" w:line="248" w:lineRule="exact"/>
        <w:rPr>
          <w:rFonts w:ascii="Arial" w:cs="Arial" w:eastAsia="Arial" w:hAnsi="Arial"/>
          <w:sz w:val="17"/>
          <w:szCs w:val="17"/>
          <w:color w:val="auto"/>
        </w:rPr>
      </w:pPr>
    </w:p>
    <w:p>
      <w:pPr>
        <w:ind w:left="1940" w:hanging="635"/>
        <w:spacing w:after="0"/>
        <w:tabs>
          <w:tab w:leader="none" w:pos="19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amend its certificate of incorporation, bylaws or other similar organizational documents (whether by merger, consolidation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otherwise);</w:t>
      </w:r>
    </w:p>
    <w:p>
      <w:pPr>
        <w:spacing w:after="0" w:line="264" w:lineRule="exact"/>
        <w:rPr>
          <w:rFonts w:ascii="Arial" w:cs="Arial" w:eastAsia="Arial" w:hAnsi="Arial"/>
          <w:sz w:val="17"/>
          <w:szCs w:val="17"/>
          <w:color w:val="auto"/>
        </w:rPr>
      </w:pPr>
    </w:p>
    <w:p>
      <w:pPr>
        <w:ind w:right="20" w:firstLine="1305"/>
        <w:spacing w:after="0" w:line="269" w:lineRule="auto"/>
        <w:tabs>
          <w:tab w:leader="none" w:pos="1938" w:val="left"/>
        </w:tabs>
        <w:numPr>
          <w:ilvl w:val="1"/>
          <w:numId w:val="64"/>
        </w:numPr>
        <w:rPr>
          <w:rFonts w:ascii="Arial" w:cs="Arial" w:eastAsia="Arial" w:hAnsi="Arial"/>
          <w:sz w:val="17"/>
          <w:szCs w:val="17"/>
          <w:color w:val="auto"/>
        </w:rPr>
      </w:pPr>
      <w:r>
        <w:rPr>
          <w:rFonts w:ascii="Arial" w:cs="Arial" w:eastAsia="Arial" w:hAnsi="Arial"/>
          <w:sz w:val="17"/>
          <w:szCs w:val="17"/>
          <w:color w:val="auto"/>
        </w:rPr>
        <w:t>split, combine or reclassify any shares of capital stock of the Company or any of its Subsidiaries or declare, set aside or pay any dividend or other distribution (whether in cash, stock or property or any combination thereof) in respect of the capital stock of the Company or its Subsidiaries, or redeem, repurchase or otherwise acquire or offer to redeem, repurchase, or otherwise acquire any Company Securities or any Company Subsidiary Securities, except for (i) dividends by any of its wholly owned Subsidiaries, (ii) regular quarterly cash dividends with customary record and payment dates on the shares of the Company Stock not in excess of $0.75 per share per quarter, as such amount may be increased for 2015 in the ordinary course of business consistent with past practice, (iii) repurchases of shares of Company Stock in the ordinary course of business consistent with past practices (including as to volume) at then prevailing market prices pursuant to the Company’s share repurchase program as in effect from time to time and (iv) acquisitions, or deemed acquisitions, of Company Stock in connection with (A) the payment of the exercise price of Company Stock Options with Company Stock (including in connection with “</w:t>
      </w:r>
      <w:r>
        <w:rPr>
          <w:rFonts w:ascii="Arial" w:cs="Arial" w:eastAsia="Arial" w:hAnsi="Arial"/>
          <w:sz w:val="17"/>
          <w:szCs w:val="17"/>
          <w:b w:val="1"/>
          <w:bCs w:val="1"/>
          <w:color w:val="auto"/>
        </w:rPr>
        <w:t>net exercises</w:t>
      </w:r>
      <w:r>
        <w:rPr>
          <w:rFonts w:ascii="Arial" w:cs="Arial" w:eastAsia="Arial" w:hAnsi="Arial"/>
          <w:sz w:val="17"/>
          <w:szCs w:val="17"/>
          <w:color w:val="auto"/>
        </w:rPr>
        <w:t>”) and (B) required Tax withholding in connection with the exercise of Company Stock Options and the vesting or settlement of Company RSUs, in each case, to the extent such Company Stock Options and Company RSUs are outstanding on the date of this Agreement (and in such case, in accordance with their terms on the</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date of this Agreement) or are issued or granted after the date of this Agreement as permitted by Section 6.01(c)(i)(B);</w:t>
      </w:r>
    </w:p>
    <w:p>
      <w:pPr>
        <w:spacing w:after="0" w:line="279" w:lineRule="exact"/>
        <w:rPr>
          <w:sz w:val="20"/>
          <w:szCs w:val="20"/>
          <w:color w:val="auto"/>
        </w:rPr>
      </w:pPr>
    </w:p>
    <w:p>
      <w:pPr>
        <w:ind w:right="40" w:firstLine="1305"/>
        <w:spacing w:after="0" w:line="271" w:lineRule="auto"/>
        <w:tabs>
          <w:tab w:leader="none" w:pos="1928"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issue, deliver or sell, or authorize the issuance, delivery or sale of, any shares of any Company Securities or Company Subsidiary Securities, other than (A) the issuance of any shares of the Company Stock upon the exercise of Company Stock Options that are outstanding on the date of this Agreement in accordance with the terms of those options on the date of this Agreement or that are issued after the date of this Agreement as permitted by the following clause (B) and (B) the grant of Company RSUs as long as the aggregate value of all such Company RSUs does not exceed the amount set forth on Section 6.01(c) of the Company Disclosure Schedule, and provided that such grants shall be made on terms and conditions used by the Company with respect to Company RSUs in the ordinary course of business consistent with past practice and such other terms and conditions as set forth on Section 6.01(c) of the Company Disclosure Schedule or (ii) amend any term of any the Company Security or any Company Subsidiary Security (in each case, whether by merger, consolidation or otherwise);</w:t>
      </w:r>
    </w:p>
    <w:p>
      <w:pPr>
        <w:spacing w:after="0" w:line="232" w:lineRule="exact"/>
        <w:rPr>
          <w:rFonts w:ascii="Arial" w:cs="Arial" w:eastAsia="Arial" w:hAnsi="Arial"/>
          <w:sz w:val="17"/>
          <w:szCs w:val="17"/>
          <w:color w:val="auto"/>
        </w:rPr>
      </w:pPr>
    </w:p>
    <w:p>
      <w:pPr>
        <w:ind w:right="40" w:firstLine="1305"/>
        <w:spacing w:after="0" w:line="264" w:lineRule="auto"/>
        <w:tabs>
          <w:tab w:leader="none" w:pos="193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incur any capital expenditures or any obligations or liabilities in respect thereof, except for (i) those as may be contemplated by the plan described in Section 6.01(d) of the Company Disclosure Schedule and (ii) any other capital expenditures not to exceed $150,000,000 in the aggregate in any twelve-month period;</w:t>
      </w:r>
    </w:p>
    <w:p>
      <w:pPr>
        <w:spacing w:after="0" w:line="235" w:lineRule="exact"/>
        <w:rPr>
          <w:rFonts w:ascii="Arial" w:cs="Arial" w:eastAsia="Arial" w:hAnsi="Arial"/>
          <w:sz w:val="18"/>
          <w:szCs w:val="18"/>
          <w:color w:val="auto"/>
        </w:rPr>
      </w:pPr>
    </w:p>
    <w:p>
      <w:pPr>
        <w:ind w:right="160" w:firstLine="1305"/>
        <w:spacing w:after="0" w:line="257" w:lineRule="auto"/>
        <w:tabs>
          <w:tab w:leader="none" w:pos="19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any assets, securities, properties, interests or businesses, other than (i) supplies and materials in the ordinary course of business of the Company and its Subsidiaries in a manner that is consistent with past practice, (ii) pursuant to contracts or arrangements in effect on the date hereof, (iii) leases or subleases under which the Company or one of its Subsidiaries is the tenant entered into in the ordinary course of business and (iv) acquisitions with a purchase price (including assumed indebtedness) that does not exceed $100,000,000 in the aggregate;</w:t>
      </w:r>
    </w:p>
    <w:p>
      <w:pPr>
        <w:spacing w:after="0" w:line="242" w:lineRule="exact"/>
        <w:rPr>
          <w:rFonts w:ascii="Arial" w:cs="Arial" w:eastAsia="Arial" w:hAnsi="Arial"/>
          <w:sz w:val="18"/>
          <w:szCs w:val="18"/>
          <w:color w:val="auto"/>
        </w:rPr>
      </w:pPr>
    </w:p>
    <w:p>
      <w:pPr>
        <w:ind w:firstLine="1305"/>
        <w:spacing w:after="0" w:line="276" w:lineRule="auto"/>
        <w:tabs>
          <w:tab w:leader="none" w:pos="19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sell, license, lease or otherwise transfer, or create or incur any Lien on, any of the Company’s or its Subsidiaries’ assets, securities, properties, interests or businesses, other than (i) sales of inventory or obsolete equipment in the ordinary course of business consistent with past practice, (ii) sales of assets, securities, properties, interests or business with a sale price (including any related assumed indebtedness) that does not exceed $100,000,000 in the aggregate, (iii) pursuant to contracts or arrangements in effect on the date hereof, (iv) leases or subleases under which the Company or one of its Subsidiaries is the lessor entered into in the ordinary course of business, or (v) Permitted Liens;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4" w:name="page65"/>
    <w:bookmarkEnd w:id="64"/>
    <w:p>
      <w:pPr>
        <w:ind w:left="-20" w:right="20" w:firstLine="1305"/>
        <w:spacing w:after="0" w:line="279" w:lineRule="auto"/>
        <w:tabs>
          <w:tab w:leader="none" w:pos="1918" w:val="left"/>
        </w:tabs>
        <w:numPr>
          <w:ilvl w:val="0"/>
          <w:numId w:val="66"/>
        </w:numPr>
        <w:rPr>
          <w:rFonts w:ascii="Arial" w:cs="Arial" w:eastAsia="Arial" w:hAnsi="Arial"/>
          <w:sz w:val="17"/>
          <w:szCs w:val="17"/>
          <w:color w:val="auto"/>
        </w:rPr>
      </w:pPr>
      <w:r>
        <w:rPr>
          <w:rFonts w:ascii="Arial" w:cs="Arial" w:eastAsia="Arial" w:hAnsi="Arial"/>
          <w:sz w:val="17"/>
          <w:szCs w:val="17"/>
          <w:color w:val="auto"/>
        </w:rPr>
        <w:t>other than in connection with actions permitted by Section 6.01(d) or (e) or as required by existing agreements set forth on Section 4.06(c) of the Company Disclosure Schedule, make any loans, advances or capital contributions to, or investments in, any other Person, other than (i) in the ordinary course of business consistent with past practice, (ii) investments or capital contributions that are made alongside Parent or any of its Affiliates or (iii) loans, advances or capital contributions to, or investments in, wholly owned Subsidiaries of the Company;</w:t>
      </w:r>
    </w:p>
    <w:p>
      <w:pPr>
        <w:spacing w:after="0" w:line="225" w:lineRule="exact"/>
        <w:rPr>
          <w:rFonts w:ascii="Arial" w:cs="Arial" w:eastAsia="Arial" w:hAnsi="Arial"/>
          <w:sz w:val="17"/>
          <w:szCs w:val="17"/>
          <w:color w:val="auto"/>
        </w:rPr>
      </w:pPr>
    </w:p>
    <w:p>
      <w:pPr>
        <w:ind w:left="-20" w:right="220" w:firstLine="1305"/>
        <w:spacing w:after="0" w:line="276" w:lineRule="auto"/>
        <w:tabs>
          <w:tab w:leader="none" w:pos="1918" w:val="left"/>
        </w:tabs>
        <w:numPr>
          <w:ilvl w:val="0"/>
          <w:numId w:val="66"/>
        </w:numPr>
        <w:rPr>
          <w:rFonts w:ascii="Arial" w:cs="Arial" w:eastAsia="Arial" w:hAnsi="Arial"/>
          <w:sz w:val="17"/>
          <w:szCs w:val="17"/>
          <w:color w:val="auto"/>
        </w:rPr>
      </w:pPr>
      <w:r>
        <w:rPr>
          <w:rFonts w:ascii="Arial" w:cs="Arial" w:eastAsia="Arial" w:hAnsi="Arial"/>
          <w:sz w:val="17"/>
          <w:szCs w:val="17"/>
          <w:color w:val="auto"/>
        </w:rPr>
        <w:t>create, incur, assume, suffer to exist or otherwise be liable with respect to any indebtedness for borrowed money or guarantees thereof or issue or sell any debt securities, except for (i) indebtedness under the Company Credit Facilities, (ii) up to $2,000,000,000 of indebtedness to refinance on market terms any indebtedness existing on the date hereof that is maturing within twelve months of such refinancing (which amount shall be reduced by any such refinanced indebtedness incurred under the immediately preceding clause (i)), (iii) guarantees by the Company of indebtedness of any wholly owned Company Subsidiary or (iv) any commercial paper issued in the ordinary course of business;</w:t>
      </w:r>
    </w:p>
    <w:p>
      <w:pPr>
        <w:spacing w:after="0" w:line="226" w:lineRule="exact"/>
        <w:rPr>
          <w:rFonts w:ascii="Arial" w:cs="Arial" w:eastAsia="Arial" w:hAnsi="Arial"/>
          <w:sz w:val="17"/>
          <w:szCs w:val="17"/>
          <w:color w:val="auto"/>
        </w:rPr>
      </w:pPr>
    </w:p>
    <w:p>
      <w:pPr>
        <w:jc w:val="both"/>
        <w:ind w:left="-20" w:right="80" w:firstLine="1305"/>
        <w:spacing w:after="0" w:line="279" w:lineRule="auto"/>
        <w:tabs>
          <w:tab w:leader="none" w:pos="1879"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other than in the ordinary course of business, enter into any agreement or arrangement that limits or otherwise restricts in any material respect the Company or any of its Subsidiaries from engaging or competing in any line of business, in any location or with any Person or (ii) enter into any agreement or arrangement that limits or otherwise restricts in any material respect any upstream Affiliates of the Company following consummation of the Merger from engaging or competing in any line of business, in any location or with any Person;</w:t>
      </w:r>
    </w:p>
    <w:p>
      <w:pPr>
        <w:spacing w:after="0" w:line="225" w:lineRule="exact"/>
        <w:rPr>
          <w:rFonts w:ascii="Arial" w:cs="Arial" w:eastAsia="Arial" w:hAnsi="Arial"/>
          <w:sz w:val="17"/>
          <w:szCs w:val="17"/>
          <w:color w:val="auto"/>
        </w:rPr>
      </w:pPr>
    </w:p>
    <w:p>
      <w:pPr>
        <w:ind w:left="-20" w:firstLine="1305"/>
        <w:spacing w:after="0" w:line="279" w:lineRule="auto"/>
        <w:tabs>
          <w:tab w:leader="none" w:pos="1879" w:val="left"/>
        </w:tabs>
        <w:numPr>
          <w:ilvl w:val="0"/>
          <w:numId w:val="66"/>
        </w:numPr>
        <w:rPr>
          <w:rFonts w:ascii="Arial" w:cs="Arial" w:eastAsia="Arial" w:hAnsi="Arial"/>
          <w:sz w:val="17"/>
          <w:szCs w:val="17"/>
          <w:color w:val="auto"/>
        </w:rPr>
      </w:pPr>
      <w:r>
        <w:rPr>
          <w:rFonts w:ascii="Arial" w:cs="Arial" w:eastAsia="Arial" w:hAnsi="Arial"/>
          <w:sz w:val="17"/>
          <w:szCs w:val="17"/>
          <w:color w:val="auto"/>
        </w:rPr>
        <w:t>other than in the ordinary course of business, (i) amend or modify in any material respect or terminate (excluding terminations upon expiration of the term thereof in accordance with the terms thereof) any Company Material Contract or waive, release or assign any material rights, claims or benefits under any Company Material Contract, (ii) enter into any contract or agreement that would have been a Company Material Contract had it been entered into prior to the date of this Agreement or (iii) enter into any programming service distribution agreement;</w:t>
      </w:r>
    </w:p>
    <w:p>
      <w:pPr>
        <w:spacing w:after="0" w:line="225" w:lineRule="exact"/>
        <w:rPr>
          <w:rFonts w:ascii="Arial" w:cs="Arial" w:eastAsia="Arial" w:hAnsi="Arial"/>
          <w:sz w:val="17"/>
          <w:szCs w:val="17"/>
          <w:color w:val="auto"/>
        </w:rPr>
      </w:pPr>
    </w:p>
    <w:p>
      <w:pPr>
        <w:ind w:left="-20" w:right="280" w:firstLine="1305"/>
        <w:spacing w:after="0" w:line="259" w:lineRule="auto"/>
        <w:tabs>
          <w:tab w:leader="none" w:pos="19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without prior consultation with Parent, (i) recognize any material new union, works council or other similar employee representative, except as required by Applicable Law, or (ii) enter into any material Collective Bargaining Agreement, or renew or enter into any material mid-term modification (excluding resolutions of grievances relating to or interpretations of a Collective Bargaining Agreement) of any existing Collective Bargaining Agreement;</w:t>
      </w:r>
    </w:p>
    <w:p>
      <w:pPr>
        <w:spacing w:after="0" w:line="240" w:lineRule="exact"/>
        <w:rPr>
          <w:rFonts w:ascii="Arial" w:cs="Arial" w:eastAsia="Arial" w:hAnsi="Arial"/>
          <w:sz w:val="18"/>
          <w:szCs w:val="18"/>
          <w:color w:val="auto"/>
        </w:rPr>
      </w:pPr>
    </w:p>
    <w:p>
      <w:pPr>
        <w:ind w:left="-20" w:right="560" w:firstLine="1305"/>
        <w:spacing w:after="0" w:line="277" w:lineRule="auto"/>
        <w:tabs>
          <w:tab w:leader="none" w:pos="1879"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grant to any director or officer (as such terms are used for purposes of Section 16 of the Exchange Act) of the Company any increase in change in control, severance, retention or termination pay (including any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44" w:right="259" w:bottom="1440" w:gutter="0" w:footer="0" w:header="0"/>
        </w:sectPr>
      </w:pPr>
    </w:p>
    <w:bookmarkStart w:id="65" w:name="page66"/>
    <w:bookmarkEnd w:id="65"/>
    <w:p>
      <w:pPr>
        <w:jc w:val="both"/>
        <w:ind w:right="140"/>
        <w:spacing w:after="0" w:line="259" w:lineRule="auto"/>
        <w:rPr>
          <w:sz w:val="20"/>
          <w:szCs w:val="20"/>
          <w:color w:val="auto"/>
        </w:rPr>
      </w:pPr>
      <w:r>
        <w:rPr>
          <w:rFonts w:ascii="Arial" w:cs="Arial" w:eastAsia="Arial" w:hAnsi="Arial"/>
          <w:sz w:val="18"/>
          <w:szCs w:val="18"/>
          <w:color w:val="auto"/>
        </w:rPr>
        <w:t>obligation to gross-up, indemnify or otherwise reimburse any such individual for any Tax incurred by any such individual, including under Section 409A or 4999 of the Code), other than any increase in a severance benefit arising directly from an increase in annual salary or annual cash bonus opportunity (for the avoidance of doubt, not including any supplemental cash bonus opportunity set forth in Section 6.01(m) of the Company Disclosure Schedule) to the extent such increase is permitted by the Agreement;</w:t>
      </w:r>
    </w:p>
    <w:p>
      <w:pPr>
        <w:spacing w:after="0" w:line="241" w:lineRule="exact"/>
        <w:rPr>
          <w:sz w:val="20"/>
          <w:szCs w:val="20"/>
          <w:color w:val="auto"/>
        </w:rPr>
      </w:pPr>
    </w:p>
    <w:p>
      <w:pPr>
        <w:ind w:right="60" w:firstLine="1305"/>
        <w:spacing w:after="0" w:line="259" w:lineRule="auto"/>
        <w:tabs>
          <w:tab w:leader="none" w:pos="19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set forth on Section 6.01(m) of the Company Disclosure Schedule, (i) increase the annual salary of any employee of the Company or any of its Subsidiaries who holds the title of Executive Vice President or greater by more than 5% in the aggregate in any fiscal year, except as required by the terms of any existing agreement or (ii) increase the cash bonus opportunity of any employee of the Company or any of its Subsidiaries who holds the title of Executive Vice President or greater;</w:t>
      </w:r>
    </w:p>
    <w:p>
      <w:pPr>
        <w:spacing w:after="0" w:line="240" w:lineRule="exact"/>
        <w:rPr>
          <w:rFonts w:ascii="Arial" w:cs="Arial" w:eastAsia="Arial" w:hAnsi="Arial"/>
          <w:sz w:val="18"/>
          <w:szCs w:val="18"/>
          <w:color w:val="auto"/>
        </w:rPr>
      </w:pPr>
    </w:p>
    <w:p>
      <w:pPr>
        <w:ind w:firstLine="1305"/>
        <w:spacing w:after="0" w:line="289" w:lineRule="auto"/>
        <w:tabs>
          <w:tab w:leader="none" w:pos="193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 (ii) establish or adopt any Title IV Plan, “</w:t>
      </w:r>
      <w:r>
        <w:rPr>
          <w:rFonts w:ascii="Arial" w:cs="Arial" w:eastAsia="Arial" w:hAnsi="Arial"/>
          <w:sz w:val="16"/>
          <w:szCs w:val="16"/>
          <w:b w:val="1"/>
          <w:bCs w:val="1"/>
          <w:color w:val="auto"/>
        </w:rPr>
        <w:t>excess benefit plan</w:t>
      </w:r>
      <w:r>
        <w:rPr>
          <w:rFonts w:ascii="Arial" w:cs="Arial" w:eastAsia="Arial" w:hAnsi="Arial"/>
          <w:sz w:val="16"/>
          <w:szCs w:val="16"/>
          <w:color w:val="auto"/>
        </w:rPr>
        <w:t>”, deferred compensation plan, severance or change in control plan or employee benefit plan that provides post-retirement health, medical, life insurance or death benefits to retired, current or former employees, directors or consultants of the Company or any of its Subsidiaries except as required to avoid excise tax under Section 4980B of the Code, unless such establishment or adoption occurs as part of an acquisition of any other company or business that is permitted or consented to under this Agreement, (iii) fail to continue to make all contributions required to be made to any Company Plan that is a Title IV Plan (for the avoidance of doubt, other than a Multiemployer Plan) under ERISA, the Code and Applicable Law or (iv) amend the benefit formula under any Company Plan that is a Title IV Plan (for the avoidance of doubt, other than any Multiemployer Plan) to increase the benefit accrual applicable to any participant or beneficiary thereof under such Company Plan;</w:t>
      </w:r>
    </w:p>
    <w:p>
      <w:pPr>
        <w:spacing w:after="0" w:line="220" w:lineRule="exact"/>
        <w:rPr>
          <w:rFonts w:ascii="Arial" w:cs="Arial" w:eastAsia="Arial" w:hAnsi="Arial"/>
          <w:sz w:val="16"/>
          <w:szCs w:val="16"/>
          <w:color w:val="auto"/>
        </w:rPr>
      </w:pPr>
    </w:p>
    <w:p>
      <w:pPr>
        <w:ind w:right="120" w:firstLine="1305"/>
        <w:spacing w:after="0" w:line="277" w:lineRule="auto"/>
        <w:tabs>
          <w:tab w:leader="none" w:pos="19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 the Company’s methods of financial accounting, except as required by concurrent changes in GAAP or in Regulation S-X of the 1934 Act, as agreed to by its independent public accountants;</w:t>
      </w:r>
    </w:p>
    <w:p>
      <w:pPr>
        <w:spacing w:after="0" w:line="224" w:lineRule="exact"/>
        <w:rPr>
          <w:rFonts w:ascii="Arial" w:cs="Arial" w:eastAsia="Arial" w:hAnsi="Arial"/>
          <w:sz w:val="18"/>
          <w:szCs w:val="18"/>
          <w:color w:val="auto"/>
        </w:rPr>
      </w:pPr>
    </w:p>
    <w:p>
      <w:pPr>
        <w:ind w:right="140" w:firstLine="1305"/>
        <w:spacing w:after="0" w:line="259" w:lineRule="auto"/>
        <w:tabs>
          <w:tab w:leader="none" w:pos="19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without limiting Section 8.11, settle, or offer or propose to settle, (A) any litigation, investigation, arbitration, proceeding or other claim involving or against the Company or any of its Subsidiaries or (B) any stockholder litigation or dispute against the Company or any of its officers or directors, except, in each case, where the sum of (x) any amount paid in settlement or compromise plus (y) the financial impact to the Company and its Subsidiaries of any other terms of the settlement or compromise does not exceed</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$100,000,000 (after giving effect to any reasonably expected indemnification proceeds);</w:t>
      </w:r>
    </w:p>
    <w:p>
      <w:pPr>
        <w:spacing w:after="0" w:line="279" w:lineRule="exact"/>
        <w:rPr>
          <w:sz w:val="20"/>
          <w:szCs w:val="20"/>
          <w:color w:val="auto"/>
        </w:rPr>
      </w:pPr>
    </w:p>
    <w:p>
      <w:pPr>
        <w:ind w:right="40" w:firstLine="1305"/>
        <w:spacing w:after="0" w:line="277" w:lineRule="auto"/>
        <w:tabs>
          <w:tab w:leader="none" w:pos="19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or resolutions providing for or authorizing such a liquidation or a dissolution, in each case, of the Company or any Significant Subsidiary of the Company;</w:t>
      </w:r>
    </w:p>
    <w:p>
      <w:pPr>
        <w:spacing w:after="0" w:line="224" w:lineRule="exact"/>
        <w:rPr>
          <w:rFonts w:ascii="Arial" w:cs="Arial" w:eastAsia="Arial" w:hAnsi="Arial"/>
          <w:sz w:val="18"/>
          <w:szCs w:val="18"/>
          <w:color w:val="auto"/>
        </w:rPr>
      </w:pPr>
    </w:p>
    <w:p>
      <w:pPr>
        <w:ind w:right="400" w:firstLine="1305"/>
        <w:spacing w:after="0" w:line="277" w:lineRule="auto"/>
        <w:tabs>
          <w:tab w:leader="none" w:pos="19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the Company hereunder inaccurate in any material respect at, or immediately prior to, the Effective Time;</w:t>
      </w:r>
    </w:p>
    <w:p>
      <w:pPr>
        <w:spacing w:after="0" w:line="224" w:lineRule="exact"/>
        <w:rPr>
          <w:rFonts w:ascii="Arial" w:cs="Arial" w:eastAsia="Arial" w:hAnsi="Arial"/>
          <w:sz w:val="18"/>
          <w:szCs w:val="18"/>
          <w:color w:val="auto"/>
        </w:rPr>
      </w:pPr>
    </w:p>
    <w:p>
      <w:pPr>
        <w:ind w:right="120" w:firstLine="1305"/>
        <w:spacing w:after="0" w:line="277" w:lineRule="auto"/>
        <w:tabs>
          <w:tab w:leader="none" w:pos="191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take the action set forth on Section 6.01 of the Company Disclosure Schedule (it being understood and agreed that the exceptions contained in the lead-in to this Section 6.01 shall not apply with respect to this Section 6.01(s)); or</w:t>
      </w:r>
    </w:p>
    <w:p>
      <w:pPr>
        <w:spacing w:after="0" w:line="224" w:lineRule="exact"/>
        <w:rPr>
          <w:rFonts w:ascii="Arial" w:cs="Arial" w:eastAsia="Arial" w:hAnsi="Arial"/>
          <w:sz w:val="18"/>
          <w:szCs w:val="18"/>
          <w:color w:val="auto"/>
        </w:rPr>
      </w:pPr>
    </w:p>
    <w:p>
      <w:pPr>
        <w:ind w:left="1900" w:hanging="595"/>
        <w:spacing w:after="0"/>
        <w:tabs>
          <w:tab w:leader="none" w:pos="1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Company Stockholder Meeting</w:t>
      </w:r>
      <w:r>
        <w:rPr>
          <w:rFonts w:ascii="Arial" w:cs="Arial" w:eastAsia="Arial" w:hAnsi="Arial"/>
          <w:sz w:val="16"/>
          <w:szCs w:val="16"/>
          <w:color w:val="auto"/>
        </w:rPr>
        <w:t>. The Company shall cause a meeting of its stockholders (the “</w:t>
      </w:r>
      <w:r>
        <w:rPr>
          <w:rFonts w:ascii="Arial" w:cs="Arial" w:eastAsia="Arial" w:hAnsi="Arial"/>
          <w:sz w:val="16"/>
          <w:szCs w:val="16"/>
          <w:b w:val="1"/>
          <w:bCs w:val="1"/>
          <w:color w:val="auto"/>
        </w:rPr>
        <w:t>Company Stockholder Meeting</w:t>
      </w:r>
      <w:r>
        <w:rPr>
          <w:rFonts w:ascii="Arial" w:cs="Arial" w:eastAsia="Arial" w:hAnsi="Arial"/>
          <w:sz w:val="16"/>
          <w:szCs w:val="16"/>
          <w:color w:val="auto"/>
        </w:rPr>
        <w:t>”) to be duly called and held as soon as reasonably practicable after the date of this Agreement (but in no event later than 40 days after the Registration Statement is declared effective under the 1933 Act) for the purpose of voting on the approval and adoption of this Agreement and the Merger. In connection with the Company Stockholder Meeting, the Company shall (i) subject to Section 6.03, (1) recommend approval and adoption of this Agreement, the Merger and the other transactions contemplated hereby by the Company’s stockholders and (2) use its reasonable best efforts to obtain the Company Stockholder Approval and (ii) otherwise comply with all legal requirements applicable to such meeting. Without limiting the generality of the foregoing, unless this Agreement has terminated in accordance with its terms, this Agreement and the Merger shall be submitted to the Company’s stockholders at the Company Stockholder Meeting whether or not (x) the Company’s Board of Directors shall have effected a Company Adverse Recommendation Change or (y) any Company Acquisition Proposal shall have been publicly proposed or announced or otherwise submitted to the Company or any of its advisors. The Company shall not, without the prior written consent of Parent, adjourn or postpone the Company Stockholder Meeting; provided that the Company may, without the prior written consent of Parent, adjourn or postpone the Company Stockholder Meeting (A) if, as of the time for which the Company Stockholder Meeting is originally scheduled (as set forth in the Joint Proxy Statement/Prospectus), there are insufficient shares of Company Stock represented (either in person or by proxy) to constitute a quorum necessary to conduct the business of the Company Stockholder Meeting, (B) after consultation with Parent, if the failure to adjourn or postpone the Company Stockholder Meeting would reasonably be expected to be a violation of</w:t>
      </w: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67" w:name="page68"/>
    <w:bookmarkEnd w:id="67"/>
    <w:p>
      <w:pPr>
        <w:spacing w:after="0" w:line="287" w:lineRule="auto"/>
        <w:rPr>
          <w:sz w:val="20"/>
          <w:szCs w:val="20"/>
          <w:color w:val="auto"/>
        </w:rPr>
      </w:pPr>
      <w:r>
        <w:rPr>
          <w:rFonts w:ascii="Arial" w:cs="Arial" w:eastAsia="Arial" w:hAnsi="Arial"/>
          <w:sz w:val="16"/>
          <w:szCs w:val="16"/>
          <w:color w:val="auto"/>
        </w:rPr>
        <w:t>Applicable Law for the distribution of any required supplement or amendment to the Joint Proxy Statement/Prospectus, (C) after consultation with Parent, for a single period not to exceed ten Business Days, to solicit additional proxies if necessary to obtain the Company Stockholder Approval, or (D) if the Company has delivered to Parent a bona fide notice contemplated by Section 6.03(c), for a maximum of ten Business Days. Parent may require the Company to adjourn, delay or postpone the Company Stockholder Meeting once for a period not to exceed 30 calendar days (but prior to the date that is two Business Days prior to the End Date) to solicit additional proxies necessary to obtain the Company Stockholder Approval. Once the Company has established a record date for the Company Stockholder Meeting, the Company shall not 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Without the prior written consent of Parent, the adoption of this Agreement and the transactions contemplated hereby (including the Merger) shall be the only matter (other than matters of procedure and matters required by Applicable Law to be voted on by the Company’s stockholders in connection with the approval of this Agreement and the transactions contemplated hereby) that the Company shall propose to be acted on by the stockholders of the Company at the Company Stockholder Meeting.</w:t>
      </w:r>
    </w:p>
    <w:p>
      <w:pPr>
        <w:spacing w:after="0" w:line="2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No Solicitation; Other Offers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 Prohibitions</w:t>
      </w:r>
      <w:r>
        <w:rPr>
          <w:rFonts w:ascii="Arial" w:cs="Arial" w:eastAsia="Arial" w:hAnsi="Arial"/>
          <w:sz w:val="16"/>
          <w:szCs w:val="16"/>
          <w:color w:val="auto"/>
        </w:rPr>
        <w:t>. Neither the Company nor any of its Subsidiaries shall, nor shall the Company or any of its Subsidiaries authorize or permit any of its or their officers, directors, employees, investment bankers, attorneys, accountants, consultants or other agents or advisors (“</w:t>
      </w:r>
      <w:r>
        <w:rPr>
          <w:rFonts w:ascii="Arial" w:cs="Arial" w:eastAsia="Arial" w:hAnsi="Arial"/>
          <w:sz w:val="16"/>
          <w:szCs w:val="16"/>
          <w:b w:val="1"/>
          <w:bCs w:val="1"/>
          <w:color w:val="auto"/>
        </w:rPr>
        <w:t>Representatives</w:t>
      </w:r>
      <w:r>
        <w:rPr>
          <w:rFonts w:ascii="Arial" w:cs="Arial" w:eastAsia="Arial" w:hAnsi="Arial"/>
          <w:sz w:val="16"/>
          <w:szCs w:val="16"/>
          <w:color w:val="auto"/>
        </w:rPr>
        <w:t>”) to, directly or indirectly, (i) solicit, initiate or take any action to knowingly facilitate or encourage the submission of any Company Acquisition Proposal, (ii) enter into or participate in any discussions (other than to state that the Company is not permitted to have discussions) or negotiations with any Third Party that is seeking to make, or has made, a Company Acquisition Proposal, (iii) furnish any non-public information relating to the Company or any of its Subsidiaries or afford access to the business, properties, assets, books or records of the Company or any of its Subsidiaries to, otherwise knowingly cooperate in any way with, or knowingly assist, participate in, facilitate or encourage any effort by any Third Party that is seeking to make, or has made, a Company Acquisition Proposal, (iv) make a Company Adverse Recommendation Change, (v) fail to enforce or grant any waiver or release under any standstill or similar agreement with respect to any class of equity securities of the Company or any of its Subsidiaries unless the Board of Directors of the Company determines after consulting with its outside legal counsel that the failure to waive such provision would be inconsistent with its fiduciary duties under Applicable Law; provided, that the Company shall not enforce and hereby waives any provision of any such agreement that would prohibit a third party from communicating confidentially a Company Acquisition Proposal to the Company’s Board of Directors, (vi) approve any transaction under, or any Person becoming an “</w:t>
      </w:r>
      <w:r>
        <w:rPr>
          <w:rFonts w:ascii="Arial" w:cs="Arial" w:eastAsia="Arial" w:hAnsi="Arial"/>
          <w:sz w:val="16"/>
          <w:szCs w:val="16"/>
          <w:b w:val="1"/>
          <w:bCs w:val="1"/>
          <w:color w:val="auto"/>
        </w:rPr>
        <w:t>interested stockholder</w:t>
      </w:r>
      <w:r>
        <w:rPr>
          <w:rFonts w:ascii="Arial" w:cs="Arial" w:eastAsia="Arial" w:hAnsi="Arial"/>
          <w:sz w:val="16"/>
          <w:szCs w:val="16"/>
          <w:color w:val="auto"/>
        </w:rPr>
        <w:t>” under, Section 203 of Delaware Law or (vii) enter</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68" w:name="page69"/>
    <w:bookmarkEnd w:id="68"/>
    <w:p>
      <w:pPr>
        <w:ind w:right="20"/>
        <w:spacing w:after="0" w:line="271" w:lineRule="auto"/>
        <w:rPr>
          <w:sz w:val="20"/>
          <w:szCs w:val="20"/>
          <w:color w:val="auto"/>
        </w:rPr>
      </w:pPr>
      <w:r>
        <w:rPr>
          <w:rFonts w:ascii="Arial" w:cs="Arial" w:eastAsia="Arial" w:hAnsi="Arial"/>
          <w:sz w:val="17"/>
          <w:szCs w:val="17"/>
          <w:color w:val="auto"/>
        </w:rPr>
        <w:t>into any agreement in principle, letter of intent, term sheet, merger agreement, acquisition agreement, option agreement or other similar instrument relating to a Company Acquisition Proposal (other than a confidentiality agreement to the extent contemplated by Section 6.03(b)); provided that (so long as the Company and its Representatives have otherwise complied with this Section 6.03) none of the foregoing shall prohibit the Company and its Representatives from, at any time prior to the Company Stockholder Approval, participating in discussions with any Persons or group of Persons who has made a Company Acquisition Proposal after the date of this Agreement solely to request the clarification of the terms and conditions thereof so as to determine whether the Acquisition Proposal is, or could reasonably be expected to lead to, a Superior Proposal, and any such actions shall not be a breach of this Section 6.03(a). It is agreed that any violation of the restrictions on the Company set forth in this Section by any Representative of the Company or any of its Subsidiaries shall be a breach of this Section by the Company.</w:t>
      </w:r>
    </w:p>
    <w:p>
      <w:pPr>
        <w:spacing w:after="0" w:line="233" w:lineRule="exact"/>
        <w:rPr>
          <w:sz w:val="20"/>
          <w:szCs w:val="20"/>
          <w:color w:val="auto"/>
        </w:rPr>
      </w:pPr>
    </w:p>
    <w:p>
      <w:pPr>
        <w:ind w:right="280" w:firstLine="1305"/>
        <w:spacing w:after="0" w:line="277" w:lineRule="auto"/>
        <w:tabs>
          <w:tab w:leader="none" w:pos="193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Recommendation Exceptions</w:t>
      </w:r>
      <w:r>
        <w:rPr>
          <w:rFonts w:ascii="Arial" w:cs="Arial" w:eastAsia="Arial" w:hAnsi="Arial"/>
          <w:sz w:val="18"/>
          <w:szCs w:val="18"/>
          <w:color w:val="auto"/>
        </w:rPr>
        <w:t>. Notwithstanding Section 6.03(a), but subject to Section 6.03(c) and Section 6.03(d), at any time prior to the Company Stockholder Approval:</w:t>
      </w:r>
    </w:p>
    <w:p>
      <w:pPr>
        <w:spacing w:after="0" w:line="224" w:lineRule="exact"/>
        <w:rPr>
          <w:rFonts w:ascii="Arial" w:cs="Arial" w:eastAsia="Arial" w:hAnsi="Arial"/>
          <w:sz w:val="18"/>
          <w:szCs w:val="18"/>
          <w:color w:val="auto"/>
        </w:rPr>
      </w:pPr>
    </w:p>
    <w:p>
      <w:pPr>
        <w:ind w:left="1300" w:firstLine="491"/>
        <w:spacing w:after="0" w:line="286" w:lineRule="auto"/>
        <w:tabs>
          <w:tab w:leader="none" w:pos="2388"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directly or indirectly through advisors, agents or other intermediaries, may (A) engage in negotiations or discussions with any Third Party that, subject to the Company’s compliance with Section 6.03(a), has made after the date of this Agreement a Company Superior Proposal or a Company Acquisition Proposal that the Board of Directors of the Company determines in good faith, after consultation with its outside legal advisors, could reasonably be expected to lead to a Company Superior Proposal by the Third Party making such Company Acquisition Proposal, (B) furnish to such Third Party and its advisors, agents or other intermediaries (including financing sources) non-public information relating to the Company or any of its Subsidiaries pursuant to a customary confidentiality agreement (a copy of which shall be provided for informational purposes only to Parent) with such Third Party with terms no less favorable to the Company than those contained in the confidentiality agreement, dated February 8, 2014, between the Company and Parent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(it being understood and hereby agreed that such confidentiality agreement need not contain a “</w:t>
      </w:r>
      <w:r>
        <w:rPr>
          <w:rFonts w:ascii="Arial" w:cs="Arial" w:eastAsia="Arial" w:hAnsi="Arial"/>
          <w:sz w:val="16"/>
          <w:szCs w:val="16"/>
          <w:b w:val="1"/>
          <w:bCs w:val="1"/>
          <w:color w:val="auto"/>
        </w:rPr>
        <w:t>standstill</w:t>
      </w:r>
      <w:r>
        <w:rPr>
          <w:rFonts w:ascii="Arial" w:cs="Arial" w:eastAsia="Arial" w:hAnsi="Arial"/>
          <w:sz w:val="16"/>
          <w:szCs w:val="16"/>
          <w:color w:val="auto"/>
        </w:rPr>
        <w:t xml:space="preserve">” or similar provision that prohibits such Third Party from making any Company Acquisition Proposal, acquiring the Company or taking any other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information (to the extent that such information has not been previously provided or made available to Parent) is provided or made available to Parent, as the case may be, prior to or as promptly as practicable (but no later than 24 hours) after the time it is provided or made available to such Third Party) and (C) take any</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69" w:name="page70"/>
    <w:bookmarkEnd w:id="69"/>
    <w:p>
      <w:pPr>
        <w:ind w:left="1300"/>
        <w:spacing w:after="0"/>
        <w:rPr>
          <w:sz w:val="20"/>
          <w:szCs w:val="20"/>
          <w:color w:val="auto"/>
        </w:rPr>
      </w:pPr>
      <w:r>
        <w:rPr>
          <w:rFonts w:ascii="Arial" w:cs="Arial" w:eastAsia="Arial" w:hAnsi="Arial"/>
          <w:sz w:val="18"/>
          <w:szCs w:val="18"/>
          <w:color w:val="auto"/>
        </w:rPr>
        <w:t>action required by Applicable Law or that any court of competent jurisdiction orders the Company to take;</w:t>
      </w:r>
    </w:p>
    <w:p>
      <w:pPr>
        <w:spacing w:after="0" w:line="279" w:lineRule="exact"/>
        <w:rPr>
          <w:sz w:val="20"/>
          <w:szCs w:val="20"/>
          <w:color w:val="auto"/>
        </w:rPr>
      </w:pPr>
    </w:p>
    <w:p>
      <w:pPr>
        <w:ind w:left="1300" w:right="20" w:firstLine="491"/>
        <w:spacing w:after="0" w:line="277" w:lineRule="auto"/>
        <w:tabs>
          <w:tab w:leader="none" w:pos="24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following receipt of a Company Superior Proposal, the Board of Directors of the Company may, subject to compliance with Section 6.03(c), make a Company Adverse Recommendation Change; and</w:t>
      </w:r>
    </w:p>
    <w:p>
      <w:pPr>
        <w:spacing w:after="0" w:line="224" w:lineRule="exact"/>
        <w:rPr>
          <w:rFonts w:ascii="Arial" w:cs="Arial" w:eastAsia="Arial" w:hAnsi="Arial"/>
          <w:sz w:val="18"/>
          <w:szCs w:val="18"/>
          <w:color w:val="auto"/>
        </w:rPr>
      </w:pPr>
    </w:p>
    <w:p>
      <w:pPr>
        <w:ind w:left="1300" w:right="120" w:firstLine="491"/>
        <w:spacing w:after="0" w:line="308" w:lineRule="auto"/>
        <w:tabs>
          <w:tab w:leader="none" w:pos="2488" w:val="left"/>
        </w:tabs>
        <w:numPr>
          <w:ilvl w:val="0"/>
          <w:numId w:val="70"/>
        </w:numPr>
        <w:rPr>
          <w:rFonts w:ascii="Arial" w:cs="Arial" w:eastAsia="Arial" w:hAnsi="Arial"/>
          <w:sz w:val="17"/>
          <w:szCs w:val="17"/>
          <w:color w:val="auto"/>
        </w:rPr>
      </w:pPr>
      <w:r>
        <w:rPr>
          <w:rFonts w:ascii="Arial" w:cs="Arial" w:eastAsia="Arial" w:hAnsi="Arial"/>
          <w:sz w:val="17"/>
          <w:szCs w:val="17"/>
          <w:color w:val="auto"/>
        </w:rPr>
        <w:t>following a Company Intervening Event, the Board of Directors of the Company may, subject to compliance with Section 6.03(d), make a Company Adverse Recommendation Change involving or relating to such Company Intervening Event;</w:t>
      </w:r>
    </w:p>
    <w:p>
      <w:pPr>
        <w:spacing w:after="0" w:line="1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each case referred to in the foregoing clauses (i), (ii) and (iii) only if the Board of Directors of the Company determines in good faith, after considering advice from outside legal counsel, that the failure to take such action would be inconsistent with its fiduciary duties under Applicable Law. For purposes of clarification, the taking of any of the actions permitted by Section 6.03(a) and Section 6.03(b)(i) shall not be deemed to be a Company Adverse Recommendation Change.</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nothing contained herein shall prevent the Company or its Board of Directors from (i) complying with Rule 14a-9, Rule 14d-9 or Rule 14e-2(a) and Item 1012(a) of Regulation M-A under the 1934 Act (or making any similar communication to stockholders in connection with any amendment to the terms of a tender offer or exchange offer) so long as any action taken or statement made to so comply is consistent with this Section 6.03 or (ii) disclosing factual information regarding the business, financial condition or results of operations of Parent or the Company or the fact that a Company Acquisition Proposal has been made, the identity of the party making such proposal or the material terms of such proposal in the Joint Proxy Statement/Prospectus or otherwise, to the extent the Company in good faith determines that such information, facts, identity or terms is required to be disclosed under Applicable Law or that failure to make such disclosure would be inconsistent with its fiduciary duties under Applicable Law; provided that any such action taken or statement or disclosure made that relates to a Company Acquisition Proposal shall be deemed to be a Company Adverse Recommendation Change unless the Board of Directors of the Company reaffirms the Company Board Recommendation in such statement or disclosure or in connection with such action (except that a mere “</w:t>
      </w:r>
      <w:r>
        <w:rPr>
          <w:rFonts w:ascii="Arial" w:cs="Arial" w:eastAsia="Arial" w:hAnsi="Arial"/>
          <w:sz w:val="16"/>
          <w:szCs w:val="16"/>
          <w:b w:val="1"/>
          <w:bCs w:val="1"/>
          <w:color w:val="auto"/>
        </w:rPr>
        <w:t>stop, look and listen</w:t>
      </w:r>
      <w:r>
        <w:rPr>
          <w:rFonts w:ascii="Arial" w:cs="Arial" w:eastAsia="Arial" w:hAnsi="Arial"/>
          <w:sz w:val="16"/>
          <w:szCs w:val="16"/>
          <w:color w:val="auto"/>
        </w:rPr>
        <w:t>” disclosure in compliance with Rule 14d-9(f) of the 1934 Act or failure to take a position with respect to a Company Acquisition Proposal governed by the tender offer or exchange offer rules under the 1934 Act until the tenth Business Day after commencement of such Company Acquisition Proposal shall not constitute a Company Adverse Recommendation Change).</w:t>
      </w:r>
    </w:p>
    <w:p>
      <w:pPr>
        <w:spacing w:after="0" w:line="223" w:lineRule="exact"/>
        <w:rPr>
          <w:sz w:val="20"/>
          <w:szCs w:val="20"/>
          <w:color w:val="auto"/>
        </w:rPr>
      </w:pPr>
    </w:p>
    <w:p>
      <w:pPr>
        <w:ind w:left="1940" w:hanging="635"/>
        <w:spacing w:after="0"/>
        <w:tabs>
          <w:tab w:leader="none" w:pos="194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Required Notices</w:t>
      </w:r>
      <w:r>
        <w:rPr>
          <w:rFonts w:ascii="Arial" w:cs="Arial" w:eastAsia="Arial" w:hAnsi="Arial"/>
          <w:sz w:val="16"/>
          <w:szCs w:val="16"/>
          <w:color w:val="auto"/>
        </w:rPr>
        <w:t>. The Board of Directors of the Company shall not take any of the actions referred to in Section 6.03(b) unless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70" w:name="page71"/>
    <w:bookmarkEnd w:id="70"/>
    <w:p>
      <w:pPr>
        <w:ind w:right="20"/>
        <w:spacing w:after="0" w:line="268" w:lineRule="auto"/>
        <w:rPr>
          <w:sz w:val="20"/>
          <w:szCs w:val="20"/>
          <w:color w:val="auto"/>
        </w:rPr>
      </w:pPr>
      <w:r>
        <w:rPr>
          <w:rFonts w:ascii="Arial" w:cs="Arial" w:eastAsia="Arial" w:hAnsi="Arial"/>
          <w:sz w:val="17"/>
          <w:szCs w:val="17"/>
          <w:color w:val="auto"/>
        </w:rPr>
        <w:t>shall have delivered to Parent a prior written notice advising Parent that it intends to take such action, and, after taking such action, the Company shall, if such action is in connection with a Company Acquisition Proposal, continue to advise Parent on a current basis of the status and terms of any discussions and negotiations with the Third Party. In addition, the Company shall notify Parent promptly (but in no event later than 24 hours) after receipt by the Company (or any of its Representatives) of any Company Acquisition Proposal, any written indication from a Third Party that such Third Party is considering making a Company Acquisition Proposal or any written request for information relating to the Company or any of its Subsidiaries or for access to the business, properties, assets, books or records of the Company or any of its Subsidiaries by any Third Party that has indicated that it is considering making, or has made, a Company Acquisition Proposal. The Company shall within 24 hours of receipt thereof provide such notice orally and in writing and shall identify the Third Party making, and the material terms and conditions of, any such Company Acquisition Proposal, indication or request, and shall promptly (but in no event later than 24 hours after receipt) provide to Parent copies of all material correspondence and written materials sent or provided to the Company or any of its Subsidiaries that describes any terms or conditions of any Company Acquisition Proposal. The Company shall keep Parent reasonably informed, on a reasonably current basis, of the status and details of any such Company Acquisition Proposal, indication or request. Any material amendment to any Company Acquisition Proposal will be deemed to be a new Company Acquisition Proposal for purposes of the Company’s compliance with this Section 6.03(c).</w:t>
      </w:r>
    </w:p>
    <w:p>
      <w:pPr>
        <w:spacing w:after="0" w:line="242" w:lineRule="exact"/>
        <w:rPr>
          <w:sz w:val="20"/>
          <w:szCs w:val="20"/>
          <w:color w:val="auto"/>
        </w:rPr>
      </w:pPr>
    </w:p>
    <w:p>
      <w:pPr>
        <w:ind w:firstLine="1305"/>
        <w:spacing w:after="0" w:line="269" w:lineRule="auto"/>
        <w:tabs>
          <w:tab w:leader="none" w:pos="1938"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Last Look</w:t>
      </w:r>
      <w:r>
        <w:rPr>
          <w:rFonts w:ascii="Arial" w:cs="Arial" w:eastAsia="Arial" w:hAnsi="Arial"/>
          <w:sz w:val="17"/>
          <w:szCs w:val="17"/>
          <w:color w:val="auto"/>
        </w:rPr>
        <w:t>”. The Board of Directors of the Company shall not make a Company Adverse Recommendation Change in response to a Company Acquisition Proposal unless (i) such Company Acquisition Proposal constitutes a Company Superior Proposal, (ii) the Company promptly notifies Parent, in writing at least five Business Days before taking that action, of its intention to do so, attaching the most current version of the proposed agreement under which such Company Superior Proposal is proposed to be consummated and the identity of the Third Party making the Company Acquisition Proposal, and (iii) Parent does not make, within such five-Business-Day period after its receipt of that written notification, an offer that is at least as favorable to the stockholders of the Company as such Company Superior Proposal (it being understood and agreed that any amendment to the financial terms or other material terms of such Company Superior Proposal shall require a new written notification from the Company and a new period under clause (ii) of this Section 6.03(d), except that such period shall be three Business Days instead of five Business Days). The Board of Directors of the Company shall not make a Company Adverse Recommendation Change in response to a Company Intervening Event, unless (A) the Company has provided Parent with written information describing such Company Intervening Event in reasonable detail promptly after becoming aware of it and keeps Parent fully informed, on a reasonably current basis, of material developments with respect to such Company Intervening Event, (B) the Company has provided Parent at least five Business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1" w:name="page72"/>
    <w:bookmarkEnd w:id="71"/>
    <w:p>
      <w:pPr>
        <w:spacing w:after="0" w:line="272" w:lineRule="auto"/>
        <w:rPr>
          <w:sz w:val="20"/>
          <w:szCs w:val="20"/>
          <w:color w:val="auto"/>
        </w:rPr>
      </w:pPr>
      <w:r>
        <w:rPr>
          <w:rFonts w:ascii="Arial" w:cs="Arial" w:eastAsia="Arial" w:hAnsi="Arial"/>
          <w:sz w:val="17"/>
          <w:szCs w:val="17"/>
          <w:color w:val="auto"/>
        </w:rPr>
        <w:t>Days prior notice of its intention to make a Company Adverse Recommendation Change with respect to such Company Intervening Event, attaching a reasonably detailed explanation of the facts underlying the determination by the Board of Directors of the Company that a Company Intervening Event has occurred and its need to make a Company Adverse Recommendation Change in light of the Company Intervening Event and (C) Parent does not make, within such five-Business-Day period, an offer that the Company’s Board of Directors determines would obviate the need for a Company Adverse Recommendation Change in light of the Company Intervening Event. During any five-Business-Day period prior to effecting a Company Adverse Recommendation Change pursuant to this Section 6.03(d), the Company and its Representatives shall negotiate in good faith with Parent and its Representatives regarding any revisions to the terms of the transactions contemplated by this Agreement proposed by Parent.</w:t>
      </w:r>
    </w:p>
    <w:p>
      <w:pPr>
        <w:spacing w:after="0" w:line="228" w:lineRule="exact"/>
        <w:rPr>
          <w:sz w:val="20"/>
          <w:szCs w:val="20"/>
          <w:color w:val="auto"/>
        </w:rPr>
      </w:pPr>
    </w:p>
    <w:p>
      <w:pPr>
        <w:ind w:right="80" w:firstLine="1305"/>
        <w:spacing w:after="0" w:line="272" w:lineRule="auto"/>
        <w:tabs>
          <w:tab w:leader="none" w:pos="1928" w:val="left"/>
        </w:tabs>
        <w:numPr>
          <w:ilvl w:val="0"/>
          <w:numId w:val="73"/>
        </w:numPr>
        <w:rPr>
          <w:rFonts w:ascii="Arial" w:cs="Arial" w:eastAsia="Arial" w:hAnsi="Arial"/>
          <w:sz w:val="17"/>
          <w:szCs w:val="17"/>
          <w:color w:val="auto"/>
        </w:rPr>
      </w:pPr>
      <w:r>
        <w:rPr>
          <w:rFonts w:ascii="Arial" w:cs="Arial" w:eastAsia="Arial" w:hAnsi="Arial"/>
          <w:sz w:val="17"/>
          <w:szCs w:val="17"/>
          <w:color w:val="auto"/>
        </w:rPr>
        <w:t>Definition of Company Superior Proposal. For purposes of this Agreement, “</w:t>
      </w:r>
      <w:r>
        <w:rPr>
          <w:rFonts w:ascii="Arial" w:cs="Arial" w:eastAsia="Arial" w:hAnsi="Arial"/>
          <w:sz w:val="17"/>
          <w:szCs w:val="17"/>
          <w:b w:val="1"/>
          <w:bCs w:val="1"/>
          <w:color w:val="auto"/>
        </w:rPr>
        <w:t>Company Superior Proposal</w:t>
      </w:r>
      <w:r>
        <w:rPr>
          <w:rFonts w:ascii="Arial" w:cs="Arial" w:eastAsia="Arial" w:hAnsi="Arial"/>
          <w:sz w:val="17"/>
          <w:szCs w:val="17"/>
          <w:color w:val="auto"/>
        </w:rPr>
        <w:t>” means a bona fide, unsolicited written Company Acquisition Proposal for at least a majority of the outstanding shares of Company Stock or all or substantially all of the consolidated assets of the Company and its Subsidiaries that the Board of Directors of the Company determines in good faith, after consultation with a financial advisor of nationally recognized reputation and outside legal counsel and taking into account all material financial, legal, regulatory and other aspects of such proposal, including the terms and conditions of the Company Acquisition Proposal, (x) is on terms and conditions more favorable to the Company’s stockholders than the transactions contemplated hereby (taking into account any proposal by Parent to amend the terms of this Agreement pursuant to Section 6.03(d)) and (y) is reasonably likely to be consummated and, if a cash transaction (whether in whole or in part), has financing, if any, that is then fully committed or reasonably determined to be available by the Board of Directors of the Company.</w:t>
      </w:r>
    </w:p>
    <w:p>
      <w:pPr>
        <w:spacing w:after="0" w:line="230" w:lineRule="exact"/>
        <w:rPr>
          <w:rFonts w:ascii="Arial" w:cs="Arial" w:eastAsia="Arial" w:hAnsi="Arial"/>
          <w:sz w:val="17"/>
          <w:szCs w:val="17"/>
          <w:color w:val="auto"/>
        </w:rPr>
      </w:pPr>
    </w:p>
    <w:p>
      <w:pPr>
        <w:ind w:right="40" w:firstLine="1305"/>
        <w:spacing w:after="0" w:line="289" w:lineRule="auto"/>
        <w:tabs>
          <w:tab w:leader="none" w:pos="1908" w:val="left"/>
        </w:tabs>
        <w:numPr>
          <w:ilvl w:val="0"/>
          <w:numId w:val="73"/>
        </w:numPr>
        <w:rPr>
          <w:rFonts w:ascii="Arial" w:cs="Arial" w:eastAsia="Arial" w:hAnsi="Arial"/>
          <w:sz w:val="16"/>
          <w:szCs w:val="16"/>
          <w:color w:val="auto"/>
        </w:rPr>
      </w:pPr>
      <w:r>
        <w:rPr>
          <w:rFonts w:ascii="Arial" w:cs="Arial" w:eastAsia="Arial" w:hAnsi="Arial"/>
          <w:sz w:val="16"/>
          <w:szCs w:val="16"/>
          <w:color w:val="auto"/>
        </w:rPr>
        <w:t>Obligation to Terminate Existing Discussions. The Company shall, and shall cause its Subsidiaries and its and their Representatives to, cease immediately and cause to be terminated any and all existing activities, discussions or negotiations, if any, with any Third Party and its Representatives and its financing sources conducted prior to the date hereof with respect to any Company Acquisition Proposal. The Company shall promptly request that each Third Party, if any, that has executed a confidentiality agreement within the 24-month period prior to the date hereof in connection with its consideration of any Company Acquisition Proposal return or destroy all confidential information heretofore furnished to such Person by or on behalf of the Company or any of its Subsidiaries (and all analyses and other materials prepared by or on behalf of such Person that contains, reflects or analyzes that information), and the Company shall provide to Parent all certifications of such return or destruction from such other Persons as promptly as practicable after receipt thereof. The Company shall use its commercially reasonable efforts to secure all such certifications as promptly as practicable. If any such Person fails to provide any required certification within the time period allotted in the relevant confidentiality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2" w:name="page73"/>
    <w:bookmarkEnd w:id="72"/>
    <w:p>
      <w:pPr>
        <w:ind w:right="200"/>
        <w:spacing w:after="0" w:line="342" w:lineRule="auto"/>
        <w:rPr>
          <w:sz w:val="20"/>
          <w:szCs w:val="20"/>
          <w:color w:val="auto"/>
        </w:rPr>
      </w:pPr>
      <w:r>
        <w:rPr>
          <w:rFonts w:ascii="Arial" w:cs="Arial" w:eastAsia="Arial" w:hAnsi="Arial"/>
          <w:sz w:val="16"/>
          <w:szCs w:val="16"/>
          <w:color w:val="auto"/>
        </w:rPr>
        <w:t>agreement (or if no such period is specified, then within a reasonable time period after the date hereof), then the Company shall take all actions that may be reasonably necessary to secure its rights and ensure the performance of such other party’s obligations thereunder as promptly as practicable.</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Tax Matters</w:t>
      </w:r>
      <w:r>
        <w:rPr>
          <w:rFonts w:ascii="Arial" w:cs="Arial" w:eastAsia="Arial" w:hAnsi="Arial"/>
          <w:sz w:val="18"/>
          <w:szCs w:val="18"/>
          <w:color w:val="auto"/>
        </w:rPr>
        <w:t>. (a) From the date hereof until the Effective Time, except as consented to in writing by Parent (such consent not to be unreasonably withheld, conditioned or delayed), neither the Company nor any of its Subsidiaries shall make or change any material Tax election, change any annual tax accounting period, adopt or change any method of tax accounting, file any material amended Tax Returns or claims for material Tax refunds, enter into any material closing agreement, surrender any material Tax claim, audit or assessment, surrender any right to claim a material Tax refund, offset or other reduction in Tax liability, consent to any extension or waiver of the limitations period applicable to any Tax claim or assessment or take or omit to take any other action with respect to Taxes, in each case, if any such action or omission would have the effect of materially increasing the Tax liability or accrual of Tax liability under FASB Interpretation No. 48 or materially reducing any Tax asset or accrual of Tax asset under FASB Interpretation No. 48 of the Company or any of its Subsidiaries.</w:t>
      </w:r>
    </w:p>
    <w:p>
      <w:pPr>
        <w:spacing w:after="0" w:line="246" w:lineRule="exact"/>
        <w:rPr>
          <w:sz w:val="20"/>
          <w:szCs w:val="20"/>
          <w:color w:val="auto"/>
        </w:rPr>
      </w:pPr>
    </w:p>
    <w:p>
      <w:pPr>
        <w:ind w:right="340" w:firstLine="1305"/>
        <w:spacing w:after="0" w:line="342" w:lineRule="auto"/>
        <w:tabs>
          <w:tab w:leader="none" w:pos="1938"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and each of its Subsidiaries shall establish or cause to be established in accordance with GAAP on or before the Effective Time an adequate accrual for all Taxes due with respect to any period or portion thereof ending prior to or as of the Effective Time.</w:t>
      </w:r>
    </w:p>
    <w:p>
      <w:pPr>
        <w:spacing w:after="0" w:line="177" w:lineRule="exact"/>
        <w:rPr>
          <w:rFonts w:ascii="Arial" w:cs="Arial" w:eastAsia="Arial" w:hAnsi="Arial"/>
          <w:sz w:val="16"/>
          <w:szCs w:val="16"/>
          <w:color w:val="auto"/>
        </w:rPr>
      </w:pPr>
    </w:p>
    <w:p>
      <w:pPr>
        <w:ind w:right="40" w:firstLine="1305"/>
        <w:spacing w:after="0" w:line="276" w:lineRule="auto"/>
        <w:tabs>
          <w:tab w:leader="none" w:pos="1928"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transfer, documentary, sales, use, stamp, registration, value added and other such Taxes and fees (including any penalties and interest) incurred by the Company or any of its Subsidiaries in connection with the Merger (including any real property transfer tax and any similar Tax) shall be paid by the Company (or the applicable Subsidiary) when due, and the Company (or the applicable Subsidiary) shall, at its own expense, file all necessary Tax returns and other documentation with respect to all such Taxes and fees, and, if required by Applicable Law, the Company (or the applicable Subsidiary) shall, and shall cause its Affiliates to, join in the execution of any such Tax returns and other documentation.</w:t>
      </w:r>
    </w:p>
    <w:p>
      <w:pPr>
        <w:spacing w:after="0" w:line="227"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Voting of Shares</w:t>
      </w:r>
      <w:r>
        <w:rPr>
          <w:rFonts w:ascii="Arial" w:cs="Arial" w:eastAsia="Arial" w:hAnsi="Arial"/>
          <w:sz w:val="16"/>
          <w:szCs w:val="16"/>
          <w:color w:val="auto"/>
        </w:rPr>
        <w:t>. The Company shall vote all shares of Parent Class A Common Stock beneficially owned by it or any of its Subsidiaries (other than, for the avoidance of doubt, any such shares held by any employee benefit plan of the Company or any of its Subsidiaries or any trustee or other fiduciary in such capacity under any employee benefit plan) in favor of the Parent Stock Issuance at the Parent Shareholder Meeting.</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Parent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Parent agrees that:</w:t>
      </w:r>
    </w:p>
    <w:p>
      <w:pPr>
        <w:spacing w:after="0" w:line="27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Conduct of Parent</w:t>
      </w:r>
      <w:r>
        <w:rPr>
          <w:rFonts w:ascii="Arial" w:cs="Arial" w:eastAsia="Arial" w:hAnsi="Arial"/>
          <w:sz w:val="17"/>
          <w:szCs w:val="17"/>
          <w:color w:val="auto"/>
        </w:rPr>
        <w:t>. From the date hereof until the Effective Time except as expressly contemplated by this Agreement, as set forth in Section 7.01 of the Parent Disclosure Schedule, as consented to in writing by the Company (such consent not to be unreasonably withheld, conditioned or delayed) or as required by Applicable Law, Parent shall, and shall cause each of its Subsidiaries to conduct its business in all material respects in the ordinary course consistent with past practice and use its commercially reasonable efforts to preserve intact its business organizations and relationships with Third Parties. Without limiting the generality of the foregoing, from the date hereof until the Effective Time, except as expressly contemplated by this Agreement, as set forth in Section 7.01 of the Parent Disclosure Schedule, as consented to in writing by the Company or as required by Applicable Law, from the date hereof until the Effective Time Parent shall not, nor shall it permit any of its Subsidiaries to:</w:t>
      </w:r>
    </w:p>
    <w:p>
      <w:pPr>
        <w:spacing w:after="0" w:line="232" w:lineRule="exact"/>
        <w:rPr>
          <w:sz w:val="20"/>
          <w:szCs w:val="20"/>
          <w:color w:val="auto"/>
        </w:rPr>
      </w:pPr>
    </w:p>
    <w:p>
      <w:pPr>
        <w:ind w:right="120" w:firstLine="1305"/>
        <w:spacing w:after="0" w:line="277" w:lineRule="auto"/>
        <w:tabs>
          <w:tab w:leader="none" w:pos="19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amend the articles of incorporation or bylaws of Parent in a manner that would have a material and adverse impact on the value of Parent Class A Common Stock;</w:t>
      </w:r>
    </w:p>
    <w:p>
      <w:pPr>
        <w:spacing w:after="0" w:line="224" w:lineRule="exact"/>
        <w:rPr>
          <w:rFonts w:ascii="Arial" w:cs="Arial" w:eastAsia="Arial" w:hAnsi="Arial"/>
          <w:sz w:val="18"/>
          <w:szCs w:val="18"/>
          <w:color w:val="auto"/>
        </w:rPr>
      </w:pPr>
    </w:p>
    <w:p>
      <w:pPr>
        <w:ind w:right="60" w:firstLine="1305"/>
        <w:spacing w:after="0" w:line="272" w:lineRule="auto"/>
        <w:tabs>
          <w:tab w:leader="none" w:pos="1938" w:val="left"/>
        </w:tabs>
        <w:numPr>
          <w:ilvl w:val="0"/>
          <w:numId w:val="75"/>
        </w:numPr>
        <w:rPr>
          <w:rFonts w:ascii="Arial" w:cs="Arial" w:eastAsia="Arial" w:hAnsi="Arial"/>
          <w:sz w:val="17"/>
          <w:szCs w:val="17"/>
          <w:color w:val="auto"/>
        </w:rPr>
      </w:pPr>
      <w:r>
        <w:rPr>
          <w:rFonts w:ascii="Arial" w:cs="Arial" w:eastAsia="Arial" w:hAnsi="Arial"/>
          <w:sz w:val="17"/>
          <w:szCs w:val="17"/>
          <w:color w:val="auto"/>
        </w:rPr>
        <w:t>without limiting the Company’s obligations under Section 8.01 (including the last sentence of Section 8.01(a)), split, combine or reclassify any shares of capital stock of Parent or any of its Subsidiaries or declare, set aside or pay any dividend or other distribution (whether in cash, stock or property or any combination thereof) in respect of the capital stock of Parent or its Subsidiaries, or redeem, repurchase or otherwise acquire or offer to redeem, repurchase, or otherwise acquire any Parent Securities, except for (i) dividends by any of its wholly-owned Subsidiaries, (ii) regular quarterly cash dividends by Parent with customary record and payment dates on shares of Parent Stock not in excess of $0.225 per share per quarter, as such amount may be increased for 2015 in the ordinary course of business consistent with past practice; and (iii) repurchases of shares of Parent Stock at then prevailing market prices pursuant to Parent’s share repurchase program as in effect from time to time;</w:t>
      </w:r>
    </w:p>
    <w:p>
      <w:pPr>
        <w:spacing w:after="0" w:line="231" w:lineRule="exact"/>
        <w:rPr>
          <w:rFonts w:ascii="Arial" w:cs="Arial" w:eastAsia="Arial" w:hAnsi="Arial"/>
          <w:sz w:val="17"/>
          <w:szCs w:val="17"/>
          <w:color w:val="auto"/>
        </w:rPr>
      </w:pPr>
    </w:p>
    <w:p>
      <w:pPr>
        <w:ind w:firstLine="1305"/>
        <w:spacing w:after="0" w:line="277" w:lineRule="auto"/>
        <w:tabs>
          <w:tab w:leader="none" w:pos="19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or resolutions providing for or authorizing such a liquidation or a dissolution, restructuring, recapitalization or reorganization;</w:t>
      </w:r>
    </w:p>
    <w:p>
      <w:pPr>
        <w:spacing w:after="0" w:line="224" w:lineRule="exact"/>
        <w:rPr>
          <w:rFonts w:ascii="Arial" w:cs="Arial" w:eastAsia="Arial" w:hAnsi="Arial"/>
          <w:sz w:val="18"/>
          <w:szCs w:val="18"/>
          <w:color w:val="auto"/>
        </w:rPr>
      </w:pPr>
    </w:p>
    <w:p>
      <w:pPr>
        <w:ind w:right="200" w:firstLine="1305"/>
        <w:spacing w:after="0" w:line="277" w:lineRule="auto"/>
        <w:tabs>
          <w:tab w:leader="none" w:pos="19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Parent hereunder inaccurate in any material respect at, or immediately prior to, the Effective Time; or</w:t>
      </w:r>
    </w:p>
    <w:p>
      <w:pPr>
        <w:spacing w:after="0" w:line="224" w:lineRule="exact"/>
        <w:rPr>
          <w:rFonts w:ascii="Arial" w:cs="Arial" w:eastAsia="Arial" w:hAnsi="Arial"/>
          <w:sz w:val="18"/>
          <w:szCs w:val="18"/>
          <w:color w:val="auto"/>
        </w:rPr>
      </w:pPr>
    </w:p>
    <w:p>
      <w:pPr>
        <w:ind w:left="1940" w:hanging="635"/>
        <w:spacing w:after="0"/>
        <w:tabs>
          <w:tab w:leader="none" w:pos="19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4" w:name="page75"/>
    <w:bookmarkEnd w:id="74"/>
    <w:p>
      <w:pPr>
        <w:ind w:right="60" w:firstLine="648"/>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Obligations of Merger Subsidiary</w:t>
      </w:r>
      <w:r>
        <w:rPr>
          <w:rFonts w:ascii="Arial" w:cs="Arial" w:eastAsia="Arial" w:hAnsi="Arial"/>
          <w:sz w:val="18"/>
          <w:szCs w:val="18"/>
          <w:color w:val="auto"/>
        </w:rPr>
        <w:t>. Parent shall take all action necessary to cause Merger Subsidiary to perform its obligations under this Agreement and to consummate the Merger on the terms and conditions set forth in this Agreement.</w:t>
      </w:r>
    </w:p>
    <w:p>
      <w:pPr>
        <w:spacing w:after="0" w:line="22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Parent Shareholder Meeting</w:t>
      </w:r>
      <w:r>
        <w:rPr>
          <w:rFonts w:ascii="Arial" w:cs="Arial" w:eastAsia="Arial" w:hAnsi="Arial"/>
          <w:sz w:val="16"/>
          <w:szCs w:val="16"/>
          <w:color w:val="auto"/>
        </w:rPr>
        <w:t>. Parent shall cause a meeting of its shareholders (the “</w:t>
      </w:r>
      <w:r>
        <w:rPr>
          <w:rFonts w:ascii="Arial" w:cs="Arial" w:eastAsia="Arial" w:hAnsi="Arial"/>
          <w:sz w:val="16"/>
          <w:szCs w:val="16"/>
          <w:b w:val="1"/>
          <w:bCs w:val="1"/>
          <w:color w:val="auto"/>
        </w:rPr>
        <w:t>Parent Shareholder Meeting</w:t>
      </w:r>
      <w:r>
        <w:rPr>
          <w:rFonts w:ascii="Arial" w:cs="Arial" w:eastAsia="Arial" w:hAnsi="Arial"/>
          <w:sz w:val="16"/>
          <w:szCs w:val="16"/>
          <w:color w:val="auto"/>
        </w:rPr>
        <w:t>”) to be duly called and held as soon as reasonably practicable after the date of this Agreement (but in no event later than 40 days after the Registration Statement is declared effective under the 1993 Act) for the purpose of voting on the approval of the issuance of shares of Parent Class A Common Stock as part of the Merger Consideration (the “</w:t>
      </w:r>
      <w:r>
        <w:rPr>
          <w:rFonts w:ascii="Arial" w:cs="Arial" w:eastAsia="Arial" w:hAnsi="Arial"/>
          <w:sz w:val="16"/>
          <w:szCs w:val="16"/>
          <w:b w:val="1"/>
          <w:bCs w:val="1"/>
          <w:color w:val="auto"/>
        </w:rPr>
        <w:t>Parent Stock Issuance</w:t>
      </w:r>
      <w:r>
        <w:rPr>
          <w:rFonts w:ascii="Arial" w:cs="Arial" w:eastAsia="Arial" w:hAnsi="Arial"/>
          <w:sz w:val="16"/>
          <w:szCs w:val="16"/>
          <w:color w:val="auto"/>
        </w:rPr>
        <w:t>”). In connection with the Parent Shareholder Meeting, the Board of Directors of Parent shall (i) (1) recommend approval of the Parent Stock Issuance to Parent’s shareholders and (2) use its reasonable best efforts to obtain the Parent Shareholder Approval and (ii) otherwise comply with all legal requirements applicable to such meeting. Without limiting the generality of the foregoing, unless this Agreement has terminated in accordance with its terms, the Parent Stock Issuance shall be submitted to the Parent’s shareholders at the Parent Shareholder Meeting. Parent shall not, without the prior written consent of the Company, adjourn or postpone the Parent Shareholder Meeting; provided that Parent may, without the prior written consent of the Company adjourn or postpone the Parent Shareholder Meeting (A) if, as of the time for which the Parent Shareholder Meeting is originally scheduled (as set forth in the Joint Proxy Statement/Prospectus), there are insufficient shares of Parent Stock represented (either in person or by proxy) to constitute a quorum necessary to conduct the business of the Parent Shareholder Meeting, (B) after consultation with the Company, if the failure to adjourn or postpone the Parent Shareholder Meeting would reasonably be expected to be a violation of Applicable Law for the distribution of any required supplement or amendment to the Joint Proxy Statement/Prospectus or (C) after consultation with the Company, for a single period not to exceed ten Business Days, to solicit additional proxies if necessary to obtain the Parent Shareholder Approval. The Company may require Parent to adjourn, delay or postpone the Parent Shareholder Meeting once for a period not to exceed 30 calendar days (but prior to the date that is two Business Days prior to the End Date) to solicit additional proxies necessary to obtain the Parent Shareholder Approval. Once Parent has established a record date for the Company Shareholder Meeting, Parent shall not change such record date or establish a different record date for the Parent Shareholder Meeting without the prior written consent of the Company (not to be unreasonably withheld, delayed or conditioned), unless required to do so by Applicable Law or Parent’s organizational</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documents. Without the prior written consent of the Company, the approval of the Parent Stock Issuance shall be the only matter (other than matters of procedure and matters required by Applicable Law to be voted on by Parent’s stockholders in connection with the approval of the Parent Stock Issuance) that Parent shall propose to be acted on by the shareholders of Parent at the Parent Shareholder Meeting.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5" w:name="page76"/>
    <w:bookmarkEnd w:id="75"/>
    <w:p>
      <w:pPr>
        <w:ind w:right="620" w:firstLine="648"/>
        <w:spacing w:after="0" w:line="27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Certain Prohibitions</w:t>
      </w:r>
      <w:r>
        <w:rPr>
          <w:rFonts w:ascii="Arial" w:cs="Arial" w:eastAsia="Arial" w:hAnsi="Arial"/>
          <w:sz w:val="18"/>
          <w:szCs w:val="18"/>
          <w:color w:val="auto"/>
        </w:rPr>
        <w:t>. From the date hereof until May 23, 2014, neither Parent nor any of its Subsidiaries shall enter into any agreements (written or oral) providing for the divestiture of in excess of 25,000 subscribers in the aggregate.</w:t>
      </w:r>
    </w:p>
    <w:p>
      <w:pPr>
        <w:spacing w:after="0" w:line="224"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Approval by Sole Stockholder of Merger Subsidiary</w:t>
      </w:r>
      <w:r>
        <w:rPr>
          <w:rFonts w:ascii="Arial" w:cs="Arial" w:eastAsia="Arial" w:hAnsi="Arial"/>
          <w:sz w:val="18"/>
          <w:szCs w:val="18"/>
          <w:color w:val="auto"/>
        </w:rPr>
        <w:t>. Immediately following the execution and delivery of this Agreement by the parties hereto, Parent, as sole stockholder of Merger Subsidiary, shall adopt this Agreement and approve the Merger, in accordance with Delaware Law, by written consent.</w:t>
      </w:r>
    </w:p>
    <w:p>
      <w:pPr>
        <w:spacing w:after="0" w:line="23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i w:val="1"/>
          <w:iCs w:val="1"/>
          <w:color w:val="auto"/>
        </w:rPr>
        <w:t>Voting of Shares</w:t>
      </w:r>
      <w:r>
        <w:rPr>
          <w:rFonts w:ascii="Arial" w:cs="Arial" w:eastAsia="Arial" w:hAnsi="Arial"/>
          <w:sz w:val="17"/>
          <w:szCs w:val="17"/>
          <w:color w:val="auto"/>
        </w:rPr>
        <w:t>. Parent shall vote all shares of Company Stock beneficially owned by it or any of its Subsidiaries (other than, for the avoidance of doubt, any such shares held by any employee benefit plan of Parent or any of its Subsidiaries or any trustee or other fiduciary in such capacity under any employee benefit plan) in favor of adoption of this Agreement at the Company Stockholder Meeting.</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Director and Officer Indemnification</w:t>
      </w:r>
      <w:r>
        <w:rPr>
          <w:rFonts w:ascii="Arial" w:cs="Arial" w:eastAsia="Arial" w:hAnsi="Arial"/>
          <w:sz w:val="17"/>
          <w:szCs w:val="17"/>
          <w:color w:val="auto"/>
        </w:rPr>
        <w:t>. (a) From and after the Effective Time, the Surviving Corporation shall, and Parent shall cause the Surviving Corporation to, indemnify and hold harmless and provide advancement of expenses to, the present (as of the date hereof or any time prior to the Effective Time) and former officers and directors of the Company and its Subsidiaries and any individual who is as of the date of this Agreement or commences, prior to the Effective Time, serving at the request of the Company or any Subsidiary of the Company as a director or officer of another Person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in respect of (i) acts or omissions occurring at or prior to the Effective Time, (ii) the fact that such Indemnified Person is or was a director or officer, or is or was serving at the request of the Company or any of its Subsidiaries as a director or officer of another Person prior to the Effective Time and (iii) this Agreement and the transactions contemplated hereby, in each case, to the fullest extent permitted by Delaware Law or any other Applicable Law or provided under the Company’s or its Subsidiaries’ certificate of incorporation and bylaws or comparable organizational documents in effect on the date hereof; provided that such indemnification and advancement of expenses shall be subject to any limitation imposed from time to time under Applicable Law; provided, further, that any Person to whom expenses are advanced shall provide an undertaking to repay such advances to the extent required by Applicable Law. From and after the Effective Time, Parent hereby irrevocably and unconditionally guarantees the payment and performance obligations of the Surviving Corporation under this Section 7.07(a).</w:t>
      </w:r>
    </w:p>
    <w:p>
      <w:pPr>
        <w:spacing w:after="0" w:line="234" w:lineRule="exact"/>
        <w:rPr>
          <w:sz w:val="20"/>
          <w:szCs w:val="20"/>
          <w:color w:val="auto"/>
        </w:rPr>
      </w:pPr>
    </w:p>
    <w:p>
      <w:pPr>
        <w:jc w:val="both"/>
        <w:ind w:firstLine="1305"/>
        <w:spacing w:after="0" w:line="264" w:lineRule="auto"/>
        <w:tabs>
          <w:tab w:leader="none" w:pos="19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From and after the Effective Time, Parent shall cause to be maintained in effect provisions in the Surviving Corporation’s and each Subsidiary of the Company’s certificates of incorporation and bylaws and comparable organizational documents (or in such documents of any successor to the business of the Surviving Corporation) regarding elimination of liability of</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6" w:name="page77"/>
    <w:bookmarkEnd w:id="76"/>
    <w:p>
      <w:pPr>
        <w:ind w:right="80"/>
        <w:spacing w:after="0" w:line="312" w:lineRule="auto"/>
        <w:rPr>
          <w:sz w:val="20"/>
          <w:szCs w:val="20"/>
          <w:color w:val="auto"/>
        </w:rPr>
      </w:pPr>
      <w:r>
        <w:rPr>
          <w:rFonts w:ascii="Arial" w:cs="Arial" w:eastAsia="Arial" w:hAnsi="Arial"/>
          <w:sz w:val="16"/>
          <w:szCs w:val="16"/>
          <w:color w:val="auto"/>
        </w:rPr>
        <w:t>directors, indemnification of officers, directors and employees and advancement of expenses with respect to matters existing or occurring at or prior to the Effective Time that are no less advantageous to the intended beneficiaries than the corresponding provisions in existence on the date of this Agreement in the Company’s and the or such Subsidiary of the Company’s certificate of incorporation and bylaws and comparable organization documents, as applicable.</w:t>
      </w:r>
    </w:p>
    <w:p>
      <w:pPr>
        <w:spacing w:after="0" w:line="201" w:lineRule="exact"/>
        <w:rPr>
          <w:sz w:val="20"/>
          <w:szCs w:val="20"/>
          <w:color w:val="auto"/>
        </w:rPr>
      </w:pPr>
    </w:p>
    <w:p>
      <w:pPr>
        <w:ind w:firstLine="1305"/>
        <w:spacing w:after="0" w:line="268" w:lineRule="auto"/>
        <w:tabs>
          <w:tab w:leader="none" w:pos="1928" w:val="left"/>
        </w:tabs>
        <w:numPr>
          <w:ilvl w:val="0"/>
          <w:numId w:val="77"/>
        </w:numPr>
        <w:rPr>
          <w:rFonts w:ascii="Arial" w:cs="Arial" w:eastAsia="Arial" w:hAnsi="Arial"/>
          <w:sz w:val="17"/>
          <w:szCs w:val="17"/>
          <w:color w:val="auto"/>
        </w:rPr>
      </w:pPr>
      <w:r>
        <w:rPr>
          <w:rFonts w:ascii="Arial" w:cs="Arial" w:eastAsia="Arial" w:hAnsi="Arial"/>
          <w:sz w:val="17"/>
          <w:szCs w:val="17"/>
          <w:color w:val="auto"/>
        </w:rPr>
        <w:t>Parent shall cause the Surviving Corporation, and the Surviving Corporation hereby agrees, to either (i) continue to maintain in effect for six years after the Effective Time the Company’s directors’ and officers’ insurance policies and fiduciary liability insurance policies (collectively, “</w:t>
      </w:r>
      <w:r>
        <w:rPr>
          <w:rFonts w:ascii="Arial" w:cs="Arial" w:eastAsia="Arial" w:hAnsi="Arial"/>
          <w:sz w:val="17"/>
          <w:szCs w:val="17"/>
          <w:b w:val="1"/>
          <w:bCs w:val="1"/>
          <w:color w:val="auto"/>
        </w:rPr>
        <w:t>D&amp;O Insurance</w:t>
      </w:r>
      <w:r>
        <w:rPr>
          <w:rFonts w:ascii="Arial" w:cs="Arial" w:eastAsia="Arial" w:hAnsi="Arial"/>
          <w:sz w:val="17"/>
          <w:szCs w:val="17"/>
          <w:color w:val="auto"/>
        </w:rPr>
        <w:t xml:space="preserve">”) in place as of the date hereof or (ii) purchase comparable D&amp;O Insurance for such six-year period, in each case with respect to any claim related to any period of time at or prior to the Effective Time with coverage not less than the existing coverage and other terms, conditions, retentions and limits of liability that are at least as favorable as those contained in the D&amp;O Insurance in effect as of the date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Parent or the Surviving Corporation be required to expend for such policies pursuant to this sentence an aggregate premium amount in excess of 300% of the amount per annum the Company paid in its last full fiscal year, which amount is set forth in Section 7.07(c) of the Company Disclosure Schedule; and provided, further, that if the aggregate premiums of such insurance coverage exceed such amount, the Surviving Corporation shall be obligated to obtain a policy with the greatest coverage available, with respect to matters occurring prior to the Effective Time, for a cost not exceeding such amount. At the Company’s option, the Company may purchase, prior to the Effective Time, a six-year prepaid “tail policy” with coverage not less than the existing coverage and other terms, conditions, retentions and limits of liability that are at least as favorable as those contained in the D&amp;O Insurance in effect as of the date hereof, in which event Parent shall cease to have any obligations under the first sentence of this Section 7.07(c);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premium for such policies shall not exceed 300% of the amount per annum the Company paid in its last full fiscal year. In the event the Company elects to purchase such a “tail policy,” the Surviving Corporation shall (and Parent shall cause the Surviving Corporation to) maintain such “tail policy” in full force and effect and continue to honor their respective obligations thereunder.</w:t>
      </w:r>
    </w:p>
    <w:p>
      <w:pPr>
        <w:spacing w:after="0" w:line="237" w:lineRule="exact"/>
        <w:rPr>
          <w:rFonts w:ascii="Arial" w:cs="Arial" w:eastAsia="Arial" w:hAnsi="Arial"/>
          <w:sz w:val="17"/>
          <w:szCs w:val="17"/>
          <w:color w:val="auto"/>
        </w:rPr>
      </w:pPr>
    </w:p>
    <w:p>
      <w:pPr>
        <w:ind w:right="80" w:firstLine="1305"/>
        <w:spacing w:after="0" w:line="259" w:lineRule="auto"/>
        <w:tabs>
          <w:tab w:leader="none" w:pos="193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Parent shall cause proper provision to be made so that the successors and assigns of Parent or the Surviving Corporation, as the case may be, shall assume the applicable obligations of such party set forth in this Section 7.07.</w:t>
      </w:r>
    </w:p>
    <w:p>
      <w:pPr>
        <w:spacing w:after="0" w:line="240" w:lineRule="exact"/>
        <w:rPr>
          <w:rFonts w:ascii="Arial" w:cs="Arial" w:eastAsia="Arial" w:hAnsi="Arial"/>
          <w:sz w:val="18"/>
          <w:szCs w:val="18"/>
          <w:color w:val="auto"/>
        </w:rPr>
      </w:pPr>
    </w:p>
    <w:p>
      <w:pPr>
        <w:ind w:left="1940" w:hanging="635"/>
        <w:spacing w:after="0"/>
        <w:tabs>
          <w:tab w:leader="none" w:pos="19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rights of each Indemnified Person under this Section 7.07 shall be in addition to any rights such Person may have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certificate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7" w:name="page78"/>
    <w:bookmarkEnd w:id="77"/>
    <w:p>
      <w:pPr>
        <w:jc w:val="both"/>
        <w:ind w:right="300"/>
        <w:spacing w:after="0" w:line="264" w:lineRule="auto"/>
        <w:rPr>
          <w:sz w:val="20"/>
          <w:szCs w:val="20"/>
          <w:color w:val="auto"/>
        </w:rPr>
      </w:pPr>
      <w:r>
        <w:rPr>
          <w:rFonts w:ascii="Arial" w:cs="Arial" w:eastAsia="Arial" w:hAnsi="Arial"/>
          <w:sz w:val="18"/>
          <w:szCs w:val="18"/>
          <w:color w:val="auto"/>
        </w:rPr>
        <w:t>of incorporation or bylaws of the Company or any of its Subsidiaries, or under Delaware Law or any other Applicable Law or under any agreement of any Indemnified Person with the Company or any of its Subsidiaries. These rights shall survive consummation of the Merger and are intended to benefit, and shall be enforceable by, each Indemnified Person.</w:t>
      </w:r>
    </w:p>
    <w:p>
      <w:pPr>
        <w:spacing w:after="0" w:line="23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Stock Exchange Listing</w:t>
      </w:r>
      <w:r>
        <w:rPr>
          <w:rFonts w:ascii="Arial" w:cs="Arial" w:eastAsia="Arial" w:hAnsi="Arial"/>
          <w:sz w:val="18"/>
          <w:szCs w:val="18"/>
          <w:color w:val="auto"/>
        </w:rPr>
        <w:t>. Parent shall use its reasonable best efforts to cause the shares of Parent Class A Common Stock to be issued as part of the Merger Consideration to be listed on NASDAQ, subject to official notice of issuance.</w:t>
      </w:r>
    </w:p>
    <w:p>
      <w:pPr>
        <w:spacing w:after="0" w:line="2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i w:val="1"/>
          <w:iCs w:val="1"/>
          <w:color w:val="auto"/>
        </w:rPr>
        <w:t>Employee Matters</w:t>
      </w:r>
      <w:r>
        <w:rPr>
          <w:rFonts w:ascii="Arial" w:cs="Arial" w:eastAsia="Arial" w:hAnsi="Arial"/>
          <w:sz w:val="17"/>
          <w:szCs w:val="17"/>
          <w:color w:val="auto"/>
        </w:rPr>
        <w:t>. (a) During the period beginning at the Effective Time and ending on the first anniversary of the Effective Time (the “</w:t>
      </w:r>
      <w:r>
        <w:rPr>
          <w:rFonts w:ascii="Arial" w:cs="Arial" w:eastAsia="Arial" w:hAnsi="Arial"/>
          <w:sz w:val="17"/>
          <w:szCs w:val="17"/>
          <w:b w:val="1"/>
          <w:bCs w:val="1"/>
          <w:color w:val="auto"/>
        </w:rPr>
        <w:t>Continuation Period</w:t>
      </w:r>
      <w:r>
        <w:rPr>
          <w:rFonts w:ascii="Arial" w:cs="Arial" w:eastAsia="Arial" w:hAnsi="Arial"/>
          <w:sz w:val="17"/>
          <w:szCs w:val="17"/>
          <w:color w:val="auto"/>
        </w:rPr>
        <w:t>”), Parent shall provide, or shall cause to be provided, to each employee of the Company and its Subsidiaries who continues to be employed by Parent or its Subsidiaries (including, for the avoidance of doubt the Surviving Corporation and its Subsidiaries) immediately following the Effective Time (each, a “</w:t>
      </w:r>
      <w:r>
        <w:rPr>
          <w:rFonts w:ascii="Arial" w:cs="Arial" w:eastAsia="Arial" w:hAnsi="Arial"/>
          <w:sz w:val="17"/>
          <w:szCs w:val="17"/>
          <w:b w:val="1"/>
          <w:bCs w:val="1"/>
          <w:color w:val="auto"/>
        </w:rPr>
        <w:t>Continuing Employee</w:t>
      </w:r>
      <w:r>
        <w:rPr>
          <w:rFonts w:ascii="Arial" w:cs="Arial" w:eastAsia="Arial" w:hAnsi="Arial"/>
          <w:sz w:val="17"/>
          <w:szCs w:val="17"/>
          <w:color w:val="auto"/>
        </w:rPr>
        <w:t>”), other than any Continuing Employee included in a collective bargaining unit covered by the Collective Bargaining Agreements as in effect on the Closing Date (each, a “</w:t>
      </w:r>
      <w:r>
        <w:rPr>
          <w:rFonts w:ascii="Arial" w:cs="Arial" w:eastAsia="Arial" w:hAnsi="Arial"/>
          <w:sz w:val="17"/>
          <w:szCs w:val="17"/>
          <w:b w:val="1"/>
          <w:bCs w:val="1"/>
          <w:color w:val="auto"/>
        </w:rPr>
        <w:t>Union Employee</w:t>
      </w:r>
      <w:r>
        <w:rPr>
          <w:rFonts w:ascii="Arial" w:cs="Arial" w:eastAsia="Arial" w:hAnsi="Arial"/>
          <w:sz w:val="17"/>
          <w:szCs w:val="17"/>
          <w:color w:val="auto"/>
        </w:rPr>
        <w:t xml:space="preserve">”), with, to the extent employed by Parent or its Subsidiaries, (i) base pay, commission opportunities and cash bonus opportunities, as applicable, that are no less favorable in the aggregate than provided to each such Continuing Employee immediately prior to the Closing Date and (ii) employee benefits that are no less favorable in the aggregate than provided to each such Continuing Employee immediately prior to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determining whether such pay, opportunities and benefits are no less favorable in the aggregate, equity compensation, defined benefit pension plan benefits, severance, retention (including, for the avoidance of doubt, any supplemental cash bonus opportunity set forth on Section 6.01(m) of the Company Disclosure Schedule), sale, stay, or change in control payments or awards or any similar compensation or benefit, shall not be taken into account. With respect to Union Employee, Parent shall retain, or shall cause to be retained, any and all of the rights and obligations it may have pursuant to Applicable Law.</w:t>
      </w:r>
    </w:p>
    <w:p>
      <w:pPr>
        <w:spacing w:after="0" w:line="234" w:lineRule="exact"/>
        <w:rPr>
          <w:sz w:val="20"/>
          <w:szCs w:val="20"/>
          <w:color w:val="auto"/>
        </w:rPr>
      </w:pPr>
    </w:p>
    <w:p>
      <w:pPr>
        <w:ind w:right="80" w:firstLine="1305"/>
        <w:spacing w:after="0" w:line="297" w:lineRule="auto"/>
        <w:tabs>
          <w:tab w:leader="none" w:pos="1938"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Section 7.09(a), beginning on the Closing Date, Parent shall, or shall cause one of its Subsidiaries to, for the benefit of each Continuing Employee, other than any Union Employee, (i) honor all contracts providing for severance to the extent and in accordance with their terms and (ii) honor, without amendment, all plans providing for severance for the Continuation Period or for any longer period during which such amendments are prohibited under the terms of the applicable plan, in all cases, as long as such contract or plan is set forth on Section 7.09(b) of the Company Disclosure Schedule. It is intended that Section 7.09(a) and this Section 7.09(b) shall not result in any duplication of benefits to any Continuing Employee.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8" w:name="page79"/>
    <w:bookmarkEnd w:id="78"/>
    <w:p>
      <w:pPr>
        <w:ind w:firstLine="1305"/>
        <w:spacing w:after="0" w:line="284" w:lineRule="auto"/>
        <w:tabs>
          <w:tab w:leader="none" w:pos="1928" w:val="left"/>
        </w:tabs>
        <w:numPr>
          <w:ilvl w:val="1"/>
          <w:numId w:val="79"/>
        </w:numPr>
        <w:rPr>
          <w:rFonts w:ascii="Arial" w:cs="Arial" w:eastAsia="Arial" w:hAnsi="Arial"/>
          <w:sz w:val="16"/>
          <w:szCs w:val="16"/>
          <w:color w:val="auto"/>
        </w:rPr>
      </w:pPr>
      <w:r>
        <w:rPr>
          <w:rFonts w:ascii="Arial" w:cs="Arial" w:eastAsia="Arial" w:hAnsi="Arial"/>
          <w:sz w:val="16"/>
          <w:szCs w:val="16"/>
          <w:color w:val="auto"/>
        </w:rPr>
        <w:t>To the extent that Continuing Employees, other than Union Employees, become eligible to participate in any “</w:t>
      </w:r>
      <w:r>
        <w:rPr>
          <w:rFonts w:ascii="Arial" w:cs="Arial" w:eastAsia="Arial" w:hAnsi="Arial"/>
          <w:sz w:val="16"/>
          <w:szCs w:val="16"/>
          <w:b w:val="1"/>
          <w:bCs w:val="1"/>
          <w:color w:val="auto"/>
        </w:rPr>
        <w:t>employee benefit</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as defined in Section 3(3) of ERISA, maintained by Parent or any of its Subsidiaries (collectively, the “</w:t>
      </w:r>
      <w:r>
        <w:rPr>
          <w:rFonts w:ascii="Arial" w:cs="Arial" w:eastAsia="Arial" w:hAnsi="Arial"/>
          <w:sz w:val="16"/>
          <w:szCs w:val="16"/>
          <w:b w:val="1"/>
          <w:bCs w:val="1"/>
          <w:color w:val="auto"/>
        </w:rPr>
        <w:t>Parent Plans</w:t>
      </w:r>
      <w:r>
        <w:rPr>
          <w:rFonts w:ascii="Arial" w:cs="Arial" w:eastAsia="Arial" w:hAnsi="Arial"/>
          <w:sz w:val="16"/>
          <w:szCs w:val="16"/>
          <w:color w:val="auto"/>
        </w:rPr>
        <w:t>”), then,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determining (i) eligibility to participate and vesting and, (ii) solely with respect to any Parent Plan that provides for severance, vacation or paid-time off benefits, for purposes of benefit accrual, service with the Company or any of its Subsidiaries prior to the Effective Time shall be treated as service with Parent or any of its Subsidiaries to the extent recognized by the Company and its Subsidiaries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service shall not be recognized to the extent that such recognition would result in any duplication of benefits and the Parent shall not be required to provide credit for such service for eligibility, vesting or benefit accrual purposes under any Parent Plan that is an equity compensation plan, defined benefit pension plan or postretirement medical plan. In addition, subject to the terms of the applicable Parent Plan and Legal Requirements, Parent shall use reasonable best efforts to</w:t>
      </w:r>
    </w:p>
    <w:p>
      <w:pPr>
        <w:spacing w:after="0" w:line="5" w:lineRule="exact"/>
        <w:rPr>
          <w:rFonts w:ascii="Arial" w:cs="Arial" w:eastAsia="Arial" w:hAnsi="Arial"/>
          <w:sz w:val="16"/>
          <w:szCs w:val="16"/>
          <w:color w:val="auto"/>
        </w:rPr>
      </w:pPr>
    </w:p>
    <w:p>
      <w:pPr>
        <w:ind w:right="160" w:firstLine="8"/>
        <w:spacing w:after="0" w:line="253"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waive all limitations as to preexisting conditions, exclusions and waiting periods with respect to participation and coverage requirements applicable to Continuing Employees under any Parent Plan that is a welfare benefit plan in which such Continuing Employees may be eligible to participate after the Effective Time and (y) provide each Continuing Employee with credit for any co-payments and deductibles paid during the plan year in which the Effective Time occurs in satisfying any applicable deductible or out-of-pocket requirements under any Parent Plans that are welfare plans in which such Continuing Employee is eligible to participate after the Effective Time.</w:t>
      </w:r>
    </w:p>
    <w:p>
      <w:pPr>
        <w:spacing w:after="0" w:line="245" w:lineRule="exact"/>
        <w:rPr>
          <w:rFonts w:ascii="Arial" w:cs="Arial" w:eastAsia="Arial" w:hAnsi="Arial"/>
          <w:sz w:val="18"/>
          <w:szCs w:val="18"/>
          <w:color w:val="auto"/>
        </w:rPr>
      </w:pPr>
    </w:p>
    <w:p>
      <w:pPr>
        <w:ind w:right="100" w:firstLine="1305"/>
        <w:spacing w:after="0" w:line="277" w:lineRule="auto"/>
        <w:tabs>
          <w:tab w:leader="none" w:pos="1938" w:val="left"/>
        </w:tabs>
        <w:numPr>
          <w:ilvl w:val="1"/>
          <w:numId w:val="80"/>
        </w:numPr>
        <w:rPr>
          <w:rFonts w:ascii="Arial" w:cs="Arial" w:eastAsia="Arial" w:hAnsi="Arial"/>
          <w:sz w:val="18"/>
          <w:szCs w:val="18"/>
          <w:color w:val="auto"/>
        </w:rPr>
      </w:pPr>
      <w:r>
        <w:rPr>
          <w:rFonts w:ascii="Arial" w:cs="Arial" w:eastAsia="Arial" w:hAnsi="Arial"/>
          <w:sz w:val="18"/>
          <w:szCs w:val="18"/>
          <w:color w:val="auto"/>
        </w:rPr>
        <w:t>For the avoidance of doubt and to the extent required by any Company Plan or Applicable Law, Parent shall, or shall cause one of its Subsidiaries to, expressly assume such Company Plan and all obligations thereunder.</w:t>
      </w:r>
    </w:p>
    <w:p>
      <w:pPr>
        <w:spacing w:after="0" w:line="224" w:lineRule="exact"/>
        <w:rPr>
          <w:rFonts w:ascii="Arial" w:cs="Arial" w:eastAsia="Arial" w:hAnsi="Arial"/>
          <w:sz w:val="18"/>
          <w:szCs w:val="18"/>
          <w:color w:val="auto"/>
        </w:rPr>
      </w:pPr>
    </w:p>
    <w:p>
      <w:pPr>
        <w:ind w:right="100" w:firstLine="1305"/>
        <w:spacing w:after="0" w:line="297" w:lineRule="auto"/>
        <w:tabs>
          <w:tab w:leader="none" w:pos="1928" w:val="left"/>
        </w:tabs>
        <w:numPr>
          <w:ilvl w:val="1"/>
          <w:numId w:val="80"/>
        </w:numPr>
        <w:rPr>
          <w:rFonts w:ascii="Arial" w:cs="Arial" w:eastAsia="Arial" w:hAnsi="Arial"/>
          <w:sz w:val="16"/>
          <w:szCs w:val="16"/>
          <w:color w:val="auto"/>
        </w:rPr>
      </w:pPr>
      <w:r>
        <w:rPr>
          <w:rFonts w:ascii="Arial" w:cs="Arial" w:eastAsia="Arial" w:hAnsi="Arial"/>
          <w:sz w:val="16"/>
          <w:szCs w:val="16"/>
          <w:color w:val="auto"/>
        </w:rPr>
        <w:t>Upon the request of Parent prior to the Effective Time but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effective as of immediately prior to the Effective Time, the Company shall terminate or shall cause the termination of any or all U.S. tax-qualified defined contribution plans provided to current and former employees of the Company and its Subsidiaries, as directed by the Parent and in compliance with Applicable Law.</w:t>
      </w:r>
    </w:p>
    <w:p>
      <w:pPr>
        <w:spacing w:after="0" w:line="212" w:lineRule="exact"/>
        <w:rPr>
          <w:rFonts w:ascii="Arial" w:cs="Arial" w:eastAsia="Arial" w:hAnsi="Arial"/>
          <w:sz w:val="16"/>
          <w:szCs w:val="16"/>
          <w:color w:val="auto"/>
        </w:rPr>
      </w:pPr>
    </w:p>
    <w:p>
      <w:pPr>
        <w:ind w:right="40" w:firstLine="1305"/>
        <w:spacing w:after="0" w:line="291" w:lineRule="auto"/>
        <w:tabs>
          <w:tab w:leader="none" w:pos="1908" w:val="left"/>
        </w:tabs>
        <w:numPr>
          <w:ilvl w:val="1"/>
          <w:numId w:val="80"/>
        </w:numPr>
        <w:rPr>
          <w:rFonts w:ascii="Arial" w:cs="Arial" w:eastAsia="Arial" w:hAnsi="Arial"/>
          <w:sz w:val="16"/>
          <w:szCs w:val="16"/>
          <w:color w:val="auto"/>
        </w:rPr>
      </w:pPr>
      <w:r>
        <w:rPr>
          <w:rFonts w:ascii="Arial" w:cs="Arial" w:eastAsia="Arial" w:hAnsi="Arial"/>
          <w:sz w:val="16"/>
          <w:szCs w:val="16"/>
          <w:color w:val="auto"/>
        </w:rPr>
        <w:t>Without limiting the generality of Section 11.06, nothing contained in this Section 7.09, expressed or implied, shall (i) be treated as the establishment, amendment or modification of any Company Plan or Parent Plan or, subject to compliance with the requirements of Section 7.09(a) and</w:t>
      </w:r>
    </w:p>
    <w:p>
      <w:pPr>
        <w:spacing w:after="0" w:line="261" w:lineRule="auto"/>
        <w:rPr>
          <w:rFonts w:ascii="Arial" w:cs="Arial" w:eastAsia="Arial" w:hAnsi="Arial"/>
          <w:sz w:val="16"/>
          <w:szCs w:val="16"/>
          <w:color w:val="auto"/>
        </w:rPr>
      </w:pPr>
      <w:r>
        <w:rPr>
          <w:rFonts w:ascii="Arial" w:cs="Arial" w:eastAsia="Arial" w:hAnsi="Arial"/>
          <w:sz w:val="18"/>
          <w:szCs w:val="18"/>
          <w:color w:val="auto"/>
        </w:rPr>
        <w:t>7.09(b), constitute a limitation on rights to amend, modify, merge or terminate after the Effective Time any Company Plan or Parent Plan, (ii) give any current or former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79" w:name="page80"/>
    <w:bookmarkEnd w:id="79"/>
    <w:p>
      <w:pPr>
        <w:ind w:right="400"/>
        <w:spacing w:after="0" w:line="264" w:lineRule="auto"/>
        <w:rPr>
          <w:sz w:val="20"/>
          <w:szCs w:val="20"/>
          <w:color w:val="auto"/>
        </w:rPr>
      </w:pPr>
      <w:r>
        <w:rPr>
          <w:rFonts w:ascii="Arial" w:cs="Arial" w:eastAsia="Arial" w:hAnsi="Arial"/>
          <w:sz w:val="18"/>
          <w:szCs w:val="18"/>
          <w:color w:val="auto"/>
        </w:rPr>
        <w:t>employee, director or other independent contractor of the Company and its Subsidiaries (including any beneficiary or dependent thereof), any third-party beneficiary or other rights or (iii) obligate Parent or any of its Affiliates to (A) maintain any particular Company Plan or Parent Plan or (B) retain the employment or services of any current or former employee, director or other independent contractor.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of Parent and the Company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hereto agree that:</w:t>
      </w:r>
    </w:p>
    <w:p>
      <w:pPr>
        <w:spacing w:after="0" w:line="27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i w:val="1"/>
          <w:iCs w:val="1"/>
          <w:color w:val="auto"/>
        </w:rPr>
        <w:t>Reasonable Best Efforts</w:t>
      </w:r>
      <w:r>
        <w:rPr>
          <w:rFonts w:ascii="Arial" w:cs="Arial" w:eastAsia="Arial" w:hAnsi="Arial"/>
          <w:sz w:val="17"/>
          <w:szCs w:val="17"/>
          <w:color w:val="auto"/>
        </w:rPr>
        <w:t>. (a) Subject to the terms and conditions of this Agreement, each of the Company and Parent shall use its reasonable best efforts to take, or cause to be taken, all actions and to do, or cause to be done, and assist and cooperate with the other in doing, all things necessary, proper or advisable under Applicable Law to consummate and make effective the Merger and the other transactions contemplated by this Agreement,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or other Third Party that are necessary, proper or advisable to consummate and make effective the Merger and the other transactions contemplated by this Agreement (whether or not such approvals, consents, registrations, permits, authorizations and other confirmations are conditions to the consummation of the Merger pursuant to Article 9).</w:t>
      </w:r>
    </w:p>
    <w:p>
      <w:pPr>
        <w:spacing w:after="0" w:line="236" w:lineRule="exact"/>
        <w:rPr>
          <w:sz w:val="20"/>
          <w:szCs w:val="20"/>
          <w:color w:val="auto"/>
        </w:rPr>
      </w:pPr>
    </w:p>
    <w:p>
      <w:pPr>
        <w:ind w:firstLine="1305"/>
        <w:spacing w:after="0" w:line="253" w:lineRule="auto"/>
        <w:tabs>
          <w:tab w:leader="none" w:pos="193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furtherance and not in limitation of the foregoing, each of Parent and the Company shall make, and not withdraw, as promptly as practicable and in any event within 30 Business Days (or, in the case of the succeeding clauses (iii) and (iv), 60 days) of the date hereof, (i) an appropriate filing of a Notification and Report Form pursuant to the HSR Act with respect to the transactions contemplated hereby, (ii) all necessary filings to obtain consents from the FCC (including FCC Forms 394 or other appropriate forms) that are required in connection with the Merger, (iii) all necessary filings to obtain consents from the state regulators and the Franchise authorities that are required in connection with the Merger and (iv) all other registrations, declarations, notices and filings with Governmental Authorities that are required in connection with the Merger. Each of the Company and Parent shall use its reasonable best efforts to supply as promptly as practicable any additional information and documentary material that may be requested pursuant to the foregoing, and use its reasonable best efforts to take all other actions necessary to cause the expiration or termination of the applicable waiting periods regarding the foregoing as soon as practicable.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0" w:name="page81"/>
    <w:bookmarkEnd w:id="80"/>
    <w:p>
      <w:pPr>
        <w:ind w:firstLine="1305"/>
        <w:spacing w:after="0" w:line="269" w:lineRule="auto"/>
        <w:tabs>
          <w:tab w:leader="none" w:pos="1928" w:val="left"/>
        </w:tabs>
        <w:numPr>
          <w:ilvl w:val="0"/>
          <w:numId w:val="82"/>
        </w:numPr>
        <w:rPr>
          <w:rFonts w:ascii="Arial" w:cs="Arial" w:eastAsia="Arial" w:hAnsi="Arial"/>
          <w:sz w:val="17"/>
          <w:szCs w:val="17"/>
          <w:color w:val="auto"/>
        </w:rPr>
      </w:pPr>
      <w:r>
        <w:rPr>
          <w:rFonts w:ascii="Arial" w:cs="Arial" w:eastAsia="Arial" w:hAnsi="Arial"/>
          <w:sz w:val="17"/>
          <w:szCs w:val="17"/>
          <w:color w:val="auto"/>
        </w:rPr>
        <w:t>Parent shall take the lead in (i) the scheduling of, and strategic planning for, any meeting with any Governmental Authority under the HSR Act or any other applicable Competition Law, (ii) the making of any filings, including the initial filings under the HSR Act, (iii) the process for the receipt of any necessary approvals and (iv) the resolution of any investigation or other inquiry of any such Governmental Authority. Without limiting the foregoing sentence, except as prohibited by Applicable Law, each of Parent and the Company shall, (A) to the extent reasonably practicable, consult with each other prior to taking any material substantive position with respect to the filings under the HSR Act or any other Competition Law in discussions with or filings to be submitted to any Governmental Authority, (B) to the extent reasonably practicable, permit the other to review and discuss in advance, and consider in good faith the views of the other in connection with, any analyses, presentations, memoranda, briefs, arguments, opinions and proposals to be submitted to any Governmental Authority with respect to filings under the HSR Act or any other Competition Law, and (C) to the extent reasonably practicable, coordinate with the other in preparing and exchanging such information and promptly provide the other (and its counsel) with copies of all filings, presentations or submissions (and a summary of any oral presentations) made by such party with any Governmental Authority relating to this Agreement or the transactions contemplated hereby under the HSR Act or any other Competition Law.</w:t>
      </w:r>
    </w:p>
    <w:p>
      <w:pPr>
        <w:spacing w:after="0" w:line="236" w:lineRule="exact"/>
        <w:rPr>
          <w:rFonts w:ascii="Arial" w:cs="Arial" w:eastAsia="Arial" w:hAnsi="Arial"/>
          <w:sz w:val="17"/>
          <w:szCs w:val="17"/>
          <w:color w:val="auto"/>
        </w:rPr>
      </w:pPr>
    </w:p>
    <w:p>
      <w:pPr>
        <w:ind w:right="20" w:firstLine="1305"/>
        <w:spacing w:after="0" w:line="271" w:lineRule="auto"/>
        <w:tabs>
          <w:tab w:leader="none" w:pos="1938" w:val="left"/>
        </w:tabs>
        <w:numPr>
          <w:ilvl w:val="0"/>
          <w:numId w:val="82"/>
        </w:numPr>
        <w:rPr>
          <w:rFonts w:ascii="Arial" w:cs="Arial" w:eastAsia="Arial" w:hAnsi="Arial"/>
          <w:sz w:val="17"/>
          <w:szCs w:val="17"/>
          <w:color w:val="auto"/>
        </w:rPr>
      </w:pPr>
      <w:r>
        <w:rPr>
          <w:rFonts w:ascii="Arial" w:cs="Arial" w:eastAsia="Arial" w:hAnsi="Arial"/>
          <w:sz w:val="17"/>
          <w:szCs w:val="17"/>
          <w:color w:val="auto"/>
        </w:rPr>
        <w:t>Unless prohibited by Applicable Law or by the applicable Governmental Authority, each of the Company and Parent shall (i) to the extent reasonably practicable, not participate in or attend any meeting, or engage in any substantive conversation with any Governmental Authority in respect of the Merger (including with respect to any of the actions referred to in Section 8.01(a)) without the other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subject to Section 8.01(c), either party may participate in or attend any such non-substantive meeting), (ii) to the extent reasonably practicable, give the other reasonable prior notice of any such meeting or conversation and (iii) in the event one party is prohibited by Applicable Law or by the applicable Governmental Authority from participating or attending any such meeting or engaging in any such conversation, keep such party reasonably apprised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or its representatives may conduct such a meeting or conversation without the Company or its representatives present upon the prior written consent of the Company (such consent not to be unreasonably withheld, conditioned or delayed).</w:t>
      </w:r>
    </w:p>
    <w:p>
      <w:pPr>
        <w:spacing w:after="0" w:line="228" w:lineRule="exact"/>
        <w:rPr>
          <w:rFonts w:ascii="Arial" w:cs="Arial" w:eastAsia="Arial" w:hAnsi="Arial"/>
          <w:sz w:val="17"/>
          <w:szCs w:val="17"/>
          <w:color w:val="auto"/>
        </w:rPr>
      </w:pPr>
    </w:p>
    <w:p>
      <w:pPr>
        <w:ind w:right="40" w:firstLine="1305"/>
        <w:spacing w:after="0" w:line="277" w:lineRule="auto"/>
        <w:tabs>
          <w:tab w:leader="none" w:pos="1928"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the parties hereto understand and agree that “</w:t>
      </w:r>
      <w:r>
        <w:rPr>
          <w:rFonts w:ascii="Arial" w:cs="Arial" w:eastAsia="Arial" w:hAnsi="Arial"/>
          <w:sz w:val="17"/>
          <w:szCs w:val="17"/>
          <w:b w:val="1"/>
          <w:bCs w:val="1"/>
          <w:color w:val="auto"/>
        </w:rPr>
        <w:t>reasonable best efforts</w:t>
      </w:r>
      <w:r>
        <w:rPr>
          <w:rFonts w:ascii="Arial" w:cs="Arial" w:eastAsia="Arial" w:hAnsi="Arial"/>
          <w:sz w:val="17"/>
          <w:szCs w:val="17"/>
          <w:color w:val="auto"/>
        </w:rPr>
        <w:t>” shall not require Parent to (i) divest or otherwise hold separate (including by establishing a trust or otherwise) any businesses, assets or properties of Parent or any of its Subsidiaries or any businesses, assets or properties of the Company or any of its Subsidiaries, (ii) accept any conditions or take any other actions that would apply to, or affect, any businesses, assets or properties of Parent or any of its Subsidiaries or any businesses, assets or properties of the Company or any of its Subsidiaries or (iii) litigate or participate in the litigation of any proceeding</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1" w:name="page82"/>
    <w:bookmarkEnd w:id="81"/>
    <w:p>
      <w:pPr>
        <w:spacing w:after="0" w:line="282" w:lineRule="auto"/>
        <w:rPr>
          <w:sz w:val="20"/>
          <w:szCs w:val="20"/>
          <w:color w:val="auto"/>
        </w:rPr>
      </w:pPr>
      <w:r>
        <w:rPr>
          <w:rFonts w:ascii="Arial" w:cs="Arial" w:eastAsia="Arial" w:hAnsi="Arial"/>
          <w:sz w:val="16"/>
          <w:szCs w:val="16"/>
          <w:color w:val="auto"/>
        </w:rPr>
        <w:t>involving the FCC, the Federal Trade Commission or Department of Justice, whether judicial or administrative, in order to (A) oppose or defend against any action by any such Governmental Authority to prevent or enjoin the consummation of the Merger or any of the other transactions contemplated by this Agreement or (B) overturn any regulatory action by any such Governmental Authority to prevent consummation of the Merger or any of the other transactions contemplated by this Agreement, including by defending any suit, action or other legal proceeding brought by any such Governmental Authority in order to avoid the entry of, or to have vacated, overturned or terminated or appealing any order, except, in the case of this clause (iii), to the extent Parent determines in its reasonable good faith judgment that there is a reasonable prospect of success in relation to such litigation and that the participation by Parent in such litigation would not pose a material risk of the imposition of a Burdensome Condition; provided, however, that, (x) notwithstanding the preceding clause (i), Parent is prepared to divest up to approximately 3 million subscribers of the combined company and (y) Parent and its Subsidiaries shall be required, notwithstanding the preceding clause (ii), (A) to take the actions and accept the conditions described in the immediately preceding clause (ii) to the extent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to implement the undertakings set forth on Section 8.01 of the Parent Disclosure Schedule (other than any undertaking to divest subscribers, the “</w:t>
      </w:r>
      <w:r>
        <w:rPr>
          <w:rFonts w:ascii="Arial" w:cs="Arial" w:eastAsia="Arial" w:hAnsi="Arial"/>
          <w:sz w:val="16"/>
          <w:szCs w:val="16"/>
          <w:b w:val="1"/>
          <w:bCs w:val="1"/>
          <w:color w:val="auto"/>
        </w:rPr>
        <w:t>Undertakings</w:t>
      </w:r>
      <w:r>
        <w:rPr>
          <w:rFonts w:ascii="Arial" w:cs="Arial" w:eastAsia="Arial" w:hAnsi="Arial"/>
          <w:sz w:val="16"/>
          <w:szCs w:val="16"/>
          <w:color w:val="auto"/>
        </w:rPr>
        <w:t>”), with such modifications to the Undertakings that, taken in the aggregate, are no more adverse to the businesses, assets and properties of Parent and its Subsidiaries, taken as a whole, or the businesses, assets and properties of the Company and its Subsidiaries, taken as a whole (each condition and action described in clause (i) or (ii) that Parent is not required to accept or take after giving effect to the proviso to this Section 8.01(e), a “</w:t>
      </w:r>
      <w:r>
        <w:rPr>
          <w:rFonts w:ascii="Arial" w:cs="Arial" w:eastAsia="Arial" w:hAnsi="Arial"/>
          <w:sz w:val="16"/>
          <w:szCs w:val="16"/>
          <w:b w:val="1"/>
          <w:bCs w:val="1"/>
          <w:color w:val="auto"/>
        </w:rPr>
        <w:t>Burdensome Condition</w:t>
      </w:r>
      <w:r>
        <w:rPr>
          <w:rFonts w:ascii="Arial" w:cs="Arial" w:eastAsia="Arial" w:hAnsi="Arial"/>
          <w:sz w:val="16"/>
          <w:szCs w:val="16"/>
          <w:color w:val="auto"/>
        </w:rPr>
        <w:t>”). In that regard, the Company agrees to work in good faith in connection with Parent’s efforts to structure any divestitures (whether by sale, spin off or otherwise) in a manner that Parent believes in good faith is in the best interests of the combined company and its shareholders. In addition, the Company shall not accept any of the conditions or take any of the foregoing actions (whether or not consistent in scope and magnitude with such prior conditions and actions) without Parent’s prior written</w:t>
      </w:r>
    </w:p>
    <w:p>
      <w:pPr>
        <w:spacing w:after="0" w:line="12"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consent. Notwithstanding the foregoing, no party shall be required to commit to or effect any action contemplated by this Section 8.01(e) that is not conditioned upon the consummation of the Merger.</w:t>
      </w:r>
    </w:p>
    <w:p>
      <w:pPr>
        <w:spacing w:after="0" w:line="238" w:lineRule="exact"/>
        <w:rPr>
          <w:sz w:val="20"/>
          <w:szCs w:val="20"/>
          <w:color w:val="auto"/>
        </w:rPr>
      </w:pPr>
    </w:p>
    <w:p>
      <w:pPr>
        <w:ind w:right="20" w:firstLine="1305"/>
        <w:spacing w:after="0" w:line="259" w:lineRule="auto"/>
        <w:tabs>
          <w:tab w:leader="none" w:pos="19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Company shall not accept, agree to or accede to any modifications or amendments to, or in connection with, or any conditions to the transfer of, any Franchises that are not approved by Parent in writing; provided, however, that if the Company affords Parent reasonable notice of, and opportunity to attend and participate in, meetings or other discussions relating to Franchise approvals where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82" w:name="page83"/>
    <w:bookmarkEnd w:id="82"/>
    <w:p>
      <w:pPr>
        <w:spacing w:after="0" w:line="270" w:lineRule="auto"/>
        <w:rPr>
          <w:sz w:val="20"/>
          <w:szCs w:val="20"/>
          <w:color w:val="auto"/>
        </w:rPr>
      </w:pPr>
      <w:r>
        <w:rPr>
          <w:rFonts w:ascii="Arial" w:cs="Arial" w:eastAsia="Arial" w:hAnsi="Arial"/>
          <w:sz w:val="17"/>
          <w:szCs w:val="17"/>
          <w:color w:val="auto"/>
        </w:rPr>
        <w:t>modifications, amendments or conditions are expected to be discussed or negotiated, Parent shall approve any such modifications, amendments or conditions that are approved by the Company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 In addition, if Parent seeks any Franchise approval pursuant to the transactions contemplated by this Agreement, Parent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w:t>
      </w:r>
    </w:p>
    <w:p>
      <w:pPr>
        <w:spacing w:after="0" w:line="236" w:lineRule="exact"/>
        <w:rPr>
          <w:sz w:val="20"/>
          <w:szCs w:val="20"/>
          <w:color w:val="auto"/>
        </w:rPr>
      </w:pPr>
    </w:p>
    <w:p>
      <w:pPr>
        <w:ind w:right="60" w:firstLine="1305"/>
        <w:spacing w:after="0" w:line="271" w:lineRule="auto"/>
        <w:tabs>
          <w:tab w:leader="none" w:pos="1938"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of Parent and the Company shall not, and shall cause their respective Subsidiaries and Affiliates not to, (i) take any action that would reasonably be expected to have the effect of materially delaying, impairing or impeding the receipt of any regulatory approvals required in connection with the transactions contemplated hereby or the Closing, or (ii) acquire (by merger consolidation, acquisition of stock or assets or otherwise), directly or indirectly, any assets, securities (other than securities issued by such party as permitted by Section 6.01 or Section 7.01, as the case may be), properties, interests or business in any transaction or series of related transactions, if such acquisition would (A) require approval of the FCC, or (B) (without the consent of the other, not to be unreasonably withheld, conditioned or delayed by the Company) have a value, or involve the payment of consideration, in excess of $1 billion; provided, however, that the foregoing sentence shall not prohibit Parent, the Company, or any of their respective Subsidiaries or Affiliates from taking any action set forth on Section 8.01(g) of the Parent Disclosure Schedule.</w:t>
      </w:r>
    </w:p>
    <w:p>
      <w:pPr>
        <w:spacing w:after="0" w:line="232" w:lineRule="exact"/>
        <w:rPr>
          <w:rFonts w:ascii="Arial" w:cs="Arial" w:eastAsia="Arial" w:hAnsi="Arial"/>
          <w:sz w:val="17"/>
          <w:szCs w:val="17"/>
          <w:color w:val="auto"/>
        </w:rPr>
      </w:pPr>
    </w:p>
    <w:p>
      <w:pPr>
        <w:ind w:right="220" w:firstLine="1305"/>
        <w:spacing w:after="0" w:line="255" w:lineRule="auto"/>
        <w:tabs>
          <w:tab w:leader="none" w:pos="19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the Company and Parent may, as each deems advisable and necessary, reasonably designate any competitively sensitive material provided to the other under this Section 8.01 as “</w:t>
      </w:r>
      <w:r>
        <w:rPr>
          <w:rFonts w:ascii="Arial" w:cs="Arial" w:eastAsia="Arial" w:hAnsi="Arial"/>
          <w:sz w:val="18"/>
          <w:szCs w:val="18"/>
          <w:b w:val="1"/>
          <w:bCs w:val="1"/>
          <w:color w:val="auto"/>
        </w:rPr>
        <w:t>Outside Counsel Only Material.</w:t>
      </w:r>
      <w:r>
        <w:rPr>
          <w:rFonts w:ascii="Arial" w:cs="Arial" w:eastAsia="Arial" w:hAnsi="Arial"/>
          <w:sz w:val="18"/>
          <w:szCs w:val="18"/>
          <w:color w:val="auto"/>
        </w:rPr>
        <w:t>” Such materials and the information contained therein shall be given only to the outside counsel of the recipient and, subject to any additional confidentiality or joint defense agreement the parties may mutually propose and enter into, will not be disclosed by such outside counsel to employees, officers or directors of the recipient unless express permission is obtained in advance from the source of the materials (the Company or Parent, as the case may be) or its legal counsel. Notwithstanding anything to the contrary in this Section 8.01, materials provided to the other party or its outside counsel may be redacted (i) to remove references concerning valuation, (ii) as necessary to comply with</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contractual arrangements and (iii) as necessary to address reasonable attorney-client or other privilege or confidentiality concerns.</w:t>
      </w:r>
    </w:p>
    <w:p>
      <w:pPr>
        <w:spacing w:after="0" w:line="27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Joint Proxy Statement/Prospectus; Registration Statement</w:t>
      </w:r>
      <w:r>
        <w:rPr>
          <w:rFonts w:ascii="Arial" w:cs="Arial" w:eastAsia="Arial" w:hAnsi="Arial"/>
          <w:sz w:val="16"/>
          <w:szCs w:val="16"/>
          <w:color w:val="auto"/>
        </w:rPr>
        <w:t>. (a) As promptly as practicable, the Company and Parent shall prepare and file the Joint Proxy Statement/Prospectus and the Registration Statement (in which the Joint Proxy Statement/Prospectus will be included) with the SEC. The Company and Parent shall use their reasonable best efforts to cause the Registration Statement to become effective under the 1933 Act as soon after such filing as practicable and to keep the Registration Statement effective as long as is necessary to consummate the Merger. Subject to Section 6.03, the Joint Proxy Statement/Prospectus shall include the recommendation of the Board of Directors of the Company in favor of approval and adoption of this Agreement and the Merger and the recommendation of the Board of Directors of Parent in favor of approval of the Parent Stock Issuance. The Company and Parent shall cooperate with one another in (x) setting a mutually acceptable date for the Company Stockholder Meeting and the Parent Shareholder Meeting, so as to enable them to occur, to the extent practicable, on the same date and (y) setting the dates for their respective annual meetings of stockholders. The Company and Parent shall use its reasonable best efforts to cause the Joint Proxy Statement/Prospectus to be mailed to its respective stockholders or shareholders, as the case may be, as promptly as practicable after the Registration Statement becomes effective. Each of the Company and Parent shall use its reasonable best efforts to ensure that the Registration Statement and the Joint Proxy Statement/Prospectus comply as to form in all material respects with the rules and regulations promulgated by the SEC under the 1933 Act and the 1934 Act, respectively.</w:t>
      </w:r>
    </w:p>
    <w:p>
      <w:pPr>
        <w:spacing w:after="0" w:line="223" w:lineRule="exact"/>
        <w:rPr>
          <w:sz w:val="20"/>
          <w:szCs w:val="20"/>
          <w:color w:val="auto"/>
        </w:rPr>
      </w:pPr>
    </w:p>
    <w:p>
      <w:pPr>
        <w:ind w:right="360" w:firstLine="1305"/>
        <w:spacing w:after="0" w:line="277" w:lineRule="auto"/>
        <w:tabs>
          <w:tab w:leader="none" w:pos="193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and Parent shall make all necessary filings with respect to the Merger and the transactions contemplated hereby under the 1933 Act and the 1934 Act and applicable state “</w:t>
      </w:r>
      <w:r>
        <w:rPr>
          <w:rFonts w:ascii="Arial" w:cs="Arial" w:eastAsia="Arial" w:hAnsi="Arial"/>
          <w:sz w:val="18"/>
          <w:szCs w:val="18"/>
          <w:b w:val="1"/>
          <w:bCs w:val="1"/>
          <w:color w:val="auto"/>
        </w:rPr>
        <w:t>blue sky</w:t>
      </w:r>
      <w:r>
        <w:rPr>
          <w:rFonts w:ascii="Arial" w:cs="Arial" w:eastAsia="Arial" w:hAnsi="Arial"/>
          <w:sz w:val="18"/>
          <w:szCs w:val="18"/>
          <w:color w:val="auto"/>
        </w:rPr>
        <w:t>” laws and the rules and regulations thereunder.</w:t>
      </w:r>
    </w:p>
    <w:p>
      <w:pPr>
        <w:spacing w:after="0" w:line="224" w:lineRule="exact"/>
        <w:rPr>
          <w:rFonts w:ascii="Arial" w:cs="Arial" w:eastAsia="Arial" w:hAnsi="Arial"/>
          <w:sz w:val="18"/>
          <w:szCs w:val="18"/>
          <w:color w:val="auto"/>
        </w:rPr>
      </w:pPr>
    </w:p>
    <w:p>
      <w:pPr>
        <w:ind w:right="80" w:firstLine="1305"/>
        <w:spacing w:after="0" w:line="259" w:lineRule="auto"/>
        <w:tabs>
          <w:tab w:leader="none" w:pos="19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the Company and Parent shall promptly provide the other parties and their respective counsel with (i) any comments or other communications, whether written or oral, that such party or its counsel may receive from time to time from the SEC or its staff with respect to the Joint Proxy Statement/Prospectus or the Registration Statement, as applicable, promptly after receipt of those comments or other communications and (ii) a reasonable opportunity to participate in the response to those comments.</w:t>
      </w:r>
    </w:p>
    <w:p>
      <w:pPr>
        <w:spacing w:after="0" w:line="240" w:lineRule="exact"/>
        <w:rPr>
          <w:rFonts w:ascii="Arial" w:cs="Arial" w:eastAsia="Arial" w:hAnsi="Arial"/>
          <w:sz w:val="18"/>
          <w:szCs w:val="18"/>
          <w:color w:val="auto"/>
        </w:rPr>
      </w:pPr>
    </w:p>
    <w:p>
      <w:pPr>
        <w:ind w:right="60" w:firstLine="1305"/>
        <w:spacing w:after="0" w:line="259" w:lineRule="auto"/>
        <w:tabs>
          <w:tab w:leader="none" w:pos="1938"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amendment or supplement to the Joint Proxy Statement/Prospectus or the Registration Statement will be made by Parent or the Company without the approval of the other parties hereto, which approval shall not be unreasonably withheld or delayed; provided that the Company, in connection with a Company Adverse Recommendation Change made in compliance with the terms hereof may amend or supplement the Joint Proxy Statement/Prospectus (including by incorporation by reference) pursuant to an</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4" w:name="page85"/>
    <w:bookmarkEnd w:id="84"/>
    <w:p>
      <w:pPr>
        <w:spacing w:after="0" w:line="269" w:lineRule="auto"/>
        <w:rPr>
          <w:sz w:val="20"/>
          <w:szCs w:val="20"/>
          <w:color w:val="auto"/>
        </w:rPr>
      </w:pPr>
      <w:r>
        <w:rPr>
          <w:rFonts w:ascii="Arial" w:cs="Arial" w:eastAsia="Arial" w:hAnsi="Arial"/>
          <w:sz w:val="17"/>
          <w:szCs w:val="17"/>
          <w:color w:val="auto"/>
        </w:rPr>
        <w:t>amendment or supplement (including by incorporation by reference) to the extent it contains (i) a Company Adverse Recommendation Change, (ii) a statement of the reason of the Company’s Board of Directors for making such Company Adverse Recommendation Change, and (iii) additional information reasonably related to the foregoing. Each party will advise the other parties, promptly after it receives notice thereof, of the time when the Registration Statement has become effective or any supplement or amendment has been filed, the issuance of any stop order, the suspension of the qualification of Parent Class A Common Stock issuable in connection with the Merger for offering or sale in any jurisdiction, or any request by the SEC for amendment of the Joint Proxy Statement/Prospectus or the Registration Statement. If, at any time prior to the Effective Time, Parent or the Company discovers any information relating to any party, or any of their respective Affiliates, officers or directors, that should be set forth in an amendment or supplement to the Joint Proxy Statement/Prospectus or the Registration Statement, so that none of those documents would include any misstatement of a material fact or omit to state any material fact necessary to make the statements in any such document, in light of the circumstances under which they were made, not misleading, the party that discovers that information shall promptly notify the other party and an appropriate amendment or supplement describing that information shall be promptly filed with the SEC and, to the extent required by law or regulation, disseminated to the shareholders and stockholders, respectively, of Parent and the Company.</w:t>
      </w:r>
    </w:p>
    <w:p>
      <w:pPr>
        <w:spacing w:after="0" w:line="23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i w:val="1"/>
          <w:iCs w:val="1"/>
          <w:color w:val="auto"/>
        </w:rPr>
        <w:t>Public Announcements</w:t>
      </w:r>
      <w:r>
        <w:rPr>
          <w:rFonts w:ascii="Arial" w:cs="Arial" w:eastAsia="Arial" w:hAnsi="Arial"/>
          <w:sz w:val="17"/>
          <w:szCs w:val="17"/>
          <w:color w:val="auto"/>
        </w:rPr>
        <w:t xml:space="preserve">. (a) Except with respect to any Company Adverse Recommendation Change made in accordance with this Agreement, or Parent’s response thereto, or any communication made in accordance with Section 6.03, the Company and Parent shall consult with each other before issuing any press release, making any other public statement or scheduling any press conference or conference call with investors or analysts with respect to this Agreement or the transactions contemplated by this Agreement and, except for any public statement or press release as may be required by Applicable Law, order of a court of competent jurisdiction or any listing agreement with or rule of any national securities exchange or association, shall not issue any such press release, make any such other public statement or schedule any such press conference or conference call before that consultation and providing each other the opportunity to review and comment upon any such press release or public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shall not apply to any press release or other public statement to the extent it contains substantially the same information as previously communicated by one or more of the parties. The initial press release of the parties announcing the execution of this Agreement shall be a joint press release of Parent and the Company in a form that is mutually agreed.</w:t>
      </w:r>
    </w:p>
    <w:p>
      <w:pPr>
        <w:spacing w:after="0" w:line="232" w:lineRule="exact"/>
        <w:rPr>
          <w:sz w:val="20"/>
          <w:szCs w:val="20"/>
          <w:color w:val="auto"/>
        </w:rPr>
      </w:pPr>
    </w:p>
    <w:p>
      <w:pPr>
        <w:ind w:right="300" w:firstLine="1305"/>
        <w:spacing w:after="0" w:line="342" w:lineRule="auto"/>
        <w:tabs>
          <w:tab w:leader="none" w:pos="1938"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with respect to any Company Adverse Recommendation Change made in accordance with this Agreement, or Parent’s response thereto, or any communication made in accordance with Section 6.03, before any Merger Communication of the Company, Parent or any of their</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5" w:name="page86"/>
    <w:bookmarkEnd w:id="85"/>
    <w:p>
      <w:pPr>
        <w:spacing w:after="0" w:line="286" w:lineRule="auto"/>
        <w:rPr>
          <w:sz w:val="20"/>
          <w:szCs w:val="20"/>
          <w:color w:val="auto"/>
        </w:rPr>
      </w:pPr>
      <w:r>
        <w:rPr>
          <w:rFonts w:ascii="Arial" w:cs="Arial" w:eastAsia="Arial" w:hAnsi="Arial"/>
          <w:sz w:val="16"/>
          <w:szCs w:val="16"/>
          <w:color w:val="auto"/>
        </w:rPr>
        <w:t>respective “</w:t>
      </w:r>
      <w:r>
        <w:rPr>
          <w:rFonts w:ascii="Arial" w:cs="Arial" w:eastAsia="Arial" w:hAnsi="Arial"/>
          <w:sz w:val="16"/>
          <w:szCs w:val="16"/>
          <w:b w:val="1"/>
          <w:bCs w:val="1"/>
          <w:color w:val="auto"/>
        </w:rPr>
        <w:t>participants</w:t>
      </w:r>
      <w:r>
        <w:rPr>
          <w:rFonts w:ascii="Arial" w:cs="Arial" w:eastAsia="Arial" w:hAnsi="Arial"/>
          <w:sz w:val="16"/>
          <w:szCs w:val="16"/>
          <w:color w:val="auto"/>
        </w:rPr>
        <w:t>” (as defined in Rule 165 of the 1933 Act or Item 4 of Schedule 14A of the 1934 Act) is (i) disseminated to any investor, analyst, member of the media, employee, client, customer or other third-party or otherwise made accessible on the website of the Company, Parent or any such participant, as applicable (whether in written, video or oral form via webcast, hyperlink or otherwise), or (ii) utilized by any officer, senior manager, key employee or advisor of the Company, Parent or any such participant, as applicable, as a script in discussions or meetings with any such third parties, then, in each case, the Company or Parent, as the case may be, shall (or shall cause any such participant to) cooperate in good faith with respect to any such Merger Communication for purposes of, among other things, determining whether that communication (x) is required to be filed under Rules 165 and 425 of the 1934 Act or (y) constitutes “</w:t>
      </w:r>
      <w:r>
        <w:rPr>
          <w:rFonts w:ascii="Arial" w:cs="Arial" w:eastAsia="Arial" w:hAnsi="Arial"/>
          <w:sz w:val="16"/>
          <w:szCs w:val="16"/>
          <w:b w:val="1"/>
          <w:bCs w:val="1"/>
          <w:color w:val="auto"/>
        </w:rPr>
        <w:t>soliciting material</w:t>
      </w:r>
      <w:r>
        <w:rPr>
          <w:rFonts w:ascii="Arial" w:cs="Arial" w:eastAsia="Arial" w:hAnsi="Arial"/>
          <w:sz w:val="16"/>
          <w:szCs w:val="16"/>
          <w:color w:val="auto"/>
        </w:rPr>
        <w:t>” that is required to be filed by Rule 14a-6(b) or Rule 14a-12(b) of the 1934 Act, as applicable, by the Company, Merger Subsidiary or Parent, as applicable, and shall (or shall cause any such participant to) give reasonable and good faith consideration to any comments made by the other such party or parties and their counsel on any such Merger Communication; provided, however, that the foregoing shall not apply to any Merger Communication that contains substantially the same information as has previously been communicated by such Person. For purposes of the foregoing, the term “</w:t>
      </w:r>
      <w:r>
        <w:rPr>
          <w:rFonts w:ascii="Arial" w:cs="Arial" w:eastAsia="Arial" w:hAnsi="Arial"/>
          <w:sz w:val="16"/>
          <w:szCs w:val="16"/>
          <w:b w:val="1"/>
          <w:bCs w:val="1"/>
          <w:color w:val="auto"/>
        </w:rPr>
        <w:t>Merger Communication</w:t>
      </w:r>
      <w:r>
        <w:rPr>
          <w:rFonts w:ascii="Arial" w:cs="Arial" w:eastAsia="Arial" w:hAnsi="Arial"/>
          <w:sz w:val="16"/>
          <w:szCs w:val="16"/>
          <w:color w:val="auto"/>
        </w:rPr>
        <w:t>” shall mean,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 that is related to any of the transactions contemplated by this Agreement and, if reviewed by a relevant stockholder, could reasonably be deemed to constitute either (x) an offer to sell or a solicitation of an offer to buy Parent Class A Common Stock or (y) a “</w:t>
      </w:r>
      <w:r>
        <w:rPr>
          <w:rFonts w:ascii="Arial" w:cs="Arial" w:eastAsia="Arial" w:hAnsi="Arial"/>
          <w:sz w:val="16"/>
          <w:szCs w:val="16"/>
          <w:b w:val="1"/>
          <w:bCs w:val="1"/>
          <w:color w:val="auto"/>
        </w:rPr>
        <w:t>solicitation</w:t>
      </w:r>
      <w:r>
        <w:rPr>
          <w:rFonts w:ascii="Arial" w:cs="Arial" w:eastAsia="Arial" w:hAnsi="Arial"/>
          <w:sz w:val="16"/>
          <w:szCs w:val="16"/>
          <w:color w:val="auto"/>
        </w:rPr>
        <w:t>” of “</w:t>
      </w:r>
      <w:r>
        <w:rPr>
          <w:rFonts w:ascii="Arial" w:cs="Arial" w:eastAsia="Arial" w:hAnsi="Arial"/>
          <w:sz w:val="16"/>
          <w:szCs w:val="16"/>
          <w:b w:val="1"/>
          <w:bCs w:val="1"/>
          <w:color w:val="auto"/>
        </w:rPr>
        <w:t>proxies</w:t>
      </w:r>
      <w:r>
        <w:rPr>
          <w:rFonts w:ascii="Arial" w:cs="Arial" w:eastAsia="Arial" w:hAnsi="Arial"/>
          <w:sz w:val="16"/>
          <w:szCs w:val="16"/>
          <w:color w:val="auto"/>
        </w:rPr>
        <w:t>” (in each case, as defined in Rule 14a-1 of the 1934 Act) in favor of the Merger or the Parent Stock Issuance.</w:t>
      </w:r>
    </w:p>
    <w:p>
      <w:pPr>
        <w:spacing w:after="0" w:line="22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Further Assurances</w:t>
      </w:r>
      <w:r>
        <w:rPr>
          <w:rFonts w:ascii="Arial" w:cs="Arial" w:eastAsia="Arial" w:hAnsi="Arial"/>
          <w:sz w:val="18"/>
          <w:szCs w:val="18"/>
          <w:color w:val="auto"/>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24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Notices of Certain Events</w:t>
      </w:r>
      <w:r>
        <w:rPr>
          <w:rFonts w:ascii="Arial" w:cs="Arial" w:eastAsia="Arial" w:hAnsi="Arial"/>
          <w:sz w:val="16"/>
          <w:szCs w:val="16"/>
          <w:color w:val="auto"/>
        </w:rPr>
        <w:t>. Each of the Company and Parent shall promptly notify and provide copies to the other of:</w:t>
      </w:r>
    </w:p>
    <w:p>
      <w:pPr>
        <w:spacing w:after="0" w:line="279" w:lineRule="exact"/>
        <w:rPr>
          <w:sz w:val="20"/>
          <w:szCs w:val="20"/>
          <w:color w:val="auto"/>
        </w:rPr>
      </w:pPr>
    </w:p>
    <w:p>
      <w:pPr>
        <w:ind w:right="200" w:firstLine="1305"/>
        <w:spacing w:after="0" w:line="277" w:lineRule="auto"/>
        <w:tabs>
          <w:tab w:leader="none" w:pos="19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written notice from any Person alleging that the approval or consent of such Person is or may be required in connection with the transactions contemplated by this Agreement;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86" w:name="page87"/>
    <w:bookmarkEnd w:id="86"/>
    <w:p>
      <w:pPr>
        <w:ind w:left="1940" w:hanging="635"/>
        <w:spacing w:after="0"/>
        <w:tabs>
          <w:tab w:leader="none" w:pos="19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written notice or other communication from any Governmental Authority in connection with the transactions contemplated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 and</w:t>
      </w:r>
    </w:p>
    <w:p>
      <w:pPr>
        <w:spacing w:after="0" w:line="264" w:lineRule="exact"/>
        <w:rPr>
          <w:rFonts w:ascii="Arial" w:cs="Arial" w:eastAsia="Arial" w:hAnsi="Arial"/>
          <w:sz w:val="16"/>
          <w:szCs w:val="16"/>
          <w:color w:val="auto"/>
        </w:rPr>
      </w:pPr>
    </w:p>
    <w:p>
      <w:pPr>
        <w:ind w:right="120" w:firstLine="1305"/>
        <w:spacing w:after="0" w:line="259" w:lineRule="auto"/>
        <w:tabs>
          <w:tab w:leader="none" w:pos="19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actions, suits, claims, investigations or proceedings commenced or, to its knowledge, threatened against, relating to or involving or otherwise affecting the Company or any of its Subsidiaries or Parent and any of its Subsidiaries, as the case may be, that, if pending on the date of this Agreement, would have been required to have been disclosed pursuant to any of such party’s representations or warranties, as the case may be, or that are material and relate to the consummation of the transactions contemplated by this Agreement;</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delivery of any notice pursuant to this Section 8.05 shall not affect or be deemed to modify any representation or warranty made by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party hereunder or limit or otherwise affect the remedies available hereunder to the party receiving such notice.</w:t>
      </w:r>
    </w:p>
    <w:p>
      <w:pPr>
        <w:spacing w:after="0" w:line="22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i w:val="1"/>
          <w:iCs w:val="1"/>
          <w:color w:val="auto"/>
        </w:rPr>
        <w:t>Access to Information</w:t>
      </w:r>
      <w:r>
        <w:rPr>
          <w:rFonts w:ascii="Arial" w:cs="Arial" w:eastAsia="Arial" w:hAnsi="Arial"/>
          <w:sz w:val="16"/>
          <w:szCs w:val="16"/>
          <w:color w:val="auto"/>
        </w:rPr>
        <w:t>. From the date hereof until the Effective Time and subject to Applicable Law and the Confidentiality Agreement, the Company and Parent shall (i) upon reasonable advance notice, give to the other party, its counsel, financial advisors, auditors and other authorized representatives reasonable access during regular business hours to the offices, properties, books and records of such party (except that neither party shall conduct any environmental sampling or analysis without the advance written consent of the other party, which may be withheld in such other party’s sole discretion, and without executing a customary access and indemnity agreement in respect thereto), (ii) furnish to the other party, its counsel, financial advisors, auditors and other authorized representatives such financial and operating data and other information as such Persons may reasonably request and</w:t>
      </w:r>
    </w:p>
    <w:p>
      <w:pPr>
        <w:spacing w:after="0" w:line="5" w:lineRule="exact"/>
        <w:rPr>
          <w:sz w:val="20"/>
          <w:szCs w:val="20"/>
          <w:color w:val="auto"/>
        </w:rPr>
      </w:pPr>
    </w:p>
    <w:p>
      <w:pPr>
        <w:ind w:right="100" w:firstLine="8"/>
        <w:spacing w:after="0" w:line="281" w:lineRule="auto"/>
        <w:tabs>
          <w:tab w:leader="none" w:pos="3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instruct its employees, counsel, financial advisors, auditors and other authorized representatives to cooperate with the other party in its investigation; provided, however, that the each party may restrict the foregoing access and the disclosure of information pursuant to this Section 8.06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w:t>
      </w:r>
    </w:p>
    <w:p>
      <w:pPr>
        <w:spacing w:after="0" w:line="2"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(C) disclosure of any such information or document would result in the loss of attorney-client privilege;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with respect to clauses (A) through (C) of this Section 8.06, Parent or the Company, as applicable, shall use its commercially reasonable efforts to (1) obtain the required consent of any such Third Party to provide such access or disclosure, (2) develop an alternative to providing such information so as to address such matters that is reasonably acceptable to Parent and the Company and (3) in the case of clauses (A) and (C), enter into a joint defense agreement or implement such other techniques if the parties determine that doing so would reasonably permit the disclosure of such information without violating Applicable Law or jeopardizing such privilege.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7" w:name="page88"/>
    <w:bookmarkEnd w:id="87"/>
    <w:p>
      <w:pPr>
        <w:ind w:right="20"/>
        <w:spacing w:after="0" w:line="264" w:lineRule="auto"/>
        <w:rPr>
          <w:sz w:val="20"/>
          <w:szCs w:val="20"/>
          <w:color w:val="auto"/>
        </w:rPr>
      </w:pPr>
      <w:r>
        <w:rPr>
          <w:rFonts w:ascii="Arial" w:cs="Arial" w:eastAsia="Arial" w:hAnsi="Arial"/>
          <w:sz w:val="18"/>
          <w:szCs w:val="18"/>
          <w:color w:val="auto"/>
        </w:rPr>
        <w:t>Any investigation pursuant to this Section shall be conducted in such manner as not to interfere unreasonably with the conduct of the business of the other party. No information or knowledge obtained in any investigation pursuant to this Section shall affect or be deemed to modify any representation or warranty made by any party hereunder.</w:t>
      </w:r>
    </w:p>
    <w:p>
      <w:pPr>
        <w:spacing w:after="0" w:line="23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Tax-free Reorganization</w:t>
      </w:r>
      <w:r>
        <w:rPr>
          <w:rFonts w:ascii="Arial" w:cs="Arial" w:eastAsia="Arial" w:hAnsi="Arial"/>
          <w:sz w:val="16"/>
          <w:szCs w:val="16"/>
          <w:color w:val="auto"/>
        </w:rPr>
        <w:t>. (a) Prior to the Effective Time, each of Parent and the Company shall use its reasonable best efforts to cause the Merger to qualify as a reorganization as defined in Section 368(a) of the Code, and shall not take any action reasonably likely to cause the Merger not so to qualify. Provided the opinion conditions contained in Sections 9.02(b) and 9.03(b) of this Agreement have been satisfied, each of Parent and the Company shall report the Merger for U.S. federal income tax purposes as a reorganization within the meaning of Section 368(a) of the Code.</w:t>
      </w:r>
    </w:p>
    <w:p>
      <w:pPr>
        <w:spacing w:after="0" w:line="208" w:lineRule="exact"/>
        <w:rPr>
          <w:sz w:val="20"/>
          <w:szCs w:val="20"/>
          <w:color w:val="auto"/>
        </w:rPr>
      </w:pPr>
    </w:p>
    <w:p>
      <w:pPr>
        <w:ind w:firstLine="1305"/>
        <w:spacing w:after="0" w:line="259" w:lineRule="auto"/>
        <w:tabs>
          <w:tab w:leader="none" w:pos="1938"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Officers of Parent, Merger Subsidiary and the Company shall execute and deliver to Davis Polk &amp; Wardwell LLP, tax counsel for Parent, and Paul, Weiss, Rifkind, Wharton &amp; Garrison LLP, tax counsel for the Company, Tax Representation Letters. Each of Parent, Merger Subsidiary and the Company shall use its reasonable best efforts not to take or cause to be taken any action that would cause to be untrue (or fail to take or cause to take any action which would cause to be untrue) any of the Tax Representation Letters.</w:t>
      </w:r>
    </w:p>
    <w:p>
      <w:pPr>
        <w:spacing w:after="0" w:line="2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party shall take all such steps as may be required to cause any dispositions of Company Stock (including derivative securities with respect to Company Stock) or acquisitions of Parent Class A Common Stock (including derivative securities with respect to Parent Class A Common Stock) resulting from the transactions contemplated by Article 2 of this Agreement by each individual who is subject to the reporting requirements of Section 16(a) of the 1934 Act with respect to the Company or will become subject to such reporting requirements with respect to Parent to be exempt under Rule 16b-3 promulgated under the 1934 Act.</w:t>
      </w:r>
    </w:p>
    <w:p>
      <w:pPr>
        <w:spacing w:after="0" w:line="242"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Stock Exchange De-listing; 1934 Act Deregistration</w:t>
      </w:r>
      <w:r>
        <w:rPr>
          <w:rFonts w:ascii="Arial" w:cs="Arial" w:eastAsia="Arial" w:hAnsi="Arial"/>
          <w:sz w:val="18"/>
          <w:szCs w:val="18"/>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NYSE to enable the de-listing by the Surviving Corporation of the Company Stock from the NYSE and the deregistration of the Company Stock and other securities of the Company under the 1934 Act as promptly as practicable after the Effective Time, and in any event no more than ten days after the Closing Date.</w:t>
      </w:r>
    </w:p>
    <w:p>
      <w:pPr>
        <w:spacing w:after="0" w:line="24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Dividends</w:t>
      </w:r>
      <w:r>
        <w:rPr>
          <w:rFonts w:ascii="Arial" w:cs="Arial" w:eastAsia="Arial" w:hAnsi="Arial"/>
          <w:sz w:val="18"/>
          <w:szCs w:val="18"/>
          <w:color w:val="auto"/>
        </w:rPr>
        <w:t>. After the date of this Agreement, each of Parent and the Company shall coordinate with the other the declaration of any dividends in respect of Parent Class A Common Stock and the Company Stock in order that holders of Parent Class A Common Stock and the Company Stock shall not</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88" w:name="page89"/>
    <w:bookmarkEnd w:id="88"/>
    <w:p>
      <w:pPr>
        <w:ind w:right="500"/>
        <w:spacing w:after="0" w:line="277" w:lineRule="auto"/>
        <w:rPr>
          <w:sz w:val="20"/>
          <w:szCs w:val="20"/>
          <w:color w:val="auto"/>
        </w:rPr>
      </w:pPr>
      <w:r>
        <w:rPr>
          <w:rFonts w:ascii="Arial" w:cs="Arial" w:eastAsia="Arial" w:hAnsi="Arial"/>
          <w:sz w:val="18"/>
          <w:szCs w:val="18"/>
          <w:color w:val="auto"/>
        </w:rPr>
        <w:t>receive two dividends or fail to receive one dividend, for any quarter with respect to shares of Company Stock, on the one hand, and the Parent Class A Common Stock issuable in respect of those shares pursuant to the Merger, on the other.</w:t>
      </w:r>
    </w:p>
    <w:p>
      <w:pPr>
        <w:spacing w:after="0" w:line="22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i w:val="1"/>
          <w:iCs w:val="1"/>
          <w:color w:val="auto"/>
        </w:rPr>
        <w:t>Stockholder Litigation</w:t>
      </w:r>
      <w:r>
        <w:rPr>
          <w:rFonts w:ascii="Arial" w:cs="Arial" w:eastAsia="Arial" w:hAnsi="Arial"/>
          <w:sz w:val="16"/>
          <w:szCs w:val="16"/>
          <w:color w:val="auto"/>
        </w:rPr>
        <w:t>. Each party hereto shall promptly notify the other parties hereto in writing of any litigation related to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the Merger or the other transactions contemplated by this Agreement that is brought, or, to the knowledge of the Company or Parent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threatened in writing, against the Company or Parent and/or the members of the Board of Directors of the Company or the Board of Directors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Parent, as applicable (any such litigation relating to the Company and/or the executive officers or members of the Board of Directors of the Company,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Transaction Litigation</w:t>
      </w:r>
      <w:r>
        <w:rPr>
          <w:rFonts w:ascii="Arial" w:cs="Arial" w:eastAsia="Arial" w:hAnsi="Arial"/>
          <w:sz w:val="16"/>
          <w:szCs w:val="16"/>
          <w:color w:val="auto"/>
        </w:rPr>
        <w:t>”, and any such litigation relating to Parent and/or the executive officers or members of the Board of Directors of Parent,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Transaction Litigation</w:t>
      </w:r>
      <w:r>
        <w:rPr>
          <w:rFonts w:ascii="Arial" w:cs="Arial" w:eastAsia="Arial" w:hAnsi="Arial"/>
          <w:sz w:val="17"/>
          <w:szCs w:val="17"/>
          <w:color w:val="auto"/>
        </w:rPr>
        <w:t>”) prior to the Effective Time and shall keep such other party reasonably informed with respect to the status thereof.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shall give Parent the opportunity to participate in the defense or settlement of any Company Transaction Litigation, and, except to the extent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required by applicable Law, the Company shall not settle, agree to any undertakings or approve or otherwise agree to any waiver that may be sought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such Company Transaction Litigation, without the prior written consent of Parent (which shall not be unreasonably withheld, conditioned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delayed). Without limiting in any way the parties’ obligations under Section 8.01, each of the Company and Parent shall cooperate, shall cause their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 Subsidiaries, as applicable, to cooperate, and shall use its reasonable best efforts to cause its Representatives to cooperate, in the defense against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litigation contemplated by this Section 8.11.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Merger</w:t>
      </w:r>
    </w:p>
    <w:p>
      <w:pPr>
        <w:spacing w:after="0" w:line="26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Conditions to the Obligations of Each Party</w:t>
      </w:r>
      <w:r>
        <w:rPr>
          <w:rFonts w:ascii="Arial" w:cs="Arial" w:eastAsia="Arial" w:hAnsi="Arial"/>
          <w:sz w:val="16"/>
          <w:szCs w:val="16"/>
          <w:color w:val="auto"/>
        </w:rPr>
        <w:t>. The obligations of the Company, Parent and Merger Subsidiary to consummate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Merger are subject to the satisfaction or waiver of the following conditions:</w:t>
      </w:r>
    </w:p>
    <w:p>
      <w:pPr>
        <w:spacing w:after="0" w:line="265" w:lineRule="exact"/>
        <w:rPr>
          <w:sz w:val="20"/>
          <w:szCs w:val="20"/>
          <w:color w:val="auto"/>
        </w:rPr>
      </w:pPr>
    </w:p>
    <w:p>
      <w:pPr>
        <w:ind w:right="80" w:firstLine="1305"/>
        <w:spacing w:after="0" w:line="277" w:lineRule="auto"/>
        <w:tabs>
          <w:tab w:leader="none" w:pos="19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the Company Stockholder Approval shall have been obtained in accordance with Delaware Law and (ii) the Parent Shareholder Approval shall have been obtained in accordance with Pennsylvania Law;</w:t>
      </w:r>
    </w:p>
    <w:p>
      <w:pPr>
        <w:spacing w:after="0" w:line="224" w:lineRule="exact"/>
        <w:rPr>
          <w:rFonts w:ascii="Arial" w:cs="Arial" w:eastAsia="Arial" w:hAnsi="Arial"/>
          <w:sz w:val="18"/>
          <w:szCs w:val="18"/>
          <w:color w:val="auto"/>
        </w:rPr>
      </w:pPr>
    </w:p>
    <w:p>
      <w:pPr>
        <w:ind w:right="380" w:firstLine="1305"/>
        <w:spacing w:after="0" w:line="279" w:lineRule="auto"/>
        <w:tabs>
          <w:tab w:leader="none" w:pos="1938" w:val="left"/>
        </w:tabs>
        <w:numPr>
          <w:ilvl w:val="0"/>
          <w:numId w:val="91"/>
        </w:numPr>
        <w:rPr>
          <w:rFonts w:ascii="Arial" w:cs="Arial" w:eastAsia="Arial" w:hAnsi="Arial"/>
          <w:sz w:val="17"/>
          <w:szCs w:val="17"/>
          <w:color w:val="auto"/>
        </w:rPr>
      </w:pPr>
      <w:r>
        <w:rPr>
          <w:rFonts w:ascii="Arial" w:cs="Arial" w:eastAsia="Arial" w:hAnsi="Arial"/>
          <w:sz w:val="17"/>
          <w:szCs w:val="17"/>
          <w:color w:val="auto"/>
        </w:rPr>
        <w:t>(i) any applicable waiting period (or extensions thereof) under the HSR Act relating to the transactions contemplated by this Agreement shall have expired or been terminated and (ii) any applicable waiting period (or extensions thereof) or approvals under each other applicable Competition Law relating to the transactions contemplated by this Agreement and set forth on Section 9.01(b) of the Company Disclosure Schedule shall have expired, been terminated or been obtained (solely with respect to the obligations of Parent and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Merger Subsidiary, in each case without the imposition of any Burdensome Condition);</w:t>
      </w:r>
    </w:p>
    <w:p>
      <w:pPr>
        <w:spacing w:after="0" w:line="279" w:lineRule="exact"/>
        <w:rPr>
          <w:sz w:val="20"/>
          <w:szCs w:val="20"/>
          <w:color w:val="auto"/>
        </w:rPr>
      </w:pPr>
    </w:p>
    <w:p>
      <w:pPr>
        <w:ind w:firstLine="1305"/>
        <w:spacing w:after="0" w:line="302" w:lineRule="auto"/>
        <w:tabs>
          <w:tab w:leader="none" w:pos="192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FCC Order and all other filings consents and approvals of (or filings or registrations with) any Governmental Authority required in connection with the execution, delivery and performance of this Agreement and set forth on Section 9.01(c) of the Company Disclosure Schedule shall have been obtained or made and shall be in full force and effect, and any applicable waiting periods in respect thereof shall have expired or been terminated (solely with respect to the obligations of Parent and Merger Subsidiary, in each case without the imposition of any Burdensome Condition);</w:t>
      </w:r>
    </w:p>
    <w:p>
      <w:pPr>
        <w:spacing w:after="0" w:line="208" w:lineRule="exact"/>
        <w:rPr>
          <w:rFonts w:ascii="Arial" w:cs="Arial" w:eastAsia="Arial" w:hAnsi="Arial"/>
          <w:sz w:val="16"/>
          <w:szCs w:val="16"/>
          <w:color w:val="auto"/>
        </w:rPr>
      </w:pPr>
    </w:p>
    <w:p>
      <w:pPr>
        <w:ind w:right="80" w:firstLine="1305"/>
        <w:spacing w:after="0" w:line="257" w:lineRule="auto"/>
        <w:tabs>
          <w:tab w:leader="none" w:pos="1938"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for the matters that are the subject of Section 9.01(b) or Section 9.01(c), there shall not be any (i) Applicable Law of any Governmental Authority of competent jurisdiction in a jurisdiction in which any of the Company, Parent or their respective Subsidiaries has substantial operations or (ii) order or injunction (whether temporary, preliminary or permanent) by any Governmental Authority of competent jurisdiction that, in each case, (A) prohibits the consummation of the Merger or (B) solely with respect to the obligations of Parent and Merger Subsidiary, imposes any Burdensome Condition.</w:t>
      </w:r>
    </w:p>
    <w:p>
      <w:pPr>
        <w:spacing w:after="0" w:line="242" w:lineRule="exact"/>
        <w:rPr>
          <w:rFonts w:ascii="Arial" w:cs="Arial" w:eastAsia="Arial" w:hAnsi="Arial"/>
          <w:sz w:val="18"/>
          <w:szCs w:val="18"/>
          <w:color w:val="auto"/>
        </w:rPr>
      </w:pPr>
    </w:p>
    <w:p>
      <w:pPr>
        <w:ind w:right="200" w:firstLine="1305"/>
        <w:spacing w:after="0" w:line="277" w:lineRule="auto"/>
        <w:tabs>
          <w:tab w:leader="none" w:pos="19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Registration Statement shall have been declared effective and no stop order suspending the effectiveness of the Registration Statement shall be in effect and no proceedings for such purpose shall be pending before the SEC; and</w:t>
      </w:r>
    </w:p>
    <w:p>
      <w:pPr>
        <w:spacing w:after="0" w:line="224" w:lineRule="exact"/>
        <w:rPr>
          <w:rFonts w:ascii="Arial" w:cs="Arial" w:eastAsia="Arial" w:hAnsi="Arial"/>
          <w:sz w:val="18"/>
          <w:szCs w:val="18"/>
          <w:color w:val="auto"/>
        </w:rPr>
      </w:pPr>
    </w:p>
    <w:p>
      <w:pPr>
        <w:ind w:right="340" w:firstLine="1305"/>
        <w:spacing w:after="0" w:line="277" w:lineRule="auto"/>
        <w:tabs>
          <w:tab w:leader="none" w:pos="19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shares of Parent Class A Common Stock to be issued in the Merger shall have been approved for listing on the NASDAQ, subject to official notice of issuance.</w:t>
      </w:r>
    </w:p>
    <w:p>
      <w:pPr>
        <w:spacing w:after="0" w:line="2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Conditions to the Obligations of Parent and Merger Subsidiary</w:t>
      </w:r>
      <w:r>
        <w:rPr>
          <w:rFonts w:ascii="Arial" w:cs="Arial" w:eastAsia="Arial" w:hAnsi="Arial"/>
          <w:sz w:val="18"/>
          <w:szCs w:val="18"/>
          <w:color w:val="auto"/>
        </w:rPr>
        <w:t>. The obligations of Parent and Merger Subsidiary to consummate the Merger are subject to the satisfaction or waiver of the following further conditions:</w:t>
      </w:r>
    </w:p>
    <w:p>
      <w:pPr>
        <w:spacing w:after="0" w:line="224" w:lineRule="exact"/>
        <w:rPr>
          <w:sz w:val="20"/>
          <w:szCs w:val="20"/>
          <w:color w:val="auto"/>
        </w:rPr>
      </w:pPr>
    </w:p>
    <w:p>
      <w:pPr>
        <w:ind w:right="20" w:firstLine="1305"/>
        <w:spacing w:after="0" w:line="255" w:lineRule="auto"/>
        <w:tabs>
          <w:tab w:leader="none" w:pos="19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the Company shall have performed in all material respects all of its material obligations hereunder required to be performed by it at or prior to the Effective Time, (ii) (A) the representations and warranties of the Company contained in Sections 4.01, 4.02, 4.04(i), the first sentence and the last two sentences of Section 4.05(a) and the last sentence of 4.05(b), 4.07(l), 4.10(a)(ii), 4.23, 4.24 and 4.25 that are not qualified by materiality or Company Material Adverse Effect shall be true and correct in all material respects and any such representations and warranties that are qualified by materiality or Company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w:t>
      </w: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90" w:name="page91"/>
    <w:bookmarkEnd w:id="90"/>
    <w:p>
      <w:pPr>
        <w:ind w:right="20"/>
        <w:spacing w:after="0" w:line="269" w:lineRule="auto"/>
        <w:rPr>
          <w:sz w:val="20"/>
          <w:szCs w:val="20"/>
          <w:color w:val="auto"/>
        </w:rPr>
      </w:pPr>
      <w:r>
        <w:rPr>
          <w:rFonts w:ascii="Arial" w:cs="Arial" w:eastAsia="Arial" w:hAnsi="Arial"/>
          <w:sz w:val="17"/>
          <w:szCs w:val="17"/>
          <w:color w:val="auto"/>
        </w:rPr>
        <w:t>all material respects or true and correct, as the case may be, only at and as of such time), (B) the representations and warranties of the Company contained in Section 4.05 (other than the first sentence and the last two sentences of Section 4.05(a) and the last sentence of Section 4.05(b)) shall be true and correct, subject only to de minimis exceptions, at and as of the date of this Agreement and at and as of the Effective Time as if made at and as of such time (other than any such representations and warranties that by their terms address matters only at and as of another specified time, which shall be true and correct, subject only to de minimis exceptions, only at and as of such time), and (C) all other representations and warranties of the Company contained in this Agreement or in any certificate or other writing delivered by the Company pursuant hereto shall be true and correct (disregarding all materiality and Company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Company Material Adverse Effect qualifications contained therein) only at and as of such time), with, in the case of this clause (C) only, only such exceptions as have not had and would not reasonably be expected to have, individually or in the aggregate, a Company Material Adverse Effect; and (iii) Parent shall have received a certificate signed by an executive officer of the Company to the foregoing effect and certifying that the condition set forth in Section 9.02(c) has been satisfied;</w:t>
      </w:r>
    </w:p>
    <w:p>
      <w:pPr>
        <w:spacing w:after="0" w:line="234" w:lineRule="exact"/>
        <w:rPr>
          <w:sz w:val="20"/>
          <w:szCs w:val="20"/>
          <w:color w:val="auto"/>
        </w:rPr>
      </w:pPr>
    </w:p>
    <w:p>
      <w:pPr>
        <w:ind w:right="40" w:firstLine="1305"/>
        <w:spacing w:after="0" w:line="255" w:lineRule="auto"/>
        <w:tabs>
          <w:tab w:leader="none" w:pos="1938"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Parent shall have received the opinion of Davis Polk &amp; Wardwell LLP, counsel to Parent, in form and substance reasonably satisfactory to Parent,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8"/>
          <w:szCs w:val="18"/>
          <w:b w:val="1"/>
          <w:bCs w:val="1"/>
          <w:color w:val="auto"/>
        </w:rPr>
        <w:t>party to the reorganization</w:t>
      </w:r>
      <w:r>
        <w:rPr>
          <w:rFonts w:ascii="Arial" w:cs="Arial" w:eastAsia="Arial" w:hAnsi="Arial"/>
          <w:sz w:val="18"/>
          <w:szCs w:val="18"/>
          <w:color w:val="auto"/>
        </w:rPr>
        <w:t>” within the meaning of Section 368(b) of the Code, which opinion shall not have been withdrawn or modified in any material respect. In rendering the opinion described in this Section 9.02(b), Davis Polk and Wardwell LLP shall have received and may rely upon the Tax Representation Letters referred to in Section 8.07(b) hereof; and</w:t>
      </w:r>
    </w:p>
    <w:p>
      <w:pPr>
        <w:spacing w:after="0" w:line="243" w:lineRule="exact"/>
        <w:rPr>
          <w:rFonts w:ascii="Arial" w:cs="Arial" w:eastAsia="Arial" w:hAnsi="Arial"/>
          <w:sz w:val="18"/>
          <w:szCs w:val="18"/>
          <w:color w:val="auto"/>
        </w:rPr>
      </w:pPr>
    </w:p>
    <w:p>
      <w:pPr>
        <w:ind w:firstLine="1305"/>
        <w:spacing w:after="0" w:line="308" w:lineRule="auto"/>
        <w:tabs>
          <w:tab w:leader="none" w:pos="1928" w:val="left"/>
        </w:tabs>
        <w:numPr>
          <w:ilvl w:val="0"/>
          <w:numId w:val="94"/>
        </w:numPr>
        <w:rPr>
          <w:rFonts w:ascii="Arial" w:cs="Arial" w:eastAsia="Arial" w:hAnsi="Arial"/>
          <w:sz w:val="17"/>
          <w:szCs w:val="17"/>
          <w:color w:val="auto"/>
        </w:rPr>
      </w:pPr>
      <w:r>
        <w:rPr>
          <w:rFonts w:ascii="Arial" w:cs="Arial" w:eastAsia="Arial" w:hAnsi="Arial"/>
          <w:sz w:val="17"/>
          <w:szCs w:val="17"/>
          <w:color w:val="auto"/>
        </w:rPr>
        <w:t>since the date hereof, there shall not have occurred and be continuing any event, occurrence, development or state of circumstances or facts which, individually or in the aggregate, has had or would reasonably be expected to have a Company Material Adverse Effect.</w:t>
      </w:r>
    </w:p>
    <w:p>
      <w:pPr>
        <w:spacing w:after="0" w:line="20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Conditions to the Obligations of the Company</w:t>
      </w:r>
      <w:r>
        <w:rPr>
          <w:rFonts w:ascii="Arial" w:cs="Arial" w:eastAsia="Arial" w:hAnsi="Arial"/>
          <w:sz w:val="18"/>
          <w:szCs w:val="18"/>
          <w:color w:val="auto"/>
        </w:rPr>
        <w:t>. The obligations of the Company to consummate the Merger are subject to the satisfaction or waiver of the following further conditions: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91" w:name="page92"/>
    <w:bookmarkEnd w:id="91"/>
    <w:p>
      <w:pPr>
        <w:ind w:firstLine="1305"/>
        <w:spacing w:after="0" w:line="286" w:lineRule="auto"/>
        <w:tabs>
          <w:tab w:leader="none" w:pos="1928" w:val="left"/>
        </w:tabs>
        <w:numPr>
          <w:ilvl w:val="0"/>
          <w:numId w:val="95"/>
        </w:numPr>
        <w:rPr>
          <w:rFonts w:ascii="Arial" w:cs="Arial" w:eastAsia="Arial" w:hAnsi="Arial"/>
          <w:sz w:val="16"/>
          <w:szCs w:val="16"/>
          <w:color w:val="auto"/>
        </w:rPr>
      </w:pPr>
      <w:r>
        <w:rPr>
          <w:rFonts w:ascii="Arial" w:cs="Arial" w:eastAsia="Arial" w:hAnsi="Arial"/>
          <w:sz w:val="16"/>
          <w:szCs w:val="16"/>
          <w:color w:val="auto"/>
        </w:rPr>
        <w:t>(i) each of Parent and Merger Subsidiary shall have performed in all material respects all of its material obligations hereunder required to be performed by it at or prior to the Effective Time, (ii) (A) the representations and warranties of Parent contained in Sections 5.01, 5.02, 5.04(i), 5.05, the last sentence of Section 5.05(b), 5.07(j), 5.10(b), 5.18 and 5.19, and that are not qualified by materiality or Parent Material Adverse Effect shall be true and correct in all material respects and any such representations and warranties that are qualified by materiality or Parent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and (B) all other representations and warranties of Parent and Merger Subsidiary contained in this Agreement or in any certificate or other writing delivered by Parent or Merger Subsidiary pursuant hereto shall be true and correct (disregarding all materiality and Parent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Parent Material Adverse Effect qualifications contained therein) only at and as of such time), with, in the case of this clause (B) only, only such exceptions as have not had and would not reasonably be expected to have, individually or in the aggregate, a Parent Material Adverse Effect; and (iii) the Company shall have received a certificate signed by an executive officer of Parent to the foregoing effect and certifying that the condition set forth in Section 9.03(c) has been satisfied;</w:t>
      </w:r>
    </w:p>
    <w:p>
      <w:pPr>
        <w:spacing w:after="0" w:line="225" w:lineRule="exact"/>
        <w:rPr>
          <w:rFonts w:ascii="Arial" w:cs="Arial" w:eastAsia="Arial" w:hAnsi="Arial"/>
          <w:sz w:val="16"/>
          <w:szCs w:val="16"/>
          <w:color w:val="auto"/>
        </w:rPr>
      </w:pPr>
    </w:p>
    <w:p>
      <w:pPr>
        <w:ind w:right="20" w:firstLine="1305"/>
        <w:spacing w:after="0" w:line="272" w:lineRule="auto"/>
        <w:tabs>
          <w:tab w:leader="none" w:pos="193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Company shall have received the opinion of Paul, Weiss, Rifkind, Wharton &amp; Garrison LLP, counsel to the Company, in form and substance reasonably satisfactory to the Company,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7"/>
          <w:szCs w:val="17"/>
          <w:b w:val="1"/>
          <w:bCs w:val="1"/>
          <w:color w:val="auto"/>
        </w:rPr>
        <w:t>party to the reorganization</w:t>
      </w:r>
      <w:r>
        <w:rPr>
          <w:rFonts w:ascii="Arial" w:cs="Arial" w:eastAsia="Arial" w:hAnsi="Arial"/>
          <w:sz w:val="17"/>
          <w:szCs w:val="17"/>
          <w:color w:val="auto"/>
        </w:rPr>
        <w:t>” within the meaning of Section 368(b) of the Code, which opinion shall not have been withdrawn or modified in any material respect. In rendering the opinion described in this Section 9.03(b), Paul, Weiss, Rifkind, Wharton &amp; Garrison LLP shall have received and may rely upon the Tax Representation Letters referred to in Section 8.07(b) hereof; and</w:t>
      </w:r>
    </w:p>
    <w:p>
      <w:pPr>
        <w:spacing w:after="0" w:line="231" w:lineRule="exact"/>
        <w:rPr>
          <w:rFonts w:ascii="Arial" w:cs="Arial" w:eastAsia="Arial" w:hAnsi="Arial"/>
          <w:sz w:val="17"/>
          <w:szCs w:val="17"/>
          <w:color w:val="auto"/>
        </w:rPr>
      </w:pPr>
    </w:p>
    <w:p>
      <w:pPr>
        <w:ind w:right="20" w:firstLine="1305"/>
        <w:spacing w:after="0" w:line="308" w:lineRule="auto"/>
        <w:tabs>
          <w:tab w:leader="none" w:pos="1928" w:val="left"/>
        </w:tabs>
        <w:numPr>
          <w:ilvl w:val="0"/>
          <w:numId w:val="95"/>
        </w:numPr>
        <w:rPr>
          <w:rFonts w:ascii="Arial" w:cs="Arial" w:eastAsia="Arial" w:hAnsi="Arial"/>
          <w:sz w:val="17"/>
          <w:szCs w:val="17"/>
          <w:color w:val="auto"/>
        </w:rPr>
      </w:pPr>
      <w:r>
        <w:rPr>
          <w:rFonts w:ascii="Arial" w:cs="Arial" w:eastAsia="Arial" w:hAnsi="Arial"/>
          <w:sz w:val="17"/>
          <w:szCs w:val="17"/>
          <w:color w:val="auto"/>
        </w:rPr>
        <w:t>since the date hereof, there shall not have occurred and be continuing any event, occurrence, development or state of circumstances or facts which, individually or in the aggregate, has had or would reasonably be expected to have a Parent Material Adverse Effect.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2" w:name="page93"/>
    <w:bookmarkEnd w:id="92"/>
    <w:p>
      <w:pPr>
        <w:ind w:left="520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Termination</w:t>
      </w:r>
    </w:p>
    <w:p>
      <w:pPr>
        <w:spacing w:after="0" w:line="26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terminated and the Merger may be abandoned at any time prior to the Effective Time (notwithstanding any approval of this Agreement by the stockholders of the Company):</w:t>
      </w:r>
    </w:p>
    <w:p>
      <w:pPr>
        <w:spacing w:after="0" w:line="224" w:lineRule="exact"/>
        <w:rPr>
          <w:sz w:val="20"/>
          <w:szCs w:val="20"/>
          <w:color w:val="auto"/>
        </w:rPr>
      </w:pPr>
    </w:p>
    <w:p>
      <w:pPr>
        <w:ind w:left="1940" w:hanging="635"/>
        <w:spacing w:after="0"/>
        <w:tabs>
          <w:tab w:leader="none" w:pos="19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mutual written agreement of the Company and Parent;</w:t>
      </w:r>
    </w:p>
    <w:p>
      <w:pPr>
        <w:spacing w:after="0" w:line="279" w:lineRule="exact"/>
        <w:rPr>
          <w:rFonts w:ascii="Arial" w:cs="Arial" w:eastAsia="Arial" w:hAnsi="Arial"/>
          <w:sz w:val="18"/>
          <w:szCs w:val="18"/>
          <w:color w:val="auto"/>
        </w:rPr>
      </w:pPr>
    </w:p>
    <w:p>
      <w:pPr>
        <w:ind w:left="1940" w:hanging="635"/>
        <w:spacing w:after="0"/>
        <w:tabs>
          <w:tab w:leader="none" w:pos="19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either the Company or Parent, if:</w:t>
      </w:r>
    </w:p>
    <w:p>
      <w:pPr>
        <w:spacing w:after="0" w:line="275" w:lineRule="exact"/>
        <w:rPr>
          <w:rFonts w:ascii="Arial" w:cs="Arial" w:eastAsia="Arial" w:hAnsi="Arial"/>
          <w:sz w:val="18"/>
          <w:szCs w:val="18"/>
          <w:color w:val="auto"/>
        </w:rPr>
      </w:pPr>
    </w:p>
    <w:p>
      <w:pPr>
        <w:ind w:left="1300" w:right="20" w:firstLine="491"/>
        <w:spacing w:after="0" w:line="254" w:lineRule="auto"/>
        <w:tabs>
          <w:tab w:leader="none" w:pos="23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the Merger is not consummated on or before February 12, 2015 (the “</w:t>
      </w:r>
      <w:r>
        <w:rPr>
          <w:rFonts w:ascii="Arial" w:cs="Arial" w:eastAsia="Arial" w:hAnsi="Arial"/>
          <w:sz w:val="18"/>
          <w:szCs w:val="18"/>
          <w:b w:val="1"/>
          <w:bCs w:val="1"/>
          <w:color w:val="auto"/>
        </w:rPr>
        <w:t>End Date</w:t>
      </w:r>
      <w:r>
        <w:rPr>
          <w:rFonts w:ascii="Arial" w:cs="Arial" w:eastAsia="Arial" w:hAnsi="Arial"/>
          <w:sz w:val="18"/>
          <w:szCs w:val="18"/>
          <w:color w:val="auto"/>
        </w:rPr>
        <w:t>”); provided, however, that, if on such date any of the conditions set forth in Section 9.01(b), Section 9.01(c) and Section 9.01(d) (solely on account of a temporary or preliminary order or injunction) are not satisfied, but all other conditions set forth in Article 9 shall have been satisfied (other than those conditions that have been waived by the Company and Parent, if and to the extent that such waiver is permitted by Applicable Law, and other than those conditions that by their nature can only be satisfied at or immediately prior to the Closing), then either the Company or Parent shall have the right, in its sole discretion, to extend the End Date by a period of six months, in which case the End Date shall be August 12, 2015; provided, further, that the right to terminate this Agreement pursuant to this Section 10.01(b)(i) shall not be available to any party whose breach of any provision of this Agreement results in the failure of the Merger to be consummated on or before the End Date (as extended, if applicable);</w:t>
      </w:r>
    </w:p>
    <w:p>
      <w:pPr>
        <w:spacing w:after="0" w:line="247" w:lineRule="exact"/>
        <w:rPr>
          <w:rFonts w:ascii="Arial" w:cs="Arial" w:eastAsia="Arial" w:hAnsi="Arial"/>
          <w:sz w:val="18"/>
          <w:szCs w:val="18"/>
          <w:color w:val="auto"/>
        </w:rPr>
      </w:pPr>
    </w:p>
    <w:p>
      <w:pPr>
        <w:ind w:left="2440" w:hanging="649"/>
        <w:spacing w:after="0"/>
        <w:tabs>
          <w:tab w:leader="none" w:pos="24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there shall be any Applicable Law in effect that (A) makes consummation of the Merger illegal or otherwise prohibited or</w:t>
      </w:r>
    </w:p>
    <w:p>
      <w:pPr>
        <w:spacing w:after="0" w:line="46" w:lineRule="exact"/>
        <w:rPr>
          <w:rFonts w:ascii="Arial" w:cs="Arial" w:eastAsia="Arial" w:hAnsi="Arial"/>
          <w:sz w:val="16"/>
          <w:szCs w:val="16"/>
          <w:color w:val="auto"/>
        </w:rPr>
      </w:pPr>
    </w:p>
    <w:p>
      <w:pPr>
        <w:ind w:left="130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(B) permanently enjoins the Company or Parent from consummating the Merger and, in the case of clauses (A) and (B) any such Applicable Law, including an injunction,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Section 10.01(b)(ii) shall not be available to any party whose breach of any provision of this Agreement results in such Applicable Law being in effect; or</w:t>
      </w:r>
    </w:p>
    <w:p>
      <w:pPr>
        <w:spacing w:after="0" w:line="243" w:lineRule="exact"/>
        <w:rPr>
          <w:rFonts w:ascii="Arial" w:cs="Arial" w:eastAsia="Arial" w:hAnsi="Arial"/>
          <w:sz w:val="16"/>
          <w:szCs w:val="16"/>
          <w:color w:val="auto"/>
        </w:rPr>
      </w:pPr>
    </w:p>
    <w:p>
      <w:pPr>
        <w:ind w:left="1300" w:right="120" w:firstLine="491"/>
        <w:spacing w:after="0" w:line="264" w:lineRule="auto"/>
        <w:tabs>
          <w:tab w:leader="none" w:pos="24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at the Parent Shareholder Meeting (including any adjournment or postponement thereof), the Parent Shareholder Approval shall not have been obtained, or (B) at the Company Stockholder Meeting (including any adjournment or postponement thereof), the Company Stockholder Approval shall not have been obtained.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3" w:name="page94"/>
    <w:bookmarkEnd w:id="93"/>
    <w:p>
      <w:pPr>
        <w:ind w:left="740" w:hanging="635"/>
        <w:spacing w:after="0"/>
        <w:tabs>
          <w:tab w:leader="none" w:pos="7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by Parent, if:</w:t>
      </w:r>
    </w:p>
    <w:p>
      <w:pPr>
        <w:spacing w:after="0" w:line="279" w:lineRule="exact"/>
        <w:rPr>
          <w:rFonts w:ascii="Arial" w:cs="Arial" w:eastAsia="Arial" w:hAnsi="Arial"/>
          <w:sz w:val="18"/>
          <w:szCs w:val="18"/>
          <w:color w:val="auto"/>
        </w:rPr>
      </w:pPr>
    </w:p>
    <w:p>
      <w:pPr>
        <w:ind w:left="100" w:firstLine="491"/>
        <w:spacing w:after="0" w:line="285" w:lineRule="auto"/>
        <w:tabs>
          <w:tab w:leader="none" w:pos="1188" w:val="left"/>
        </w:tabs>
        <w:numPr>
          <w:ilvl w:val="1"/>
          <w:numId w:val="97"/>
        </w:numPr>
        <w:rPr>
          <w:rFonts w:ascii="Arial" w:cs="Arial" w:eastAsia="Arial" w:hAnsi="Arial"/>
          <w:sz w:val="16"/>
          <w:szCs w:val="16"/>
          <w:color w:val="auto"/>
        </w:rPr>
      </w:pPr>
      <w:r>
        <w:rPr>
          <w:rFonts w:ascii="Arial" w:cs="Arial" w:eastAsia="Arial" w:hAnsi="Arial"/>
          <w:sz w:val="16"/>
          <w:szCs w:val="16"/>
          <w:color w:val="auto"/>
        </w:rPr>
        <w:t>(A) the Company’s Board of Directors shall have made a Company Adverse Recommendation Change or (B) the Company’s Board of Directors shall have failed to reaffirm the Company Board Recommendation as promptly as practicable (but in any event within ten Business Days) after receipt of any written request to do so from Parent following the public announcement of any Company Acquisition Proposal (provided that Parent shall only make such request once with respect to any Company Acquisition Proposal or any material amendment thereto); provided that Parent shall no longer be entitled to terminate this Agreement pursuance to this Section 10.01(c)</w:t>
      </w:r>
    </w:p>
    <w:p>
      <w:pPr>
        <w:spacing w:after="0" w:line="2" w:lineRule="exact"/>
        <w:rPr>
          <w:rFonts w:ascii="Arial" w:cs="Arial" w:eastAsia="Arial" w:hAnsi="Arial"/>
          <w:sz w:val="16"/>
          <w:szCs w:val="16"/>
          <w:color w:val="auto"/>
        </w:rPr>
      </w:pPr>
    </w:p>
    <w:p>
      <w:pPr>
        <w:ind w:left="320" w:hanging="215"/>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any time after the Company Stockholder Approval shall have been obtained;</w:t>
      </w:r>
    </w:p>
    <w:p>
      <w:pPr>
        <w:spacing w:after="0" w:line="264" w:lineRule="exact"/>
        <w:rPr>
          <w:rFonts w:ascii="Arial" w:cs="Arial" w:eastAsia="Arial" w:hAnsi="Arial"/>
          <w:sz w:val="18"/>
          <w:szCs w:val="18"/>
          <w:color w:val="auto"/>
        </w:rPr>
      </w:pPr>
    </w:p>
    <w:p>
      <w:pPr>
        <w:ind w:left="100" w:right="20" w:firstLine="491"/>
        <w:spacing w:after="0" w:line="264" w:lineRule="auto"/>
        <w:tabs>
          <w:tab w:leader="none" w:pos="123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there shall be any Applicable Law in effect, including an injunction, which shall have become final and nonappealable, of any Governmental Authority of competent jurisdiction in a jurisdiction in which any of the Company, Parent or their respective Subsidiaries has substantial operations that imposes any Burdensome Condition;</w:t>
      </w:r>
    </w:p>
    <w:p>
      <w:pPr>
        <w:spacing w:after="0" w:line="235" w:lineRule="exact"/>
        <w:rPr>
          <w:rFonts w:ascii="Arial" w:cs="Arial" w:eastAsia="Arial" w:hAnsi="Arial"/>
          <w:sz w:val="18"/>
          <w:szCs w:val="18"/>
          <w:color w:val="auto"/>
        </w:rPr>
      </w:pPr>
    </w:p>
    <w:p>
      <w:pPr>
        <w:ind w:left="100" w:right="40" w:firstLine="491"/>
        <w:spacing w:after="0" w:line="276" w:lineRule="auto"/>
        <w:tabs>
          <w:tab w:leader="none" w:pos="1288"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breach of any representation or warranty or failure to perform any covenant or agreement on the part of the Company set forth in this Agreement shall have occurred that would cause the condition set forth in Section 9.02(a) not to be satisfied, and such breach is not cured within 30 days’ notice thereof or is incapable of being cured within such time period, but only so long as neither Parent nor Merger Subsidiary are then in breach of their respective representations, warranties, covenants or agreements contained in this Agreement, which breach would cause the condition set forth in Section 9.03(a) not to be satisfied; or</w:t>
      </w:r>
    </w:p>
    <w:p>
      <w:pPr>
        <w:spacing w:after="0" w:line="226" w:lineRule="exact"/>
        <w:rPr>
          <w:rFonts w:ascii="Arial" w:cs="Arial" w:eastAsia="Arial" w:hAnsi="Arial"/>
          <w:sz w:val="17"/>
          <w:szCs w:val="17"/>
          <w:color w:val="auto"/>
        </w:rPr>
      </w:pPr>
    </w:p>
    <w:p>
      <w:pPr>
        <w:ind w:left="100" w:right="200" w:firstLine="491"/>
        <w:spacing w:after="0" w:line="302" w:lineRule="auto"/>
        <w:tabs>
          <w:tab w:leader="none" w:pos="1278" w:val="left"/>
        </w:tabs>
        <w:numPr>
          <w:ilvl w:val="1"/>
          <w:numId w:val="98"/>
        </w:numPr>
        <w:rPr>
          <w:rFonts w:ascii="Arial" w:cs="Arial" w:eastAsia="Arial" w:hAnsi="Arial"/>
          <w:sz w:val="16"/>
          <w:szCs w:val="16"/>
          <w:color w:val="auto"/>
        </w:rPr>
      </w:pPr>
      <w:r>
        <w:rPr>
          <w:rFonts w:ascii="Arial" w:cs="Arial" w:eastAsia="Arial" w:hAnsi="Arial"/>
          <w:sz w:val="16"/>
          <w:szCs w:val="16"/>
          <w:color w:val="auto"/>
        </w:rPr>
        <w:t>prior to the Company Stockholder Approval having been obtained, an intentional and material breach of (A) Section 6.03 that is authorized or permitted by the Company that results in a Third Party making a Company Acquisition Proposal that is reasonably likely to materially interfere with or delay consummation of the Merger or (B) the first sentence of Section 6.02 (taking into account the right of the Company to postpone the Company Stockholder Meeting in accordance with Section 6.02) shall have occurred.</w:t>
      </w:r>
    </w:p>
    <w:p>
      <w:pPr>
        <w:spacing w:after="0" w:line="208" w:lineRule="exact"/>
        <w:rPr>
          <w:rFonts w:ascii="Arial" w:cs="Arial" w:eastAsia="Arial" w:hAnsi="Arial"/>
          <w:sz w:val="16"/>
          <w:szCs w:val="16"/>
          <w:color w:val="auto"/>
        </w:rPr>
      </w:pPr>
    </w:p>
    <w:p>
      <w:pPr>
        <w:ind w:left="740" w:hanging="635"/>
        <w:spacing w:after="0"/>
        <w:tabs>
          <w:tab w:leader="none" w:pos="7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the Company, if:</w:t>
      </w:r>
    </w:p>
    <w:p>
      <w:pPr>
        <w:spacing w:after="0" w:line="279" w:lineRule="exact"/>
        <w:rPr>
          <w:rFonts w:ascii="Arial" w:cs="Arial" w:eastAsia="Arial" w:hAnsi="Arial"/>
          <w:sz w:val="18"/>
          <w:szCs w:val="18"/>
          <w:color w:val="auto"/>
        </w:rPr>
      </w:pPr>
    </w:p>
    <w:p>
      <w:pPr>
        <w:ind w:left="1200" w:hanging="609"/>
        <w:spacing w:after="0"/>
        <w:tabs>
          <w:tab w:leader="none" w:pos="12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 intentional and material breach of the first sentence of Section 7.03 shall have occurred (taking into account</w:t>
      </w: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94" w:name="page95"/>
    <w:bookmarkEnd w:id="94"/>
    <w:p>
      <w:pPr>
        <w:ind w:left="1300"/>
        <w:spacing w:after="0"/>
        <w:rPr>
          <w:sz w:val="20"/>
          <w:szCs w:val="20"/>
          <w:color w:val="auto"/>
        </w:rPr>
      </w:pPr>
      <w:r>
        <w:rPr>
          <w:rFonts w:ascii="Arial" w:cs="Arial" w:eastAsia="Arial" w:hAnsi="Arial"/>
          <w:sz w:val="18"/>
          <w:szCs w:val="18"/>
          <w:color w:val="auto"/>
        </w:rPr>
        <w:t>the right of Parent to postpone the Parent Shareholder Meeting in accordance with Section 7.03);</w:t>
      </w:r>
    </w:p>
    <w:p>
      <w:pPr>
        <w:spacing w:after="0" w:line="279" w:lineRule="exact"/>
        <w:rPr>
          <w:sz w:val="20"/>
          <w:szCs w:val="20"/>
          <w:color w:val="auto"/>
        </w:rPr>
      </w:pPr>
    </w:p>
    <w:p>
      <w:pPr>
        <w:ind w:left="1300" w:right="60" w:firstLine="491"/>
        <w:spacing w:after="0" w:line="277" w:lineRule="auto"/>
        <w:tabs>
          <w:tab w:leader="none" w:pos="24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noncurable or, if curable, is not cured within 30 days’ notice thereof; or</w:t>
      </w:r>
    </w:p>
    <w:p>
      <w:pPr>
        <w:spacing w:after="0" w:line="224" w:lineRule="exact"/>
        <w:rPr>
          <w:rFonts w:ascii="Arial" w:cs="Arial" w:eastAsia="Arial" w:hAnsi="Arial"/>
          <w:sz w:val="18"/>
          <w:szCs w:val="18"/>
          <w:color w:val="auto"/>
        </w:rPr>
      </w:pPr>
    </w:p>
    <w:p>
      <w:pPr>
        <w:ind w:left="1300" w:right="160" w:firstLine="491"/>
        <w:spacing w:after="0" w:line="276" w:lineRule="auto"/>
        <w:tabs>
          <w:tab w:leader="none" w:pos="248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breach of any representation or warranty or failure to perform any covenant or agreement on the part of the Parent or Merger Subsidiary set forth in this Agreement shall have occurred that would cause the condition set forth in Section 9.03(a) not to be satisfied, and such breach is not cured within 30 days’ notice thereof of is incapable of being cured within such time period, but only so long as the Company is not then in breach of its representations, warranties, covenants or agreements contained in this Agreement, which breach would cause the condition set forth in Section 9.02(a) not to be satisfied.</w:t>
      </w:r>
    </w:p>
    <w:p>
      <w:pPr>
        <w:spacing w:after="0" w:line="20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party desiring to terminate this Agreement pursuant to this Section 10.01 (other than pursuant to Section 10.01(a)) shall give written notice of such termination to the other party specifying the provision of this Agreement pursuant to which such termination is effected.</w:t>
      </w:r>
    </w:p>
    <w:p>
      <w:pPr>
        <w:spacing w:after="0" w:line="2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Effect of Termination</w:t>
      </w:r>
      <w:r>
        <w:rPr>
          <w:rFonts w:ascii="Arial" w:cs="Arial" w:eastAsia="Arial" w:hAnsi="Arial"/>
          <w:sz w:val="18"/>
          <w:szCs w:val="18"/>
          <w:color w:val="auto"/>
        </w:rPr>
        <w:t>. If this Agreement is terminated pursuant to Section 10.01, this Agreement shall become void and of no effect without liability of any party (or any stockholder, director, officer, employee, agent, consultant or representative of such party) to the other party hereto; provided that, if such termination shall result from the (i) intentional and willful failure of any party to fulfill a condition to the performance of the obligations of any other party hereunder, (ii) failure of any party to perform a covenant hereof or (iii) willful and material breach by any Party of any representation or warranty herein, such party shall be fully liable for any and all liabilities and damages incurred or suffered by any other party as a result of such failure, which the parties acknowledge and agree shall not be limited to reimbursement of expenses or out-of-pocket costs, and may include to the extent proven the benefit of the bargain lost by a party’s stockholders (taking into consideration relevant matters, including other combination opportunities and the time value of money), which shall be deemed in such event to be damages of such party. The provisions of this Section 10.02 and Article 11 shall survive any termination hereof pursuant to Section 10.01.</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26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to any party hereunder shall be in writing (including facsimile transmission) and shall be given,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if to Parent or Merger Subsidiary, to:</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Arthur R. Block</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Facsimile No.: (215) 981-7794</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(which shall not constitute notice) to:</w:t>
      </w:r>
    </w:p>
    <w:p>
      <w:pPr>
        <w:spacing w:after="0" w:line="2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10017</w:t>
      </w:r>
    </w:p>
    <w:p>
      <w:pPr>
        <w:sectPr>
          <w:pgSz w:w="11900" w:h="16838" w:orient="portrait"/>
          <w:cols w:equalWidth="0" w:num="1">
            <w:col w:w="11420"/>
          </w:cols>
          <w:pgMar w:left="240" w:top="517" w:right="239" w:bottom="1440" w:gutter="0" w:footer="0" w:header="0"/>
        </w:sectPr>
      </w:pPr>
    </w:p>
    <w:p>
      <w:pPr>
        <w:spacing w:after="0" w:line="23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David L. Caplan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William J. Chudd</w:t>
      </w:r>
    </w:p>
    <w:p>
      <w:pPr>
        <w:spacing w:after="0" w:line="200" w:lineRule="exact"/>
        <w:rPr>
          <w:sz w:val="20"/>
          <w:szCs w:val="20"/>
          <w:color w:val="auto"/>
        </w:rPr>
      </w:pPr>
    </w:p>
    <w:p>
      <w:pPr>
        <w:sectPr>
          <w:pgSz w:w="11900" w:h="16838" w:orient="portrait"/>
          <w:cols w:equalWidth="0" w:num="2">
            <w:col w:w="1540" w:space="240"/>
            <w:col w:w="9640"/>
          </w:cols>
          <w:pgMar w:left="240" w:top="517" w:right="239" w:bottom="1440" w:gutter="0" w:footer="0" w:header="0"/>
          <w:type w:val="continuous"/>
        </w:sectPr>
      </w:pPr>
    </w:p>
    <w:p>
      <w:pPr>
        <w:spacing w:after="0" w:line="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Facsimile No.: (212) 450-3800</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Facsimile No.: (212) 364-8459</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800"/>
        <w:spacing w:after="0"/>
        <w:tabs>
          <w:tab w:leader="none" w:pos="1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B. Schumer</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Ariel J. Deckelbaum</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Ross A. Fieldston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Facsimile No.: (212) 757-3990</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24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Survival of Representations and Warranties</w:t>
      </w:r>
      <w:r>
        <w:rPr>
          <w:rFonts w:ascii="Arial" w:cs="Arial" w:eastAsia="Arial" w:hAnsi="Arial"/>
          <w:sz w:val="18"/>
          <w:szCs w:val="18"/>
          <w:color w:val="auto"/>
        </w:rPr>
        <w:t>. The representations and warranties contained herein and in any certificate or other writing delivered pursuant hereto shall not survive the Effective Time. This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color w:val="auto"/>
        </w:rPr>
        <w:t>Section 11.02 shall not limit Section 10.02 or any covenant or agreement of the parties which by its terms contemplates performance after the Effective Time.</w:t>
      </w:r>
    </w:p>
    <w:p>
      <w:pPr>
        <w:spacing w:after="0" w:line="3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Amendments and Waivers</w:t>
      </w:r>
      <w:r>
        <w:rPr>
          <w:rFonts w:ascii="Arial" w:cs="Arial" w:eastAsia="Arial" w:hAnsi="Arial"/>
          <w:sz w:val="16"/>
          <w:szCs w:val="16"/>
          <w:color w:val="auto"/>
        </w:rPr>
        <w:t>. (a) Any provision of this Agreement (including any Schedule hereto) may be amended or waived prior to the Effective Time if, but only if, such amendment or waiver is in writing and is signed, in the case of an amendment, by each party to this Agreement or, in the case of a waiver, by each party against whom the waiver is to be effective; provided that (i) after the Company Stockholder Approval has been obtained there shall be no amendment or waiver that would require the further approval of the stockholders of the Company under Applicable Law without such approval having first been obtained and (ii) after the Parent Stockholder Approval has been obtained there shall be no amendment or waiver that would require the further approval of the stockholders of Parent under Applicable Law without such approval having first been obtained.</w:t>
      </w:r>
    </w:p>
    <w:p>
      <w:pPr>
        <w:spacing w:after="0" w:line="219" w:lineRule="exact"/>
        <w:rPr>
          <w:sz w:val="20"/>
          <w:szCs w:val="20"/>
          <w:color w:val="auto"/>
        </w:rPr>
      </w:pPr>
    </w:p>
    <w:p>
      <w:pPr>
        <w:ind w:right="280" w:firstLine="1305"/>
        <w:spacing w:after="0" w:line="286" w:lineRule="auto"/>
        <w:tabs>
          <w:tab w:leader="none" w:pos="193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provided herein, all costs and expenses incurred in connection with this Agreement shall be paid by the party incurring such cost or expense. Notwithstanding the foregoing, Parent and the Company each shall pay 50% of (i) any and all filing fees due in connection with the filings required by or under the HSR Act or any other Competition Laws and (ii) any and all filing fees and printing and mailing costs for the Joint Proxy Statement/Prospectus.</w:t>
      </w:r>
    </w:p>
    <w:p>
      <w:pPr>
        <w:spacing w:after="0" w:line="24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Disclosure Schedule and SEC Document References</w:t>
      </w:r>
      <w:r>
        <w:rPr>
          <w:rFonts w:ascii="Arial" w:cs="Arial" w:eastAsia="Arial" w:hAnsi="Arial"/>
          <w:sz w:val="18"/>
          <w:szCs w:val="18"/>
          <w:color w:val="auto"/>
        </w:rPr>
        <w:t>. (a) The parties hereto agree that any reference in a particular Section of either the Company Disclosure Schedule or the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of such party that is contained in this Agreement (regardless of the absence of an express reference or cross reference thereto), but only if the relevance of that reference as an exception to (or a disclosure for purposes of) such representations and warranties would be reasonably apparent.</w:t>
      </w:r>
    </w:p>
    <w:p>
      <w:pPr>
        <w:spacing w:after="0" w:line="247" w:lineRule="exact"/>
        <w:rPr>
          <w:sz w:val="20"/>
          <w:szCs w:val="20"/>
          <w:color w:val="auto"/>
        </w:rPr>
      </w:pPr>
    </w:p>
    <w:p>
      <w:pPr>
        <w:ind w:right="100" w:firstLine="1305"/>
        <w:spacing w:after="0" w:line="264" w:lineRule="auto"/>
        <w:tabs>
          <w:tab w:leader="none" w:pos="19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parties hereto agree that any information contained in any part of any Specified Company SEC Document or Specified Parent SEC Document shall only be deemed to be an exception to (or a disclosure for purposes of) the applicable party’s representations and warranties if the relevance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7" w:name="page98"/>
    <w:bookmarkEnd w:id="97"/>
    <w:p>
      <w:pPr>
        <w:ind w:right="140"/>
        <w:spacing w:after="0" w:line="257" w:lineRule="auto"/>
        <w:rPr>
          <w:sz w:val="20"/>
          <w:szCs w:val="20"/>
          <w:color w:val="auto"/>
        </w:rPr>
      </w:pPr>
      <w:r>
        <w:rPr>
          <w:rFonts w:ascii="Arial" w:cs="Arial" w:eastAsia="Arial" w:hAnsi="Arial"/>
          <w:sz w:val="18"/>
          <w:szCs w:val="18"/>
          <w:color w:val="auto"/>
        </w:rPr>
        <w:t>of that information as an exception to (or a disclosure for purposes of) such representations and warranties would be reasonably apparent; provided that, except for any specific factual information contained therein, in no event shall any information contained in any part of any Specified Company SEC Document or Specified Parent SEC Document entitled “</w:t>
      </w:r>
      <w:r>
        <w:rPr>
          <w:rFonts w:ascii="Arial" w:cs="Arial" w:eastAsia="Arial" w:hAnsi="Arial"/>
          <w:sz w:val="18"/>
          <w:szCs w:val="18"/>
          <w:b w:val="1"/>
          <w:bCs w:val="1"/>
          <w:color w:val="auto"/>
        </w:rPr>
        <w:t>Risk Factors</w:t>
      </w:r>
      <w:r>
        <w:rPr>
          <w:rFonts w:ascii="Arial" w:cs="Arial" w:eastAsia="Arial" w:hAnsi="Arial"/>
          <w:sz w:val="18"/>
          <w:szCs w:val="18"/>
          <w:color w:val="auto"/>
        </w:rPr>
        <w:t>” (or words of similar import) or containing a description or explanation of “</w:t>
      </w:r>
      <w:r>
        <w:rPr>
          <w:rFonts w:ascii="Arial" w:cs="Arial" w:eastAsia="Arial" w:hAnsi="Arial"/>
          <w:sz w:val="18"/>
          <w:szCs w:val="18"/>
          <w:b w:val="1"/>
          <w:bCs w:val="1"/>
          <w:color w:val="auto"/>
        </w:rPr>
        <w:t>Forward-Looking Statements</w:t>
      </w:r>
      <w:r>
        <w:rPr>
          <w:rFonts w:ascii="Arial" w:cs="Arial" w:eastAsia="Arial" w:hAnsi="Arial"/>
          <w:sz w:val="18"/>
          <w:szCs w:val="18"/>
          <w:color w:val="auto"/>
        </w:rPr>
        <w:t>” be deemed to be an exception to (or a disclosure for purposes of) any representations and warranties of any party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4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Binding Effect; Benefit; Assignment</w:t>
      </w:r>
      <w:r>
        <w:rPr>
          <w:rFonts w:ascii="Arial" w:cs="Arial" w:eastAsia="Arial" w:hAnsi="Arial"/>
          <w:sz w:val="18"/>
          <w:szCs w:val="18"/>
          <w:color w:val="auto"/>
        </w:rPr>
        <w:t>. (a) The provisions of this Agreement shall be binding upon and, except as provided in Section 7.07, shall inure to the benefit of the parties hereto and their respective successors and assigns. This Agreement is not intended to confer upon any Person other than the parties any rights or remedies, other than (a) as specifically provided in Section 7.07 and Section 10.02 and (b) the right of the Company, on behalf of its stockholders, to pursue damages and other relief, including equitable relief, in the event of Parent’s or Merger Subsidiary’s (i) intentional and willful failure to fulfill a condition to the performance of the obligations of any other party hereunder, (ii) failure to perform a covenant hereof or (iii) willful and material breach of any representation or warranty herein, which right is hereby acknowledged and agreed by Parent and Merger Subsidiary; provided, however, that the rights granted pursuant to clause (b) above shall be enforceable on behalf of holders of Company Stock only by the Company in its sole and absolute discretion.</w:t>
      </w:r>
    </w:p>
    <w:p>
      <w:pPr>
        <w:spacing w:after="0" w:line="246" w:lineRule="exact"/>
        <w:rPr>
          <w:sz w:val="20"/>
          <w:szCs w:val="20"/>
          <w:color w:val="auto"/>
        </w:rPr>
      </w:pPr>
    </w:p>
    <w:p>
      <w:pPr>
        <w:ind w:right="40" w:firstLine="1305"/>
        <w:spacing w:after="0" w:line="257" w:lineRule="auto"/>
        <w:tabs>
          <w:tab w:leader="none" w:pos="19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party may assign, delegate or otherwise transfer any of its rights or obligations under this Agreement without the consent of each other party hereto, except that Parent or Merger Subsidiary may transfer or assign its rights and obligations under this Agreement, in whole or from time to time in part, to (i) one or more of their Affiliates at any time and (ii) after the Effective Time, to any Person; provided that such transfer or assignment shall not relieve Parent or Merger Subsidiary of its obligations hereunder or enlarge, alter or change any obligation of any other party hereto or due to Parent or Merger Subsidiary.</w:t>
      </w:r>
    </w:p>
    <w:p>
      <w:pPr>
        <w:spacing w:after="0" w:line="24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22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i w:val="1"/>
          <w:iCs w:val="1"/>
          <w:color w:val="auto"/>
        </w:rPr>
        <w:t>Jurisdiction</w:t>
      </w:r>
      <w:r>
        <w:rPr>
          <w:rFonts w:ascii="Arial" w:cs="Arial" w:eastAsia="Arial" w:hAnsi="Arial"/>
          <w:sz w:val="17"/>
          <w:szCs w:val="17"/>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8" w:name="page99"/>
    <w:bookmarkEnd w:id="98"/>
    <w:p>
      <w:pPr>
        <w:ind w:right="60"/>
        <w:spacing w:after="0" w:line="302" w:lineRule="auto"/>
        <w:rPr>
          <w:sz w:val="20"/>
          <w:szCs w:val="20"/>
          <w:color w:val="auto"/>
        </w:rPr>
      </w:pPr>
      <w:r>
        <w:rPr>
          <w:rFonts w:ascii="Arial" w:cs="Arial" w:eastAsia="Arial" w:hAnsi="Arial"/>
          <w:sz w:val="16"/>
          <w:szCs w:val="16"/>
          <w:color w:val="auto"/>
        </w:rPr>
        <w:t>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20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23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i w:val="1"/>
          <w:iCs w:val="1"/>
          <w:color w:val="auto"/>
        </w:rPr>
        <w:t>Counterparts; Effectiveness</w:t>
      </w:r>
      <w:r>
        <w:rPr>
          <w:rFonts w:ascii="Arial" w:cs="Arial" w:eastAsia="Arial" w:hAnsi="Arial"/>
          <w:sz w:val="17"/>
          <w:szCs w:val="17"/>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Electronic or facsimile signatures shall be deemed to be original signatures.</w:t>
      </w:r>
    </w:p>
    <w:p>
      <w:pPr>
        <w:spacing w:after="0" w:line="22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the Confidentiality Agreement, the Voting Agreement and the exhibits, schedules and annexes hereto constitute the entire agreement between the parties with respect to their subject matter and supersedes all prior agreements and understandings, both oral and written, between the parties with respect to that subject matter.</w:t>
      </w:r>
    </w:p>
    <w:p>
      <w:pPr>
        <w:spacing w:after="0" w:line="23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23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i w:val="1"/>
          <w:iCs w:val="1"/>
          <w:color w:val="auto"/>
        </w:rPr>
        <w:t>Specific Performance</w:t>
      </w:r>
      <w:r>
        <w:rPr>
          <w:rFonts w:ascii="Arial" w:cs="Arial" w:eastAsia="Arial" w:hAnsi="Arial"/>
          <w:sz w:val="18"/>
          <w:szCs w:val="18"/>
          <w:color w:val="auto"/>
        </w:rPr>
        <w:t xml:space="preserve"> . The parties hereto acknowledge and agree that irreparable damage would occur if any provision of this Agreement were not performed in accordance with its specific terms or were otherwise</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99" w:name="page100"/>
    <w:bookmarkEnd w:id="99"/>
    <w:p>
      <w:pPr>
        <w:spacing w:after="0" w:line="293" w:lineRule="auto"/>
        <w:rPr>
          <w:sz w:val="20"/>
          <w:szCs w:val="20"/>
          <w:color w:val="auto"/>
        </w:rPr>
      </w:pPr>
      <w:r>
        <w:rPr>
          <w:rFonts w:ascii="Arial" w:cs="Arial" w:eastAsia="Arial" w:hAnsi="Arial"/>
          <w:sz w:val="16"/>
          <w:szCs w:val="16"/>
          <w:color w:val="auto"/>
        </w:rPr>
        <w:t>breached, and that monetary damages, even if available, would not be an adequate remedy therefor. It is accordingly agreed that the parties shall be entitled to an injunction or injunctions to prevent breaches of this Agreement or to enforce specifically the performance of the terms and provisions hereof in any federal court located in the State of Delaware or any Delaware state court,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remainder of this page has been intentionally left blank; the next</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90" w:right="419" w:bottom="1440" w:gutter="0" w:footer="0" w:header="0"/>
        </w:sectPr>
      </w:pPr>
    </w:p>
    <w:bookmarkStart w:id="100" w:name="page101"/>
    <w:bookmarkEnd w:id="100"/>
    <w:p>
      <w:pPr>
        <w:ind w:right="260"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date set forth on the cover page of this Agreement.</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T. Minson, Jr.</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222"/>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Arthur T. Minson, Jr.</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w w:val="94"/>
              </w:rPr>
              <w:t>Executive Vice President and Chief Financial</w:t>
            </w:r>
          </w:p>
        </w:tc>
      </w:tr>
      <w:tr>
        <w:trPr>
          <w:trHeight w:val="230"/>
        </w:trPr>
        <w:tc>
          <w:tcPr>
            <w:tcW w:w="56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Robert S. Pick</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222"/>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Robert S. Pick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TANGO ACQUISITION SUB,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Robert S. Pick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Robert S. Pick</w:t>
            </w:r>
          </w:p>
        </w:tc>
        <w:tc>
          <w:tcPr>
            <w:tcW w:w="1160" w:type="dxa"/>
            <w:vAlign w:val="bottom"/>
          </w:tcPr>
          <w:p>
            <w:pPr>
              <w:spacing w:after="0"/>
              <w:rPr>
                <w:sz w:val="19"/>
                <w:szCs w:val="19"/>
                <w:color w:val="auto"/>
              </w:rPr>
            </w:pPr>
          </w:p>
        </w:tc>
      </w:tr>
      <w:tr>
        <w:trPr>
          <w:trHeight w:val="230"/>
        </w:trPr>
        <w:tc>
          <w:tcPr>
            <w:tcW w:w="6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1160" w:type="dxa"/>
            <w:vAlign w:val="bottom"/>
          </w:tcPr>
          <w:p>
            <w:pPr>
              <w:spacing w:after="0"/>
              <w:rPr>
                <w:sz w:val="20"/>
                <w:szCs w:val="20"/>
                <w:color w:val="auto"/>
              </w:rPr>
            </w:pPr>
          </w:p>
        </w:tc>
      </w:tr>
      <w:tr>
        <w:trPr>
          <w:trHeight w:val="1037"/>
        </w:trPr>
        <w:tc>
          <w:tcPr>
            <w:tcW w:w="6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5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12, 2014, among Time Warner Cable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individuals or entities listed on Schedule 1.01 hereto (each, a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19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WHEREAS, concurrently with the execution and delivery of this Agreement, the Company, Comcast Corporation, a Pennsylvania corporation (“</w:t>
      </w:r>
      <w:r>
        <w:rPr>
          <w:rFonts w:ascii="Arial" w:cs="Arial" w:eastAsia="Arial" w:hAnsi="Arial"/>
          <w:sz w:val="17"/>
          <w:szCs w:val="17"/>
          <w:b w:val="1"/>
          <w:bCs w:val="1"/>
          <w:color w:val="auto"/>
        </w:rPr>
        <w:t>Parent</w:t>
      </w:r>
      <w:r>
        <w:rPr>
          <w:rFonts w:ascii="Arial" w:cs="Arial" w:eastAsia="Arial" w:hAnsi="Arial"/>
          <w:sz w:val="17"/>
          <w:szCs w:val="17"/>
          <w:color w:val="auto"/>
        </w:rPr>
        <w:t>”), and Tango Acquisition Sub, Inc., a Delaware corporation and wholly owned subsidiary of Parent (“</w:t>
      </w:r>
      <w:r>
        <w:rPr>
          <w:rFonts w:ascii="Arial" w:cs="Arial" w:eastAsia="Arial" w:hAnsi="Arial"/>
          <w:sz w:val="17"/>
          <w:szCs w:val="17"/>
          <w:b w:val="1"/>
          <w:bCs w:val="1"/>
          <w:color w:val="auto"/>
        </w:rPr>
        <w:t>Merger Subsidiary</w:t>
      </w:r>
      <w:r>
        <w:rPr>
          <w:rFonts w:ascii="Arial" w:cs="Arial" w:eastAsia="Arial" w:hAnsi="Arial"/>
          <w:sz w:val="17"/>
          <w:szCs w:val="17"/>
          <w:color w:val="auto"/>
        </w:rPr>
        <w:t>”), are entering into an Agreement and Plan of Merger (as amended or modified from time to time,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Merger Subsidiary will be merged with and into the Company, with the Company continuing as the surviving corporation and a wholly owned subsidiary of Parent;</w:t>
      </w:r>
    </w:p>
    <w:p>
      <w:pPr>
        <w:spacing w:after="0" w:line="19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WHEREAS, as of the date hereof, each Stockholder is the record and beneficial owner of the shares of “Parent Class A Common Stock,” and “Parent Class B Common Stock,” respectively, on Schedule 1.01;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in order to induce the Company to enter into the Merger Agreement, each Stockholder has agreed to enter into this Agreement.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EFINED</w:t>
      </w:r>
      <w:r>
        <w:rPr>
          <w:rFonts w:ascii="Arial" w:cs="Arial" w:eastAsia="Arial" w:hAnsi="Arial"/>
          <w:sz w:val="18"/>
          <w:szCs w:val="18"/>
          <w:color w:val="auto"/>
        </w:rPr>
        <w:t xml:space="preserve"> T</w:t>
      </w:r>
      <w:r>
        <w:rPr>
          <w:rFonts w:ascii="Arial" w:cs="Arial" w:eastAsia="Arial" w:hAnsi="Arial"/>
          <w:sz w:val="12"/>
          <w:szCs w:val="12"/>
          <w:color w:val="auto"/>
        </w:rPr>
        <w:t>ERMS</w:t>
      </w:r>
    </w:p>
    <w:p>
      <w:pPr>
        <w:spacing w:after="0" w:line="2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 Definitions Generally</w:t>
      </w:r>
      <w:r>
        <w:rPr>
          <w:rFonts w:ascii="Arial" w:cs="Arial" w:eastAsia="Arial" w:hAnsi="Arial"/>
          <w:sz w:val="18"/>
          <w:szCs w:val="18"/>
          <w:color w:val="auto"/>
        </w:rPr>
        <w:t>. For purposes of this Agreement, terms used in this Agreement that are defined in the Merger Agreement but not in this Agreement shall have the respective meanings ascribed to them in the Merger Agreement.</w:t>
      </w:r>
    </w:p>
    <w:p>
      <w:pPr>
        <w:spacing w:after="0" w:line="22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i w:val="1"/>
          <w:iCs w:val="1"/>
          <w:color w:val="auto"/>
        </w:rPr>
        <w:t>Certain Definitions</w:t>
      </w:r>
      <w:r>
        <w:rPr>
          <w:rFonts w:ascii="Arial" w:cs="Arial" w:eastAsia="Arial" w:hAnsi="Arial"/>
          <w:sz w:val="16"/>
          <w:szCs w:val="16"/>
          <w:color w:val="auto"/>
        </w:rPr>
        <w:t>. In addition, the following terms, as used herein, have the following meanings:</w:t>
      </w:r>
    </w:p>
    <w:p>
      <w:pPr>
        <w:spacing w:after="0" w:line="275" w:lineRule="exact"/>
        <w:rPr>
          <w:sz w:val="20"/>
          <w:szCs w:val="20"/>
          <w:color w:val="auto"/>
        </w:rPr>
      </w:pPr>
    </w:p>
    <w:p>
      <w:pPr>
        <w:ind w:left="1900" w:hanging="595"/>
        <w:spacing w:after="0"/>
        <w:tabs>
          <w:tab w:leader="none" w:pos="1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means the Amended and Restated Articles of Incorporation of Parent.</w:t>
      </w:r>
    </w:p>
    <w:p>
      <w:pPr>
        <w:spacing w:after="0" w:line="279" w:lineRule="exact"/>
        <w:rPr>
          <w:rFonts w:ascii="Arial" w:cs="Arial" w:eastAsia="Arial" w:hAnsi="Arial"/>
          <w:sz w:val="18"/>
          <w:szCs w:val="18"/>
          <w:color w:val="auto"/>
        </w:rPr>
      </w:pPr>
    </w:p>
    <w:p>
      <w:pPr>
        <w:ind w:left="660" w:right="260" w:firstLine="645"/>
        <w:spacing w:after="0" w:line="347" w:lineRule="auto"/>
        <w:tabs>
          <w:tab w:leader="none" w:pos="19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w:t>
      </w:r>
      <w:r>
        <w:rPr>
          <w:rFonts w:ascii="Arial" w:cs="Arial" w:eastAsia="Arial" w:hAnsi="Arial"/>
          <w:sz w:val="16"/>
          <w:szCs w:val="16"/>
          <w:color w:val="auto"/>
        </w:rPr>
        <w:t>” of any security by any person means “beneficial ownership” of such security as determined pursuant to Rule 13d-3 under the 1934 Act, including all securities as to which such person has the right to acquire, without regard to the 60-day period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color w:val="auto"/>
        </w:rPr>
        <w:t>forth in such rule. The terms “</w:t>
      </w:r>
      <w:r>
        <w:rPr>
          <w:rFonts w:ascii="Arial" w:cs="Arial" w:eastAsia="Arial" w:hAnsi="Arial"/>
          <w:sz w:val="18"/>
          <w:szCs w:val="18"/>
          <w:b w:val="1"/>
          <w:bCs w:val="1"/>
          <w:color w:val="auto"/>
        </w:rPr>
        <w:t>beneficially owned</w:t>
      </w:r>
      <w:r>
        <w:rPr>
          <w:rFonts w:ascii="Arial" w:cs="Arial" w:eastAsia="Arial" w:hAnsi="Arial"/>
          <w:sz w:val="18"/>
          <w:szCs w:val="18"/>
          <w:color w:val="auto"/>
        </w:rPr>
        <w:t>” and “</w:t>
      </w:r>
      <w:r>
        <w:rPr>
          <w:rFonts w:ascii="Arial" w:cs="Arial" w:eastAsia="Arial" w:hAnsi="Arial"/>
          <w:sz w:val="18"/>
          <w:szCs w:val="18"/>
          <w:b w:val="1"/>
          <w:bCs w:val="1"/>
          <w:color w:val="auto"/>
        </w:rPr>
        <w:t>beneficial owner</w:t>
      </w:r>
      <w:r>
        <w:rPr>
          <w:rFonts w:ascii="Arial" w:cs="Arial" w:eastAsia="Arial" w:hAnsi="Arial"/>
          <w:sz w:val="18"/>
          <w:szCs w:val="18"/>
          <w:color w:val="auto"/>
        </w:rPr>
        <w:t>” shall have correlative meanings.</w:t>
      </w:r>
    </w:p>
    <w:p>
      <w:pPr>
        <w:spacing w:after="0" w:line="279" w:lineRule="exact"/>
        <w:rPr>
          <w:sz w:val="20"/>
          <w:szCs w:val="20"/>
          <w:color w:val="auto"/>
        </w:rPr>
      </w:pPr>
    </w:p>
    <w:p>
      <w:pPr>
        <w:ind w:left="2000" w:hanging="695"/>
        <w:spacing w:after="0"/>
        <w:tabs>
          <w:tab w:leader="none" w:pos="20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Shares</w:t>
      </w:r>
      <w:r>
        <w:rPr>
          <w:rFonts w:ascii="Arial" w:cs="Arial" w:eastAsia="Arial" w:hAnsi="Arial"/>
          <w:sz w:val="16"/>
          <w:szCs w:val="16"/>
          <w:color w:val="auto"/>
        </w:rPr>
        <w:t>” means, with respect to any Stockholder at any time, such Stockholder’s Existing Shares and New Shares as of</w:t>
      </w:r>
    </w:p>
    <w:p>
      <w:pPr>
        <w:spacing w:after="0" w:line="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time.</w:t>
      </w:r>
    </w:p>
    <w:p>
      <w:pPr>
        <w:spacing w:after="0" w:line="260" w:lineRule="exact"/>
        <w:rPr>
          <w:rFonts w:ascii="Arial" w:cs="Arial" w:eastAsia="Arial" w:hAnsi="Arial"/>
          <w:sz w:val="16"/>
          <w:szCs w:val="16"/>
          <w:color w:val="auto"/>
        </w:rPr>
      </w:pPr>
    </w:p>
    <w:p>
      <w:pPr>
        <w:ind w:left="660" w:firstLine="645"/>
        <w:spacing w:after="0" w:line="266" w:lineRule="auto"/>
        <w:tabs>
          <w:tab w:leader="none" w:pos="20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Shares</w:t>
      </w:r>
      <w:r>
        <w:rPr>
          <w:rFonts w:ascii="Arial" w:cs="Arial" w:eastAsia="Arial" w:hAnsi="Arial"/>
          <w:sz w:val="18"/>
          <w:szCs w:val="18"/>
          <w:color w:val="auto"/>
        </w:rPr>
        <w:t>” means, with respect to any Stockholder, all shares of Parent Stock (other than shares of Parent Class A Special Common Stock) owned of record and beneficially by such Stockholder as of the date of this Agreement (excluding, for the avoidance of doubt, any Option Shares issuable upon exercise of options outstanding on the date hereof).</w:t>
      </w:r>
    </w:p>
    <w:p>
      <w:pPr>
        <w:spacing w:after="0" w:line="230" w:lineRule="exact"/>
        <w:rPr>
          <w:rFonts w:ascii="Arial" w:cs="Arial" w:eastAsia="Arial" w:hAnsi="Arial"/>
          <w:sz w:val="18"/>
          <w:szCs w:val="18"/>
          <w:color w:val="auto"/>
        </w:rPr>
      </w:pPr>
    </w:p>
    <w:p>
      <w:pPr>
        <w:jc w:val="both"/>
        <w:ind w:left="660" w:right="40" w:firstLine="645"/>
        <w:spacing w:after="0" w:line="266" w:lineRule="auto"/>
        <w:tabs>
          <w:tab w:leader="none" w:pos="195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 means, with respect to any Stockholder, all shares of Parent Stock (other than Existing Shares and shares of Parent Class A Special Common Stock) of which such Stockholder acquires record and beneficial ownership during the term of this Agreement (including Option Shares once issued upon exercise of the relevant options).</w:t>
      </w:r>
    </w:p>
    <w:p>
      <w:pPr>
        <w:spacing w:after="0" w:line="230" w:lineRule="exact"/>
        <w:rPr>
          <w:rFonts w:ascii="Arial" w:cs="Arial" w:eastAsia="Arial" w:hAnsi="Arial"/>
          <w:sz w:val="18"/>
          <w:szCs w:val="18"/>
          <w:color w:val="auto"/>
        </w:rPr>
      </w:pPr>
    </w:p>
    <w:p>
      <w:pPr>
        <w:ind w:left="660" w:right="80" w:firstLine="645"/>
        <w:spacing w:after="0" w:line="282" w:lineRule="auto"/>
        <w:tabs>
          <w:tab w:leader="none" w:pos="20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Shares</w:t>
      </w:r>
      <w:r>
        <w:rPr>
          <w:rFonts w:ascii="Arial" w:cs="Arial" w:eastAsia="Arial" w:hAnsi="Arial"/>
          <w:sz w:val="18"/>
          <w:szCs w:val="18"/>
          <w:color w:val="auto"/>
        </w:rPr>
        <w:t>” means, with respect to any Stockholder, all shares of Parent Stock (other than shares of Parent Class A Special Common Stock) issuable upon exercise of options held by such Stockholder.</w:t>
      </w:r>
    </w:p>
    <w:p>
      <w:pPr>
        <w:spacing w:after="0" w:line="215" w:lineRule="exact"/>
        <w:rPr>
          <w:rFonts w:ascii="Arial" w:cs="Arial" w:eastAsia="Arial" w:hAnsi="Arial"/>
          <w:sz w:val="18"/>
          <w:szCs w:val="18"/>
          <w:color w:val="auto"/>
        </w:rPr>
      </w:pPr>
    </w:p>
    <w:p>
      <w:pPr>
        <w:ind w:left="2040" w:hanging="735"/>
        <w:spacing w:after="0"/>
        <w:tabs>
          <w:tab w:leader="none" w:pos="20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 Issuance</w:t>
      </w:r>
      <w:r>
        <w:rPr>
          <w:rFonts w:ascii="Arial" w:cs="Arial" w:eastAsia="Arial" w:hAnsi="Arial"/>
          <w:sz w:val="16"/>
          <w:szCs w:val="16"/>
          <w:color w:val="auto"/>
        </w:rPr>
        <w:t>” means the issuance of shares of Parent Class A Common Stock as part of the Merger Consideration.</w:t>
      </w:r>
    </w:p>
    <w:p>
      <w:pPr>
        <w:spacing w:after="0" w:line="302" w:lineRule="exact"/>
        <w:rPr>
          <w:rFonts w:ascii="Arial" w:cs="Arial" w:eastAsia="Arial" w:hAnsi="Arial"/>
          <w:sz w:val="16"/>
          <w:szCs w:val="16"/>
          <w:color w:val="auto"/>
        </w:rPr>
      </w:pPr>
    </w:p>
    <w:p>
      <w:pPr>
        <w:ind w:left="2100" w:hanging="795"/>
        <w:spacing w:after="0"/>
        <w:tabs>
          <w:tab w:leader="none" w:pos="21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Roberts</w:t>
      </w:r>
      <w:r>
        <w:rPr>
          <w:rFonts w:ascii="Arial" w:cs="Arial" w:eastAsia="Arial" w:hAnsi="Arial"/>
          <w:sz w:val="18"/>
          <w:szCs w:val="18"/>
          <w:color w:val="auto"/>
        </w:rPr>
        <w:t>” means Brian L. Roberts.</w:t>
      </w:r>
    </w:p>
    <w:p>
      <w:pPr>
        <w:spacing w:after="0" w:line="279" w:lineRule="exact"/>
        <w:rPr>
          <w:rFonts w:ascii="Arial" w:cs="Arial" w:eastAsia="Arial" w:hAnsi="Arial"/>
          <w:sz w:val="18"/>
          <w:szCs w:val="18"/>
          <w:color w:val="auto"/>
        </w:rPr>
      </w:pPr>
    </w:p>
    <w:p>
      <w:pPr>
        <w:ind w:left="2000" w:hanging="695"/>
        <w:spacing w:after="0"/>
        <w:tabs>
          <w:tab w:leader="none" w:pos="20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Roberts Family Group</w:t>
      </w:r>
      <w:r>
        <w:rPr>
          <w:rFonts w:ascii="Arial" w:cs="Arial" w:eastAsia="Arial" w:hAnsi="Arial"/>
          <w:sz w:val="16"/>
          <w:szCs w:val="16"/>
          <w:color w:val="auto"/>
        </w:rPr>
        <w:t>” means (i) Roberts, (ii) any lineal descendant or ancestor or sibling (by birth or adoption) of Roberts,</w:t>
      </w:r>
    </w:p>
    <w:p>
      <w:pPr>
        <w:spacing w:after="0" w:line="50" w:lineRule="exact"/>
        <w:rPr>
          <w:rFonts w:ascii="Arial" w:cs="Arial" w:eastAsia="Arial" w:hAnsi="Arial"/>
          <w:sz w:val="16"/>
          <w:szCs w:val="16"/>
          <w:color w:val="auto"/>
        </w:rPr>
      </w:pPr>
    </w:p>
    <w:p>
      <w:pPr>
        <w:jc w:val="both"/>
        <w:ind w:left="660" w:right="220" w:hanging="4"/>
        <w:spacing w:after="0" w:line="302" w:lineRule="auto"/>
        <w:tabs>
          <w:tab w:leader="none" w:pos="97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Parent or any of its controlled Affiliates).</w:t>
      </w:r>
    </w:p>
    <w:p>
      <w:pPr>
        <w:spacing w:after="0" w:line="20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 Other Definitional and Interpretative Provisions.</w:t>
      </w:r>
      <w:r>
        <w:rPr>
          <w:rFonts w:ascii="Arial" w:cs="Arial" w:eastAsia="Arial" w:hAnsi="Arial"/>
          <w:sz w:val="18"/>
          <w:szCs w:val="18"/>
          <w:color w:val="auto"/>
        </w:rPr>
        <w:t xml:space="preserve"> Notwithstanding anything to the contrary in this Agreement, the obligations, representations, warranties and covenants of any party hereto are several (with respect to itself) and not joint and several, and in no event shall any party hereto have any liability for the obligations, representations, warranties or covenants of any other party hereto. The words “hereof”, “herein” and “hereunder” and words</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103" w:name="page104"/>
    <w:bookmarkEnd w:id="103"/>
    <w:p>
      <w:pPr>
        <w:ind w:right="20"/>
        <w:spacing w:after="0" w:line="287" w:lineRule="auto"/>
        <w:rPr>
          <w:sz w:val="20"/>
          <w:szCs w:val="20"/>
          <w:color w:val="auto"/>
        </w:rPr>
      </w:pPr>
      <w:r>
        <w:rPr>
          <w:rFonts w:ascii="Arial" w:cs="Arial" w:eastAsia="Arial" w:hAnsi="Arial"/>
          <w:sz w:val="16"/>
          <w:szCs w:val="16"/>
          <w:color w:val="auto"/>
        </w:rPr>
        <w:t>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OTING</w:t>
      </w:r>
      <w:r>
        <w:rPr>
          <w:rFonts w:ascii="Arial" w:cs="Arial" w:eastAsia="Arial" w:hAnsi="Arial"/>
          <w:sz w:val="18"/>
          <w:szCs w:val="18"/>
          <w:color w:val="auto"/>
        </w:rPr>
        <w:t xml:space="preserve"> A</w:t>
      </w:r>
      <w:r>
        <w:rPr>
          <w:rFonts w:ascii="Arial" w:cs="Arial" w:eastAsia="Arial" w:hAnsi="Arial"/>
          <w:sz w:val="12"/>
          <w:szCs w:val="12"/>
          <w:color w:val="auto"/>
        </w:rPr>
        <w:t>GREEMENT AND</w:t>
      </w:r>
      <w:r>
        <w:rPr>
          <w:rFonts w:ascii="Arial" w:cs="Arial" w:eastAsia="Arial" w:hAnsi="Arial"/>
          <w:sz w:val="18"/>
          <w:szCs w:val="18"/>
          <w:color w:val="auto"/>
        </w:rPr>
        <w:t xml:space="preserve"> I</w:t>
      </w:r>
      <w:r>
        <w:rPr>
          <w:rFonts w:ascii="Arial" w:cs="Arial" w:eastAsia="Arial" w:hAnsi="Arial"/>
          <w:sz w:val="12"/>
          <w:szCs w:val="12"/>
          <w:color w:val="auto"/>
        </w:rPr>
        <w:t>RREVOCABLE</w:t>
      </w:r>
      <w:r>
        <w:rPr>
          <w:rFonts w:ascii="Arial" w:cs="Arial" w:eastAsia="Arial" w:hAnsi="Arial"/>
          <w:sz w:val="18"/>
          <w:szCs w:val="18"/>
          <w:color w:val="auto"/>
        </w:rPr>
        <w:t xml:space="preserve"> P</w:t>
      </w:r>
      <w:r>
        <w:rPr>
          <w:rFonts w:ascii="Arial" w:cs="Arial" w:eastAsia="Arial" w:hAnsi="Arial"/>
          <w:sz w:val="12"/>
          <w:szCs w:val="12"/>
          <w:color w:val="auto"/>
        </w:rPr>
        <w:t>ROXY</w:t>
      </w:r>
    </w:p>
    <w:p>
      <w:pPr>
        <w:spacing w:after="0" w:line="2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i w:val="1"/>
          <w:iCs w:val="1"/>
          <w:color w:val="auto"/>
        </w:rPr>
        <w:t>Agreement to Vote</w:t>
      </w:r>
      <w:r>
        <w:rPr>
          <w:rFonts w:ascii="Arial" w:cs="Arial" w:eastAsia="Arial" w:hAnsi="Arial"/>
          <w:sz w:val="16"/>
          <w:szCs w:val="16"/>
          <w:color w:val="auto"/>
        </w:rPr>
        <w:t>.</w:t>
      </w:r>
    </w:p>
    <w:p>
      <w:pPr>
        <w:spacing w:after="0" w:line="279" w:lineRule="exact"/>
        <w:rPr>
          <w:sz w:val="20"/>
          <w:szCs w:val="20"/>
          <w:color w:val="auto"/>
        </w:rPr>
      </w:pPr>
    </w:p>
    <w:p>
      <w:pPr>
        <w:ind w:firstLine="980"/>
        <w:spacing w:after="0" w:line="254" w:lineRule="auto"/>
        <w:tabs>
          <w:tab w:leader="none" w:pos="160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Written Consent</w:t>
      </w:r>
      <w:r>
        <w:rPr>
          <w:rFonts w:ascii="Arial" w:cs="Arial" w:eastAsia="Arial" w:hAnsi="Arial"/>
          <w:sz w:val="18"/>
          <w:szCs w:val="18"/>
          <w:color w:val="auto"/>
        </w:rPr>
        <w:t>. Each Stockholder that is the record and beneficial owner of shares of Parent Class B Common Stock agrees that, immediately after the execution and delivery of the Merger Agreement by the parties thereto, such Stockholder shall, with respect to all shares of Parent Class B Common Stock owned of record and beneficially by such Stockholder, consent to the Parent Stock Issuance for purposes of the separate approval right of the holders of Parent Class B Common Stock pursuant to Article 7 of the Articles of Incorporation (but not, for the avoidance of doubt, for purposes of the vote of the shares of Parent Class A Common Stock and the shares of Parent Class B Common Stock as a single class (which single class vote, for the avoidance of doubt, is the subject of Section 2.01(b)) by delivering to the Company an irrevocable written consent thereto. The consent granted by each Stockholder pursuant to this Section 2.01(a) shall automatically be revoked, without further action by the parties, only upon termination of this Agreement in accordance with Article 6.</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04" w:name="page105"/>
    <w:bookmarkEnd w:id="104"/>
    <w:p>
      <w:pPr>
        <w:ind w:firstLine="980"/>
        <w:spacing w:after="0" w:line="257" w:lineRule="auto"/>
        <w:tabs>
          <w:tab w:leader="none" w:pos="161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 Until the termination of this Agreement in accordance with Article 6, each Stockholder hereby agrees that at any meeting (whether annual or special and whether or not adjourned or postponed) of the holders of Parent Stock, however called, or in connection with any written consent of the holders of Parent Stock, such Stockholder shall vote (or cause to be voted) or deliver a consent (or cause a consent to be delivered) with respect to such Stockholder’s Covered Shares to the fullest extent that such Covered Shares are entitled to be voted at the time of any vote or action by written consent:</w:t>
      </w:r>
    </w:p>
    <w:p>
      <w:pPr>
        <w:spacing w:after="0" w:line="242" w:lineRule="exact"/>
        <w:rPr>
          <w:rFonts w:ascii="Arial" w:cs="Arial" w:eastAsia="Arial" w:hAnsi="Arial"/>
          <w:sz w:val="18"/>
          <w:szCs w:val="18"/>
          <w:color w:val="auto"/>
        </w:rPr>
      </w:pPr>
    </w:p>
    <w:p>
      <w:pPr>
        <w:ind w:left="660" w:right="280" w:firstLine="645"/>
        <w:spacing w:after="0" w:line="277" w:lineRule="auto"/>
        <w:tabs>
          <w:tab w:leader="none" w:pos="191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favor of the approval of the Parent Stock Issuance (other than in respect of the separate approval right of the holders of Parent Class B Common Stock that is the subject of Section 2.01(a));</w:t>
      </w:r>
    </w:p>
    <w:p>
      <w:pPr>
        <w:spacing w:after="0" w:line="224" w:lineRule="exact"/>
        <w:rPr>
          <w:rFonts w:ascii="Arial" w:cs="Arial" w:eastAsia="Arial" w:hAnsi="Arial"/>
          <w:sz w:val="18"/>
          <w:szCs w:val="18"/>
          <w:color w:val="auto"/>
        </w:rPr>
      </w:pPr>
    </w:p>
    <w:p>
      <w:pPr>
        <w:ind w:left="660" w:right="100" w:firstLine="645"/>
        <w:spacing w:after="0" w:line="286" w:lineRule="auto"/>
        <w:tabs>
          <w:tab w:leader="none" w:pos="19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without limitation of the preceding clause (i), in favor of any proposal to adjourn or postpone any meeting of the holders of Parent Stock at which the matter described in the preceding clause (i) is submitted for the consideration and vote of the holders of Parent Stock to a later date if there are not sufficient votes for approval of such matter on the date on which the meeting is held; and</w:t>
      </w:r>
    </w:p>
    <w:p>
      <w:pPr>
        <w:spacing w:after="0" w:line="219" w:lineRule="exact"/>
        <w:rPr>
          <w:rFonts w:ascii="Arial" w:cs="Arial" w:eastAsia="Arial" w:hAnsi="Arial"/>
          <w:sz w:val="17"/>
          <w:szCs w:val="17"/>
          <w:color w:val="auto"/>
        </w:rPr>
      </w:pPr>
    </w:p>
    <w:p>
      <w:pPr>
        <w:ind w:left="660" w:right="100" w:firstLine="645"/>
        <w:spacing w:after="0" w:line="277" w:lineRule="auto"/>
        <w:tabs>
          <w:tab w:leader="none" w:pos="201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against any corporate action the consummation of which would frustrate the purposes of, or prevent or impede the consummation of, the transactions contemplated by the Merger Agreement.</w:t>
      </w:r>
    </w:p>
    <w:p>
      <w:pPr>
        <w:spacing w:after="0" w:line="224" w:lineRule="exact"/>
        <w:rPr>
          <w:rFonts w:ascii="Arial" w:cs="Arial" w:eastAsia="Arial" w:hAnsi="Arial"/>
          <w:sz w:val="18"/>
          <w:szCs w:val="18"/>
          <w:color w:val="auto"/>
        </w:rPr>
      </w:pPr>
    </w:p>
    <w:p>
      <w:pPr>
        <w:ind w:right="40" w:firstLine="980"/>
        <w:spacing w:after="0" w:line="264" w:lineRule="auto"/>
        <w:tabs>
          <w:tab w:leader="none" w:pos="160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Certain Procedural Matters</w:t>
      </w:r>
      <w:r>
        <w:rPr>
          <w:rFonts w:ascii="Arial" w:cs="Arial" w:eastAsia="Arial" w:hAnsi="Arial"/>
          <w:sz w:val="18"/>
          <w:szCs w:val="18"/>
          <w:color w:val="auto"/>
        </w:rPr>
        <w:t>. With respect to any vote required to be cast or consent required to be executed pursuant to Section 2.01(b), each Stockholder agrees to take all steps reasonably necessary to ensure that all of such Stockholder’s Covered Shares are counted as present for quorum purposes (if applicable) and for purposes of recording the results of the vote or consent.</w:t>
      </w:r>
    </w:p>
    <w:p>
      <w:pPr>
        <w:spacing w:after="0" w:line="235" w:lineRule="exact"/>
        <w:rPr>
          <w:rFonts w:ascii="Arial" w:cs="Arial" w:eastAsia="Arial" w:hAnsi="Arial"/>
          <w:sz w:val="18"/>
          <w:szCs w:val="18"/>
          <w:color w:val="auto"/>
        </w:rPr>
      </w:pPr>
    </w:p>
    <w:p>
      <w:pPr>
        <w:ind w:right="40" w:firstLine="980"/>
        <w:spacing w:after="0" w:line="312" w:lineRule="auto"/>
        <w:tabs>
          <w:tab w:leader="none" w:pos="161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 Obligation to Exercise Options or Other Rights</w:t>
      </w:r>
      <w:r>
        <w:rPr>
          <w:rFonts w:ascii="Arial" w:cs="Arial" w:eastAsia="Arial" w:hAnsi="Arial"/>
          <w:sz w:val="16"/>
          <w:szCs w:val="16"/>
          <w:color w:val="auto"/>
        </w:rPr>
        <w:t>. Nothing contained in this Section 2.01 shall require any Stockholder (i) to convert, exercise or exchange any Parent Securities to acquire shares of Parent Stock or (ii) to vote or execute any consent with respect to any shares of Parent Stock not issued upon the conversion, exercise or exchange of any Parent Securities prior to the applicable record date for that vote or consent.</w:t>
      </w:r>
    </w:p>
    <w:p>
      <w:pPr>
        <w:spacing w:after="0" w:line="20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Section 2.02 . </w:t>
      </w:r>
      <w:r>
        <w:rPr>
          <w:rFonts w:ascii="Arial" w:cs="Arial" w:eastAsia="Arial" w:hAnsi="Arial"/>
          <w:sz w:val="16"/>
          <w:szCs w:val="16"/>
          <w:i w:val="1"/>
          <w:iCs w:val="1"/>
          <w:color w:val="auto"/>
        </w:rPr>
        <w:t>Irrevocable Proxy</w:t>
      </w:r>
      <w:r>
        <w:rPr>
          <w:rFonts w:ascii="Arial" w:cs="Arial" w:eastAsia="Arial" w:hAnsi="Arial"/>
          <w:sz w:val="16"/>
          <w:szCs w:val="16"/>
          <w:color w:val="auto"/>
        </w:rPr>
        <w:t>. Each Stockholder hereby revokes (or causes to be revoked) any and all previous proxies granted with respect to the Covered Shares that is inconsistent with Section 2.01. By entering into this Agreement, each Stockholder hereby grants a proxy appointing the Company and any designee of the Company, and each of them individually, as such Stockholder’s attorney-in-fact and proxy, with full power of substitution, for and in the such Stockholder’s name, to vote, express consent or dissent (including by acting by written consent), or otherwise to utilize such voting power in the manner expressly provided in Section 2.01. The proxy granted by each Stockholder pursuant to this Section 2.02 is irrevocable during the term of this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5" w:name="page106"/>
    <w:bookmarkEnd w:id="105"/>
    <w:p>
      <w:pPr>
        <w:ind w:right="200"/>
        <w:spacing w:after="0" w:line="272" w:lineRule="auto"/>
        <w:rPr>
          <w:sz w:val="20"/>
          <w:szCs w:val="20"/>
          <w:color w:val="auto"/>
        </w:rPr>
      </w:pPr>
      <w:r>
        <w:rPr>
          <w:rFonts w:ascii="Arial" w:cs="Arial" w:eastAsia="Arial" w:hAnsi="Arial"/>
          <w:sz w:val="17"/>
          <w:szCs w:val="17"/>
          <w:color w:val="auto"/>
        </w:rPr>
        <w:t>Agreement and coupled with an interest sufficient at law to support an irrevocable proxy and granted in consideration of and as an inducement to the Company entering into this Agreement and the Merger Agreement and incurring certain related fees and expenses. The proxy granted by each Stockholder shall terminate only upon the termination of this Agreement in accordance with Article 6, at which time such proxy shall automatically be revoked without further action by the parties. Without limiting Section 7.09, all authority herein conferred or agreed to be conferred will survive the death or incapacity of each Stockholder and any obligation of such Stockholder under this Agreement will be binding upon the heirs, personal representatives, successors and assigns of such Stockholder. Each Stockholder agrees to take such further action or execute such other instruments as may be necessary to effectuate the intent of the proxy and power of attorney granted hereunder.</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EACH</w:t>
      </w:r>
      <w:r>
        <w:rPr>
          <w:rFonts w:ascii="Arial" w:cs="Arial" w:eastAsia="Arial" w:hAnsi="Arial"/>
          <w:sz w:val="18"/>
          <w:szCs w:val="18"/>
          <w:color w:val="auto"/>
        </w:rPr>
        <w:t xml:space="preserve"> S</w:t>
      </w:r>
      <w:r>
        <w:rPr>
          <w:rFonts w:ascii="Arial" w:cs="Arial" w:eastAsia="Arial" w:hAnsi="Arial"/>
          <w:sz w:val="12"/>
          <w:szCs w:val="12"/>
          <w:color w:val="auto"/>
        </w:rPr>
        <w:t>TOCKHOLDER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Stockholder represents and warrants to the Company that:</w:t>
      </w:r>
    </w:p>
    <w:p>
      <w:pPr>
        <w:spacing w:after="0" w:line="2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 Organization.</w:t>
      </w:r>
      <w:r>
        <w:rPr>
          <w:rFonts w:ascii="Arial" w:cs="Arial" w:eastAsia="Arial" w:hAnsi="Arial"/>
          <w:sz w:val="18"/>
          <w:szCs w:val="18"/>
          <w:color w:val="auto"/>
        </w:rPr>
        <w:t xml:space="preserve"> Such Stockholder, if it is a corporation, partnership, limited liability company, trust or other entity, is duly organized and validly existing and in good standing under the laws of the jurisdiction of its organization.</w:t>
      </w:r>
    </w:p>
    <w:p>
      <w:pPr>
        <w:spacing w:after="0" w:line="2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 Authorization</w:t>
      </w:r>
      <w:r>
        <w:rPr>
          <w:rFonts w:ascii="Arial" w:cs="Arial" w:eastAsia="Arial" w:hAnsi="Arial"/>
          <w:sz w:val="18"/>
          <w:szCs w:val="18"/>
          <w:color w:val="auto"/>
        </w:rPr>
        <w:t>. If such Stockholder is not an individual,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This Agreement constitutes a valid and binding obligation of such Stockholder, enforceable against such Stockholder in accordance with its terms (subject to applicable bankruptcy, insolvency, fraudulent transfer, reorganization, moratorium and other laws affecting creditors’ rights generally and general principles of equity).</w:t>
      </w:r>
    </w:p>
    <w:p>
      <w:pPr>
        <w:spacing w:after="0" w:line="2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 No Conflict; Required Filings and Consents</w:t>
      </w:r>
      <w:r>
        <w:rPr>
          <w:rFonts w:ascii="Arial" w:cs="Arial" w:eastAsia="Arial" w:hAnsi="Arial"/>
          <w:sz w:val="16"/>
          <w:szCs w:val="16"/>
          <w:color w:val="auto"/>
        </w:rPr>
        <w:t>. The execution, delivery and performance by such Stockholder of this Agreement and the consummation of the transactions contemplated hereby do not and will not (i) if such Stockholder is not an individual, violate the certificate of formation, agreement of limited partnership, certificate of incorporation or similar organizational documents of such Stockholder, (ii) violate any applicable law to which such Stockholder is subject, (iii) require any consent or other action by any person under, constitute a default under, or give rise to any right of termination, cancellation or acceleration or to a loss of any benefit or right to which such Stockholder is entitled under, any provision of any agreement or other instrument</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06" w:name="page107"/>
    <w:bookmarkEnd w:id="106"/>
    <w:p>
      <w:pPr>
        <w:spacing w:after="0" w:line="272" w:lineRule="auto"/>
        <w:rPr>
          <w:sz w:val="20"/>
          <w:szCs w:val="20"/>
          <w:color w:val="auto"/>
        </w:rPr>
      </w:pPr>
      <w:r>
        <w:rPr>
          <w:rFonts w:ascii="Arial" w:cs="Arial" w:eastAsia="Arial" w:hAnsi="Arial"/>
          <w:sz w:val="17"/>
          <w:szCs w:val="17"/>
          <w:color w:val="auto"/>
        </w:rPr>
        <w:t>binding upon such Stockholder, (iv) result in the imposition of any Lien on any Covered Shares, (v) result in the conversion of any shares of Parent Class B Common Stock owned of record and beneficially by such Stockholder into Parent Class A Common Stock or Parent Class A Special Common Stock pursuant to Article 5, Section B.4 of the Articles of Incorporation or (vi)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except, in the case of the foregoing clauses (ii), (iii), (iv) and (vi), as would not impact such Stockholder’s ability to perform or comply with its obligations under this Agreement or to consummate the transactions contemplated herein on a timely basis.</w:t>
      </w:r>
    </w:p>
    <w:p>
      <w:pPr>
        <w:spacing w:after="0" w:line="23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 Ownership of Shares</w:t>
      </w:r>
      <w:r>
        <w:rPr>
          <w:rFonts w:ascii="Arial" w:cs="Arial" w:eastAsia="Arial" w:hAnsi="Arial"/>
          <w:sz w:val="17"/>
          <w:szCs w:val="17"/>
          <w:color w:val="auto"/>
        </w:rPr>
        <w:t>. As of the date of this Agreement and, except with respect to any Existing Shares transferred in accordance with Section 5.01, at all times during the period from the date of this Agreement through the termination of this Agreement in accordance with Article 6, such Stockholder is and will be the record and beneficial owner of the shares of Parent Stock set forth opposite such Stockholder’s name under the headings “Parent Class A Common Stock,” and “Parent Class B Common Stock,” respectively, on Schedule 1.01, which shares of Parent Stock collectively constitute such Stockholder’s Existing Shares, in each case, free and clear of any Lien and any other limitation or restriction (including any restriction on the right to vote or otherwise dispose of any such Existing Shares) other than those created by this Agreement or the Articles of Incorporation. None of such Stockholder’s Existing Shares is, and at no time during the term of this Agreement will such Stockholder’s Covered Shares be, subject to any voting trust or other agreement or arrangement with respect to the voting of such shares of Parent Stock.</w:t>
      </w:r>
    </w:p>
    <w:p>
      <w:pPr>
        <w:spacing w:after="0" w:line="23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 Total Shares</w:t>
      </w:r>
      <w:r>
        <w:rPr>
          <w:rFonts w:ascii="Arial" w:cs="Arial" w:eastAsia="Arial" w:hAnsi="Arial"/>
          <w:sz w:val="18"/>
          <w:szCs w:val="18"/>
          <w:color w:val="auto"/>
        </w:rPr>
        <w:t>. Except for (i) such Stockholder’s Option Shares, if any, (ii) any shares of Parent Stock owned of record and beneficially by another Stockholder and (iii) in the case of Roberts, 2,034 shares of Parent Class A Common Stock owned of record by Aileen Roberts, such Stockholder’s Existing Shares constitute all of the shares of Parent Stock (other than shares of Parent Class A Special Common Stock) beneficially owned by such Stockholder as of the date hereof.</w:t>
      </w:r>
    </w:p>
    <w:p>
      <w:pPr>
        <w:spacing w:after="0" w:line="24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i w:val="1"/>
          <w:iCs w:val="1"/>
          <w:color w:val="auto"/>
        </w:rPr>
        <w:t>. Opportunity to Review; Reliance.</w:t>
      </w:r>
      <w:r>
        <w:rPr>
          <w:rFonts w:ascii="Arial" w:cs="Arial" w:eastAsia="Arial" w:hAnsi="Arial"/>
          <w:sz w:val="17"/>
          <w:szCs w:val="17"/>
          <w:color w:val="auto"/>
        </w:rPr>
        <w:t xml:space="preserve"> Such Stockholder has had the opportunity to review this Agreement and the Merger Agreement with counsel of his, her or its own choosing. Such Stockholder understands and acknowledges that the Company is entering into the Merger Agreement in reliance upon such Stockholder’s execution, delivery and performance of this Agreement. Such Stockholder understands and acknowledges that the Merger Agreement governs the terms of the Merger and the other transactions contemplated thereby.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 COMPANY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each Stockholder that:</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 Authorization</w:t>
      </w:r>
      <w:r>
        <w:rPr>
          <w:rFonts w:ascii="Arial" w:cs="Arial" w:eastAsia="Arial" w:hAnsi="Arial"/>
          <w:sz w:val="18"/>
          <w:szCs w:val="18"/>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This Agreement constitutes a valid and binding obligation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24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Section 4.02 . No </w:t>
      </w:r>
      <w:r>
        <w:rPr>
          <w:rFonts w:ascii="Arial" w:cs="Arial" w:eastAsia="Arial" w:hAnsi="Arial"/>
          <w:sz w:val="17"/>
          <w:szCs w:val="17"/>
          <w:i w:val="1"/>
          <w:iCs w:val="1"/>
          <w:color w:val="auto"/>
        </w:rPr>
        <w:t>Conflict; Required Filings and Consents</w:t>
      </w:r>
      <w:r>
        <w:rPr>
          <w:rFonts w:ascii="Arial" w:cs="Arial" w:eastAsia="Arial" w:hAnsi="Arial"/>
          <w:sz w:val="17"/>
          <w:szCs w:val="17"/>
          <w:color w:val="auto"/>
        </w:rPr>
        <w:t>. The execution, delivery and performance by the Company of this Agreement and the consummation of the transactions contemplated hereby do not and will not (i) violate the certificate of incorporation or similar organizational documents of the Company, (ii) violate any applicable law to which the Company is subject, (iii) require any consent or other action by any person under, constitute a default under, or give rise to any right of termination, cancellation or acceleration or to a loss of any benefit or right to which the Company is entitled under, any provision of any agreement or other instrument binding upon the Company, (iv)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or (v) result in the imposition of any Lien on any material assets of the Company except, in the case of the foregoing clauses (ii), (iii), (iv) and (v), as would not impact the Company’s ability to perform or comply with its obligations under this Agreement or to consummate the transactions contemplated herein on a timely basis.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 OF EACH</w:t>
      </w:r>
      <w:r>
        <w:rPr>
          <w:rFonts w:ascii="Arial" w:cs="Arial" w:eastAsia="Arial" w:hAnsi="Arial"/>
          <w:sz w:val="18"/>
          <w:szCs w:val="18"/>
          <w:color w:val="auto"/>
        </w:rPr>
        <w:t xml:space="preserve"> S</w:t>
      </w:r>
      <w:r>
        <w:rPr>
          <w:rFonts w:ascii="Arial" w:cs="Arial" w:eastAsia="Arial" w:hAnsi="Arial"/>
          <w:sz w:val="12"/>
          <w:szCs w:val="12"/>
          <w:color w:val="auto"/>
        </w:rPr>
        <w:t>TOCKHOLDER</w:t>
      </w:r>
    </w:p>
    <w:p>
      <w:pPr>
        <w:spacing w:after="0" w:line="26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 Restrictions on Transfer</w:t>
      </w:r>
      <w:r>
        <w:rPr>
          <w:rFonts w:ascii="Arial" w:cs="Arial" w:eastAsia="Arial" w:hAnsi="Arial"/>
          <w:sz w:val="17"/>
          <w:szCs w:val="17"/>
          <w:color w:val="auto"/>
        </w:rPr>
        <w:t>. (a) Each Stockholder agrees that, during the term of this Agreement, such Stockholder shall not, directly or indirectly, sell, transfer, pledge, encumber, assign, distribute, gift or otherwise dispose of (each, a “</w:t>
      </w:r>
      <w:r>
        <w:rPr>
          <w:rFonts w:ascii="Arial" w:cs="Arial" w:eastAsia="Arial" w:hAnsi="Arial"/>
          <w:sz w:val="17"/>
          <w:szCs w:val="17"/>
          <w:b w:val="1"/>
          <w:bCs w:val="1"/>
          <w:color w:val="auto"/>
        </w:rPr>
        <w:t>Transfer</w:t>
      </w:r>
      <w:r>
        <w:rPr>
          <w:rFonts w:ascii="Arial" w:cs="Arial" w:eastAsia="Arial" w:hAnsi="Arial"/>
          <w:sz w:val="17"/>
          <w:szCs w:val="17"/>
          <w:color w:val="auto"/>
        </w:rPr>
        <w:t>”) any shares of Parent Class B Common Stock owned of record or beneficially by such Stockholder or any interest therein, or any voting rights with respect thereto, or enter into any contract, option or other arrangement or understanding with respect thereto (including any voting trust or agreement), other than with the prior written consent of the Company. For the avoidance of doubt, nothing in this Section 5.01(a) shall prevent a Transfer by any</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8" w:name="page109"/>
    <w:bookmarkEnd w:id="108"/>
    <w:p>
      <w:pPr>
        <w:ind w:right="220"/>
        <w:spacing w:after="0" w:line="277" w:lineRule="auto"/>
        <w:rPr>
          <w:sz w:val="20"/>
          <w:szCs w:val="20"/>
          <w:color w:val="auto"/>
        </w:rPr>
      </w:pPr>
      <w:r>
        <w:rPr>
          <w:rFonts w:ascii="Arial" w:cs="Arial" w:eastAsia="Arial" w:hAnsi="Arial"/>
          <w:sz w:val="18"/>
          <w:szCs w:val="18"/>
          <w:color w:val="auto"/>
        </w:rPr>
        <w:t>Stockholder of any shares of Parent Class A Common Stock or Parent Class A Special Common Stock or any voting rights with respect thereto or the entry into any contract, option or other arrangement or understanding with respect thereto.</w:t>
      </w:r>
    </w:p>
    <w:p>
      <w:pPr>
        <w:spacing w:after="0" w:line="224" w:lineRule="exact"/>
        <w:rPr>
          <w:sz w:val="20"/>
          <w:szCs w:val="20"/>
          <w:color w:val="auto"/>
        </w:rPr>
      </w:pPr>
    </w:p>
    <w:p>
      <w:pPr>
        <w:ind w:right="20" w:firstLine="980"/>
        <w:spacing w:after="0" w:line="291" w:lineRule="auto"/>
        <w:tabs>
          <w:tab w:leader="none" w:pos="139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Notwithstanding Section 5.01(a) (but subject to the immediately succeeding sentence), each Stockholder may Transfer any or all of such Stockholder’s Parent Class B Common Stock (the “</w:t>
      </w:r>
      <w:r>
        <w:rPr>
          <w:rFonts w:ascii="Arial" w:cs="Arial" w:eastAsia="Arial" w:hAnsi="Arial"/>
          <w:sz w:val="16"/>
          <w:szCs w:val="16"/>
          <w:b w:val="1"/>
          <w:bCs w:val="1"/>
          <w:color w:val="auto"/>
        </w:rPr>
        <w:t>Permitted Transfer Securities</w:t>
      </w:r>
      <w:r>
        <w:rPr>
          <w:rFonts w:ascii="Arial" w:cs="Arial" w:eastAsia="Arial" w:hAnsi="Arial"/>
          <w:sz w:val="16"/>
          <w:szCs w:val="16"/>
          <w:color w:val="auto"/>
        </w:rPr>
        <w:t xml:space="preserve">”) (i) upon the death of such Stockholder pursuant to the terms of any trust or will of such Stockholder or by the laws of intestate succession, or (ii) to any member of the Roberts Family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foregoing clauses (i) and (ii), each transferee or other recipient of Permitted Transfer Securities expressly agrees in a writing satisfactory to the Company to be bound by the terms of this Agreement such that the provisions of this Agreement will continue to apply to the Permitted Transfer Securities in the hands of such transferee or other recipient. Any Transfer in violation of this Section 5.01 shall be null and void. Any transferee or other recipient of Permitted Transfer Securities pursuant to clauses (i) and (ii) that is not already a “Stockholder” hereunder shall be deemed to be a “Stockholder” for purposes of this Agreement.</w:t>
      </w:r>
    </w:p>
    <w:p>
      <w:pPr>
        <w:spacing w:after="0" w:line="22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Section 5.02 . </w:t>
      </w:r>
      <w:r>
        <w:rPr>
          <w:rFonts w:ascii="Arial" w:cs="Arial" w:eastAsia="Arial" w:hAnsi="Arial"/>
          <w:sz w:val="17"/>
          <w:szCs w:val="17"/>
          <w:i w:val="1"/>
          <w:iCs w:val="1"/>
          <w:color w:val="auto"/>
        </w:rPr>
        <w:t>No Conversion</w:t>
      </w:r>
      <w:r>
        <w:rPr>
          <w:rFonts w:ascii="Arial" w:cs="Arial" w:eastAsia="Arial" w:hAnsi="Arial"/>
          <w:sz w:val="17"/>
          <w:szCs w:val="17"/>
          <w:color w:val="auto"/>
        </w:rPr>
        <w:t>. Each Stockholder agrees that, from the date hereof until termination of this Agreement, such Stockholder shall not take any action to convert any shares of Parent Class B Common Stock owned of record and beneficially by such Stockholder into shares of Parent Class A Common Stock or Parent Class A Special Common Stock pursuant to Article 5, Section B.4 of the Articles of Incorporation or otherwise.</w:t>
      </w:r>
    </w:p>
    <w:p>
      <w:pPr>
        <w:spacing w:after="0" w:line="22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 No Proxies</w:t>
      </w:r>
      <w:r>
        <w:rPr>
          <w:rFonts w:ascii="Arial" w:cs="Arial" w:eastAsia="Arial" w:hAnsi="Arial"/>
          <w:sz w:val="18"/>
          <w:szCs w:val="18"/>
          <w:color w:val="auto"/>
        </w:rPr>
        <w:t>. Each Stockholder agrees that, from the date hereof until termination of this Agreement, such Stockholder shall not directly or indirectly grant any person any proxy (revocable or irrevocable), power of attorney or other authorization with respect to any of such Stockholder’s Covered Shares that is inconsistent with Section 2.01 or Section 2.02.</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ERMINATION</w:t>
      </w:r>
    </w:p>
    <w:p>
      <w:pPr>
        <w:spacing w:after="0" w:line="2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 Termination</w:t>
      </w:r>
      <w:r>
        <w:rPr>
          <w:rFonts w:ascii="Arial" w:cs="Arial" w:eastAsia="Arial" w:hAnsi="Arial"/>
          <w:sz w:val="16"/>
          <w:szCs w:val="16"/>
          <w:color w:val="auto"/>
        </w:rPr>
        <w:t>. This Agreement and all obligations of the parties hereunder shall automatically terminate upon the earliest to occur of</w:t>
      </w:r>
    </w:p>
    <w:p>
      <w:pPr>
        <w:spacing w:after="0" w:line="23" w:lineRule="exact"/>
        <w:rPr>
          <w:sz w:val="20"/>
          <w:szCs w:val="20"/>
          <w:color w:val="auto"/>
        </w:rPr>
      </w:pPr>
    </w:p>
    <w:p>
      <w:pPr>
        <w:ind w:right="40" w:firstLine="8"/>
        <w:spacing w:after="0" w:line="271" w:lineRule="auto"/>
        <w:tabs>
          <w:tab w:leader="none" w:pos="24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Effective Time, (b) the termination of the Merger Agreement in accordance with its terms and (c) the date on which the Merger Agreement is modified, amended or supplemented, or any waiver of any term, condition or provision of the Merger Agreement is granted, which modification, amendment, supplement or waiver (i) has not been approved by (A) Roberts (either in his individual capacity or in his capacity as a director) or (B) stockholders who are the record and beneficial owners of at least a majority of the Parent Class B Common Stock and (ii) increases the Exchange Ratio or changes the form of the Merger Consideration or amends the provisions of the Merger Agreement relating to</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9" w:name="page110"/>
    <w:bookmarkEnd w:id="109"/>
    <w:p>
      <w:pPr>
        <w:spacing w:after="0" w:line="302" w:lineRule="auto"/>
        <w:rPr>
          <w:sz w:val="20"/>
          <w:szCs w:val="20"/>
          <w:color w:val="auto"/>
        </w:rPr>
      </w:pPr>
      <w:r>
        <w:rPr>
          <w:rFonts w:ascii="Arial" w:cs="Arial" w:eastAsia="Arial" w:hAnsi="Arial"/>
          <w:sz w:val="16"/>
          <w:szCs w:val="16"/>
          <w:color w:val="auto"/>
        </w:rPr>
        <w:t xml:space="preserve">regulatory matters in a manner that is materially adverse to investors. Upon the termination of this Agreement, neither the Company nor the Stockholders shall have any rights or obligations hereunder and this Agreement shall become null and void and have no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6.01 and Sections 7.02 through 7.16 shall survive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6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 Further Assurances</w:t>
      </w:r>
      <w:r>
        <w:rPr>
          <w:rFonts w:ascii="Arial" w:cs="Arial" w:eastAsia="Arial" w:hAnsi="Arial"/>
          <w:sz w:val="18"/>
          <w:szCs w:val="18"/>
          <w:color w:val="auto"/>
        </w:rPr>
        <w:t>. The Company and each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23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 Notices.</w:t>
      </w:r>
      <w:r>
        <w:rPr>
          <w:rFonts w:ascii="Arial" w:cs="Arial" w:eastAsia="Arial" w:hAnsi="Arial"/>
          <w:sz w:val="18"/>
          <w:szCs w:val="18"/>
          <w:color w:val="auto"/>
        </w:rPr>
        <w:t xml:space="preserve"> All notices, requests and other communications to any party hereunder shall be in writing (including facsimile transmission) and shall be given, if to the Company, to:</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364-8459</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color w:val="auto"/>
        </w:rPr>
        <w:t>Attention:</w:t>
        <w:tab/>
        <w:t>Robert B. Schumer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Ariel J. Deckelbaum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Ross A. Fieldston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757-3990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a Stockholder, to such Stockholder and its counsel at their respective addresses or facsimile numbers set forth on the applicable signature page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10" w:name="page111"/>
    <w:bookmarkEnd w:id="110"/>
    <w:p>
      <w:pPr>
        <w:ind w:right="200"/>
        <w:spacing w:after="0" w:line="277" w:lineRule="auto"/>
        <w:rPr>
          <w:sz w:val="20"/>
          <w:szCs w:val="20"/>
          <w:color w:val="auto"/>
        </w:rPr>
      </w:pPr>
      <w:r>
        <w:rPr>
          <w:rFonts w:ascii="Arial" w:cs="Arial" w:eastAsia="Arial" w:hAnsi="Arial"/>
          <w:sz w:val="18"/>
          <w:szCs w:val="18"/>
          <w:color w:val="auto"/>
        </w:rPr>
        <w:t>receipt. Otherwise, any such notice, request or communication shall be deemed to have been received on the next succeeding Business Day in the place of receipt.</w:t>
      </w:r>
    </w:p>
    <w:p>
      <w:pPr>
        <w:spacing w:after="0" w:line="22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 Covered Shares Held in Trust</w:t>
      </w:r>
      <w:r>
        <w:rPr>
          <w:rFonts w:ascii="Arial" w:cs="Arial" w:eastAsia="Arial" w:hAnsi="Arial"/>
          <w:sz w:val="18"/>
          <w:szCs w:val="18"/>
          <w:color w:val="auto"/>
        </w:rPr>
        <w:t>. In this Agreement, the Stockholder of any Covered Shares held in trust shall be deemed to be the relevant trust and/or the trustees thereof acting in their capacities as such trustees, in each case as the context may require to be most protective of the Company, including for purposes of such trustees’ representations and warranties as to the proper organization of the trust, their power and authority as trustees and the non-contravention of the trust’s governing instruments.</w:t>
      </w: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 Amendments and Waivers</w:t>
      </w:r>
      <w:r>
        <w:rPr>
          <w:rFonts w:ascii="Arial" w:cs="Arial" w:eastAsia="Arial" w:hAnsi="Arial"/>
          <w:sz w:val="18"/>
          <w:szCs w:val="18"/>
          <w:color w:val="auto"/>
        </w:rPr>
        <w:t>. (a) Any provision of this Agreement (including any Schedule hereto) may be amended or waived if, but only if, such amendment or waiver is in writing and is signed, in the case of an amendment, by each party to this Agreement or, in the case of a waiver, by each party against whom the waiver is to be effective.</w:t>
      </w:r>
    </w:p>
    <w:p>
      <w:pPr>
        <w:spacing w:after="0" w:line="235" w:lineRule="exact"/>
        <w:rPr>
          <w:sz w:val="20"/>
          <w:szCs w:val="20"/>
          <w:color w:val="auto"/>
        </w:rPr>
      </w:pPr>
    </w:p>
    <w:p>
      <w:pPr>
        <w:ind w:right="120" w:firstLine="656"/>
        <w:spacing w:after="0" w:line="264" w:lineRule="auto"/>
        <w:tabs>
          <w:tab w:leader="none" w:pos="107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23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 Documentation and Information.</w:t>
      </w:r>
      <w:r>
        <w:rPr>
          <w:rFonts w:ascii="Arial" w:cs="Arial" w:eastAsia="Arial" w:hAnsi="Arial"/>
          <w:sz w:val="16"/>
          <w:szCs w:val="16"/>
          <w:color w:val="auto"/>
        </w:rPr>
        <w:t xml:space="preserve"> Each Stockholder consents to and authorizes the publication and disclosure by the Company of such Stockholder’s identity and holding of Covered Shares, the nature of such Stockholder’s commitments, arrangements and understandings under this Agreement (including, for the avoidance of doubt, the disclosure of this Agreement) and any other information, in each case, that the Company reasonably determines is required to be disclosed by applicable law in any Current Report on Form 8-K, any Statement on Schedule 13D, any other disclosure document in connection with the Merger Agreement and any filings with or notices to Governmental Authorities in connection with the Merger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give such Stockholders and its legal counsel a reasonable opportunity to review and comment on such publications or disclosure prior to their being made public, and the Company shall consider in good faith all comments of such Stockholder in connection therewith.</w:t>
      </w:r>
    </w:p>
    <w:p>
      <w:pPr>
        <w:spacing w:after="0" w:line="22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 Expenses</w:t>
      </w:r>
      <w:r>
        <w:rPr>
          <w:rFonts w:ascii="Arial" w:cs="Arial" w:eastAsia="Arial" w:hAnsi="Arial"/>
          <w:sz w:val="16"/>
          <w:szCs w:val="16"/>
          <w:color w:val="auto"/>
        </w:rPr>
        <w:t>. All costs and expenses incurred in connection with this Agreement shall be paid by the party incurring such cost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 Other Capacities.</w:t>
      </w:r>
      <w:r>
        <w:rPr>
          <w:rFonts w:ascii="Arial" w:cs="Arial" w:eastAsia="Arial" w:hAnsi="Arial"/>
          <w:sz w:val="18"/>
          <w:szCs w:val="18"/>
          <w:color w:val="auto"/>
        </w:rPr>
        <w:t xml:space="preserve"> Nothing in this Agreement shall be deemed to apply to, or to limit in any manner, the discretion of Roberts with respect to any action to be taken (or omitted) by Roberts in his or her fiduciary capacity as an officer or director of Parent.</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11" w:name="page112"/>
    <w:bookmarkEnd w:id="111"/>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7.08 .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(including the Schedule hereto)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23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 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5.01(b), no party may assign, delegate or otherwise transfer any of its rights or obligations under this Agreement without the consent of the other parties hereto.</w:t>
      </w:r>
    </w:p>
    <w:p>
      <w:pPr>
        <w:spacing w:after="0" w:line="23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 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2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 Counterparts; Effectiveness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24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i w:val="1"/>
          <w:iCs w:val="1"/>
          <w:color w:val="auto"/>
        </w:rPr>
        <w:t>. 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23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i w:val="1"/>
          <w:iCs w:val="1"/>
          <w:color w:val="auto"/>
        </w:rPr>
        <w:t>. Jurisdiction</w:t>
      </w:r>
      <w:r>
        <w:rPr>
          <w:rFonts w:ascii="Arial" w:cs="Arial" w:eastAsia="Arial" w:hAnsi="Arial"/>
          <w:sz w:val="17"/>
          <w:szCs w:val="17"/>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2" w:name="page113"/>
    <w:bookmarkEnd w:id="112"/>
    <w:p>
      <w:pPr>
        <w:ind w:right="100"/>
        <w:spacing w:after="0" w:line="302" w:lineRule="auto"/>
        <w:rPr>
          <w:sz w:val="20"/>
          <w:szCs w:val="20"/>
          <w:color w:val="auto"/>
        </w:rPr>
      </w:pPr>
      <w:r>
        <w:rPr>
          <w:rFonts w:ascii="Arial" w:cs="Arial" w:eastAsia="Arial" w:hAnsi="Arial"/>
          <w:sz w:val="16"/>
          <w:szCs w:val="16"/>
          <w:color w:val="auto"/>
        </w:rPr>
        <w:t>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20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7.14 .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2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 Specific Performance.</w:t>
      </w:r>
      <w:r>
        <w:rPr>
          <w:rFonts w:ascii="Arial" w:cs="Arial" w:eastAsia="Arial" w:hAnsi="Arial"/>
          <w:sz w:val="18"/>
          <w:szCs w:val="18"/>
          <w:color w:val="auto"/>
        </w:rPr>
        <w:t xml:space="preserv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2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i w:val="1"/>
          <w:iCs w:val="1"/>
          <w:color w:val="auto"/>
        </w:rPr>
        <w:t>. No Ownership Interest.</w:t>
      </w:r>
      <w:r>
        <w:rPr>
          <w:rFonts w:ascii="Arial" w:cs="Arial" w:eastAsia="Arial" w:hAnsi="Arial"/>
          <w:sz w:val="18"/>
          <w:szCs w:val="18"/>
          <w:color w:val="auto"/>
        </w:rPr>
        <w:t xml:space="preserve"> All rights, ownership and economic benefits of and relating to a Stockholder’s Covered Shares shall remain vested in and belong to such Stockholder, and the Company shall have no authority to exercise any power or authority to direct such Stockholder in the voting of any of such Stockholder’s Covered Shares, except as otherwise specifically provided herein, or in the performance of Stockholder’s duties or responsibilities as a stockholder of Parent.</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remainder of this page has been intentionally left blank; the next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page is the signature page]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6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T. Minson, Jr.</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222"/>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Arthur T. Minson, Jr.</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w w:val="94"/>
              </w:rPr>
              <w:t>Executive Vice President and Chief Financial</w:t>
            </w:r>
          </w:p>
        </w:tc>
      </w:tr>
      <w:tr>
        <w:trPr>
          <w:trHeight w:val="230"/>
        </w:trPr>
        <w:tc>
          <w:tcPr>
            <w:tcW w:w="56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760" w:right="1379" w:bottom="1440" w:gutter="0" w:footer="0" w:header="0"/>
        </w:sectPr>
      </w:pPr>
    </w:p>
    <w:bookmarkStart w:id="114" w:name="page115"/>
    <w:bookmarkEnd w:id="114"/>
    <w:p>
      <w:pPr>
        <w:ind w:left="49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26073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Brian L. Roberts</w:t>
      </w:r>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c/o Comcast Corporation</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Philadelphia, PA 19103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593725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115" w:name="page116"/>
    <w:bookmarkEnd w:id="115"/>
    <w:p>
      <w:pPr>
        <w:ind w:left="4520"/>
        <w:spacing w:after="0"/>
        <w:rPr>
          <w:sz w:val="20"/>
          <w:szCs w:val="20"/>
          <w:color w:val="auto"/>
        </w:rPr>
      </w:pPr>
      <w:r>
        <w:rPr>
          <w:rFonts w:ascii="Arial" w:cs="Arial" w:eastAsia="Arial" w:hAnsi="Arial"/>
          <w:sz w:val="18"/>
          <w:szCs w:val="18"/>
          <w:color w:val="auto"/>
        </w:rPr>
        <w:t>BRCC Holdings LLC</w:t>
      </w:r>
    </w:p>
    <w:p>
      <w:pPr>
        <w:spacing w:after="0" w:line="200" w:lineRule="exact"/>
        <w:rPr>
          <w:sz w:val="20"/>
          <w:szCs w:val="20"/>
          <w:color w:val="auto"/>
        </w:rPr>
      </w:pPr>
    </w:p>
    <w:p>
      <w:pPr>
        <w:spacing w:after="0" w:line="241" w:lineRule="exact"/>
        <w:rPr>
          <w:sz w:val="20"/>
          <w:szCs w:val="20"/>
          <w:color w:val="auto"/>
        </w:rPr>
      </w:pPr>
    </w:p>
    <w:p>
      <w:pPr>
        <w:jc w:val="both"/>
        <w:ind w:left="4520"/>
        <w:spacing w:after="0"/>
        <w:tabs>
          <w:tab w:leader="none" w:pos="4960" w:val="left"/>
        </w:tabs>
        <w:rPr>
          <w:sz w:val="20"/>
          <w:szCs w:val="20"/>
          <w:color w:val="auto"/>
        </w:rPr>
      </w:pPr>
      <w:r>
        <w:rPr>
          <w:rFonts w:ascii="Arial" w:cs="Arial" w:eastAsia="Arial" w:hAnsi="Arial"/>
          <w:sz w:val="18"/>
          <w:szCs w:val="18"/>
          <w:color w:val="auto"/>
        </w:rPr>
        <w:t>By:</w:t>
        <w:tab/>
        <w:t>/s/ Brian L. Roberts</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222"/>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Brian L. Roberts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1105 North Market Street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Suite 1300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 Box 8985</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Wilmington,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593725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80"/>
          </w:cols>
          <w:pgMar w:left="1440" w:top="517" w:right="1379" w:bottom="1440" w:gutter="0" w:footer="0" w:header="0"/>
        </w:sectPr>
      </w:pPr>
    </w:p>
    <w:bookmarkStart w:id="116" w:name="page117"/>
    <w:bookmarkEnd w:id="116"/>
    <w:p>
      <w:pPr>
        <w:ind w:left="4520"/>
        <w:spacing w:after="0" w:line="277" w:lineRule="auto"/>
        <w:rPr>
          <w:sz w:val="20"/>
          <w:szCs w:val="20"/>
          <w:color w:val="auto"/>
        </w:rPr>
      </w:pPr>
      <w:r>
        <w:rPr>
          <w:rFonts w:ascii="Arial" w:cs="Arial" w:eastAsia="Arial" w:hAnsi="Arial"/>
          <w:sz w:val="18"/>
          <w:szCs w:val="18"/>
          <w:color w:val="auto"/>
        </w:rPr>
        <w:t>Irrevocable Deed of Trust of Brian L. Roberts for Children and Other Issue dated June 10, 1998</w:t>
      </w:r>
    </w:p>
    <w:p>
      <w:pPr>
        <w:spacing w:after="0" w:line="38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260731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Name:</w:t>
        <w:tab/>
        <w:t>Sheldon M. Bonovitz</w:t>
      </w:r>
    </w:p>
    <w:p>
      <w:pPr>
        <w:spacing w:after="0" w:line="23"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Trustee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 Christiana Trust, Trustee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Greenville Center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3801 Kennett Pike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Suite C200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438785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60"/>
          </w:cols>
          <w:pgMar w:left="1440" w:top="760" w:right="1399" w:bottom="1440" w:gutter="0" w:footer="0" w:header="0"/>
        </w:sectPr>
      </w:pPr>
    </w:p>
    <w:bookmarkStart w:id="117" w:name="page118"/>
    <w:bookmarkEnd w:id="117"/>
    <w:p>
      <w:pPr>
        <w:ind w:left="4520"/>
        <w:spacing w:after="0"/>
        <w:rPr>
          <w:sz w:val="20"/>
          <w:szCs w:val="20"/>
          <w:color w:val="auto"/>
        </w:rPr>
      </w:pPr>
      <w:r>
        <w:rPr>
          <w:rFonts w:ascii="Arial" w:cs="Arial" w:eastAsia="Arial" w:hAnsi="Arial"/>
          <w:sz w:val="16"/>
          <w:szCs w:val="16"/>
          <w:color w:val="auto"/>
        </w:rPr>
        <w:t>Irrevocable Deed of Trust of Ralph J. Roberts for Brian L.</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Roberts and Other Beneficiaries dated May 11, 1993</w:t>
      </w:r>
    </w:p>
    <w:p>
      <w:pPr>
        <w:spacing w:after="0" w:line="200" w:lineRule="exact"/>
        <w:rPr>
          <w:sz w:val="20"/>
          <w:szCs w:val="20"/>
          <w:color w:val="auto"/>
        </w:rPr>
      </w:pPr>
    </w:p>
    <w:p>
      <w:pPr>
        <w:spacing w:after="0" w:line="238"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260731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Name:</w:t>
        <w:tab/>
        <w:t>Brian L. Roberts</w:t>
      </w:r>
    </w:p>
    <w:p>
      <w:pPr>
        <w:spacing w:after="0" w:line="23"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26073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Name:</w:t>
        <w:tab/>
        <w:t>Sheldon M. Bonovitz</w:t>
      </w:r>
    </w:p>
    <w:p>
      <w:pPr>
        <w:spacing w:after="0" w:line="23"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 Sheldon M. Bonovitz, Trustee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Duane Morris LLP</w:t>
      </w:r>
    </w:p>
    <w:p>
      <w:pPr>
        <w:ind w:left="4520"/>
        <w:spacing w:after="0" w:line="189" w:lineRule="auto"/>
        <w:rPr>
          <w:sz w:val="20"/>
          <w:szCs w:val="20"/>
          <w:color w:val="auto"/>
        </w:rPr>
      </w:pPr>
      <w:r>
        <w:rPr>
          <w:rFonts w:ascii="Arial" w:cs="Arial" w:eastAsia="Arial" w:hAnsi="Arial"/>
          <w:sz w:val="18"/>
          <w:szCs w:val="18"/>
          <w:color w:val="auto"/>
        </w:rPr>
        <w:t>30 South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p>
      <w:pPr>
        <w:ind w:left="4520"/>
        <w:spacing w:after="0"/>
        <w:rPr>
          <w:sz w:val="20"/>
          <w:szCs w:val="20"/>
          <w:color w:val="auto"/>
        </w:rPr>
      </w:pPr>
      <w:r>
        <w:rPr>
          <w:rFonts w:ascii="Arial" w:cs="Arial" w:eastAsia="Arial" w:hAnsi="Arial"/>
          <w:sz w:val="18"/>
          <w:szCs w:val="18"/>
          <w:color w:val="auto"/>
        </w:rPr>
        <w:t>Philadelphia, PA 19103-4196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542290</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1449070" cy="514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9070" cy="51435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320040</wp:posOffset>
            </wp:positionV>
            <wp:extent cx="1269365" cy="5746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693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WARNER CABLE TO MERGE WITH COMCAST CORPORATION TO CREATE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WORLD-CLASS TECHNOLOGY AND MEDIA COMPANY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Strategic Combination Will Accelerate Delivery of Comcast’s Technologically Advanced Products and Services to Time Warner Cable’s Customers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 Creates Multiple Pro-Consumer and Pro-Competitive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Including for Small and Medium-Sized Businesses</w:t>
      </w:r>
    </w:p>
    <w:p>
      <w:pPr>
        <w:spacing w:after="0" w:line="2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PHILADELPHIA and NEW YORK – (February 13, 2014) -- </w:t>
      </w:r>
      <w:r>
        <w:rPr>
          <w:rFonts w:ascii="Arial" w:cs="Arial" w:eastAsia="Arial" w:hAnsi="Arial"/>
          <w:sz w:val="18"/>
          <w:szCs w:val="18"/>
          <w:color w:val="auto"/>
        </w:rPr>
        <w:t>Comcast Corporation (Nasdaq: CMCSA, CMCSK) and Time Warner Cable (NYSE: TWC)</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their Boards of Directors have approved a definitive agreement for Time Warner Cable to merge with Comcast. The agreement is a friendly, stock-for-stock transaction in which Comcast will acquire 100 percent of Time Warner Cable’s 284.9 million shares outstanding for shares of CMCSA amounting to approximately $45.2 billion in equity value. Each Time Warner Cable share will be exchanged for 2.875 shares of CMCSA, equal to Time Warner Cable shareholders owning approximately 23 percent of Comcast’s common stock, with a value to Time Warner Cable shareholders of approximately $158.82 per share based on the last closing price of Comcast shares. The transaction will generate approximately $1.5 billion in operating efficiencies and will be accretive to Comcast’s free cash flow per share while preserving balance sheet strength. The merger will also be tax free to Time Warner Cable shareholders.</w:t>
      </w:r>
    </w:p>
    <w:p>
      <w:pPr>
        <w:spacing w:after="0" w:line="2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transaction will create a leading technology and innovation company, differentiated by its ability to deliver ground-breaking products on a superior network while leveraging a national platform to create operating efficiencies and economies of scale.</w:t>
      </w:r>
    </w:p>
    <w:p>
      <w:pPr>
        <w:spacing w:after="0" w:line="19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combination of Time Warner Cable and Comcast creates an exciting opportunity for our company, for our customers, and for our shareholders,” said Brian L. Roberts, Chairman and Chief Executive Officer, Comcast Corporation. “In addition to creating a world-class company, this is a compelling financial and strategic transaction for our shareholders. Also, it is our intention to expand our buyback program by an additional $10 billion at the close of the transaction. We believe there are meaningful operational efficiencies and the adjusted purchase multiple is approximately 6.7x Operating Cash Flow. This transaction will be accretive and will yield many synergies and benefits in the years ahead. Rob Marcus and his team have created a pure-play cable company that, combined with Comcast, has the foundation for future growth. We are looking forward to working with his team as we bring our companies together to deliver the most innovative products and services and a superior customer experience within the highly competitive and dynamic marketplace in which we operate.”</w:t>
      </w:r>
    </w:p>
    <w:p>
      <w:pPr>
        <w:spacing w:after="0" w:line="21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combination creates a company that delivers maximum value for our shareholders, enormous opportunities for our employees and a superior experience for our customers,” said Robert D. Marcus, Chairman and CEO of Time Warner Cable. “Comcast and Time Warner Cable have been the leaders in all of the industry’s most important innovations of the last 25 years and this merger will accelerate the pace of that innovation. Brian Roberts, Neil Smit, Michael Angelakis and the Comcast management team have built an industry-leading platform and innovative products and services, and we’re excited to be part of delivering all of the possibilities of cable’s superior broadband networks to more American consumers.”</w:t>
      </w:r>
    </w:p>
    <w:p>
      <w:pPr>
        <w:spacing w:after="0" w:line="20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new cable company, which will be led by President and CEO Neil Smit, will generate multiple pro-consumer and pro-competitive benefits, including an accelerated deployment of existing and new innovative products and services for millions of customers. Comcast’s subscribers today have access to the most comprehensive video experience, including the cloud-based X1 Entertainment Operating System, plus 50,000 video on demand choices on television, 300,000 plus streaming choices on XfinityTV.com, Xfinity TV mobile apps that offer 35 live streaming channels plus the ability to download to watch offline later, and the newly launched X1 cloud DVR. Comcast is also a technology leader in broadband and has increased Internet speeds 12 times in the past 12 years across its entire footprint.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9" w:name="page120"/>
    <w:bookmarkEnd w:id="119"/>
    <w:p>
      <w:pPr>
        <w:ind w:right="40"/>
        <w:spacing w:after="0" w:line="276" w:lineRule="auto"/>
        <w:rPr>
          <w:sz w:val="20"/>
          <w:szCs w:val="20"/>
          <w:color w:val="auto"/>
        </w:rPr>
      </w:pPr>
      <w:r>
        <w:rPr>
          <w:rFonts w:ascii="Arial" w:cs="Arial" w:eastAsia="Arial" w:hAnsi="Arial"/>
          <w:sz w:val="17"/>
          <w:szCs w:val="17"/>
          <w:color w:val="auto"/>
        </w:rPr>
        <w:t>Time Warner Cable owns cable systems located in key geographic areas, including New York City, Southern California, Texas, the Carolinas, Ohio, and Wisconsin. Time Warner Cable will combine its unique products and services with Comcast’s, including StartOver, which allows customers to restart a live program in progress to the beginning, and LookBack, which allows customers to watch programs up to three days after they air live, all without a DVR. Time Warner Cable also has been a leader in the deployment of community Wi-Fi, and will combine its more than 30,000 hotspots, primarily in Los Angeles and New York City, and its in-home management system, IntelligentHome, with Comcast’s offerings.</w:t>
      </w:r>
    </w:p>
    <w:p>
      <w:pPr>
        <w:spacing w:after="0" w:line="20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Through this merger, more American consumers will benefit from technological innovations, including a superior video experience, higher broadband speeds, and the fastest in-home Wi-Fi. The transaction also will generate significant cost savings and other efficiencies. American businesses will benefit from a broader platform, and the Company will be better able to offer advanced services like high-performance point-to-point and multi-point Ethernet services and cloud-based managed services to enterprises. Additionally, the transaction will combine complementary advertising platforms and channels and allow Comcast to offer broader and more valuable packages to national advertisers.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the merger, Comcast will acquire Time Warner Cable’s approximately 11 million managed subscribers. In order to reduce competitive concerns, Comcast is prepared to divest systems serving approximately 3 million managed subscribers. As such, Comcast will, through the acquisition and management of Time Warner Cable systems, net approximately 8 million managed subscribers in this transaction. This will bring Comcast’s managed subscriber total to approximately 30 million. Following the transaction, Comcast’s share of managed subscribers will remain below 30 percent of the total number of MVPD subscribers in the U.S. and will be essentially equivalent to Comcast Cable’s subscriber share after its completion of both the 2002 AT&amp;T Broadband transaction and the 2006 Adelphia transaction.</w:t>
      </w:r>
    </w:p>
    <w:p>
      <w:pPr>
        <w:spacing w:after="0" w:line="200" w:lineRule="exact"/>
        <w:rPr>
          <w:sz w:val="20"/>
          <w:szCs w:val="20"/>
          <w:color w:val="auto"/>
        </w:rPr>
      </w:pPr>
    </w:p>
    <w:p>
      <w:pPr>
        <w:spacing w:after="0" w:line="2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111111"/>
        </w:rPr>
        <w:t>The companies said the merger agreement between Comcast and Time Warner Cable is subject to shareholder approval at both companies and regulatory review and other customary conditions and is expected to close by the end of 2014.</w:t>
      </w:r>
    </w:p>
    <w:p>
      <w:pPr>
        <w:spacing w:after="0" w:line="19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111111"/>
        </w:rPr>
        <w:t xml:space="preserve">J.P. Morgan, Paul J. Taubman, and Barclays Plc acted as financial advisors to Comcast and Davis Polk &amp; Wardwell LLP and </w:t>
      </w:r>
      <w:r>
        <w:rPr>
          <w:rFonts w:ascii="Arial" w:cs="Arial" w:eastAsia="Arial" w:hAnsi="Arial"/>
          <w:sz w:val="16"/>
          <w:szCs w:val="16"/>
          <w:color w:val="000000"/>
        </w:rPr>
        <w:t>Willkie Farr &amp; Gallagher LLP</w:t>
      </w:r>
      <w:r>
        <w:rPr>
          <w:rFonts w:ascii="Arial" w:cs="Arial" w:eastAsia="Arial" w:hAnsi="Arial"/>
          <w:sz w:val="16"/>
          <w:szCs w:val="16"/>
          <w:color w:val="111111"/>
        </w:rPr>
        <w:t xml:space="preserve"> </w:t>
      </w:r>
      <w:r>
        <w:rPr>
          <w:rFonts w:ascii="Arial" w:cs="Arial" w:eastAsia="Arial" w:hAnsi="Arial"/>
          <w:sz w:val="16"/>
          <w:szCs w:val="16"/>
          <w:color w:val="000000"/>
        </w:rPr>
        <w:t xml:space="preserve">are its legal </w:t>
      </w:r>
      <w:r>
        <w:rPr>
          <w:rFonts w:ascii="Arial" w:cs="Arial" w:eastAsia="Arial" w:hAnsi="Arial"/>
          <w:sz w:val="16"/>
          <w:szCs w:val="16"/>
          <w:color w:val="111111"/>
        </w:rPr>
        <w:t>advisors.</w:t>
      </w:r>
      <w:r>
        <w:rPr>
          <w:rFonts w:ascii="Arial" w:cs="Arial" w:eastAsia="Arial" w:hAnsi="Arial"/>
          <w:sz w:val="16"/>
          <w:szCs w:val="16"/>
          <w:color w:val="000000"/>
        </w:rPr>
        <w:t xml:space="preserve"> Morgan Stanley, Allen &amp; Company, Citigroup and Centerview Partners are financial advisors to Time Warner Cable and its Board of Directors, and Paul, Weiss, Rifkind, Wharton &amp; Garrison LLP and Skadden, Arps, Slate, Meagher &amp; Flom LLP are legal advisors.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and Webcast for Financial Community</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Comcast and Time Warner Cable will host a conference call with the financial community on Thursday, February 13, 2014, at 8:30 a.m. Eastern Time (ET) to discuss this announcement. The conference call will be broadcast live via the companies’ Investor Relations websites at </w:t>
      </w:r>
      <w:r>
        <w:rPr>
          <w:rFonts w:ascii="Arial" w:cs="Arial" w:eastAsia="Arial" w:hAnsi="Arial"/>
          <w:sz w:val="18"/>
          <w:szCs w:val="18"/>
          <w:u w:val="single" w:color="auto"/>
          <w:color w:val="0000FF"/>
        </w:rPr>
        <w:t>www.cmcsa.com</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www.twc.com/investors</w:t>
      </w:r>
      <w:r>
        <w:rPr>
          <w:rFonts w:ascii="Arial" w:cs="Arial" w:eastAsia="Arial" w:hAnsi="Arial"/>
          <w:sz w:val="18"/>
          <w:szCs w:val="18"/>
          <w:color w:val="000000"/>
        </w:rPr>
        <w:t>. Those interested in participating via telephone should dial (800) 263-8495 with the conference ID number 22627319. A replay of</w:t>
      </w:r>
      <w:r>
        <w:rPr>
          <w:rFonts w:ascii="Arial" w:cs="Arial" w:eastAsia="Arial" w:hAnsi="Arial"/>
          <w:sz w:val="18"/>
          <w:szCs w:val="18"/>
          <w:color w:val="0000FF"/>
        </w:rPr>
        <w:t xml:space="preserve"> </w:t>
      </w:r>
      <w:r>
        <w:rPr>
          <w:rFonts w:ascii="Arial" w:cs="Arial" w:eastAsia="Arial" w:hAnsi="Arial"/>
          <w:sz w:val="18"/>
          <w:szCs w:val="18"/>
          <w:color w:val="000000"/>
        </w:rPr>
        <w:t>the call will be available starting at 12:30 p.m. ET on February 13, 2014, on the companies’ Investor Relations websites or by telephone. To access the telephone replay, dial (855) 859-2056 with the conference ID number 22627319.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-445135</wp:posOffset>
            </wp:positionV>
            <wp:extent cx="285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-307975</wp:posOffset>
            </wp:positionV>
            <wp:extent cx="285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-307975</wp:posOffset>
            </wp:positionV>
            <wp:extent cx="285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for Journalists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Comcast and Time Warner Cable will also host a conference call with journalists on Thursday, February 13, 2014, at 9:45 a.m. Eastern Time (ET) to discuss this announcement. Journalists interested in participating in the call should dial (888) 290-8622 with the conference ID number 29882449</w:t>
      </w:r>
      <w:r>
        <w:rPr>
          <w:rFonts w:ascii="Arial" w:cs="Arial" w:eastAsia="Arial" w:hAnsi="Arial"/>
          <w:sz w:val="18"/>
          <w:szCs w:val="18"/>
          <w:b w:val="1"/>
          <w:bCs w:val="1"/>
          <w:color w:val="auto"/>
        </w:rPr>
        <w:t>.</w:t>
      </w:r>
      <w:r>
        <w:rPr>
          <w:rFonts w:ascii="Arial" w:cs="Arial" w:eastAsia="Arial" w:hAnsi="Arial"/>
          <w:sz w:val="18"/>
          <w:szCs w:val="18"/>
          <w:color w:val="auto"/>
        </w:rPr>
        <w:t xml:space="preserve"> A replay of the call will be available starting at 1:30 PM (ET) on February 13, 2014. To access the telephone replay, dial (800) 585-8367 with the conference ID number 29882449.</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111111"/>
        </w:rPr>
        <w:t>About Comcast Corporation</w:t>
      </w:r>
    </w:p>
    <w:p>
      <w:pPr>
        <w:spacing w:after="0" w:line="256"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Visit </w:t>
      </w:r>
      <w:r>
        <w:rPr>
          <w:rFonts w:ascii="Arial" w:cs="Arial" w:eastAsia="Arial" w:hAnsi="Arial"/>
          <w:sz w:val="18"/>
          <w:szCs w:val="18"/>
          <w:u w:val="single" w:color="auto"/>
          <w:color w:val="0000FF"/>
        </w:rPr>
        <w:t>www.comcastcorporation.com</w:t>
      </w:r>
      <w:r>
        <w:rPr>
          <w:rFonts w:ascii="Arial" w:cs="Arial" w:eastAsia="Arial" w:hAnsi="Arial"/>
          <w:sz w:val="18"/>
          <w:szCs w:val="18"/>
          <w:color w:val="333333"/>
        </w:rPr>
        <w:t xml:space="preserve"> </w:t>
      </w:r>
      <w:r>
        <w:rPr>
          <w:rFonts w:ascii="Arial" w:cs="Arial" w:eastAsia="Arial" w:hAnsi="Arial"/>
          <w:sz w:val="18"/>
          <w:szCs w:val="18"/>
          <w:color w:val="000000"/>
        </w:rPr>
        <w:t>for more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Time Warner Cable</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Time Warner Cable Inc. (NYSE:TWC) is among the largest providers of video, high-speed data and voice services in the United States, connecting 15 million customers to entertainment, information and each other. Time Warner Cable Business Class offers data, video and voice services to businesses of all sizes, cell tower backhaul services to wireless carriers and enterprise-class, cloud- enabled hosting, managed applications and services. Time Warner Cable Media, the advertising arm of Time Warner Cable, offers national, regional and local companies innovative advertising solutions. More information about the services of Time Warner Cable is available at </w:t>
      </w:r>
      <w:r>
        <w:rPr>
          <w:rFonts w:ascii="Arial" w:cs="Arial" w:eastAsia="Arial" w:hAnsi="Arial"/>
          <w:sz w:val="17"/>
          <w:szCs w:val="17"/>
          <w:u w:val="single" w:color="auto"/>
          <w:color w:val="0000FF"/>
        </w:rPr>
        <w:t>www.twc.com</w:t>
      </w:r>
      <w:r>
        <w:rPr>
          <w:rFonts w:ascii="Arial" w:cs="Arial" w:eastAsia="Arial" w:hAnsi="Arial"/>
          <w:sz w:val="17"/>
          <w:szCs w:val="17"/>
          <w:color w:val="333333"/>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www.twcbc.com</w:t>
      </w:r>
      <w:r>
        <w:rPr>
          <w:rFonts w:ascii="Arial" w:cs="Arial" w:eastAsia="Arial" w:hAnsi="Arial"/>
          <w:sz w:val="17"/>
          <w:szCs w:val="17"/>
          <w:color w:val="auto"/>
        </w:rPr>
        <w:t xml:space="preserve"> </w:t>
      </w:r>
      <w:r>
        <w:rPr>
          <w:rFonts w:ascii="Arial" w:cs="Arial" w:eastAsia="Arial" w:hAnsi="Arial"/>
          <w:sz w:val="17"/>
          <w:szCs w:val="17"/>
          <w:color w:val="333333"/>
        </w:rPr>
        <w:t>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www.twcmedia.com</w:t>
      </w:r>
      <w:r>
        <w:rPr>
          <w:rFonts w:ascii="Arial" w:cs="Arial" w:eastAsia="Arial" w:hAnsi="Arial"/>
          <w:sz w:val="17"/>
          <w:szCs w:val="17"/>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-43815</wp:posOffset>
            </wp:positionV>
            <wp:extent cx="285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D’Arcy Rudnay, (215) 286-8582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Demming, (215) 286-8011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111111"/>
        </w:rPr>
        <w:t>Ellen East, (212) 364-8228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111111"/>
        </w:rPr>
        <w:t>Susan Leepson, (212) 364-8281</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111111"/>
        </w:rPr>
        <w:t>Bobby Amirshahi, (212) 364-8292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11111"/>
        </w:rPr>
        <w:t>Investor Contacts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Jason S. Armstrong, (215) 286-7972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Jane B. Kearns, </w:t>
      </w:r>
      <w:r>
        <w:rPr>
          <w:rFonts w:ascii="Arial" w:cs="Arial" w:eastAsia="Arial" w:hAnsi="Arial"/>
          <w:sz w:val="18"/>
          <w:szCs w:val="18"/>
          <w:color w:val="111111"/>
        </w:rPr>
        <w:t>(215) 286-4794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Tom Robey, (212) 364-8218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Laraine Mancini, (212) 364-8202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1" w:name="page122"/>
    <w:bookmarkEnd w:id="121"/>
    <w:p>
      <w:pPr>
        <w:ind w:right="40"/>
        <w:spacing w:after="0" w:line="270" w:lineRule="auto"/>
        <w:rPr>
          <w:sz w:val="20"/>
          <w:szCs w:val="20"/>
          <w:color w:val="auto"/>
        </w:rPr>
      </w:pPr>
      <w:r>
        <w:rPr>
          <w:rFonts w:ascii="Arial" w:cs="Arial" w:eastAsia="Arial" w:hAnsi="Arial"/>
          <w:sz w:val="17"/>
          <w:szCs w:val="17"/>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 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 -looking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x"/>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1)"/>
      <w:numFmt w:val="lowerRoman"/>
      <w:start w:val="1"/>
    </w:lvl>
  </w:abstractNum>
  <w:abstractNum w:abstractNumId="4">
    <w:nsid w:val="235BA861"/>
    <w:multiLevelType w:val="hybridMultilevel"/>
    <w:lvl w:ilvl="0">
      <w:lvlJc w:val="left"/>
      <w:lvlText w:val="(%1)"/>
      <w:numFmt w:val="lowerRoman"/>
      <w:start w:val="8"/>
    </w:lvl>
  </w:abstractNum>
  <w:abstractNum w:abstractNumId="5">
    <w:nsid w:val="47398C89"/>
    <w:multiLevelType w:val="hybridMultilevel"/>
    <w:lvl w:ilvl="0">
      <w:lvlJc w:val="left"/>
      <w:lvlText w:val="&amp;"/>
      <w:numFmt w:val="bullet"/>
      <w:start w:val="1"/>
    </w:lvl>
  </w:abstractNum>
  <w:abstractNum w:abstractNumId="6">
    <w:nsid w:val="354FE9F9"/>
    <w:multiLevelType w:val="hybridMultilevel"/>
    <w:lvl w:ilvl="0">
      <w:lvlJc w:val="left"/>
      <w:lvlText w:val="(%1)"/>
      <w:numFmt w:val="lowerLetter"/>
      <w:start w:val="2"/>
    </w:lvl>
  </w:abstractNum>
  <w:abstractNum w:abstractNumId="7">
    <w:nsid w:val="15B5AF5C"/>
    <w:multiLevelType w:val="hybridMultilevel"/>
    <w:lvl w:ilvl="0">
      <w:lvlJc w:val="left"/>
      <w:lvlText w:val="(%1)"/>
      <w:numFmt w:val="lowerLetter"/>
      <w:start w:val="1"/>
    </w:lvl>
  </w:abstractNum>
  <w:abstractNum w:abstractNumId="8">
    <w:nsid w:val="741226BB"/>
    <w:multiLevelType w:val="hybridMultilevel"/>
    <w:lvl w:ilvl="0">
      <w:lvlJc w:val="left"/>
      <w:lvlText w:val="(%1)"/>
      <w:numFmt w:val="lowerLetter"/>
      <w:start w:val="2"/>
    </w:lvl>
  </w:abstractNum>
  <w:abstractNum w:abstractNumId="9">
    <w:nsid w:val="D34B6A8"/>
    <w:multiLevelType w:val="hybridMultilevel"/>
    <w:lvl w:ilvl="0">
      <w:lvlJc w:val="left"/>
      <w:lvlText w:val="(%1)"/>
      <w:numFmt w:val="lowerLetter"/>
      <w:start w:val="2"/>
    </w:lvl>
  </w:abstractNum>
  <w:abstractNum w:abstractNumId="10">
    <w:nsid w:val="10233C99"/>
    <w:multiLevelType w:val="hybridMultilevel"/>
    <w:lvl w:ilvl="0">
      <w:lvlJc w:val="left"/>
      <w:lvlText w:val="(%1)"/>
      <w:numFmt w:val="lowerLetter"/>
      <w:start w:val="3"/>
    </w:lvl>
  </w:abstractNum>
  <w:abstractNum w:abstractNumId="11">
    <w:nsid w:val="3F6AB60F"/>
    <w:multiLevelType w:val="hybridMultilevel"/>
    <w:lvl w:ilvl="0">
      <w:lvlJc w:val="left"/>
      <w:lvlText w:val="(%1)"/>
      <w:numFmt w:val="lowerLetter"/>
      <w:start w:val="7"/>
    </w:lvl>
  </w:abstractNum>
  <w:abstractNum w:abstractNumId="12">
    <w:nsid w:val="61574095"/>
    <w:multiLevelType w:val="hybridMultilevel"/>
    <w:lvl w:ilvl="0">
      <w:lvlJc w:val="left"/>
      <w:lvlText w:val="(%1)"/>
      <w:numFmt w:val="lowerLetter"/>
      <w:start w:val="2"/>
    </w:lvl>
  </w:abstractNum>
  <w:abstractNum w:abstractNumId="13">
    <w:nsid w:val="7E0C57B1"/>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4">
    <w:nsid w:val="77AE35E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5">
    <w:nsid w:val="579BE4F1"/>
    <w:multiLevelType w:val="hybridMultilevel"/>
    <w:lvl w:ilvl="0">
      <w:lvlJc w:val="left"/>
      <w:lvlText w:val="(%1)"/>
      <w:numFmt w:val="lowerLetter"/>
      <w:start w:val="5"/>
    </w:lvl>
  </w:abstractNum>
  <w:abstractNum w:abstractNumId="16">
    <w:nsid w:val="310C50B3"/>
    <w:multiLevelType w:val="hybridMultilevel"/>
    <w:lvl w:ilvl="0">
      <w:lvlJc w:val="left"/>
      <w:lvlText w:val="(%1)"/>
      <w:numFmt w:val="lowerLetter"/>
      <w:start w:val="2"/>
    </w:lvl>
  </w:abstractNum>
  <w:abstractNum w:abstractNumId="17">
    <w:nsid w:val="5FF87E05"/>
    <w:multiLevelType w:val="hybridMultilevel"/>
    <w:lvl w:ilvl="0">
      <w:lvlJc w:val="left"/>
      <w:lvlText w:val="(%1)"/>
      <w:numFmt w:val="lowerLetter"/>
      <w:start w:val="2"/>
    </w:lvl>
  </w:abstractNum>
  <w:abstractNum w:abstractNumId="18">
    <w:nsid w:val="2F305DEF"/>
    <w:multiLevelType w:val="hybridMultilevel"/>
    <w:lvl w:ilvl="0">
      <w:lvlJc w:val="left"/>
      <w:lvlText w:val="(%1)"/>
      <w:numFmt w:val="lowerLetter"/>
      <w:start w:val="2"/>
    </w:lvl>
  </w:abstractNum>
  <w:abstractNum w:abstractNumId="19">
    <w:nsid w:val="25A70BF7"/>
    <w:multiLevelType w:val="hybridMultilevel"/>
    <w:lvl w:ilvl="0">
      <w:lvlJc w:val="left"/>
      <w:lvlText w:val="%1"/>
      <w:numFmt w:val="lowerLetter"/>
      <w:start w:val="1"/>
    </w:lvl>
    <w:lvl w:ilvl="1">
      <w:lvlJc w:val="left"/>
      <w:lvlText w:val="(%2)"/>
      <w:numFmt w:val="lowerLetter"/>
      <w:start w:val="3"/>
    </w:lvl>
  </w:abstractNum>
  <w:abstractNum w:abstractNumId="20">
    <w:nsid w:val="1DBABF00"/>
    <w:multiLevelType w:val="hybridMultilevel"/>
    <w:lvl w:ilvl="0">
      <w:lvlJc w:val="left"/>
      <w:lvlText w:val="(%1)"/>
      <w:numFmt w:val="lowerLetter"/>
      <w:start w:val="9"/>
    </w:lvl>
    <w:lvl w:ilvl="1">
      <w:lvlJc w:val="left"/>
      <w:lvlText w:val="%2"/>
      <w:numFmt w:val="lowerLetter"/>
      <w:start w:val="1"/>
    </w:lvl>
  </w:abstractNum>
  <w:abstractNum w:abstractNumId="21">
    <w:nsid w:val="4AD084E9"/>
    <w:multiLevelType w:val="hybridMultilevel"/>
    <w:lvl w:ilvl="0">
      <w:lvlJc w:val="left"/>
      <w:lvlText w:val="(%1)"/>
      <w:numFmt w:val="lowerLetter"/>
      <w:start w:val="2"/>
    </w:lvl>
  </w:abstractNum>
  <w:abstractNum w:abstractNumId="22">
    <w:nsid w:val="1F48EAA1"/>
    <w:multiLevelType w:val="hybridMultilevel"/>
    <w:lvl w:ilvl="0">
      <w:lvlJc w:val="left"/>
      <w:lvlText w:val="(%1)"/>
      <w:numFmt w:val="lowerLetter"/>
      <w:start w:val="4"/>
    </w:lvl>
  </w:abstractNum>
  <w:abstractNum w:abstractNumId="23">
    <w:nsid w:val="1381823A"/>
    <w:multiLevelType w:val="hybridMultilevel"/>
    <w:lvl w:ilvl="0">
      <w:lvlJc w:val="left"/>
      <w:lvlText w:val="(%1)"/>
      <w:numFmt w:val="lowerLetter"/>
      <w:start w:val="8"/>
    </w:lvl>
  </w:abstractNum>
  <w:abstractNum w:abstractNumId="24">
    <w:nsid w:val="5DB70AE5"/>
    <w:multiLevelType w:val="hybridMultilevel"/>
    <w:lvl w:ilvl="0">
      <w:lvlJc w:val="left"/>
      <w:lvlText w:val="(%1)"/>
      <w:numFmt w:val="lowerLetter"/>
      <w:start w:val="2"/>
    </w:lvl>
  </w:abstractNum>
  <w:abstractNum w:abstractNumId="25">
    <w:nsid w:val="100F8FCA"/>
    <w:multiLevelType w:val="hybridMultilevel"/>
    <w:lvl w:ilvl="0">
      <w:lvlJc w:val="left"/>
      <w:lvlText w:val="(%1)"/>
      <w:numFmt w:val="lowerLetter"/>
      <w:start w:val="1"/>
    </w:lvl>
  </w:abstractNum>
  <w:abstractNum w:abstractNumId="26">
    <w:nsid w:val="6590700B"/>
    <w:multiLevelType w:val="hybridMultilevel"/>
    <w:lvl w:ilvl="0">
      <w:lvlJc w:val="left"/>
      <w:lvlText w:val="(%1)"/>
      <w:numFmt w:val="lowerLetter"/>
      <w:start w:val="2"/>
    </w:lvl>
  </w:abstractNum>
  <w:abstractNum w:abstractNumId="27">
    <w:nsid w:val="15014ACB"/>
    <w:multiLevelType w:val="hybridMultilevel"/>
    <w:lvl w:ilvl="0">
      <w:lvlJc w:val="left"/>
      <w:lvlText w:val="(%1)"/>
      <w:numFmt w:val="lowerLetter"/>
      <w:start w:val="3"/>
    </w:lvl>
  </w:abstractNum>
  <w:abstractNum w:abstractNumId="28">
    <w:nsid w:val="5F5E7FD0"/>
    <w:multiLevelType w:val="hybridMultilevel"/>
    <w:lvl w:ilvl="0">
      <w:lvlJc w:val="left"/>
      <w:lvlText w:val="(%1)"/>
      <w:numFmt w:val="lowerLetter"/>
      <w:start w:val="2"/>
    </w:lvl>
  </w:abstractNum>
  <w:abstractNum w:abstractNumId="29">
    <w:nsid w:val="98A3148"/>
    <w:multiLevelType w:val="hybridMultilevel"/>
    <w:lvl w:ilvl="0">
      <w:lvlJc w:val="left"/>
      <w:lvlText w:val="(%1)"/>
      <w:numFmt w:val="lowerLetter"/>
      <w:start w:val="2"/>
    </w:lvl>
  </w:abstractNum>
  <w:abstractNum w:abstractNumId="30">
    <w:nsid w:val="799D0247"/>
    <w:multiLevelType w:val="hybridMultilevel"/>
    <w:lvl w:ilvl="0">
      <w:lvlJc w:val="left"/>
      <w:lvlText w:val="(%1)"/>
      <w:numFmt w:val="lowerLetter"/>
      <w:start w:val="2"/>
    </w:lvl>
  </w:abstractNum>
  <w:abstractNum w:abstractNumId="31">
    <w:nsid w:val="6B94764"/>
    <w:multiLevelType w:val="hybridMultilevel"/>
    <w:lvl w:ilvl="0">
      <w:lvlJc w:val="left"/>
      <w:lvlText w:val="(%1)"/>
      <w:numFmt w:val="lowerLetter"/>
      <w:start w:val="3"/>
    </w:lvl>
  </w:abstractNum>
  <w:abstractNum w:abstractNumId="32">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3">
    <w:nsid w:val="168E121F"/>
    <w:multiLevelType w:val="hybridMultilevel"/>
    <w:lvl w:ilvl="0">
      <w:lvlJc w:val="left"/>
      <w:lvlText w:val="(%1)"/>
      <w:numFmt w:val="lowerLetter"/>
      <w:start w:val="5"/>
    </w:lvl>
  </w:abstractNum>
  <w:abstractNum w:abstractNumId="34">
    <w:nsid w:val="1EBA5D23"/>
    <w:multiLevelType w:val="hybridMultilevel"/>
    <w:lvl w:ilvl="0">
      <w:lvlJc w:val="left"/>
      <w:lvlText w:val="%1)"/>
      <w:numFmt w:val="decimal"/>
      <w:start w:val="990"/>
    </w:lvl>
    <w:lvl w:ilvl="1">
      <w:lvlJc w:val="left"/>
      <w:lvlText w:val="(%2)"/>
      <w:numFmt w:val="lowerLetter"/>
      <w:start w:val="2"/>
    </w:lvl>
  </w:abstractNum>
  <w:abstractNum w:abstractNumId="35">
    <w:nsid w:val="661E3F1E"/>
    <w:multiLevelType w:val="hybridMultilevel"/>
    <w:lvl w:ilvl="0">
      <w:lvlJc w:val="left"/>
      <w:lvlText w:val="%1"/>
      <w:numFmt w:val="lowerLetter"/>
      <w:start w:val="1"/>
    </w:lvl>
    <w:lvl w:ilvl="1">
      <w:lvlJc w:val="left"/>
      <w:lvlText w:val="(%2)"/>
      <w:numFmt w:val="lowerLetter"/>
      <w:start w:val="3"/>
    </w:lvl>
  </w:abstractNum>
  <w:abstractNum w:abstractNumId="36">
    <w:nsid w:val="5DC79EA8"/>
    <w:multiLevelType w:val="hybridMultilevel"/>
    <w:lvl w:ilvl="0">
      <w:lvlJc w:val="left"/>
      <w:lvlText w:val="(%1)"/>
      <w:numFmt w:val="lowerLetter"/>
      <w:start w:val="9"/>
    </w:lvl>
    <w:lvl w:ilvl="1">
      <w:lvlJc w:val="left"/>
      <w:lvlText w:val="(%2)"/>
      <w:numFmt w:val="lowerLetter"/>
      <w:start w:val="4"/>
    </w:lvl>
  </w:abstractNum>
  <w:abstractNum w:abstractNumId="37">
    <w:nsid w:val="540A471C"/>
    <w:multiLevelType w:val="hybridMultilevel"/>
    <w:lvl w:ilvl="0">
      <w:lvlJc w:val="left"/>
      <w:lvlText w:val="(%1)"/>
      <w:numFmt w:val="lowerLetter"/>
      <w:start w:val="7"/>
    </w:lvl>
  </w:abstractNum>
  <w:abstractNum w:abstractNumId="38">
    <w:nsid w:val="7BD3EE7B"/>
    <w:multiLevelType w:val="hybridMultilevel"/>
    <w:lvl w:ilvl="0">
      <w:lvlJc w:val="left"/>
      <w:lvlText w:val="(%1)"/>
      <w:numFmt w:val="lowerLetter"/>
      <w:start w:val="12"/>
    </w:lvl>
  </w:abstractNum>
  <w:abstractNum w:abstractNumId="39">
    <w:nsid w:val="51D9C564"/>
    <w:multiLevelType w:val="hybridMultilevel"/>
    <w:lvl w:ilvl="0">
      <w:lvlJc w:val="left"/>
      <w:lvlText w:val="(%1)"/>
      <w:numFmt w:val="lowerLetter"/>
      <w:start w:val="2"/>
    </w:lvl>
  </w:abstractNum>
  <w:abstractNum w:abstractNumId="40">
    <w:nsid w:val="613EFDC5"/>
    <w:multiLevelType w:val="hybridMultilevel"/>
    <w:lvl w:ilvl="0">
      <w:lvlJc w:val="left"/>
      <w:lvlText w:val="(%1)"/>
      <w:numFmt w:val="lowerRoman"/>
      <w:start w:val="1"/>
    </w:lvl>
  </w:abstractNum>
  <w:abstractNum w:abstractNumId="41">
    <w:nsid w:val="BF72B14"/>
    <w:multiLevelType w:val="hybridMultilevel"/>
    <w:lvl w:ilvl="0">
      <w:lvlJc w:val="left"/>
      <w:lvlText w:val="(%1)"/>
      <w:numFmt w:val="decimal"/>
      <w:start w:val="2"/>
    </w:lvl>
    <w:lvl w:ilvl="1">
      <w:lvlJc w:val="left"/>
      <w:lvlText w:val="(%2)"/>
      <w:numFmt w:val="lowerRoman"/>
      <w:start w:val="2"/>
    </w:lvl>
  </w:abstractNum>
  <w:abstractNum w:abstractNumId="42">
    <w:nsid w:val="11447B73"/>
    <w:multiLevelType w:val="hybridMultilevel"/>
    <w:lvl w:ilvl="0">
      <w:lvlJc w:val="left"/>
      <w:lvlText w:val="(%1)"/>
      <w:numFmt w:val="lowerRoman"/>
      <w:start w:val="7"/>
    </w:lvl>
  </w:abstractNum>
  <w:abstractNum w:abstractNumId="43">
    <w:nsid w:val="42963E5A"/>
    <w:multiLevelType w:val="hybridMultilevel"/>
    <w:lvl w:ilvl="0">
      <w:lvlJc w:val="left"/>
      <w:lvlText w:val="(%1)"/>
      <w:numFmt w:val="lowerLetter"/>
      <w:start w:val="2"/>
    </w:lvl>
  </w:abstractNum>
  <w:abstractNum w:abstractNumId="44">
    <w:nsid w:val="A0382C5"/>
    <w:multiLevelType w:val="hybridMultilevel"/>
    <w:lvl w:ilvl="0">
      <w:lvlJc w:val="left"/>
      <w:lvlText w:val="(%1)"/>
      <w:numFmt w:val="lowerLetter"/>
      <w:start w:val="2"/>
    </w:lvl>
  </w:abstractNum>
  <w:abstractNum w:abstractNumId="45">
    <w:nsid w:val="8F2B15E"/>
    <w:multiLevelType w:val="hybridMultilevel"/>
    <w:lvl w:ilvl="0">
      <w:lvlJc w:val="left"/>
      <w:lvlText w:val="(%1)"/>
      <w:numFmt w:val="lowerLetter"/>
      <w:start w:val="2"/>
    </w:lvl>
  </w:abstractNum>
  <w:abstractNum w:abstractNumId="46">
    <w:nsid w:val="1A32234B"/>
    <w:multiLevelType w:val="hybridMultilevel"/>
    <w:lvl w:ilvl="0">
      <w:lvlJc w:val="left"/>
      <w:lvlText w:val="(%1)"/>
      <w:numFmt w:val="lowerLetter"/>
      <w:start w:val="3"/>
    </w:lvl>
  </w:abstractNum>
  <w:abstractNum w:abstractNumId="47">
    <w:nsid w:val="3B0FD379"/>
    <w:multiLevelType w:val="hybridMultilevel"/>
    <w:lvl w:ilvl="0">
      <w:lvlJc w:val="left"/>
      <w:lvlText w:val="(%1)"/>
      <w:numFmt w:val="lowerLetter"/>
      <w:start w:val="2"/>
    </w:lvl>
  </w:abstractNum>
  <w:abstractNum w:abstractNumId="48">
    <w:nsid w:val="68EB2F63"/>
    <w:multiLevelType w:val="hybridMultilevel"/>
    <w:lvl w:ilvl="0">
      <w:lvlJc w:val="left"/>
      <w:lvlText w:val="(%1)"/>
      <w:numFmt w:val="lowerRoman"/>
      <w:start w:val="3"/>
    </w:lvl>
  </w:abstractNum>
  <w:abstractNum w:abstractNumId="49">
    <w:nsid w:val="4962813B"/>
    <w:multiLevelType w:val="hybridMultilevel"/>
    <w:lvl w:ilvl="0">
      <w:lvlJc w:val="left"/>
      <w:lvlText w:val="(%1)"/>
      <w:numFmt w:val="lowerLetter"/>
      <w:start w:val="2"/>
    </w:lvl>
  </w:abstractNum>
  <w:abstractNum w:abstractNumId="50">
    <w:nsid w:val="60B6DF70"/>
    <w:multiLevelType w:val="hybridMultilevel"/>
    <w:lvl w:ilvl="0">
      <w:lvlJc w:val="left"/>
      <w:lvlText w:val="(%1)"/>
      <w:numFmt w:val="lowerLetter"/>
      <w:start w:val="2"/>
    </w:lvl>
  </w:abstractNum>
  <w:abstractNum w:abstractNumId="51">
    <w:nsid w:val="6A5EE64"/>
    <w:multiLevelType w:val="hybridMultilevel"/>
    <w:lvl w:ilvl="0">
      <w:lvlJc w:val="left"/>
      <w:lvlText w:val="(%1)"/>
      <w:numFmt w:val="lowerLetter"/>
      <w:start w:val="2"/>
    </w:lvl>
  </w:abstractNum>
  <w:abstractNum w:abstractNumId="52">
    <w:nsid w:val="14330624"/>
    <w:multiLevelType w:val="hybridMultilevel"/>
    <w:lvl w:ilvl="0">
      <w:lvlJc w:val="left"/>
      <w:lvlText w:val="(%1)"/>
      <w:numFmt w:val="lowerLetter"/>
      <w:start w:val="3"/>
    </w:lvl>
  </w:abstractNum>
  <w:abstractNum w:abstractNumId="53">
    <w:nsid w:val="7FFFCA11"/>
    <w:multiLevelType w:val="hybridMultilevel"/>
    <w:lvl w:ilvl="0">
      <w:lvlJc w:val="left"/>
      <w:lvlText w:val="(%1)"/>
      <w:numFmt w:val="lowerLetter"/>
      <w:start w:val="8"/>
    </w:lvl>
  </w:abstractNum>
  <w:abstractNum w:abstractNumId="54">
    <w:nsid w:val="1A27709E"/>
    <w:multiLevelType w:val="hybridMultilevel"/>
    <w:lvl w:ilvl="0">
      <w:lvlJc w:val="left"/>
      <w:lvlText w:val="(%1)"/>
      <w:numFmt w:val="lowerLetter"/>
      <w:start w:val="1"/>
    </w:lvl>
  </w:abstractNum>
  <w:abstractNum w:abstractNumId="55">
    <w:nsid w:val="71EA1109"/>
    <w:multiLevelType w:val="hybridMultilevel"/>
    <w:lvl w:ilvl="0">
      <w:lvlJc w:val="left"/>
      <w:lvlText w:val="(%1)"/>
      <w:numFmt w:val="lowerLetter"/>
      <w:start w:val="2"/>
    </w:lvl>
  </w:abstractNum>
  <w:abstractNum w:abstractNumId="56">
    <w:nsid w:val="100F59DC"/>
    <w:multiLevelType w:val="hybridMultilevel"/>
    <w:lvl w:ilvl="0">
      <w:lvlJc w:val="left"/>
      <w:lvlText w:val="(%1)"/>
      <w:numFmt w:val="lowerLetter"/>
      <w:start w:val="3"/>
    </w:lvl>
  </w:abstractNum>
  <w:abstractNum w:abstractNumId="57">
    <w:nsid w:val="7FB7E0AA"/>
    <w:multiLevelType w:val="hybridMultilevel"/>
    <w:lvl w:ilvl="0">
      <w:lvlJc w:val="left"/>
      <w:lvlText w:val="(%1)"/>
      <w:numFmt w:val="lowerLetter"/>
      <w:start w:val="2"/>
    </w:lvl>
  </w:abstractNum>
  <w:abstractNum w:abstractNumId="58">
    <w:nsid w:val="6EB5BD4"/>
    <w:multiLevelType w:val="hybridMultilevel"/>
    <w:lvl w:ilvl="0">
      <w:lvlJc w:val="left"/>
      <w:lvlText w:val="(%1)"/>
      <w:numFmt w:val="lowerLetter"/>
      <w:start w:val="1"/>
    </w:lvl>
    <w:lvl w:ilvl="1">
      <w:lvlJc w:val="left"/>
      <w:lvlText w:val="(%2)"/>
      <w:numFmt w:val="lowerRoman"/>
      <w:start w:val="2"/>
    </w:lvl>
  </w:abstractNum>
  <w:abstractNum w:abstractNumId="59">
    <w:nsid w:val="6F6DD9AC"/>
    <w:multiLevelType w:val="hybridMultilevel"/>
    <w:lvl w:ilvl="0">
      <w:lvlJc w:val="left"/>
      <w:lvlText w:val="%1"/>
      <w:numFmt w:val="lowerLetter"/>
      <w:start w:val="1"/>
    </w:lvl>
    <w:lvl w:ilvl="1">
      <w:lvlJc w:val="left"/>
      <w:lvlText w:val="(%2)"/>
      <w:numFmt w:val="lowerRoman"/>
      <w:start w:val="6"/>
    </w:lvl>
  </w:abstractNum>
  <w:abstractNum w:abstractNumId="60">
    <w:nsid w:val="94211F2"/>
    <w:multiLevelType w:val="hybridMultilevel"/>
    <w:lvl w:ilvl="0">
      <w:lvlJc w:val="left"/>
      <w:lvlText w:val="(%1)"/>
      <w:numFmt w:val="lowerLetter"/>
      <w:start w:val="2"/>
    </w:lvl>
    <w:lvl w:ilvl="1">
      <w:lvlJc w:val="left"/>
      <w:lvlText w:val="%2"/>
      <w:numFmt w:val="lowerRoman"/>
      <w:start w:val="1"/>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2"/>
    </w:lvl>
  </w:abstractNum>
  <w:abstractNum w:abstractNumId="63">
    <w:nsid w:val="4C04A8AF"/>
    <w:multiLevelType w:val="hybridMultilevel"/>
    <w:lvl w:ilvl="0">
      <w:lvlJc w:val="left"/>
      <w:lvlText w:val="(%1)"/>
      <w:numFmt w:val="lowerLetter"/>
      <w:start w:val="61"/>
    </w:lvl>
    <w:lvl w:ilvl="1">
      <w:lvlJc w:val="left"/>
      <w:lvlText w:val="(%2)"/>
      <w:numFmt w:val="lowerLetter"/>
      <w:start w:val="1"/>
    </w:lvl>
  </w:abstractNum>
  <w:abstractNum w:abstractNumId="64">
    <w:nsid w:val="1716703B"/>
    <w:multiLevelType w:val="hybridMultilevel"/>
    <w:lvl w:ilvl="0">
      <w:lvlJc w:val="left"/>
      <w:lvlText w:val="(%1)"/>
      <w:numFmt w:val="lowerLetter"/>
      <w:start w:val="3"/>
    </w:lvl>
  </w:abstractNum>
  <w:abstractNum w:abstractNumId="65">
    <w:nsid w:val="14E17E33"/>
    <w:multiLevelType w:val="hybridMultilevel"/>
    <w:lvl w:ilvl="0">
      <w:lvlJc w:val="left"/>
      <w:lvlText w:val="(%1)"/>
      <w:numFmt w:val="lowerLetter"/>
      <w:start w:val="7"/>
    </w:lvl>
  </w:abstractNum>
  <w:abstractNum w:abstractNumId="66">
    <w:nsid w:val="3222E7CD"/>
    <w:multiLevelType w:val="hybridMultilevel"/>
    <w:lvl w:ilvl="0">
      <w:lvlJc w:val="left"/>
      <w:lvlText w:val="(%1)"/>
      <w:numFmt w:val="lowerLetter"/>
      <w:start w:val="13"/>
    </w:lvl>
  </w:abstractNum>
  <w:abstractNum w:abstractNumId="67">
    <w:nsid w:val="74DE0EE3"/>
    <w:multiLevelType w:val="hybridMultilevel"/>
    <w:lvl w:ilvl="0">
      <w:lvlJc w:val="left"/>
      <w:lvlText w:val="(%1)"/>
      <w:numFmt w:val="lowerLetter"/>
      <w:start w:val="17"/>
    </w:lvl>
  </w:abstractNum>
  <w:abstractNum w:abstractNumId="68">
    <w:nsid w:val="68EBC550"/>
    <w:multiLevelType w:val="hybridMultilevel"/>
    <w:lvl w:ilvl="0">
      <w:lvlJc w:val="left"/>
      <w:lvlText w:val="(%1)"/>
      <w:numFmt w:val="lowerLetter"/>
      <w:start w:val="2"/>
    </w:lvl>
    <w:lvl w:ilvl="1">
      <w:lvlJc w:val="left"/>
      <w:lvlText w:val="(%2)"/>
      <w:numFmt w:val="lowerLetter"/>
      <w:start w:val="9"/>
    </w:lvl>
  </w:abstractNum>
  <w:abstractNum w:abstractNumId="69">
    <w:nsid w:val="2DF6D648"/>
    <w:multiLevelType w:val="hybridMultilevel"/>
    <w:lvl w:ilvl="0">
      <w:lvlJc w:val="left"/>
      <w:lvlText w:val="(%1)"/>
      <w:numFmt w:val="lowerRoman"/>
      <w:start w:val="2"/>
    </w:lvl>
  </w:abstractNum>
  <w:abstractNum w:abstractNumId="70">
    <w:nsid w:val="46B7D447"/>
    <w:multiLevelType w:val="hybridMultilevel"/>
    <w:lvl w:ilvl="0">
      <w:lvlJc w:val="left"/>
      <w:lvlText w:val="(%1)"/>
      <w:numFmt w:val="lowerLetter"/>
      <w:start w:val="3"/>
    </w:lvl>
  </w:abstractNum>
  <w:abstractNum w:abstractNumId="71">
    <w:nsid w:val="4A2AC315"/>
    <w:multiLevelType w:val="hybridMultilevel"/>
    <w:lvl w:ilvl="0">
      <w:lvlJc w:val="left"/>
      <w:lvlText w:val="(%1)"/>
      <w:numFmt w:val="lowerLetter"/>
      <w:start w:val="4"/>
    </w:lvl>
  </w:abstractNum>
  <w:abstractNum w:abstractNumId="72">
    <w:nsid w:val="39EE015C"/>
    <w:multiLevelType w:val="hybridMultilevel"/>
    <w:lvl w:ilvl="0">
      <w:lvlJc w:val="left"/>
      <w:lvlText w:val="(%1)"/>
      <w:numFmt w:val="lowerLetter"/>
      <w:start w:val="5"/>
    </w:lvl>
  </w:abstractNum>
  <w:abstractNum w:abstractNumId="73">
    <w:nsid w:val="57FC4FBB"/>
    <w:multiLevelType w:val="hybridMultilevel"/>
    <w:lvl w:ilvl="0">
      <w:lvlJc w:val="left"/>
      <w:lvlText w:val="(%1)"/>
      <w:numFmt w:val="lowerLetter"/>
      <w:start w:val="2"/>
    </w:lvl>
  </w:abstractNum>
  <w:abstractNum w:abstractNumId="74">
    <w:nsid w:val="CC1016F"/>
    <w:multiLevelType w:val="hybridMultilevel"/>
    <w:lvl w:ilvl="0">
      <w:lvlJc w:val="left"/>
      <w:lvlText w:val="(%1)"/>
      <w:numFmt w:val="lowerLetter"/>
      <w:start w:val="1"/>
    </w:lvl>
  </w:abstractNum>
  <w:abstractNum w:abstractNumId="75">
    <w:nsid w:val="43F18422"/>
    <w:multiLevelType w:val="hybridMultilevel"/>
    <w:lvl w:ilvl="0">
      <w:lvlJc w:val="left"/>
      <w:lvlText w:val="(%1)"/>
      <w:numFmt w:val="lowerLetter"/>
      <w:start w:val="2"/>
    </w:lvl>
  </w:abstractNum>
  <w:abstractNum w:abstractNumId="76">
    <w:nsid w:val="60EF0119"/>
    <w:multiLevelType w:val="hybridMultilevel"/>
    <w:lvl w:ilvl="0">
      <w:lvlJc w:val="left"/>
      <w:lvlText w:val="(%1)"/>
      <w:numFmt w:val="lowerLetter"/>
      <w:start w:val="3"/>
    </w:lvl>
  </w:abstractNum>
  <w:abstractNum w:abstractNumId="77">
    <w:nsid w:val="26F324BA"/>
    <w:multiLevelType w:val="hybridMultilevel"/>
    <w:lvl w:ilvl="0">
      <w:lvlJc w:val="left"/>
      <w:lvlText w:val="(%1)"/>
      <w:numFmt w:val="lowerLetter"/>
      <w:start w:val="2"/>
    </w:lvl>
  </w:abstractNum>
  <w:abstractNum w:abstractNumId="78">
    <w:nsid w:val="7F01579B"/>
    <w:multiLevelType w:val="hybridMultilevel"/>
    <w:lvl w:ilvl="0">
      <w:lvlJc w:val="left"/>
      <w:lvlText w:val="%1"/>
      <w:numFmt w:val="lowerLetter"/>
      <w:start w:val="1"/>
    </w:lvl>
    <w:lvl w:ilvl="1">
      <w:lvlJc w:val="left"/>
      <w:lvlText w:val="(%2)"/>
      <w:numFmt w:val="lowerLetter"/>
      <w:start w:val="3"/>
    </w:lvl>
  </w:abstractNum>
  <w:abstractNum w:abstractNumId="79">
    <w:nsid w:val="49DA307D"/>
    <w:multiLevelType w:val="hybridMultilevel"/>
    <w:lvl w:ilvl="0">
      <w:lvlJc w:val="left"/>
      <w:lvlText w:val="(%1)"/>
      <w:numFmt w:val="lowerLetter"/>
      <w:start w:val="24"/>
    </w:lvl>
    <w:lvl w:ilvl="1">
      <w:lvlJc w:val="left"/>
      <w:lvlText w:val="(%2)"/>
      <w:numFmt w:val="lowerLetter"/>
      <w:start w:val="4"/>
    </w:lvl>
  </w:abstractNum>
  <w:abstractNum w:abstractNumId="80">
    <w:nsid w:val="7055A5F5"/>
    <w:multiLevelType w:val="hybridMultilevel"/>
    <w:lvl w:ilvl="0">
      <w:lvlJc w:val="left"/>
      <w:lvlText w:val="(%1)"/>
      <w:numFmt w:val="lowerLetter"/>
      <w:start w:val="2"/>
    </w:lvl>
  </w:abstractNum>
  <w:abstractNum w:abstractNumId="81">
    <w:nsid w:val="5FB8370B"/>
    <w:multiLevelType w:val="hybridMultilevel"/>
    <w:lvl w:ilvl="0">
      <w:lvlJc w:val="left"/>
      <w:lvlText w:val="(%1)"/>
      <w:numFmt w:val="lowerLetter"/>
      <w:start w:val="3"/>
    </w:lvl>
  </w:abstractNum>
  <w:abstractNum w:abstractNumId="82">
    <w:nsid w:val="50801EE1"/>
    <w:multiLevelType w:val="hybridMultilevel"/>
    <w:lvl w:ilvl="0">
      <w:lvlJc w:val="left"/>
      <w:lvlText w:val="(%1)"/>
      <w:numFmt w:val="lowerLetter"/>
      <w:start w:val="6"/>
    </w:lvl>
  </w:abstractNum>
  <w:abstractNum w:abstractNumId="83">
    <w:nsid w:val="488AC1A"/>
    <w:multiLevelType w:val="hybridMultilevel"/>
    <w:lvl w:ilvl="0">
      <w:lvlJc w:val="left"/>
      <w:lvlText w:val="(%1)"/>
      <w:numFmt w:val="lowerLetter"/>
      <w:start w:val="7"/>
    </w:lvl>
  </w:abstractNum>
  <w:abstractNum w:abstractNumId="84">
    <w:nsid w:val="5FB8011C"/>
    <w:multiLevelType w:val="hybridMultilevel"/>
    <w:lvl w:ilvl="0">
      <w:lvlJc w:val="left"/>
      <w:lvlText w:val="(%1)"/>
      <w:numFmt w:val="lowerLetter"/>
      <w:start w:val="2"/>
    </w:lvl>
  </w:abstractNum>
  <w:abstractNum w:abstractNumId="85">
    <w:nsid w:val="6AA78F7F"/>
    <w:multiLevelType w:val="hybridMultilevel"/>
    <w:lvl w:ilvl="0">
      <w:lvlJc w:val="left"/>
      <w:lvlText w:val="(%1)"/>
      <w:numFmt w:val="lowerLetter"/>
      <w:start w:val="2"/>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lowerLetter"/>
      <w:start w:val="2"/>
    </w:lvl>
  </w:abstractNum>
  <w:abstractNum w:abstractNumId="88">
    <w:nsid w:val="6A5F7029"/>
    <w:multiLevelType w:val="hybridMultilevel"/>
    <w:lvl w:ilvl="0">
      <w:lvlJc w:val="left"/>
      <w:lvlText w:val="(%1)"/>
      <w:numFmt w:val="lowerRoman"/>
      <w:start w:val="3"/>
    </w:lvl>
  </w:abstractNum>
  <w:abstractNum w:abstractNumId="89">
    <w:nsid w:val="7D5E18F8"/>
    <w:multiLevelType w:val="hybridMultilevel"/>
    <w:lvl w:ilvl="0">
      <w:lvlJc w:val="left"/>
      <w:lvlText w:val="(%1)"/>
      <w:numFmt w:val="lowerLetter"/>
      <w:start w:val="2"/>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1)"/>
      <w:numFmt w:val="lowerLetter"/>
      <w:start w:val="3"/>
    </w:lvl>
  </w:abstractNum>
  <w:abstractNum w:abstractNumId="92">
    <w:nsid w:val="7DE67713"/>
    <w:multiLevelType w:val="hybridMultilevel"/>
    <w:lvl w:ilvl="0">
      <w:lvlJc w:val="left"/>
      <w:lvlText w:val="(%1)"/>
      <w:numFmt w:val="lowerLetter"/>
      <w:start w:val="1"/>
    </w:lvl>
  </w:abstractNum>
  <w:abstractNum w:abstractNumId="93">
    <w:nsid w:val="555C55B5"/>
    <w:multiLevelType w:val="hybridMultilevel"/>
    <w:lvl w:ilvl="0">
      <w:lvlJc w:val="left"/>
      <w:lvlText w:val="(%1)"/>
      <w:numFmt w:val="lowerLetter"/>
      <w:start w:val="2"/>
    </w:lvl>
  </w:abstractNum>
  <w:abstractNum w:abstractNumId="94">
    <w:nsid w:val="3FA62ACA"/>
    <w:multiLevelType w:val="hybridMultilevel"/>
    <w:lvl w:ilvl="0">
      <w:lvlJc w:val="left"/>
      <w:lvlText w:val="(%1)"/>
      <w:numFmt w:val="lowerLetter"/>
      <w:start w:val="1"/>
    </w:lvl>
  </w:abstractNum>
  <w:abstractNum w:abstractNumId="95">
    <w:nsid w:val="14FCE74E"/>
    <w:multiLevelType w:val="hybridMultilevel"/>
    <w:lvl w:ilvl="0">
      <w:lvlJc w:val="left"/>
      <w:lvlText w:val="(%1)"/>
      <w:numFmt w:val="lowerLetter"/>
      <w:start w:val="1"/>
    </w:lvl>
    <w:lvl w:ilvl="1">
      <w:lvlJc w:val="left"/>
      <w:lvlText w:val="(%2)"/>
      <w:numFmt w:val="lowerRoman"/>
      <w:start w:val="1"/>
    </w:lvl>
  </w:abstractNum>
  <w:abstractNum w:abstractNumId="96">
    <w:nsid w:val="6A3DD3E8"/>
    <w:multiLevelType w:val="hybridMultilevel"/>
    <w:lvl w:ilvl="0">
      <w:lvlJc w:val="left"/>
      <w:lvlText w:val="(%1)"/>
      <w:numFmt w:val="lowerLetter"/>
      <w:start w:val="3"/>
    </w:lvl>
    <w:lvl w:ilvl="1">
      <w:lvlJc w:val="left"/>
      <w:lvlText w:val="(%2)"/>
      <w:numFmt w:val="lowerRoman"/>
      <w:start w:val="1"/>
    </w:lvl>
  </w:abstractNum>
  <w:abstractNum w:abstractNumId="97">
    <w:nsid w:val="71C91298"/>
    <w:multiLevelType w:val="hybridMultilevel"/>
    <w:lvl w:ilvl="0">
      <w:lvlJc w:val="left"/>
      <w:lvlText w:val="(%1)"/>
      <w:numFmt w:val="lowerLetter"/>
      <w:start w:val="9"/>
    </w:lvl>
    <w:lvl w:ilvl="1">
      <w:lvlJc w:val="left"/>
      <w:lvlText w:val="(%2)"/>
      <w:numFmt w:val="lowerRoman"/>
      <w:start w:val="2"/>
    </w:lvl>
  </w:abstractNum>
  <w:abstractNum w:abstractNumId="98">
    <w:nsid w:val="9DAF632"/>
    <w:multiLevelType w:val="hybridMultilevel"/>
    <w:lvl w:ilvl="0">
      <w:lvlJc w:val="left"/>
      <w:lvlText w:val="(%1)"/>
      <w:numFmt w:val="lowerLetter"/>
      <w:start w:val="4"/>
    </w:lvl>
    <w:lvl w:ilvl="1">
      <w:lvlJc w:val="left"/>
      <w:lvlText w:val="(%2)"/>
      <w:numFmt w:val="lowerRoman"/>
      <w:start w:val="1"/>
    </w:lvl>
  </w:abstractNum>
  <w:abstractNum w:abstractNumId="99">
    <w:nsid w:val="53299938"/>
    <w:multiLevelType w:val="hybridMultilevel"/>
    <w:lvl w:ilvl="0">
      <w:lvlJc w:val="left"/>
      <w:lvlText w:val="(%1)"/>
      <w:numFmt w:val="lowerRoman"/>
      <w:start w:val="2"/>
    </w:lvl>
  </w:abstractNum>
  <w:abstractNum w:abstractNumId="100">
    <w:nsid w:val="1FBFE8E0"/>
    <w:multiLevelType w:val="hybridMultilevel"/>
    <w:lvl w:ilvl="0">
      <w:lvlJc w:val="left"/>
      <w:lvlText w:val="(%1)"/>
      <w:numFmt w:val="lowerLetter"/>
      <w:start w:val="2"/>
    </w:lvl>
  </w:abstractNum>
  <w:abstractNum w:abstractNumId="101">
    <w:nsid w:val="5092CA79"/>
    <w:multiLevelType w:val="hybridMultilevel"/>
    <w:lvl w:ilvl="0">
      <w:lvlJc w:val="left"/>
      <w:lvlText w:val="(%1)"/>
      <w:numFmt w:val="lowerLetter"/>
      <w:start w:val="2"/>
    </w:lvl>
  </w:abstractNum>
  <w:abstractNum w:abstractNumId="102">
    <w:nsid w:val="1D545C4D"/>
    <w:multiLevelType w:val="hybridMultilevel"/>
    <w:lvl w:ilvl="0">
      <w:lvlJc w:val="left"/>
      <w:lvlText w:val="(%1)"/>
      <w:numFmt w:val="lowerLetter"/>
      <w:start w:val="2"/>
    </w:lvl>
  </w:abstractNum>
  <w:abstractNum w:abstractNumId="103">
    <w:nsid w:val="59ADEA3D"/>
    <w:multiLevelType w:val="hybridMultilevel"/>
    <w:lvl w:ilvl="0">
      <w:lvlJc w:val="left"/>
      <w:lvlText w:val="(%1)"/>
      <w:numFmt w:val="lowerRoman"/>
      <w:start w:val="1"/>
    </w:lvl>
  </w:abstractNum>
  <w:abstractNum w:abstractNumId="104">
    <w:nsid w:val="288F1A34"/>
    <w:multiLevelType w:val="hybridMultilevel"/>
    <w:lvl w:ilvl="0">
      <w:lvlJc w:val="left"/>
      <w:lvlText w:val="%1"/>
      <w:numFmt w:val="lowerRoman"/>
      <w:start w:val="1"/>
    </w:lvl>
    <w:lvl w:ilvl="1">
      <w:lvlJc w:val="left"/>
      <w:lvlText w:val="(%2)"/>
      <w:numFmt w:val="lowerRoman"/>
      <w:start w:val="3"/>
    </w:lvl>
  </w:abstractNum>
  <w:abstractNum w:abstractNumId="105">
    <w:nsid w:val="2A155DBC"/>
    <w:multiLevelType w:val="hybridMultilevel"/>
    <w:lvl w:ilvl="0">
      <w:lvlJc w:val="left"/>
      <w:lvlText w:val="(%1)"/>
      <w:numFmt w:val="lowerRoman"/>
      <w:start w:val="3"/>
    </w:lvl>
    <w:lvl w:ilvl="1">
      <w:lvlJc w:val="left"/>
      <w:lvlText w:val="%2"/>
      <w:numFmt w:val="lowerRoman"/>
      <w:start w:val="1"/>
    </w:lvl>
  </w:abstractNum>
  <w:abstractNum w:abstractNumId="106">
    <w:nsid w:val="1D9F6E5F"/>
    <w:multiLevelType w:val="hybridMultilevel"/>
    <w:lvl w:ilvl="0">
      <w:lvlJc w:val="left"/>
      <w:lvlText w:val="(%1)"/>
      <w:numFmt w:val="lowerLetter"/>
      <w:start w:val="1"/>
    </w:lvl>
  </w:abstractNum>
  <w:abstractNum w:abstractNumId="107">
    <w:nsid w:val="97E1B4E"/>
    <w:multiLevelType w:val="hybridMultilevel"/>
    <w:lvl w:ilvl="0">
      <w:lvlJc w:val="left"/>
      <w:lvlText w:val="(%1)"/>
      <w:numFmt w:val="lowerLetter"/>
      <w:start w:val="2"/>
    </w:lvl>
    <w:lvl w:ilvl="1">
      <w:lvlJc w:val="left"/>
      <w:lvlText w:val="(%2)"/>
      <w:numFmt w:val="lowerRoman"/>
      <w:start w:val="1"/>
    </w:lvl>
  </w:abstractNum>
  <w:abstractNum w:abstractNumId="108">
    <w:nsid w:val="51088277"/>
    <w:multiLevelType w:val="hybridMultilevel"/>
    <w:lvl w:ilvl="0">
      <w:lvlJc w:val="left"/>
      <w:lvlText w:val="(%1)"/>
      <w:numFmt w:val="lowerLetter"/>
      <w:start w:val="2"/>
    </w:lvl>
  </w:abstractNum>
  <w:abstractNum w:abstractNumId="109">
    <w:nsid w:val="1CA0C5FA"/>
    <w:multiLevelType w:val="hybridMultilevel"/>
    <w:lvl w:ilvl="0">
      <w:lvlJc w:val="left"/>
      <w:lvlText w:val="(%1)"/>
      <w:numFmt w:val="lowerLetter"/>
      <w:start w:val="1"/>
    </w:lvl>
  </w:abstractNum>
  <w:abstractNum w:abstractNumId="110">
    <w:nsid w:val="53584BC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2019-12-16T11:38:32Z</dcterms:created>
  <dcterms:modified xsi:type="dcterms:W3CDTF">2019-12-16T11:38:32Z</dcterms:modified>
</cp:coreProperties>
</file>