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175895</wp:posOffset>
            </wp:positionV>
            <wp:extent cx="7200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13D</w:t>
      </w:r>
    </w:p>
    <w:p>
      <w:pPr>
        <w:spacing w:after="0" w:line="37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w:t>
      </w: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BUZZFEED,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(Name of Issuer)</w:t>
      </w:r>
    </w:p>
    <w:p>
      <w:pPr>
        <w:spacing w:after="0" w:line="200" w:lineRule="exact"/>
        <w:rPr>
          <w:sz w:val="24"/>
          <w:szCs w:val="24"/>
          <w:color w:val="auto"/>
        </w:rPr>
      </w:pPr>
    </w:p>
    <w:p>
      <w:pPr>
        <w:spacing w:after="0" w:line="38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Class A Common Stock, par value $0.0001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6"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(Title of Class of Securities)</w:t>
      </w:r>
    </w:p>
    <w:p>
      <w:pPr>
        <w:spacing w:after="0" w:line="200" w:lineRule="exact"/>
        <w:rPr>
          <w:sz w:val="24"/>
          <w:szCs w:val="24"/>
          <w:color w:val="auto"/>
        </w:rPr>
      </w:pPr>
    </w:p>
    <w:p>
      <w:pPr>
        <w:spacing w:after="0" w:line="38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12430A102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6"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(CUSIP Number)</w:t>
      </w:r>
    </w:p>
    <w:p>
      <w:pPr>
        <w:spacing w:after="0" w:line="3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Thomas J. Reid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Chief Legal Officer and Secretary</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Comcast Corporation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One Comcast Center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Philadelphia, Pennsylvania 19103-2838</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(215) 286-1700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(Name, Address and Telephone Number of Person Authorized to Receive Notices and Communications)</w:t>
      </w:r>
    </w:p>
    <w:p>
      <w:pPr>
        <w:spacing w:after="0" w:line="200" w:lineRule="exact"/>
        <w:rPr>
          <w:sz w:val="24"/>
          <w:szCs w:val="24"/>
          <w:color w:val="auto"/>
        </w:rPr>
      </w:pPr>
    </w:p>
    <w:p>
      <w:pPr>
        <w:spacing w:after="0" w:line="38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6"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346710</wp:posOffset>
            </wp:positionV>
            <wp:extent cx="7112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200" w:lineRule="exact"/>
        <w:rPr>
          <w:sz w:val="24"/>
          <w:szCs w:val="24"/>
          <w:color w:val="auto"/>
        </w:rPr>
      </w:pPr>
    </w:p>
    <w:p>
      <w:pPr>
        <w:spacing w:after="0" w:line="393"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Rule 13d-1(e), 13d-1(f) or 13d-1(g), check the following box. o</w:t>
      </w:r>
    </w:p>
    <w:p>
      <w:pPr>
        <w:spacing w:after="0" w:line="170" w:lineRule="exact"/>
        <w:rPr>
          <w:sz w:val="24"/>
          <w:szCs w:val="24"/>
          <w:color w:val="auto"/>
        </w:rPr>
      </w:pPr>
    </w:p>
    <w:p>
      <w:pPr>
        <w:ind w:firstLine="332"/>
        <w:spacing w:after="0" w:line="277" w:lineRule="auto"/>
        <w:tabs>
          <w:tab w:leader="none" w:pos="469"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699770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1" w:name="page2"/>
    <w:bookmarkEnd w:id="1"/>
    <w:p>
      <w:pPr>
        <w:ind w:left="40"/>
        <w:spacing w:after="0"/>
        <w:rPr>
          <w:sz w:val="20"/>
          <w:szCs w:val="20"/>
          <w:color w:val="auto"/>
        </w:rPr>
      </w:pPr>
      <w:r>
        <w:rPr>
          <w:rFonts w:ascii="Arial" w:cs="Arial" w:eastAsia="Arial" w:hAnsi="Arial"/>
          <w:sz w:val="18"/>
          <w:szCs w:val="18"/>
          <w:color w:val="auto"/>
        </w:rPr>
        <w:t>CUSIP No.  12430A102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51777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5177790"/>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40" w:type="dxa"/>
            <w:vAlign w:val="bottom"/>
            <w:tcBorders>
              <w:top w:val="single" w:sz="8" w:color="auto"/>
            </w:tcBorders>
          </w:tcPr>
          <w:p>
            <w:pPr>
              <w:ind w:left="240"/>
              <w:spacing w:after="0"/>
              <w:rPr>
                <w:sz w:val="20"/>
                <w:szCs w:val="20"/>
                <w:color w:val="auto"/>
              </w:rPr>
            </w:pPr>
            <w:r>
              <w:rPr>
                <w:rFonts w:ascii="Arial" w:cs="Arial" w:eastAsia="Arial" w:hAnsi="Arial"/>
                <w:sz w:val="18"/>
                <w:szCs w:val="18"/>
                <w:b w:val="1"/>
                <w:bCs w:val="1"/>
                <w:color w:val="auto"/>
              </w:rPr>
              <w:t>1.</w:t>
            </w:r>
          </w:p>
        </w:tc>
        <w:tc>
          <w:tcPr>
            <w:tcW w:w="160" w:type="dxa"/>
            <w:vAlign w:val="bottom"/>
            <w:tcBorders>
              <w:top w:val="single" w:sz="8" w:color="auto"/>
              <w:right w:val="single" w:sz="8" w:color="auto"/>
            </w:tcBorders>
          </w:tcPr>
          <w:p>
            <w:pPr>
              <w:spacing w:after="0"/>
              <w:rPr>
                <w:sz w:val="22"/>
                <w:szCs w:val="22"/>
                <w:color w:val="auto"/>
              </w:rPr>
            </w:pPr>
          </w:p>
        </w:tc>
        <w:tc>
          <w:tcPr>
            <w:tcW w:w="4180" w:type="dxa"/>
            <w:vAlign w:val="bottom"/>
            <w:tcBorders>
              <w:top w:val="single" w:sz="8" w:color="auto"/>
            </w:tcBorders>
            <w:gridSpan w:val="4"/>
          </w:tcPr>
          <w:p>
            <w:pPr>
              <w:ind w:left="20"/>
              <w:spacing w:after="0"/>
              <w:rPr>
                <w:sz w:val="20"/>
                <w:szCs w:val="20"/>
                <w:color w:val="auto"/>
              </w:rPr>
            </w:pPr>
            <w:r>
              <w:rPr>
                <w:rFonts w:ascii="Arial" w:cs="Arial" w:eastAsia="Arial" w:hAnsi="Arial"/>
                <w:sz w:val="18"/>
                <w:szCs w:val="18"/>
                <w:color w:val="auto"/>
              </w:rPr>
              <w:t>NAMES OF REPORTING PERSONS</w:t>
            </w:r>
          </w:p>
        </w:tc>
        <w:tc>
          <w:tcPr>
            <w:tcW w:w="4760" w:type="dxa"/>
            <w:vAlign w:val="bottom"/>
            <w:tcBorders>
              <w:top w:val="single" w:sz="8" w:color="auto"/>
            </w:tcBorders>
          </w:tcPr>
          <w:p>
            <w:pPr>
              <w:spacing w:after="0"/>
              <w:rPr>
                <w:sz w:val="22"/>
                <w:szCs w:val="22"/>
                <w:color w:val="auto"/>
              </w:rPr>
            </w:pPr>
          </w:p>
        </w:tc>
        <w:tc>
          <w:tcPr>
            <w:tcW w:w="17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648"/>
        </w:trPr>
        <w:tc>
          <w:tcPr>
            <w:tcW w:w="44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900" w:type="dxa"/>
            <w:vAlign w:val="bottom"/>
            <w:gridSpan w:val="3"/>
          </w:tcPr>
          <w:p>
            <w:pPr>
              <w:ind w:left="20"/>
              <w:spacing w:after="0"/>
              <w:rPr>
                <w:sz w:val="20"/>
                <w:szCs w:val="20"/>
                <w:color w:val="auto"/>
              </w:rPr>
            </w:pPr>
            <w:r>
              <w:rPr>
                <w:rFonts w:ascii="Arial" w:cs="Arial" w:eastAsia="Arial" w:hAnsi="Arial"/>
                <w:sz w:val="18"/>
                <w:szCs w:val="18"/>
                <w:color w:val="auto"/>
              </w:rPr>
              <w:t>Comcast Corporation</w:t>
            </w:r>
          </w:p>
        </w:tc>
        <w:tc>
          <w:tcPr>
            <w:tcW w:w="22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7040" w:type="dxa"/>
            <w:vAlign w:val="bottom"/>
            <w:tcBorders>
              <w:bottom w:val="single" w:sz="8" w:color="auto"/>
            </w:tcBorders>
            <w:gridSpan w:val="2"/>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0" w:type="dxa"/>
            <w:vAlign w:val="bottom"/>
          </w:tcPr>
          <w:p>
            <w:pPr>
              <w:ind w:left="240"/>
              <w:spacing w:after="0"/>
              <w:rPr>
                <w:sz w:val="20"/>
                <w:szCs w:val="20"/>
                <w:color w:val="auto"/>
              </w:rPr>
            </w:pPr>
            <w:r>
              <w:rPr>
                <w:rFonts w:ascii="Arial" w:cs="Arial" w:eastAsia="Arial" w:hAnsi="Arial"/>
                <w:sz w:val="18"/>
                <w:szCs w:val="18"/>
                <w:b w:val="1"/>
                <w:bCs w:val="1"/>
                <w:color w:val="auto"/>
              </w:rPr>
              <w:t>2.</w:t>
            </w:r>
          </w:p>
        </w:tc>
        <w:tc>
          <w:tcPr>
            <w:tcW w:w="160" w:type="dxa"/>
            <w:vAlign w:val="bottom"/>
            <w:tcBorders>
              <w:right w:val="single" w:sz="8" w:color="auto"/>
            </w:tcBorders>
          </w:tcPr>
          <w:p>
            <w:pPr>
              <w:spacing w:after="0"/>
              <w:rPr>
                <w:sz w:val="21"/>
                <w:szCs w:val="21"/>
                <w:color w:val="auto"/>
              </w:rPr>
            </w:pPr>
          </w:p>
        </w:tc>
        <w:tc>
          <w:tcPr>
            <w:tcW w:w="8940" w:type="dxa"/>
            <w:vAlign w:val="bottom"/>
            <w:gridSpan w:val="5"/>
          </w:tcPr>
          <w:p>
            <w:pPr>
              <w:ind w:left="20"/>
              <w:spacing w:after="0"/>
              <w:rPr>
                <w:sz w:val="20"/>
                <w:szCs w:val="20"/>
                <w:color w:val="auto"/>
              </w:rPr>
            </w:pPr>
            <w:r>
              <w:rPr>
                <w:rFonts w:ascii="Arial" w:cs="Arial" w:eastAsia="Arial" w:hAnsi="Arial"/>
                <w:sz w:val="18"/>
                <w:szCs w:val="18"/>
                <w:color w:val="auto"/>
              </w:rPr>
              <w:t>CHECK THE APPROPRIATE BOX IF A MEMBER OF A GROUP</w:t>
            </w:r>
          </w:p>
        </w:tc>
        <w:tc>
          <w:tcPr>
            <w:tcW w:w="1720" w:type="dxa"/>
            <w:vAlign w:val="bottom"/>
            <w:tcBorders>
              <w:right w:val="single" w:sz="8" w:color="auto"/>
            </w:tcBorders>
          </w:tcPr>
          <w:p>
            <w:pPr>
              <w:ind w:left="5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6"/>
        </w:trPr>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ind w:left="5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0"/>
        </w:trPr>
        <w:tc>
          <w:tcPr>
            <w:tcW w:w="440" w:type="dxa"/>
            <w:vAlign w:val="bottom"/>
          </w:tcPr>
          <w:p>
            <w:pPr>
              <w:ind w:left="240"/>
              <w:spacing w:after="0"/>
              <w:rPr>
                <w:sz w:val="20"/>
                <w:szCs w:val="20"/>
                <w:color w:val="auto"/>
              </w:rPr>
            </w:pPr>
            <w:r>
              <w:rPr>
                <w:rFonts w:ascii="Arial" w:cs="Arial" w:eastAsia="Arial" w:hAnsi="Arial"/>
                <w:sz w:val="18"/>
                <w:szCs w:val="18"/>
                <w:b w:val="1"/>
                <w:bCs w:val="1"/>
                <w:color w:val="auto"/>
              </w:rPr>
              <w:t>3.</w:t>
            </w:r>
          </w:p>
        </w:tc>
        <w:tc>
          <w:tcPr>
            <w:tcW w:w="160" w:type="dxa"/>
            <w:vAlign w:val="bottom"/>
            <w:tcBorders>
              <w:right w:val="single" w:sz="8" w:color="auto"/>
            </w:tcBorders>
          </w:tcPr>
          <w:p>
            <w:pPr>
              <w:spacing w:after="0"/>
              <w:rPr>
                <w:sz w:val="20"/>
                <w:szCs w:val="20"/>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w w:val="96"/>
              </w:rPr>
              <w:t>SEC USE ONLY</w:t>
            </w:r>
          </w:p>
        </w:tc>
        <w:tc>
          <w:tcPr>
            <w:tcW w:w="5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40" w:type="dxa"/>
            <w:vAlign w:val="bottom"/>
          </w:tcPr>
          <w:p>
            <w:pPr>
              <w:ind w:left="240"/>
              <w:spacing w:after="0"/>
              <w:rPr>
                <w:sz w:val="20"/>
                <w:szCs w:val="20"/>
                <w:color w:val="auto"/>
              </w:rPr>
            </w:pPr>
            <w:r>
              <w:rPr>
                <w:rFonts w:ascii="Arial" w:cs="Arial" w:eastAsia="Arial" w:hAnsi="Arial"/>
                <w:sz w:val="18"/>
                <w:szCs w:val="18"/>
                <w:b w:val="1"/>
                <w:bCs w:val="1"/>
                <w:color w:val="auto"/>
              </w:rPr>
              <w:t>4.</w:t>
            </w:r>
          </w:p>
        </w:tc>
        <w:tc>
          <w:tcPr>
            <w:tcW w:w="160" w:type="dxa"/>
            <w:vAlign w:val="bottom"/>
            <w:tcBorders>
              <w:right w:val="single" w:sz="8" w:color="auto"/>
            </w:tcBorders>
          </w:tcPr>
          <w:p>
            <w:pPr>
              <w:spacing w:after="0"/>
              <w:rPr>
                <w:sz w:val="20"/>
                <w:szCs w:val="20"/>
                <w:color w:val="auto"/>
              </w:rPr>
            </w:pPr>
          </w:p>
        </w:tc>
        <w:tc>
          <w:tcPr>
            <w:tcW w:w="1900" w:type="dxa"/>
            <w:vAlign w:val="bottom"/>
            <w:gridSpan w:val="3"/>
          </w:tcPr>
          <w:p>
            <w:pPr>
              <w:ind w:left="20"/>
              <w:spacing w:after="0"/>
              <w:rPr>
                <w:sz w:val="20"/>
                <w:szCs w:val="20"/>
                <w:color w:val="auto"/>
              </w:rPr>
            </w:pPr>
            <w:r>
              <w:rPr>
                <w:rFonts w:ascii="Arial" w:cs="Arial" w:eastAsia="Arial" w:hAnsi="Arial"/>
                <w:sz w:val="18"/>
                <w:szCs w:val="18"/>
                <w:color w:val="auto"/>
              </w:rPr>
              <w:t>SOURCE OF FUNDS</w:t>
            </w:r>
          </w:p>
        </w:tc>
        <w:tc>
          <w:tcPr>
            <w:tcW w:w="228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4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w w:val="96"/>
              </w:rPr>
              <w:t>OO (</w:t>
            </w:r>
            <w:r>
              <w:rPr>
                <w:rFonts w:ascii="Arial" w:cs="Arial" w:eastAsia="Arial" w:hAnsi="Arial"/>
                <w:sz w:val="18"/>
                <w:szCs w:val="18"/>
                <w:i w:val="1"/>
                <w:iCs w:val="1"/>
                <w:color w:val="auto"/>
                <w:w w:val="96"/>
              </w:rPr>
              <w:t>See Item 3</w:t>
            </w:r>
            <w:r>
              <w:rPr>
                <w:rFonts w:ascii="Arial" w:cs="Arial" w:eastAsia="Arial" w:hAnsi="Arial"/>
                <w:sz w:val="18"/>
                <w:szCs w:val="18"/>
                <w:color w:val="auto"/>
                <w:w w:val="96"/>
              </w:rPr>
              <w:t>)</w:t>
            </w:r>
          </w:p>
        </w:tc>
        <w:tc>
          <w:tcPr>
            <w:tcW w:w="5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7040" w:type="dxa"/>
            <w:vAlign w:val="bottom"/>
            <w:tcBorders>
              <w:bottom w:val="single" w:sz="8" w:color="auto"/>
            </w:tcBorders>
            <w:gridSpan w:val="2"/>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4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5.</w:t>
            </w:r>
          </w:p>
        </w:tc>
        <w:tc>
          <w:tcPr>
            <w:tcW w:w="160" w:type="dxa"/>
            <w:vAlign w:val="bottom"/>
            <w:tcBorders>
              <w:bottom w:val="single" w:sz="8" w:color="auto"/>
              <w:right w:val="single" w:sz="8" w:color="auto"/>
            </w:tcBorders>
          </w:tcPr>
          <w:p>
            <w:pPr>
              <w:spacing w:after="0"/>
              <w:rPr>
                <w:sz w:val="22"/>
                <w:szCs w:val="22"/>
                <w:color w:val="auto"/>
              </w:rPr>
            </w:pPr>
          </w:p>
        </w:tc>
        <w:tc>
          <w:tcPr>
            <w:tcW w:w="8940" w:type="dxa"/>
            <w:vAlign w:val="bottom"/>
            <w:tcBorders>
              <w:bottom w:val="single" w:sz="8" w:color="auto"/>
            </w:tcBorders>
            <w:gridSpan w:val="5"/>
          </w:tcPr>
          <w:p>
            <w:pPr>
              <w:ind w:left="20"/>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17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4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6.</w:t>
            </w:r>
          </w:p>
        </w:tc>
        <w:tc>
          <w:tcPr>
            <w:tcW w:w="160" w:type="dxa"/>
            <w:vAlign w:val="bottom"/>
            <w:tcBorders>
              <w:right w:val="single" w:sz="8" w:color="auto"/>
            </w:tcBorders>
          </w:tcPr>
          <w:p>
            <w:pPr>
              <w:spacing w:after="0"/>
              <w:rPr>
                <w:sz w:val="20"/>
                <w:szCs w:val="20"/>
                <w:color w:val="auto"/>
              </w:rPr>
            </w:pPr>
          </w:p>
        </w:tc>
        <w:tc>
          <w:tcPr>
            <w:tcW w:w="4180" w:type="dxa"/>
            <w:vAlign w:val="bottom"/>
            <w:gridSpan w:val="4"/>
          </w:tcPr>
          <w:p>
            <w:pPr>
              <w:ind w:left="20"/>
              <w:spacing w:after="0"/>
              <w:rPr>
                <w:sz w:val="20"/>
                <w:szCs w:val="20"/>
                <w:color w:val="auto"/>
              </w:rPr>
            </w:pPr>
            <w:r>
              <w:rPr>
                <w:rFonts w:ascii="Arial" w:cs="Arial" w:eastAsia="Arial" w:hAnsi="Arial"/>
                <w:sz w:val="18"/>
                <w:szCs w:val="18"/>
                <w:color w:val="auto"/>
              </w:rPr>
              <w:t>CITIZENSHIP OR PLACE OF ORGANIZATION</w:t>
            </w:r>
          </w:p>
        </w:tc>
        <w:tc>
          <w:tcPr>
            <w:tcW w:w="4760" w:type="dxa"/>
            <w:vAlign w:val="bottom"/>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 w:type="dxa"/>
            <w:vAlign w:val="bottom"/>
            <w:vMerge w:val="continue"/>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8"/>
                <w:szCs w:val="18"/>
                <w:color w:val="auto"/>
              </w:rPr>
              <w:t>Pennsylvania</w:t>
            </w:r>
          </w:p>
        </w:tc>
        <w:tc>
          <w:tcPr>
            <w:tcW w:w="5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5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00" w:type="dxa"/>
            <w:vAlign w:val="bottom"/>
            <w:tcBorders>
              <w:bottom w:val="single" w:sz="8" w:color="auto"/>
              <w:right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72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NUMBER OF</w:t>
            </w:r>
          </w:p>
        </w:tc>
        <w:tc>
          <w:tcPr>
            <w:tcW w:w="200" w:type="dxa"/>
            <w:vAlign w:val="bottom"/>
          </w:tcPr>
          <w:p>
            <w:pPr>
              <w:spacing w:after="0"/>
              <w:rPr>
                <w:sz w:val="19"/>
                <w:szCs w:val="19"/>
                <w:color w:val="auto"/>
              </w:rPr>
            </w:pPr>
          </w:p>
        </w:tc>
        <w:tc>
          <w:tcPr>
            <w:tcW w:w="58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2"/>
              </w:rPr>
              <w:t>7.</w:t>
            </w:r>
          </w:p>
        </w:tc>
        <w:tc>
          <w:tcPr>
            <w:tcW w:w="2280" w:type="dxa"/>
            <w:vAlign w:val="bottom"/>
          </w:tcPr>
          <w:p>
            <w:pPr>
              <w:ind w:left="20"/>
              <w:spacing w:after="0"/>
              <w:rPr>
                <w:sz w:val="20"/>
                <w:szCs w:val="20"/>
                <w:color w:val="auto"/>
              </w:rPr>
            </w:pPr>
            <w:r>
              <w:rPr>
                <w:rFonts w:ascii="Arial" w:cs="Arial" w:eastAsia="Arial" w:hAnsi="Arial"/>
                <w:sz w:val="18"/>
                <w:szCs w:val="18"/>
                <w:color w:val="auto"/>
              </w:rPr>
              <w:t>SOLE VOTING POWER  0</w:t>
            </w:r>
          </w:p>
        </w:tc>
        <w:tc>
          <w:tcPr>
            <w:tcW w:w="47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440" w:type="dxa"/>
            <w:vAlign w:val="bottom"/>
          </w:tcPr>
          <w:p>
            <w:pPr>
              <w:spacing w:after="0"/>
              <w:rPr>
                <w:sz w:val="8"/>
                <w:szCs w:val="8"/>
                <w:color w:val="auto"/>
              </w:rPr>
            </w:pPr>
          </w:p>
        </w:tc>
        <w:tc>
          <w:tcPr>
            <w:tcW w:w="1280" w:type="dxa"/>
            <w:vAlign w:val="bottom"/>
            <w:tcBorders>
              <w:right w:val="single" w:sz="8" w:color="auto"/>
            </w:tcBorders>
            <w:gridSpan w:val="2"/>
            <w:vMerge w:val="restart"/>
          </w:tcPr>
          <w:p>
            <w:pPr>
              <w:jc w:val="center"/>
              <w:ind w:right="350"/>
              <w:spacing w:after="0"/>
              <w:rPr>
                <w:sz w:val="20"/>
                <w:szCs w:val="20"/>
                <w:color w:val="auto"/>
              </w:rPr>
            </w:pPr>
            <w:r>
              <w:rPr>
                <w:rFonts w:ascii="Arial" w:cs="Arial" w:eastAsia="Arial" w:hAnsi="Arial"/>
                <w:sz w:val="18"/>
                <w:szCs w:val="18"/>
                <w:color w:val="auto"/>
                <w:w w:val="91"/>
              </w:rPr>
              <w:t>SHARES</w:t>
            </w:r>
          </w:p>
        </w:tc>
        <w:tc>
          <w:tcPr>
            <w:tcW w:w="200" w:type="dxa"/>
            <w:vAlign w:val="bottom"/>
            <w:tcBorders>
              <w:bottom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476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440" w:type="dxa"/>
            <w:vAlign w:val="bottom"/>
          </w:tcPr>
          <w:p>
            <w:pPr>
              <w:spacing w:after="0"/>
              <w:rPr>
                <w:sz w:val="8"/>
                <w:szCs w:val="8"/>
                <w:color w:val="auto"/>
              </w:rPr>
            </w:pPr>
          </w:p>
        </w:tc>
        <w:tc>
          <w:tcPr>
            <w:tcW w:w="1280" w:type="dxa"/>
            <w:vAlign w:val="bottom"/>
            <w:tcBorders>
              <w:right w:val="single" w:sz="8" w:color="auto"/>
            </w:tcBorders>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Borders>
              <w:right w:val="single" w:sz="8" w:color="auto"/>
            </w:tcBorders>
            <w:vMerge w:val="restart"/>
          </w:tcPr>
          <w:p>
            <w:pPr>
              <w:jc w:val="center"/>
              <w:ind w:right="150"/>
              <w:spacing w:after="0"/>
              <w:rPr>
                <w:sz w:val="20"/>
                <w:szCs w:val="20"/>
                <w:color w:val="auto"/>
              </w:rPr>
            </w:pPr>
            <w:r>
              <w:rPr>
                <w:rFonts w:ascii="Arial" w:cs="Arial" w:eastAsia="Arial" w:hAnsi="Arial"/>
                <w:sz w:val="18"/>
                <w:szCs w:val="18"/>
                <w:b w:val="1"/>
                <w:bCs w:val="1"/>
                <w:color w:val="auto"/>
                <w:w w:val="92"/>
              </w:rPr>
              <w:t>8.</w:t>
            </w:r>
          </w:p>
        </w:tc>
        <w:tc>
          <w:tcPr>
            <w:tcW w:w="228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4760" w:type="dxa"/>
            <w:vAlign w:val="bottom"/>
            <w:vMerge w:val="restart"/>
          </w:tcPr>
          <w:p>
            <w:pPr>
              <w:jc w:val="right"/>
              <w:ind w:right="2930"/>
              <w:spacing w:after="0"/>
              <w:rPr>
                <w:sz w:val="20"/>
                <w:szCs w:val="20"/>
                <w:color w:val="auto"/>
              </w:rPr>
            </w:pPr>
            <w:r>
              <w:rPr>
                <w:rFonts w:ascii="Arial" w:cs="Arial" w:eastAsia="Arial" w:hAnsi="Arial"/>
                <w:sz w:val="18"/>
                <w:szCs w:val="18"/>
                <w:color w:val="auto"/>
                <w:w w:val="88"/>
              </w:rPr>
              <w:t>30,880,000 (</w:t>
            </w:r>
            <w:r>
              <w:rPr>
                <w:rFonts w:ascii="Arial" w:cs="Arial" w:eastAsia="Arial" w:hAnsi="Arial"/>
                <w:sz w:val="18"/>
                <w:szCs w:val="18"/>
                <w:i w:val="1"/>
                <w:iCs w:val="1"/>
                <w:color w:val="auto"/>
                <w:w w:val="88"/>
              </w:rPr>
              <w:t>See Item 5</w:t>
            </w:r>
            <w:r>
              <w:rPr>
                <w:rFonts w:ascii="Arial" w:cs="Arial" w:eastAsia="Arial" w:hAnsi="Arial"/>
                <w:sz w:val="18"/>
                <w:szCs w:val="18"/>
                <w:color w:val="auto"/>
                <w:w w:val="88"/>
              </w:rPr>
              <w:t>)</w:t>
            </w: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1720" w:type="dxa"/>
            <w:vAlign w:val="bottom"/>
            <w:tcBorders>
              <w:right w:val="single" w:sz="8" w:color="auto"/>
            </w:tcBorders>
            <w:gridSpan w:val="3"/>
            <w:vMerge w:val="restart"/>
          </w:tcPr>
          <w:p>
            <w:pPr>
              <w:ind w:left="220"/>
              <w:spacing w:after="0"/>
              <w:rPr>
                <w:sz w:val="20"/>
                <w:szCs w:val="20"/>
                <w:color w:val="auto"/>
              </w:rPr>
            </w:pPr>
            <w:r>
              <w:rPr>
                <w:rFonts w:ascii="Arial" w:cs="Arial" w:eastAsia="Arial" w:hAnsi="Arial"/>
                <w:sz w:val="18"/>
                <w:szCs w:val="18"/>
                <w:color w:val="auto"/>
              </w:rPr>
              <w:t>BENEFICIALLY</w:t>
            </w:r>
          </w:p>
        </w:tc>
        <w:tc>
          <w:tcPr>
            <w:tcW w:w="200" w:type="dxa"/>
            <w:vAlign w:val="bottom"/>
          </w:tcPr>
          <w:p>
            <w:pPr>
              <w:spacing w:after="0"/>
              <w:rPr>
                <w:sz w:val="14"/>
                <w:szCs w:val="14"/>
                <w:color w:val="auto"/>
              </w:rPr>
            </w:pPr>
          </w:p>
        </w:tc>
        <w:tc>
          <w:tcPr>
            <w:tcW w:w="580" w:type="dxa"/>
            <w:vAlign w:val="bottom"/>
            <w:tcBorders>
              <w:right w:val="single" w:sz="8" w:color="auto"/>
            </w:tcBorders>
            <w:vMerge w:val="continue"/>
          </w:tcPr>
          <w:p>
            <w:pPr>
              <w:spacing w:after="0"/>
              <w:rPr>
                <w:sz w:val="14"/>
                <w:szCs w:val="14"/>
                <w:color w:val="auto"/>
              </w:rPr>
            </w:pPr>
          </w:p>
        </w:tc>
        <w:tc>
          <w:tcPr>
            <w:tcW w:w="2280" w:type="dxa"/>
            <w:vAlign w:val="bottom"/>
            <w:vMerge w:val="continue"/>
          </w:tcPr>
          <w:p>
            <w:pPr>
              <w:spacing w:after="0"/>
              <w:rPr>
                <w:sz w:val="14"/>
                <w:szCs w:val="14"/>
                <w:color w:val="auto"/>
              </w:rPr>
            </w:pPr>
          </w:p>
        </w:tc>
        <w:tc>
          <w:tcPr>
            <w:tcW w:w="4760" w:type="dxa"/>
            <w:vAlign w:val="bottom"/>
            <w:vMerge w:val="continue"/>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720" w:type="dxa"/>
            <w:vAlign w:val="bottom"/>
            <w:tcBorders>
              <w:right w:val="single" w:sz="8" w:color="auto"/>
            </w:tcBorders>
            <w:gridSpan w:val="3"/>
            <w:vMerge w:val="continue"/>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476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172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7"/>
              </w:rPr>
              <w:t>OWNED BY EACH</w:t>
            </w:r>
          </w:p>
        </w:tc>
        <w:tc>
          <w:tcPr>
            <w:tcW w:w="200" w:type="dxa"/>
            <w:vAlign w:val="bottom"/>
          </w:tcPr>
          <w:p>
            <w:pPr>
              <w:spacing w:after="0"/>
              <w:rPr>
                <w:sz w:val="18"/>
                <w:szCs w:val="18"/>
                <w:color w:val="auto"/>
              </w:rPr>
            </w:pPr>
          </w:p>
        </w:tc>
        <w:tc>
          <w:tcPr>
            <w:tcW w:w="58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2"/>
              </w:rPr>
              <w:t>9.</w:t>
            </w:r>
          </w:p>
        </w:tc>
        <w:tc>
          <w:tcPr>
            <w:tcW w:w="2280" w:type="dxa"/>
            <w:vAlign w:val="bottom"/>
          </w:tcPr>
          <w:p>
            <w:pPr>
              <w:ind w:left="20"/>
              <w:spacing w:after="0"/>
              <w:rPr>
                <w:sz w:val="20"/>
                <w:szCs w:val="20"/>
                <w:color w:val="auto"/>
              </w:rPr>
            </w:pPr>
            <w:r>
              <w:rPr>
                <w:rFonts w:ascii="Arial" w:cs="Arial" w:eastAsia="Arial" w:hAnsi="Arial"/>
                <w:sz w:val="18"/>
                <w:szCs w:val="18"/>
                <w:color w:val="auto"/>
                <w:w w:val="93"/>
              </w:rPr>
              <w:t>SOLE DISPOSITIVE POWER</w:t>
            </w:r>
          </w:p>
        </w:tc>
        <w:tc>
          <w:tcPr>
            <w:tcW w:w="4760" w:type="dxa"/>
            <w:vAlign w:val="bottom"/>
          </w:tcPr>
          <w:p>
            <w:pPr>
              <w:jc w:val="right"/>
              <w:ind w:right="4410"/>
              <w:spacing w:after="0"/>
              <w:rPr>
                <w:sz w:val="20"/>
                <w:szCs w:val="20"/>
                <w:color w:val="auto"/>
              </w:rPr>
            </w:pPr>
            <w:r>
              <w:rPr>
                <w:rFonts w:ascii="Arial" w:cs="Arial" w:eastAsia="Arial" w:hAnsi="Arial"/>
                <w:sz w:val="18"/>
                <w:szCs w:val="18"/>
                <w:color w:val="auto"/>
              </w:rPr>
              <w:t>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720" w:type="dxa"/>
            <w:vAlign w:val="bottom"/>
            <w:tcBorders>
              <w:right w:val="single" w:sz="8" w:color="auto"/>
            </w:tcBorders>
            <w:gridSpan w:val="3"/>
            <w:vMerge w:val="restart"/>
          </w:tcPr>
          <w:p>
            <w:pPr>
              <w:jc w:val="center"/>
              <w:spacing w:after="0" w:line="201" w:lineRule="exact"/>
              <w:rPr>
                <w:sz w:val="20"/>
                <w:szCs w:val="20"/>
                <w:color w:val="auto"/>
              </w:rPr>
            </w:pPr>
            <w:r>
              <w:rPr>
                <w:rFonts w:ascii="Arial" w:cs="Arial" w:eastAsia="Arial" w:hAnsi="Arial"/>
                <w:sz w:val="18"/>
                <w:szCs w:val="18"/>
                <w:color w:val="auto"/>
                <w:w w:val="93"/>
              </w:rPr>
              <w:t>REPORTING</w:t>
            </w:r>
          </w:p>
        </w:tc>
        <w:tc>
          <w:tcPr>
            <w:tcW w:w="200" w:type="dxa"/>
            <w:vAlign w:val="bottom"/>
            <w:tcBorders>
              <w:bottom w:val="single" w:sz="8" w:color="auto"/>
            </w:tcBorders>
          </w:tcPr>
          <w:p>
            <w:pPr>
              <w:spacing w:after="0"/>
              <w:rPr>
                <w:sz w:val="9"/>
                <w:szCs w:val="9"/>
                <w:color w:val="auto"/>
              </w:rPr>
            </w:pPr>
          </w:p>
        </w:tc>
        <w:tc>
          <w:tcPr>
            <w:tcW w:w="580" w:type="dxa"/>
            <w:vAlign w:val="bottom"/>
            <w:tcBorders>
              <w:bottom w:val="single" w:sz="8" w:color="auto"/>
              <w:right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476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1720" w:type="dxa"/>
            <w:vAlign w:val="bottom"/>
            <w:tcBorders>
              <w:right w:val="single" w:sz="8" w:color="auto"/>
            </w:tcBorders>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Borders>
              <w:right w:val="single" w:sz="8" w:color="auto"/>
            </w:tcBorders>
            <w:vMerge w:val="restart"/>
          </w:tcPr>
          <w:p>
            <w:pPr>
              <w:jc w:val="center"/>
              <w:ind w:right="150"/>
              <w:spacing w:after="0"/>
              <w:rPr>
                <w:sz w:val="20"/>
                <w:szCs w:val="20"/>
                <w:color w:val="auto"/>
              </w:rPr>
            </w:pPr>
            <w:r>
              <w:rPr>
                <w:rFonts w:ascii="Arial" w:cs="Arial" w:eastAsia="Arial" w:hAnsi="Arial"/>
                <w:sz w:val="18"/>
                <w:szCs w:val="18"/>
                <w:b w:val="1"/>
                <w:bCs w:val="1"/>
                <w:color w:val="auto"/>
                <w:w w:val="87"/>
              </w:rPr>
              <w:t>10.</w:t>
            </w:r>
          </w:p>
        </w:tc>
        <w:tc>
          <w:tcPr>
            <w:tcW w:w="7040" w:type="dxa"/>
            <w:vAlign w:val="bottom"/>
            <w:gridSpan w:val="2"/>
            <w:vMerge w:val="restart"/>
          </w:tcPr>
          <w:p>
            <w:pPr>
              <w:ind w:left="20"/>
              <w:spacing w:after="0"/>
              <w:rPr>
                <w:sz w:val="20"/>
                <w:szCs w:val="20"/>
                <w:color w:val="auto"/>
              </w:rPr>
            </w:pPr>
            <w:r>
              <w:rPr>
                <w:rFonts w:ascii="Arial" w:cs="Arial" w:eastAsia="Arial" w:hAnsi="Arial"/>
                <w:sz w:val="18"/>
                <w:szCs w:val="18"/>
                <w:color w:val="auto"/>
              </w:rPr>
              <w:t>SHARED DISPOSITIVE POWER  30,880,000 (</w:t>
            </w:r>
            <w:r>
              <w:rPr>
                <w:rFonts w:ascii="Arial" w:cs="Arial" w:eastAsia="Arial" w:hAnsi="Arial"/>
                <w:sz w:val="18"/>
                <w:szCs w:val="18"/>
                <w:i w:val="1"/>
                <w:iCs w:val="1"/>
                <w:color w:val="auto"/>
              </w:rPr>
              <w:t>See Item 5</w:t>
            </w:r>
            <w:r>
              <w:rPr>
                <w:rFonts w:ascii="Arial" w:cs="Arial" w:eastAsia="Arial" w:hAnsi="Arial"/>
                <w:sz w:val="18"/>
                <w:szCs w:val="18"/>
                <w:color w:val="auto"/>
              </w:rPr>
              <w:t>)</w:t>
            </w:r>
          </w:p>
        </w:tc>
        <w:tc>
          <w:tcPr>
            <w:tcW w:w="1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72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4"/>
              </w:rPr>
              <w:t>PERSON WITH</w:t>
            </w:r>
          </w:p>
        </w:tc>
        <w:tc>
          <w:tcPr>
            <w:tcW w:w="200" w:type="dxa"/>
            <w:vAlign w:val="bottom"/>
          </w:tcPr>
          <w:p>
            <w:pPr>
              <w:spacing w:after="0"/>
              <w:rPr>
                <w:sz w:val="20"/>
                <w:szCs w:val="20"/>
                <w:color w:val="auto"/>
              </w:rPr>
            </w:pPr>
          </w:p>
        </w:tc>
        <w:tc>
          <w:tcPr>
            <w:tcW w:w="580" w:type="dxa"/>
            <w:vAlign w:val="bottom"/>
            <w:tcBorders>
              <w:right w:val="single" w:sz="8" w:color="auto"/>
            </w:tcBorders>
            <w:vMerge w:val="continue"/>
          </w:tcPr>
          <w:p>
            <w:pPr>
              <w:spacing w:after="0"/>
              <w:rPr>
                <w:sz w:val="20"/>
                <w:szCs w:val="20"/>
                <w:color w:val="auto"/>
              </w:rPr>
            </w:pPr>
          </w:p>
        </w:tc>
        <w:tc>
          <w:tcPr>
            <w:tcW w:w="7040" w:type="dxa"/>
            <w:vAlign w:val="bottom"/>
            <w:gridSpan w:val="2"/>
            <w:vMerge w:val="continue"/>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620" w:right="4100" w:hanging="429"/>
        <w:spacing w:after="0" w:line="412" w:lineRule="auto"/>
        <w:tabs>
          <w:tab w:leader="none" w:pos="62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 30,880,000 (</w:t>
      </w:r>
      <w:r>
        <w:rPr>
          <w:rFonts w:ascii="Arial" w:cs="Arial" w:eastAsia="Arial" w:hAnsi="Arial"/>
          <w:sz w:val="18"/>
          <w:szCs w:val="18"/>
          <w:i w:val="1"/>
          <w:iCs w:val="1"/>
          <w:color w:val="auto"/>
        </w:rPr>
        <w:t>See Item 5</w:t>
      </w:r>
      <w:r>
        <w:rPr>
          <w:rFonts w:ascii="Arial" w:cs="Arial" w:eastAsia="Arial" w:hAnsi="Arial"/>
          <w:sz w:val="18"/>
          <w:szCs w:val="18"/>
          <w:color w:val="auto"/>
        </w:rPr>
        <w:t>)</w:t>
      </w:r>
    </w:p>
    <w:p>
      <w:pPr>
        <w:spacing w:after="0" w:line="4" w:lineRule="exact"/>
        <w:rPr>
          <w:rFonts w:ascii="Arial" w:cs="Arial" w:eastAsia="Arial" w:hAnsi="Arial"/>
          <w:sz w:val="18"/>
          <w:szCs w:val="18"/>
          <w:b w:val="1"/>
          <w:bCs w:val="1"/>
          <w:color w:val="auto"/>
        </w:rPr>
      </w:pPr>
    </w:p>
    <w:p>
      <w:pPr>
        <w:ind w:left="620" w:right="5120" w:hanging="434"/>
        <w:spacing w:after="0" w:line="255" w:lineRule="auto"/>
        <w:tabs>
          <w:tab w:leader="none" w:pos="62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(9) EXCLUDES CERTAIN SHARES</w:t>
      </w:r>
    </w:p>
    <w:p>
      <w:pPr>
        <w:spacing w:after="0" w:line="2" w:lineRule="exact"/>
        <w:rPr>
          <w:sz w:val="20"/>
          <w:szCs w:val="20"/>
          <w:color w:val="auto"/>
        </w:rPr>
      </w:pPr>
    </w:p>
    <w:p>
      <w:pPr>
        <w:ind w:left="10860"/>
        <w:spacing w:after="0" w:line="181" w:lineRule="exact"/>
        <w:rPr>
          <w:sz w:val="20"/>
          <w:szCs w:val="20"/>
          <w:color w:val="auto"/>
        </w:rPr>
      </w:pPr>
      <w:r>
        <w:rPr>
          <w:rFonts w:ascii="MS PGothic" w:cs="MS PGothic" w:eastAsia="MS PGothic" w:hAnsi="MS PGothic"/>
          <w:sz w:val="18"/>
          <w:szCs w:val="18"/>
          <w:color w:val="auto"/>
        </w:rPr>
        <w:t>☐</w:t>
      </w:r>
    </w:p>
    <w:p>
      <w:pPr>
        <w:spacing w:after="0" w:line="94" w:lineRule="exact"/>
        <w:rPr>
          <w:sz w:val="20"/>
          <w:szCs w:val="20"/>
          <w:color w:val="auto"/>
        </w:rPr>
      </w:pPr>
    </w:p>
    <w:p>
      <w:pPr>
        <w:ind w:left="620" w:hanging="434"/>
        <w:spacing w:after="0"/>
        <w:tabs>
          <w:tab w:leader="none" w:pos="620" w:val="left"/>
        </w:tabs>
        <w:numPr>
          <w:ilvl w:val="1"/>
          <w:numId w:val="3"/>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25" w:lineRule="exact"/>
        <w:rPr>
          <w:rFonts w:ascii="Arial" w:cs="Arial" w:eastAsia="Arial" w:hAnsi="Arial"/>
          <w:sz w:val="18"/>
          <w:szCs w:val="18"/>
          <w:b w:val="1"/>
          <w:bCs w:val="1"/>
          <w:color w:val="auto"/>
        </w:rPr>
      </w:pPr>
    </w:p>
    <w:p>
      <w:pPr>
        <w:ind w:left="620"/>
        <w:spacing w:after="0"/>
        <w:rPr>
          <w:rFonts w:ascii="Arial" w:cs="Arial" w:eastAsia="Arial" w:hAnsi="Arial"/>
          <w:sz w:val="18"/>
          <w:szCs w:val="18"/>
          <w:b w:val="1"/>
          <w:bCs w:val="1"/>
          <w:color w:val="auto"/>
        </w:rPr>
      </w:pPr>
      <w:r>
        <w:rPr>
          <w:rFonts w:ascii="Arial" w:cs="Arial" w:eastAsia="Arial" w:hAnsi="Arial"/>
          <w:sz w:val="18"/>
          <w:szCs w:val="18"/>
          <w:color w:val="auto"/>
        </w:rPr>
        <w:t>27.9%* (</w:t>
      </w:r>
      <w:r>
        <w:rPr>
          <w:rFonts w:ascii="Arial" w:cs="Arial" w:eastAsia="Arial" w:hAnsi="Arial"/>
          <w:sz w:val="18"/>
          <w:szCs w:val="18"/>
          <w:i w:val="1"/>
          <w:iCs w:val="1"/>
          <w:color w:val="auto"/>
        </w:rPr>
        <w:t>See Item 5</w:t>
      </w:r>
      <w:r>
        <w:rPr>
          <w:rFonts w:ascii="Arial" w:cs="Arial" w:eastAsia="Arial" w:hAnsi="Arial"/>
          <w:sz w:val="18"/>
          <w:szCs w:val="18"/>
          <w:color w:val="auto"/>
        </w:rPr>
        <w:t>)</w:t>
      </w:r>
    </w:p>
    <w:p>
      <w:pPr>
        <w:spacing w:after="0" w:line="76" w:lineRule="exact"/>
        <w:rPr>
          <w:rFonts w:ascii="Arial" w:cs="Arial" w:eastAsia="Arial" w:hAnsi="Arial"/>
          <w:sz w:val="18"/>
          <w:szCs w:val="18"/>
          <w:b w:val="1"/>
          <w:bCs w:val="1"/>
          <w:color w:val="auto"/>
        </w:rPr>
      </w:pPr>
    </w:p>
    <w:p>
      <w:pPr>
        <w:ind w:left="620" w:right="8140" w:hanging="434"/>
        <w:spacing w:after="0" w:line="524" w:lineRule="auto"/>
        <w:tabs>
          <w:tab w:leader="none" w:pos="620" w:val="left"/>
        </w:tabs>
        <w:numPr>
          <w:ilvl w:val="1"/>
          <w:numId w:val="3"/>
        </w:numPr>
        <w:rPr>
          <w:rFonts w:ascii="Arial" w:cs="Arial" w:eastAsia="Arial" w:hAnsi="Arial"/>
          <w:sz w:val="18"/>
          <w:szCs w:val="18"/>
          <w:b w:val="1"/>
          <w:bCs w:val="1"/>
          <w:color w:val="auto"/>
        </w:rPr>
      </w:pPr>
      <w:r>
        <w:rPr>
          <w:rFonts w:ascii="Arial" w:cs="Arial" w:eastAsia="Arial" w:hAnsi="Arial"/>
          <w:sz w:val="18"/>
          <w:szCs w:val="18"/>
          <w:color w:val="auto"/>
        </w:rPr>
        <w:t>TYPE OF REPORTING PERSON CO</w:t>
      </w:r>
    </w:p>
    <w:p>
      <w:pPr>
        <w:jc w:val="both"/>
        <w:ind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 Based on 110,789,875 shares of Class A Common Stock of the Issuer that were outstanding following the mergers contemplated by that certain Agreement and Plan of Merger dated as of June 24, 2021, by and among 890 5th Avenue Partners, Inc., Bolt Merger Sub I, Inc., Bolt Merger Sub II, Inc., and BuzzFeed, Inc., as amended. However, the Reporting Persons’ 30,880,000 shares of Class A Common Stock represent less than 5% of the total voting power of all outstanding shares of the Issuer’s Class A Common Stock, Class B Common Stock and Class C Common Stock on a combined basis, as of December 3, 2021, based on information provided by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611" w:right="319" w:bottom="1440" w:gutter="0" w:footer="0" w:header="0"/>
        </w:sectPr>
      </w:pPr>
    </w:p>
    <w:bookmarkStart w:id="2" w:name="page3"/>
    <w:bookmarkEnd w:id="2"/>
    <w:p>
      <w:pPr>
        <w:ind w:left="40"/>
        <w:spacing w:after="0"/>
        <w:rPr>
          <w:sz w:val="20"/>
          <w:szCs w:val="20"/>
          <w:color w:val="auto"/>
        </w:rPr>
      </w:pPr>
      <w:r>
        <w:rPr>
          <w:rFonts w:ascii="Arial" w:cs="Arial" w:eastAsia="Arial" w:hAnsi="Arial"/>
          <w:sz w:val="18"/>
          <w:szCs w:val="18"/>
          <w:color w:val="auto"/>
        </w:rPr>
        <w:t>CUSIP No.  12430A102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49034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4903470"/>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40" w:type="dxa"/>
            <w:vAlign w:val="bottom"/>
            <w:tcBorders>
              <w:top w:val="single" w:sz="8" w:color="auto"/>
            </w:tcBorders>
          </w:tcPr>
          <w:p>
            <w:pPr>
              <w:ind w:left="240"/>
              <w:spacing w:after="0"/>
              <w:rPr>
                <w:sz w:val="20"/>
                <w:szCs w:val="20"/>
                <w:color w:val="auto"/>
              </w:rPr>
            </w:pPr>
            <w:r>
              <w:rPr>
                <w:rFonts w:ascii="Arial" w:cs="Arial" w:eastAsia="Arial" w:hAnsi="Arial"/>
                <w:sz w:val="18"/>
                <w:szCs w:val="18"/>
                <w:b w:val="1"/>
                <w:bCs w:val="1"/>
                <w:color w:val="auto"/>
              </w:rPr>
              <w:t>1.</w:t>
            </w:r>
          </w:p>
        </w:tc>
        <w:tc>
          <w:tcPr>
            <w:tcW w:w="160" w:type="dxa"/>
            <w:vAlign w:val="bottom"/>
            <w:tcBorders>
              <w:top w:val="single" w:sz="8" w:color="auto"/>
              <w:right w:val="single" w:sz="8" w:color="auto"/>
            </w:tcBorders>
          </w:tcPr>
          <w:p>
            <w:pPr>
              <w:spacing w:after="0"/>
              <w:rPr>
                <w:sz w:val="22"/>
                <w:szCs w:val="22"/>
                <w:color w:val="auto"/>
              </w:rPr>
            </w:pPr>
          </w:p>
        </w:tc>
        <w:tc>
          <w:tcPr>
            <w:tcW w:w="4180" w:type="dxa"/>
            <w:vAlign w:val="bottom"/>
            <w:tcBorders>
              <w:top w:val="single" w:sz="8" w:color="auto"/>
            </w:tcBorders>
            <w:gridSpan w:val="4"/>
          </w:tcPr>
          <w:p>
            <w:pPr>
              <w:ind w:left="20"/>
              <w:spacing w:after="0"/>
              <w:rPr>
                <w:sz w:val="20"/>
                <w:szCs w:val="20"/>
                <w:color w:val="auto"/>
              </w:rPr>
            </w:pPr>
            <w:r>
              <w:rPr>
                <w:rFonts w:ascii="Arial" w:cs="Arial" w:eastAsia="Arial" w:hAnsi="Arial"/>
                <w:sz w:val="18"/>
                <w:szCs w:val="18"/>
                <w:color w:val="auto"/>
              </w:rPr>
              <w:t>NAMES OF REPORTING PERSONS</w:t>
            </w:r>
          </w:p>
        </w:tc>
        <w:tc>
          <w:tcPr>
            <w:tcW w:w="4760" w:type="dxa"/>
            <w:vAlign w:val="bottom"/>
            <w:tcBorders>
              <w:top w:val="single" w:sz="8" w:color="auto"/>
            </w:tcBorders>
          </w:tcPr>
          <w:p>
            <w:pPr>
              <w:spacing w:after="0"/>
              <w:rPr>
                <w:sz w:val="22"/>
                <w:szCs w:val="22"/>
                <w:color w:val="auto"/>
              </w:rPr>
            </w:pPr>
          </w:p>
        </w:tc>
        <w:tc>
          <w:tcPr>
            <w:tcW w:w="17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648"/>
        </w:trPr>
        <w:tc>
          <w:tcPr>
            <w:tcW w:w="44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900" w:type="dxa"/>
            <w:vAlign w:val="bottom"/>
            <w:gridSpan w:val="3"/>
          </w:tcPr>
          <w:p>
            <w:pPr>
              <w:ind w:left="20"/>
              <w:spacing w:after="0"/>
              <w:rPr>
                <w:sz w:val="20"/>
                <w:szCs w:val="20"/>
                <w:color w:val="auto"/>
              </w:rPr>
            </w:pPr>
            <w:r>
              <w:rPr>
                <w:rFonts w:ascii="Arial" w:cs="Arial" w:eastAsia="Arial" w:hAnsi="Arial"/>
                <w:sz w:val="18"/>
                <w:szCs w:val="18"/>
                <w:color w:val="auto"/>
              </w:rPr>
              <w:t>NBCUniversal, LLC</w:t>
            </w:r>
          </w:p>
        </w:tc>
        <w:tc>
          <w:tcPr>
            <w:tcW w:w="22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7040" w:type="dxa"/>
            <w:vAlign w:val="bottom"/>
            <w:tcBorders>
              <w:bottom w:val="single" w:sz="8" w:color="auto"/>
            </w:tcBorders>
            <w:gridSpan w:val="2"/>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0" w:type="dxa"/>
            <w:vAlign w:val="bottom"/>
          </w:tcPr>
          <w:p>
            <w:pPr>
              <w:ind w:left="240"/>
              <w:spacing w:after="0"/>
              <w:rPr>
                <w:sz w:val="20"/>
                <w:szCs w:val="20"/>
                <w:color w:val="auto"/>
              </w:rPr>
            </w:pPr>
            <w:r>
              <w:rPr>
                <w:rFonts w:ascii="Arial" w:cs="Arial" w:eastAsia="Arial" w:hAnsi="Arial"/>
                <w:sz w:val="18"/>
                <w:szCs w:val="18"/>
                <w:b w:val="1"/>
                <w:bCs w:val="1"/>
                <w:color w:val="auto"/>
              </w:rPr>
              <w:t>2.</w:t>
            </w:r>
          </w:p>
        </w:tc>
        <w:tc>
          <w:tcPr>
            <w:tcW w:w="160" w:type="dxa"/>
            <w:vAlign w:val="bottom"/>
            <w:tcBorders>
              <w:right w:val="single" w:sz="8" w:color="auto"/>
            </w:tcBorders>
          </w:tcPr>
          <w:p>
            <w:pPr>
              <w:spacing w:after="0"/>
              <w:rPr>
                <w:sz w:val="21"/>
                <w:szCs w:val="21"/>
                <w:color w:val="auto"/>
              </w:rPr>
            </w:pPr>
          </w:p>
        </w:tc>
        <w:tc>
          <w:tcPr>
            <w:tcW w:w="8940" w:type="dxa"/>
            <w:vAlign w:val="bottom"/>
            <w:gridSpan w:val="5"/>
          </w:tcPr>
          <w:p>
            <w:pPr>
              <w:ind w:left="20"/>
              <w:spacing w:after="0"/>
              <w:rPr>
                <w:sz w:val="20"/>
                <w:szCs w:val="20"/>
                <w:color w:val="auto"/>
              </w:rPr>
            </w:pPr>
            <w:r>
              <w:rPr>
                <w:rFonts w:ascii="Arial" w:cs="Arial" w:eastAsia="Arial" w:hAnsi="Arial"/>
                <w:sz w:val="18"/>
                <w:szCs w:val="18"/>
                <w:color w:val="auto"/>
              </w:rPr>
              <w:t>CHECK THE APPROPRIATE BOX IF A MEMBER OF A GROUP</w:t>
            </w:r>
          </w:p>
        </w:tc>
        <w:tc>
          <w:tcPr>
            <w:tcW w:w="1720" w:type="dxa"/>
            <w:vAlign w:val="bottom"/>
            <w:tcBorders>
              <w:right w:val="single" w:sz="8" w:color="auto"/>
            </w:tcBorders>
          </w:tcPr>
          <w:p>
            <w:pPr>
              <w:ind w:left="5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6"/>
        </w:trPr>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ind w:left="5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0"/>
        </w:trPr>
        <w:tc>
          <w:tcPr>
            <w:tcW w:w="440" w:type="dxa"/>
            <w:vAlign w:val="bottom"/>
          </w:tcPr>
          <w:p>
            <w:pPr>
              <w:ind w:left="240"/>
              <w:spacing w:after="0"/>
              <w:rPr>
                <w:sz w:val="20"/>
                <w:szCs w:val="20"/>
                <w:color w:val="auto"/>
              </w:rPr>
            </w:pPr>
            <w:r>
              <w:rPr>
                <w:rFonts w:ascii="Arial" w:cs="Arial" w:eastAsia="Arial" w:hAnsi="Arial"/>
                <w:sz w:val="18"/>
                <w:szCs w:val="18"/>
                <w:b w:val="1"/>
                <w:bCs w:val="1"/>
                <w:color w:val="auto"/>
              </w:rPr>
              <w:t>3.</w:t>
            </w:r>
          </w:p>
        </w:tc>
        <w:tc>
          <w:tcPr>
            <w:tcW w:w="160" w:type="dxa"/>
            <w:vAlign w:val="bottom"/>
            <w:tcBorders>
              <w:right w:val="single" w:sz="8" w:color="auto"/>
            </w:tcBorders>
          </w:tcPr>
          <w:p>
            <w:pPr>
              <w:spacing w:after="0"/>
              <w:rPr>
                <w:sz w:val="20"/>
                <w:szCs w:val="20"/>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w w:val="96"/>
              </w:rPr>
              <w:t>SEC USE ONLY</w:t>
            </w:r>
          </w:p>
        </w:tc>
        <w:tc>
          <w:tcPr>
            <w:tcW w:w="5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0" w:type="dxa"/>
            <w:vAlign w:val="bottom"/>
          </w:tcPr>
          <w:p>
            <w:pPr>
              <w:ind w:left="240"/>
              <w:spacing w:after="0"/>
              <w:rPr>
                <w:sz w:val="20"/>
                <w:szCs w:val="20"/>
                <w:color w:val="auto"/>
              </w:rPr>
            </w:pPr>
            <w:r>
              <w:rPr>
                <w:rFonts w:ascii="Arial" w:cs="Arial" w:eastAsia="Arial" w:hAnsi="Arial"/>
                <w:sz w:val="18"/>
                <w:szCs w:val="18"/>
                <w:b w:val="1"/>
                <w:bCs w:val="1"/>
                <w:color w:val="auto"/>
              </w:rPr>
              <w:t>4.</w:t>
            </w:r>
          </w:p>
        </w:tc>
        <w:tc>
          <w:tcPr>
            <w:tcW w:w="160" w:type="dxa"/>
            <w:vAlign w:val="bottom"/>
            <w:tcBorders>
              <w:right w:val="single" w:sz="8" w:color="auto"/>
            </w:tcBorders>
          </w:tcPr>
          <w:p>
            <w:pPr>
              <w:spacing w:after="0"/>
              <w:rPr>
                <w:sz w:val="20"/>
                <w:szCs w:val="20"/>
                <w:color w:val="auto"/>
              </w:rPr>
            </w:pPr>
          </w:p>
        </w:tc>
        <w:tc>
          <w:tcPr>
            <w:tcW w:w="1900" w:type="dxa"/>
            <w:vAlign w:val="bottom"/>
            <w:gridSpan w:val="3"/>
          </w:tcPr>
          <w:p>
            <w:pPr>
              <w:ind w:left="20"/>
              <w:spacing w:after="0"/>
              <w:rPr>
                <w:sz w:val="20"/>
                <w:szCs w:val="20"/>
                <w:color w:val="auto"/>
              </w:rPr>
            </w:pPr>
            <w:r>
              <w:rPr>
                <w:rFonts w:ascii="Arial" w:cs="Arial" w:eastAsia="Arial" w:hAnsi="Arial"/>
                <w:sz w:val="18"/>
                <w:szCs w:val="18"/>
                <w:color w:val="auto"/>
              </w:rPr>
              <w:t>SOURCE OF FUNDS</w:t>
            </w:r>
          </w:p>
        </w:tc>
        <w:tc>
          <w:tcPr>
            <w:tcW w:w="228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4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w w:val="96"/>
              </w:rPr>
              <w:t>OO (</w:t>
            </w:r>
            <w:r>
              <w:rPr>
                <w:rFonts w:ascii="Arial" w:cs="Arial" w:eastAsia="Arial" w:hAnsi="Arial"/>
                <w:sz w:val="18"/>
                <w:szCs w:val="18"/>
                <w:i w:val="1"/>
                <w:iCs w:val="1"/>
                <w:color w:val="auto"/>
                <w:w w:val="96"/>
              </w:rPr>
              <w:t>See Item 3</w:t>
            </w:r>
            <w:r>
              <w:rPr>
                <w:rFonts w:ascii="Arial" w:cs="Arial" w:eastAsia="Arial" w:hAnsi="Arial"/>
                <w:sz w:val="18"/>
                <w:szCs w:val="18"/>
                <w:color w:val="auto"/>
                <w:w w:val="96"/>
              </w:rPr>
              <w:t>)</w:t>
            </w:r>
          </w:p>
        </w:tc>
        <w:tc>
          <w:tcPr>
            <w:tcW w:w="5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7040" w:type="dxa"/>
            <w:vAlign w:val="bottom"/>
            <w:tcBorders>
              <w:bottom w:val="single" w:sz="8" w:color="auto"/>
            </w:tcBorders>
            <w:gridSpan w:val="2"/>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4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5.</w:t>
            </w:r>
          </w:p>
        </w:tc>
        <w:tc>
          <w:tcPr>
            <w:tcW w:w="160" w:type="dxa"/>
            <w:vAlign w:val="bottom"/>
            <w:tcBorders>
              <w:bottom w:val="single" w:sz="8" w:color="auto"/>
              <w:right w:val="single" w:sz="8" w:color="auto"/>
            </w:tcBorders>
          </w:tcPr>
          <w:p>
            <w:pPr>
              <w:spacing w:after="0"/>
              <w:rPr>
                <w:sz w:val="22"/>
                <w:szCs w:val="22"/>
                <w:color w:val="auto"/>
              </w:rPr>
            </w:pPr>
          </w:p>
        </w:tc>
        <w:tc>
          <w:tcPr>
            <w:tcW w:w="8940" w:type="dxa"/>
            <w:vAlign w:val="bottom"/>
            <w:tcBorders>
              <w:bottom w:val="single" w:sz="8" w:color="auto"/>
            </w:tcBorders>
            <w:gridSpan w:val="5"/>
          </w:tcPr>
          <w:p>
            <w:pPr>
              <w:ind w:left="20"/>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17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4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6.</w:t>
            </w:r>
          </w:p>
        </w:tc>
        <w:tc>
          <w:tcPr>
            <w:tcW w:w="160" w:type="dxa"/>
            <w:vAlign w:val="bottom"/>
            <w:tcBorders>
              <w:right w:val="single" w:sz="8" w:color="auto"/>
            </w:tcBorders>
          </w:tcPr>
          <w:p>
            <w:pPr>
              <w:spacing w:after="0"/>
              <w:rPr>
                <w:sz w:val="20"/>
                <w:szCs w:val="20"/>
                <w:color w:val="auto"/>
              </w:rPr>
            </w:pPr>
          </w:p>
        </w:tc>
        <w:tc>
          <w:tcPr>
            <w:tcW w:w="4180" w:type="dxa"/>
            <w:vAlign w:val="bottom"/>
            <w:gridSpan w:val="4"/>
          </w:tcPr>
          <w:p>
            <w:pPr>
              <w:ind w:left="20"/>
              <w:spacing w:after="0"/>
              <w:rPr>
                <w:sz w:val="20"/>
                <w:szCs w:val="20"/>
                <w:color w:val="auto"/>
              </w:rPr>
            </w:pPr>
            <w:r>
              <w:rPr>
                <w:rFonts w:ascii="Arial" w:cs="Arial" w:eastAsia="Arial" w:hAnsi="Arial"/>
                <w:sz w:val="18"/>
                <w:szCs w:val="18"/>
                <w:color w:val="auto"/>
              </w:rPr>
              <w:t>CITIZENSHIP OR PLACE OF ORGANIZATION</w:t>
            </w:r>
          </w:p>
        </w:tc>
        <w:tc>
          <w:tcPr>
            <w:tcW w:w="4760" w:type="dxa"/>
            <w:vAlign w:val="bottom"/>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 w:type="dxa"/>
            <w:vAlign w:val="bottom"/>
            <w:vMerge w:val="continue"/>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8"/>
                <w:szCs w:val="18"/>
                <w:color w:val="auto"/>
              </w:rPr>
              <w:t>Delaware</w:t>
            </w:r>
          </w:p>
        </w:tc>
        <w:tc>
          <w:tcPr>
            <w:tcW w:w="5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5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00" w:type="dxa"/>
            <w:vAlign w:val="bottom"/>
            <w:tcBorders>
              <w:bottom w:val="single" w:sz="8" w:color="auto"/>
              <w:right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72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NUMBER OF</w:t>
            </w:r>
          </w:p>
        </w:tc>
        <w:tc>
          <w:tcPr>
            <w:tcW w:w="200" w:type="dxa"/>
            <w:vAlign w:val="bottom"/>
          </w:tcPr>
          <w:p>
            <w:pPr>
              <w:spacing w:after="0"/>
              <w:rPr>
                <w:sz w:val="19"/>
                <w:szCs w:val="19"/>
                <w:color w:val="auto"/>
              </w:rPr>
            </w:pPr>
          </w:p>
        </w:tc>
        <w:tc>
          <w:tcPr>
            <w:tcW w:w="58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2"/>
              </w:rPr>
              <w:t>7.</w:t>
            </w:r>
          </w:p>
        </w:tc>
        <w:tc>
          <w:tcPr>
            <w:tcW w:w="2280" w:type="dxa"/>
            <w:vAlign w:val="bottom"/>
          </w:tcPr>
          <w:p>
            <w:pPr>
              <w:ind w:left="20"/>
              <w:spacing w:after="0"/>
              <w:rPr>
                <w:sz w:val="20"/>
                <w:szCs w:val="20"/>
                <w:color w:val="auto"/>
              </w:rPr>
            </w:pPr>
            <w:r>
              <w:rPr>
                <w:rFonts w:ascii="Arial" w:cs="Arial" w:eastAsia="Arial" w:hAnsi="Arial"/>
                <w:sz w:val="18"/>
                <w:szCs w:val="18"/>
                <w:color w:val="auto"/>
              </w:rPr>
              <w:t>SOLE VOTING POWER  0</w:t>
            </w:r>
          </w:p>
        </w:tc>
        <w:tc>
          <w:tcPr>
            <w:tcW w:w="47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440" w:type="dxa"/>
            <w:vAlign w:val="bottom"/>
          </w:tcPr>
          <w:p>
            <w:pPr>
              <w:spacing w:after="0"/>
              <w:rPr>
                <w:sz w:val="8"/>
                <w:szCs w:val="8"/>
                <w:color w:val="auto"/>
              </w:rPr>
            </w:pPr>
          </w:p>
        </w:tc>
        <w:tc>
          <w:tcPr>
            <w:tcW w:w="1280" w:type="dxa"/>
            <w:vAlign w:val="bottom"/>
            <w:tcBorders>
              <w:right w:val="single" w:sz="8" w:color="auto"/>
            </w:tcBorders>
            <w:gridSpan w:val="2"/>
            <w:vMerge w:val="restart"/>
          </w:tcPr>
          <w:p>
            <w:pPr>
              <w:jc w:val="center"/>
              <w:ind w:right="350"/>
              <w:spacing w:after="0"/>
              <w:rPr>
                <w:sz w:val="20"/>
                <w:szCs w:val="20"/>
                <w:color w:val="auto"/>
              </w:rPr>
            </w:pPr>
            <w:r>
              <w:rPr>
                <w:rFonts w:ascii="Arial" w:cs="Arial" w:eastAsia="Arial" w:hAnsi="Arial"/>
                <w:sz w:val="18"/>
                <w:szCs w:val="18"/>
                <w:color w:val="auto"/>
                <w:w w:val="91"/>
              </w:rPr>
              <w:t>SHARES</w:t>
            </w:r>
          </w:p>
        </w:tc>
        <w:tc>
          <w:tcPr>
            <w:tcW w:w="200" w:type="dxa"/>
            <w:vAlign w:val="bottom"/>
            <w:tcBorders>
              <w:bottom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476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440" w:type="dxa"/>
            <w:vAlign w:val="bottom"/>
          </w:tcPr>
          <w:p>
            <w:pPr>
              <w:spacing w:after="0"/>
              <w:rPr>
                <w:sz w:val="8"/>
                <w:szCs w:val="8"/>
                <w:color w:val="auto"/>
              </w:rPr>
            </w:pPr>
          </w:p>
        </w:tc>
        <w:tc>
          <w:tcPr>
            <w:tcW w:w="1280" w:type="dxa"/>
            <w:vAlign w:val="bottom"/>
            <w:tcBorders>
              <w:right w:val="single" w:sz="8" w:color="auto"/>
            </w:tcBorders>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Borders>
              <w:right w:val="single" w:sz="8" w:color="auto"/>
            </w:tcBorders>
            <w:vMerge w:val="restart"/>
          </w:tcPr>
          <w:p>
            <w:pPr>
              <w:jc w:val="center"/>
              <w:ind w:right="150"/>
              <w:spacing w:after="0"/>
              <w:rPr>
                <w:sz w:val="20"/>
                <w:szCs w:val="20"/>
                <w:color w:val="auto"/>
              </w:rPr>
            </w:pPr>
            <w:r>
              <w:rPr>
                <w:rFonts w:ascii="Arial" w:cs="Arial" w:eastAsia="Arial" w:hAnsi="Arial"/>
                <w:sz w:val="18"/>
                <w:szCs w:val="18"/>
                <w:b w:val="1"/>
                <w:bCs w:val="1"/>
                <w:color w:val="auto"/>
                <w:w w:val="92"/>
              </w:rPr>
              <w:t>8.</w:t>
            </w:r>
          </w:p>
        </w:tc>
        <w:tc>
          <w:tcPr>
            <w:tcW w:w="228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4760" w:type="dxa"/>
            <w:vAlign w:val="bottom"/>
            <w:vMerge w:val="restart"/>
          </w:tcPr>
          <w:p>
            <w:pPr>
              <w:jc w:val="right"/>
              <w:ind w:right="2930"/>
              <w:spacing w:after="0"/>
              <w:rPr>
                <w:sz w:val="20"/>
                <w:szCs w:val="20"/>
                <w:color w:val="auto"/>
              </w:rPr>
            </w:pPr>
            <w:r>
              <w:rPr>
                <w:rFonts w:ascii="Arial" w:cs="Arial" w:eastAsia="Arial" w:hAnsi="Arial"/>
                <w:sz w:val="18"/>
                <w:szCs w:val="18"/>
                <w:color w:val="auto"/>
                <w:w w:val="88"/>
              </w:rPr>
              <w:t>30,880,000 (</w:t>
            </w:r>
            <w:r>
              <w:rPr>
                <w:rFonts w:ascii="Arial" w:cs="Arial" w:eastAsia="Arial" w:hAnsi="Arial"/>
                <w:sz w:val="18"/>
                <w:szCs w:val="18"/>
                <w:i w:val="1"/>
                <w:iCs w:val="1"/>
                <w:color w:val="auto"/>
                <w:w w:val="88"/>
              </w:rPr>
              <w:t>See Item 5</w:t>
            </w:r>
            <w:r>
              <w:rPr>
                <w:rFonts w:ascii="Arial" w:cs="Arial" w:eastAsia="Arial" w:hAnsi="Arial"/>
                <w:sz w:val="18"/>
                <w:szCs w:val="18"/>
                <w:color w:val="auto"/>
                <w:w w:val="88"/>
              </w:rPr>
              <w:t>)</w:t>
            </w: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1720" w:type="dxa"/>
            <w:vAlign w:val="bottom"/>
            <w:tcBorders>
              <w:right w:val="single" w:sz="8" w:color="auto"/>
            </w:tcBorders>
            <w:gridSpan w:val="3"/>
            <w:vMerge w:val="restart"/>
          </w:tcPr>
          <w:p>
            <w:pPr>
              <w:ind w:left="220"/>
              <w:spacing w:after="0"/>
              <w:rPr>
                <w:sz w:val="20"/>
                <w:szCs w:val="20"/>
                <w:color w:val="auto"/>
              </w:rPr>
            </w:pPr>
            <w:r>
              <w:rPr>
                <w:rFonts w:ascii="Arial" w:cs="Arial" w:eastAsia="Arial" w:hAnsi="Arial"/>
                <w:sz w:val="18"/>
                <w:szCs w:val="18"/>
                <w:color w:val="auto"/>
              </w:rPr>
              <w:t>BENEFICIALLY</w:t>
            </w:r>
          </w:p>
        </w:tc>
        <w:tc>
          <w:tcPr>
            <w:tcW w:w="200" w:type="dxa"/>
            <w:vAlign w:val="bottom"/>
          </w:tcPr>
          <w:p>
            <w:pPr>
              <w:spacing w:after="0"/>
              <w:rPr>
                <w:sz w:val="14"/>
                <w:szCs w:val="14"/>
                <w:color w:val="auto"/>
              </w:rPr>
            </w:pPr>
          </w:p>
        </w:tc>
        <w:tc>
          <w:tcPr>
            <w:tcW w:w="580" w:type="dxa"/>
            <w:vAlign w:val="bottom"/>
            <w:tcBorders>
              <w:right w:val="single" w:sz="8" w:color="auto"/>
            </w:tcBorders>
            <w:vMerge w:val="continue"/>
          </w:tcPr>
          <w:p>
            <w:pPr>
              <w:spacing w:after="0"/>
              <w:rPr>
                <w:sz w:val="14"/>
                <w:szCs w:val="14"/>
                <w:color w:val="auto"/>
              </w:rPr>
            </w:pPr>
          </w:p>
        </w:tc>
        <w:tc>
          <w:tcPr>
            <w:tcW w:w="2280" w:type="dxa"/>
            <w:vAlign w:val="bottom"/>
            <w:vMerge w:val="continue"/>
          </w:tcPr>
          <w:p>
            <w:pPr>
              <w:spacing w:after="0"/>
              <w:rPr>
                <w:sz w:val="14"/>
                <w:szCs w:val="14"/>
                <w:color w:val="auto"/>
              </w:rPr>
            </w:pPr>
          </w:p>
        </w:tc>
        <w:tc>
          <w:tcPr>
            <w:tcW w:w="4760" w:type="dxa"/>
            <w:vAlign w:val="bottom"/>
            <w:vMerge w:val="continue"/>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720" w:type="dxa"/>
            <w:vAlign w:val="bottom"/>
            <w:tcBorders>
              <w:right w:val="single" w:sz="8" w:color="auto"/>
            </w:tcBorders>
            <w:gridSpan w:val="3"/>
            <w:vMerge w:val="continue"/>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476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172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7"/>
              </w:rPr>
              <w:t>OWNED BY EACH</w:t>
            </w:r>
          </w:p>
        </w:tc>
        <w:tc>
          <w:tcPr>
            <w:tcW w:w="200" w:type="dxa"/>
            <w:vAlign w:val="bottom"/>
          </w:tcPr>
          <w:p>
            <w:pPr>
              <w:spacing w:after="0"/>
              <w:rPr>
                <w:sz w:val="18"/>
                <w:szCs w:val="18"/>
                <w:color w:val="auto"/>
              </w:rPr>
            </w:pPr>
          </w:p>
        </w:tc>
        <w:tc>
          <w:tcPr>
            <w:tcW w:w="58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2"/>
              </w:rPr>
              <w:t>9.</w:t>
            </w:r>
          </w:p>
        </w:tc>
        <w:tc>
          <w:tcPr>
            <w:tcW w:w="2280" w:type="dxa"/>
            <w:vAlign w:val="bottom"/>
          </w:tcPr>
          <w:p>
            <w:pPr>
              <w:ind w:left="20"/>
              <w:spacing w:after="0"/>
              <w:rPr>
                <w:sz w:val="20"/>
                <w:szCs w:val="20"/>
                <w:color w:val="auto"/>
              </w:rPr>
            </w:pPr>
            <w:r>
              <w:rPr>
                <w:rFonts w:ascii="Arial" w:cs="Arial" w:eastAsia="Arial" w:hAnsi="Arial"/>
                <w:sz w:val="18"/>
                <w:szCs w:val="18"/>
                <w:color w:val="auto"/>
                <w:w w:val="93"/>
              </w:rPr>
              <w:t>SOLE DISPOSITIVE POWER</w:t>
            </w:r>
          </w:p>
        </w:tc>
        <w:tc>
          <w:tcPr>
            <w:tcW w:w="4760" w:type="dxa"/>
            <w:vAlign w:val="bottom"/>
          </w:tcPr>
          <w:p>
            <w:pPr>
              <w:jc w:val="right"/>
              <w:ind w:right="4410"/>
              <w:spacing w:after="0"/>
              <w:rPr>
                <w:sz w:val="20"/>
                <w:szCs w:val="20"/>
                <w:color w:val="auto"/>
              </w:rPr>
            </w:pPr>
            <w:r>
              <w:rPr>
                <w:rFonts w:ascii="Arial" w:cs="Arial" w:eastAsia="Arial" w:hAnsi="Arial"/>
                <w:sz w:val="18"/>
                <w:szCs w:val="18"/>
                <w:color w:val="auto"/>
              </w:rPr>
              <w:t>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720" w:type="dxa"/>
            <w:vAlign w:val="bottom"/>
            <w:tcBorders>
              <w:right w:val="single" w:sz="8" w:color="auto"/>
            </w:tcBorders>
            <w:gridSpan w:val="3"/>
            <w:vMerge w:val="restart"/>
          </w:tcPr>
          <w:p>
            <w:pPr>
              <w:jc w:val="center"/>
              <w:spacing w:after="0" w:line="201" w:lineRule="exact"/>
              <w:rPr>
                <w:sz w:val="20"/>
                <w:szCs w:val="20"/>
                <w:color w:val="auto"/>
              </w:rPr>
            </w:pPr>
            <w:r>
              <w:rPr>
                <w:rFonts w:ascii="Arial" w:cs="Arial" w:eastAsia="Arial" w:hAnsi="Arial"/>
                <w:sz w:val="18"/>
                <w:szCs w:val="18"/>
                <w:color w:val="auto"/>
                <w:w w:val="93"/>
              </w:rPr>
              <w:t>REPORTING</w:t>
            </w:r>
          </w:p>
        </w:tc>
        <w:tc>
          <w:tcPr>
            <w:tcW w:w="200" w:type="dxa"/>
            <w:vAlign w:val="bottom"/>
            <w:tcBorders>
              <w:bottom w:val="single" w:sz="8" w:color="auto"/>
            </w:tcBorders>
          </w:tcPr>
          <w:p>
            <w:pPr>
              <w:spacing w:after="0"/>
              <w:rPr>
                <w:sz w:val="9"/>
                <w:szCs w:val="9"/>
                <w:color w:val="auto"/>
              </w:rPr>
            </w:pPr>
          </w:p>
        </w:tc>
        <w:tc>
          <w:tcPr>
            <w:tcW w:w="580" w:type="dxa"/>
            <w:vAlign w:val="bottom"/>
            <w:tcBorders>
              <w:bottom w:val="single" w:sz="8" w:color="auto"/>
              <w:right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476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1720" w:type="dxa"/>
            <w:vAlign w:val="bottom"/>
            <w:tcBorders>
              <w:right w:val="single" w:sz="8" w:color="auto"/>
            </w:tcBorders>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Borders>
              <w:right w:val="single" w:sz="8" w:color="auto"/>
            </w:tcBorders>
            <w:vMerge w:val="restart"/>
          </w:tcPr>
          <w:p>
            <w:pPr>
              <w:jc w:val="center"/>
              <w:ind w:right="150"/>
              <w:spacing w:after="0"/>
              <w:rPr>
                <w:sz w:val="20"/>
                <w:szCs w:val="20"/>
                <w:color w:val="auto"/>
              </w:rPr>
            </w:pPr>
            <w:r>
              <w:rPr>
                <w:rFonts w:ascii="Arial" w:cs="Arial" w:eastAsia="Arial" w:hAnsi="Arial"/>
                <w:sz w:val="18"/>
                <w:szCs w:val="18"/>
                <w:b w:val="1"/>
                <w:bCs w:val="1"/>
                <w:color w:val="auto"/>
                <w:w w:val="87"/>
              </w:rPr>
              <w:t>10.</w:t>
            </w:r>
          </w:p>
        </w:tc>
        <w:tc>
          <w:tcPr>
            <w:tcW w:w="7040" w:type="dxa"/>
            <w:vAlign w:val="bottom"/>
            <w:gridSpan w:val="2"/>
            <w:vMerge w:val="restart"/>
          </w:tcPr>
          <w:p>
            <w:pPr>
              <w:ind w:left="20"/>
              <w:spacing w:after="0"/>
              <w:rPr>
                <w:sz w:val="20"/>
                <w:szCs w:val="20"/>
                <w:color w:val="auto"/>
              </w:rPr>
            </w:pPr>
            <w:r>
              <w:rPr>
                <w:rFonts w:ascii="Arial" w:cs="Arial" w:eastAsia="Arial" w:hAnsi="Arial"/>
                <w:sz w:val="18"/>
                <w:szCs w:val="18"/>
                <w:color w:val="auto"/>
              </w:rPr>
              <w:t>SHARED DISPOSITIVE POWER  30,880,000 (</w:t>
            </w:r>
            <w:r>
              <w:rPr>
                <w:rFonts w:ascii="Arial" w:cs="Arial" w:eastAsia="Arial" w:hAnsi="Arial"/>
                <w:sz w:val="18"/>
                <w:szCs w:val="18"/>
                <w:i w:val="1"/>
                <w:iCs w:val="1"/>
                <w:color w:val="auto"/>
              </w:rPr>
              <w:t>See Item 5</w:t>
            </w:r>
            <w:r>
              <w:rPr>
                <w:rFonts w:ascii="Arial" w:cs="Arial" w:eastAsia="Arial" w:hAnsi="Arial"/>
                <w:sz w:val="18"/>
                <w:szCs w:val="18"/>
                <w:color w:val="auto"/>
              </w:rPr>
              <w:t>)</w:t>
            </w:r>
          </w:p>
        </w:tc>
        <w:tc>
          <w:tcPr>
            <w:tcW w:w="1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72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4"/>
              </w:rPr>
              <w:t>PERSON WITH</w:t>
            </w:r>
          </w:p>
        </w:tc>
        <w:tc>
          <w:tcPr>
            <w:tcW w:w="200" w:type="dxa"/>
            <w:vAlign w:val="bottom"/>
          </w:tcPr>
          <w:p>
            <w:pPr>
              <w:spacing w:after="0"/>
              <w:rPr>
                <w:sz w:val="20"/>
                <w:szCs w:val="20"/>
                <w:color w:val="auto"/>
              </w:rPr>
            </w:pPr>
          </w:p>
        </w:tc>
        <w:tc>
          <w:tcPr>
            <w:tcW w:w="580" w:type="dxa"/>
            <w:vAlign w:val="bottom"/>
            <w:tcBorders>
              <w:right w:val="single" w:sz="8" w:color="auto"/>
            </w:tcBorders>
            <w:vMerge w:val="continue"/>
          </w:tcPr>
          <w:p>
            <w:pPr>
              <w:spacing w:after="0"/>
              <w:rPr>
                <w:sz w:val="20"/>
                <w:szCs w:val="20"/>
                <w:color w:val="auto"/>
              </w:rPr>
            </w:pPr>
          </w:p>
        </w:tc>
        <w:tc>
          <w:tcPr>
            <w:tcW w:w="7040" w:type="dxa"/>
            <w:vAlign w:val="bottom"/>
            <w:gridSpan w:val="2"/>
            <w:vMerge w:val="continue"/>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620" w:right="4100" w:hanging="429"/>
        <w:spacing w:after="0" w:line="412" w:lineRule="auto"/>
        <w:tabs>
          <w:tab w:leader="none" w:pos="6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 30,880,000 (</w:t>
      </w:r>
      <w:r>
        <w:rPr>
          <w:rFonts w:ascii="Arial" w:cs="Arial" w:eastAsia="Arial" w:hAnsi="Arial"/>
          <w:sz w:val="18"/>
          <w:szCs w:val="18"/>
          <w:i w:val="1"/>
          <w:iCs w:val="1"/>
          <w:color w:val="auto"/>
        </w:rPr>
        <w:t>See Item 5</w:t>
      </w:r>
      <w:r>
        <w:rPr>
          <w:rFonts w:ascii="Arial" w:cs="Arial" w:eastAsia="Arial" w:hAnsi="Arial"/>
          <w:sz w:val="18"/>
          <w:szCs w:val="18"/>
          <w:color w:val="auto"/>
        </w:rPr>
        <w:t>)</w:t>
      </w:r>
    </w:p>
    <w:p>
      <w:pPr>
        <w:spacing w:after="0" w:line="4" w:lineRule="exact"/>
        <w:rPr>
          <w:rFonts w:ascii="Arial" w:cs="Arial" w:eastAsia="Arial" w:hAnsi="Arial"/>
          <w:sz w:val="18"/>
          <w:szCs w:val="18"/>
          <w:b w:val="1"/>
          <w:bCs w:val="1"/>
          <w:color w:val="auto"/>
        </w:rPr>
      </w:pPr>
    </w:p>
    <w:p>
      <w:pPr>
        <w:ind w:left="620" w:right="5120" w:hanging="434"/>
        <w:spacing w:after="0" w:line="255" w:lineRule="auto"/>
        <w:tabs>
          <w:tab w:leader="none" w:pos="6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(9) EXCLUDES CERTAIN SHARES</w:t>
      </w:r>
    </w:p>
    <w:p>
      <w:pPr>
        <w:spacing w:after="0" w:line="1" w:lineRule="exact"/>
        <w:rPr>
          <w:sz w:val="20"/>
          <w:szCs w:val="20"/>
          <w:color w:val="auto"/>
        </w:rPr>
      </w:pPr>
    </w:p>
    <w:p>
      <w:pPr>
        <w:ind w:left="10900"/>
        <w:spacing w:after="0" w:line="181" w:lineRule="exact"/>
        <w:rPr>
          <w:sz w:val="20"/>
          <w:szCs w:val="20"/>
          <w:color w:val="auto"/>
        </w:rPr>
      </w:pPr>
      <w:r>
        <w:rPr>
          <w:rFonts w:ascii="MS PGothic" w:cs="MS PGothic" w:eastAsia="MS PGothic" w:hAnsi="MS PGothic"/>
          <w:sz w:val="18"/>
          <w:szCs w:val="18"/>
          <w:color w:val="auto"/>
        </w:rPr>
        <w:t>☐</w:t>
      </w:r>
    </w:p>
    <w:p>
      <w:pPr>
        <w:spacing w:after="0" w:line="94" w:lineRule="exact"/>
        <w:rPr>
          <w:sz w:val="20"/>
          <w:szCs w:val="20"/>
          <w:color w:val="auto"/>
        </w:rPr>
      </w:pPr>
    </w:p>
    <w:p>
      <w:pPr>
        <w:ind w:left="620" w:hanging="434"/>
        <w:spacing w:after="0"/>
        <w:tabs>
          <w:tab w:leader="none" w:pos="620" w:val="left"/>
        </w:tabs>
        <w:numPr>
          <w:ilvl w:val="1"/>
          <w:numId w:val="5"/>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25" w:lineRule="exact"/>
        <w:rPr>
          <w:rFonts w:ascii="Arial" w:cs="Arial" w:eastAsia="Arial" w:hAnsi="Arial"/>
          <w:sz w:val="18"/>
          <w:szCs w:val="18"/>
          <w:b w:val="1"/>
          <w:bCs w:val="1"/>
          <w:color w:val="auto"/>
        </w:rPr>
      </w:pPr>
    </w:p>
    <w:p>
      <w:pPr>
        <w:ind w:left="620"/>
        <w:spacing w:after="0"/>
        <w:rPr>
          <w:rFonts w:ascii="Arial" w:cs="Arial" w:eastAsia="Arial" w:hAnsi="Arial"/>
          <w:sz w:val="18"/>
          <w:szCs w:val="18"/>
          <w:b w:val="1"/>
          <w:bCs w:val="1"/>
          <w:color w:val="auto"/>
        </w:rPr>
      </w:pPr>
      <w:r>
        <w:rPr>
          <w:rFonts w:ascii="Arial" w:cs="Arial" w:eastAsia="Arial" w:hAnsi="Arial"/>
          <w:sz w:val="18"/>
          <w:szCs w:val="18"/>
          <w:color w:val="auto"/>
        </w:rPr>
        <w:t>27.9%* (</w:t>
      </w:r>
      <w:r>
        <w:rPr>
          <w:rFonts w:ascii="Arial" w:cs="Arial" w:eastAsia="Arial" w:hAnsi="Arial"/>
          <w:sz w:val="18"/>
          <w:szCs w:val="18"/>
          <w:i w:val="1"/>
          <w:iCs w:val="1"/>
          <w:color w:val="auto"/>
        </w:rPr>
        <w:t>See Item 5</w:t>
      </w:r>
      <w:r>
        <w:rPr>
          <w:rFonts w:ascii="Arial" w:cs="Arial" w:eastAsia="Arial" w:hAnsi="Arial"/>
          <w:sz w:val="18"/>
          <w:szCs w:val="18"/>
          <w:color w:val="auto"/>
        </w:rPr>
        <w:t>)</w:t>
      </w:r>
    </w:p>
    <w:p>
      <w:pPr>
        <w:spacing w:after="0" w:line="76" w:lineRule="exact"/>
        <w:rPr>
          <w:rFonts w:ascii="Arial" w:cs="Arial" w:eastAsia="Arial" w:hAnsi="Arial"/>
          <w:sz w:val="18"/>
          <w:szCs w:val="18"/>
          <w:b w:val="1"/>
          <w:bCs w:val="1"/>
          <w:color w:val="auto"/>
        </w:rPr>
      </w:pPr>
    </w:p>
    <w:p>
      <w:pPr>
        <w:ind w:left="620" w:right="8140" w:hanging="434"/>
        <w:spacing w:after="0" w:line="524" w:lineRule="auto"/>
        <w:tabs>
          <w:tab w:leader="none" w:pos="620" w:val="left"/>
        </w:tabs>
        <w:numPr>
          <w:ilvl w:val="1"/>
          <w:numId w:val="5"/>
        </w:numPr>
        <w:rPr>
          <w:rFonts w:ascii="Arial" w:cs="Arial" w:eastAsia="Arial" w:hAnsi="Arial"/>
          <w:sz w:val="18"/>
          <w:szCs w:val="18"/>
          <w:b w:val="1"/>
          <w:bCs w:val="1"/>
          <w:color w:val="auto"/>
        </w:rPr>
      </w:pPr>
      <w:r>
        <w:rPr>
          <w:rFonts w:ascii="Arial" w:cs="Arial" w:eastAsia="Arial" w:hAnsi="Arial"/>
          <w:sz w:val="18"/>
          <w:szCs w:val="18"/>
          <w:color w:val="auto"/>
        </w:rPr>
        <w:t>TYPE OF REPORTING PERSON OO</w:t>
      </w:r>
    </w:p>
    <w:p>
      <w:pPr>
        <w:jc w:val="both"/>
        <w:ind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 Based on 110,789,875 shares of Class A Common Stock of the Issuer that were outstanding following the mergers contemplated by that certain Agreement and Plan of Merger dated as of June 24, 2021, by and among 890 5th Avenue Partners, Inc., Bolt Merger Sub I, Inc., Bolt Merger Sub II, Inc., and BuzzFeed, Inc., as amended. However, the Reporting Persons’ 30,880,000 shares of Class A Common Stock represent less than 5% of the total voting power of all outstanding shares of the Issuer’s Class A Common Stock, Class B Common Stock and Class C Common Stock on a combined basis, as of December 3, 2021, based on information provided by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611" w:right="319" w:bottom="1440" w:gutter="0" w:footer="0" w:header="0"/>
        </w:sectPr>
      </w:pPr>
    </w:p>
    <w:bookmarkStart w:id="3" w:name="page4"/>
    <w:bookmarkEnd w:id="3"/>
    <w:p>
      <w:pPr>
        <w:ind w:left="40"/>
        <w:spacing w:after="0"/>
        <w:rPr>
          <w:sz w:val="20"/>
          <w:szCs w:val="20"/>
          <w:color w:val="auto"/>
        </w:rPr>
      </w:pPr>
      <w:r>
        <w:rPr>
          <w:rFonts w:ascii="Arial" w:cs="Arial" w:eastAsia="Arial" w:hAnsi="Arial"/>
          <w:sz w:val="18"/>
          <w:szCs w:val="18"/>
          <w:color w:val="auto"/>
        </w:rPr>
        <w:t>CUSIP No.  12430A102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49034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4903470"/>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40" w:type="dxa"/>
            <w:vAlign w:val="bottom"/>
            <w:tcBorders>
              <w:top w:val="single" w:sz="8" w:color="auto"/>
            </w:tcBorders>
          </w:tcPr>
          <w:p>
            <w:pPr>
              <w:ind w:left="240"/>
              <w:spacing w:after="0"/>
              <w:rPr>
                <w:sz w:val="20"/>
                <w:szCs w:val="20"/>
                <w:color w:val="auto"/>
              </w:rPr>
            </w:pPr>
            <w:r>
              <w:rPr>
                <w:rFonts w:ascii="Arial" w:cs="Arial" w:eastAsia="Arial" w:hAnsi="Arial"/>
                <w:sz w:val="18"/>
                <w:szCs w:val="18"/>
                <w:b w:val="1"/>
                <w:bCs w:val="1"/>
                <w:color w:val="auto"/>
              </w:rPr>
              <w:t>1.</w:t>
            </w:r>
          </w:p>
        </w:tc>
        <w:tc>
          <w:tcPr>
            <w:tcW w:w="160" w:type="dxa"/>
            <w:vAlign w:val="bottom"/>
            <w:tcBorders>
              <w:top w:val="single" w:sz="8" w:color="auto"/>
              <w:right w:val="single" w:sz="8" w:color="auto"/>
            </w:tcBorders>
          </w:tcPr>
          <w:p>
            <w:pPr>
              <w:spacing w:after="0"/>
              <w:rPr>
                <w:sz w:val="22"/>
                <w:szCs w:val="22"/>
                <w:color w:val="auto"/>
              </w:rPr>
            </w:pPr>
          </w:p>
        </w:tc>
        <w:tc>
          <w:tcPr>
            <w:tcW w:w="4180" w:type="dxa"/>
            <w:vAlign w:val="bottom"/>
            <w:tcBorders>
              <w:top w:val="single" w:sz="8" w:color="auto"/>
            </w:tcBorders>
            <w:gridSpan w:val="4"/>
          </w:tcPr>
          <w:p>
            <w:pPr>
              <w:ind w:left="20"/>
              <w:spacing w:after="0"/>
              <w:rPr>
                <w:sz w:val="20"/>
                <w:szCs w:val="20"/>
                <w:color w:val="auto"/>
              </w:rPr>
            </w:pPr>
            <w:r>
              <w:rPr>
                <w:rFonts w:ascii="Arial" w:cs="Arial" w:eastAsia="Arial" w:hAnsi="Arial"/>
                <w:sz w:val="18"/>
                <w:szCs w:val="18"/>
                <w:color w:val="auto"/>
              </w:rPr>
              <w:t>NAMES OF REPORTING PERSONS</w:t>
            </w:r>
          </w:p>
        </w:tc>
        <w:tc>
          <w:tcPr>
            <w:tcW w:w="4180" w:type="dxa"/>
            <w:vAlign w:val="bottom"/>
            <w:tcBorders>
              <w:top w:val="single" w:sz="8" w:color="auto"/>
            </w:tcBorders>
          </w:tcPr>
          <w:p>
            <w:pPr>
              <w:spacing w:after="0"/>
              <w:rPr>
                <w:sz w:val="22"/>
                <w:szCs w:val="22"/>
                <w:color w:val="auto"/>
              </w:rPr>
            </w:pPr>
          </w:p>
        </w:tc>
        <w:tc>
          <w:tcPr>
            <w:tcW w:w="230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648"/>
        </w:trPr>
        <w:tc>
          <w:tcPr>
            <w:tcW w:w="44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4180" w:type="dxa"/>
            <w:vAlign w:val="bottom"/>
            <w:gridSpan w:val="4"/>
          </w:tcPr>
          <w:p>
            <w:pPr>
              <w:ind w:left="20"/>
              <w:spacing w:after="0"/>
              <w:rPr>
                <w:sz w:val="20"/>
                <w:szCs w:val="20"/>
                <w:color w:val="auto"/>
              </w:rPr>
            </w:pPr>
            <w:r>
              <w:rPr>
                <w:rFonts w:ascii="Arial" w:cs="Arial" w:eastAsia="Arial" w:hAnsi="Arial"/>
                <w:sz w:val="18"/>
                <w:szCs w:val="18"/>
                <w:color w:val="auto"/>
              </w:rPr>
              <w:t>NBCUniversal Media, LLC</w:t>
            </w:r>
          </w:p>
        </w:tc>
        <w:tc>
          <w:tcPr>
            <w:tcW w:w="4180" w:type="dxa"/>
            <w:vAlign w:val="bottom"/>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6460" w:type="dxa"/>
            <w:vAlign w:val="bottom"/>
            <w:tcBorders>
              <w:bottom w:val="single" w:sz="8" w:color="auto"/>
            </w:tcBorders>
            <w:gridSpan w:val="2"/>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0" w:type="dxa"/>
            <w:vAlign w:val="bottom"/>
          </w:tcPr>
          <w:p>
            <w:pPr>
              <w:ind w:left="240"/>
              <w:spacing w:after="0"/>
              <w:rPr>
                <w:sz w:val="20"/>
                <w:szCs w:val="20"/>
                <w:color w:val="auto"/>
              </w:rPr>
            </w:pPr>
            <w:r>
              <w:rPr>
                <w:rFonts w:ascii="Arial" w:cs="Arial" w:eastAsia="Arial" w:hAnsi="Arial"/>
                <w:sz w:val="18"/>
                <w:szCs w:val="18"/>
                <w:b w:val="1"/>
                <w:bCs w:val="1"/>
                <w:color w:val="auto"/>
              </w:rPr>
              <w:t>2.</w:t>
            </w:r>
          </w:p>
        </w:tc>
        <w:tc>
          <w:tcPr>
            <w:tcW w:w="160" w:type="dxa"/>
            <w:vAlign w:val="bottom"/>
            <w:tcBorders>
              <w:right w:val="single" w:sz="8" w:color="auto"/>
            </w:tcBorders>
          </w:tcPr>
          <w:p>
            <w:pPr>
              <w:spacing w:after="0"/>
              <w:rPr>
                <w:sz w:val="21"/>
                <w:szCs w:val="21"/>
                <w:color w:val="auto"/>
              </w:rPr>
            </w:pPr>
          </w:p>
        </w:tc>
        <w:tc>
          <w:tcPr>
            <w:tcW w:w="8360" w:type="dxa"/>
            <w:vAlign w:val="bottom"/>
            <w:gridSpan w:val="5"/>
          </w:tcPr>
          <w:p>
            <w:pPr>
              <w:ind w:left="20"/>
              <w:spacing w:after="0"/>
              <w:rPr>
                <w:sz w:val="20"/>
                <w:szCs w:val="20"/>
                <w:color w:val="auto"/>
              </w:rPr>
            </w:pPr>
            <w:r>
              <w:rPr>
                <w:rFonts w:ascii="Arial" w:cs="Arial" w:eastAsia="Arial" w:hAnsi="Arial"/>
                <w:sz w:val="18"/>
                <w:szCs w:val="18"/>
                <w:color w:val="auto"/>
              </w:rPr>
              <w:t>CHECK THE APPROPRIATE BOX IF A MEMBER OF A GROUP</w:t>
            </w:r>
          </w:p>
        </w:tc>
        <w:tc>
          <w:tcPr>
            <w:tcW w:w="2300" w:type="dxa"/>
            <w:vAlign w:val="bottom"/>
            <w:tcBorders>
              <w:right w:val="single" w:sz="8" w:color="auto"/>
            </w:tcBorders>
          </w:tcPr>
          <w:p>
            <w:pPr>
              <w:ind w:left="10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6"/>
        </w:trPr>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2300" w:type="dxa"/>
            <w:vAlign w:val="bottom"/>
            <w:tcBorders>
              <w:bottom w:val="single" w:sz="8" w:color="auto"/>
              <w:right w:val="single" w:sz="8" w:color="auto"/>
            </w:tcBorders>
          </w:tcPr>
          <w:p>
            <w:pPr>
              <w:ind w:left="10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0"/>
        </w:trPr>
        <w:tc>
          <w:tcPr>
            <w:tcW w:w="440" w:type="dxa"/>
            <w:vAlign w:val="bottom"/>
          </w:tcPr>
          <w:p>
            <w:pPr>
              <w:ind w:left="240"/>
              <w:spacing w:after="0"/>
              <w:rPr>
                <w:sz w:val="20"/>
                <w:szCs w:val="20"/>
                <w:color w:val="auto"/>
              </w:rPr>
            </w:pPr>
            <w:r>
              <w:rPr>
                <w:rFonts w:ascii="Arial" w:cs="Arial" w:eastAsia="Arial" w:hAnsi="Arial"/>
                <w:sz w:val="18"/>
                <w:szCs w:val="18"/>
                <w:b w:val="1"/>
                <w:bCs w:val="1"/>
                <w:color w:val="auto"/>
              </w:rPr>
              <w:t>3.</w:t>
            </w:r>
          </w:p>
        </w:tc>
        <w:tc>
          <w:tcPr>
            <w:tcW w:w="160" w:type="dxa"/>
            <w:vAlign w:val="bottom"/>
            <w:tcBorders>
              <w:right w:val="single" w:sz="8" w:color="auto"/>
            </w:tcBorders>
          </w:tcPr>
          <w:p>
            <w:pPr>
              <w:spacing w:after="0"/>
              <w:rPr>
                <w:sz w:val="20"/>
                <w:szCs w:val="20"/>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w w:val="96"/>
              </w:rPr>
              <w:t>SEC USE ONLY</w:t>
            </w:r>
          </w:p>
        </w:tc>
        <w:tc>
          <w:tcPr>
            <w:tcW w:w="5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2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0" w:type="dxa"/>
            <w:vAlign w:val="bottom"/>
          </w:tcPr>
          <w:p>
            <w:pPr>
              <w:ind w:left="240"/>
              <w:spacing w:after="0"/>
              <w:rPr>
                <w:sz w:val="20"/>
                <w:szCs w:val="20"/>
                <w:color w:val="auto"/>
              </w:rPr>
            </w:pPr>
            <w:r>
              <w:rPr>
                <w:rFonts w:ascii="Arial" w:cs="Arial" w:eastAsia="Arial" w:hAnsi="Arial"/>
                <w:sz w:val="18"/>
                <w:szCs w:val="18"/>
                <w:b w:val="1"/>
                <w:bCs w:val="1"/>
                <w:color w:val="auto"/>
              </w:rPr>
              <w:t>4.</w:t>
            </w:r>
          </w:p>
        </w:tc>
        <w:tc>
          <w:tcPr>
            <w:tcW w:w="160" w:type="dxa"/>
            <w:vAlign w:val="bottom"/>
            <w:tcBorders>
              <w:right w:val="single" w:sz="8" w:color="auto"/>
            </w:tcBorders>
          </w:tcPr>
          <w:p>
            <w:pPr>
              <w:spacing w:after="0"/>
              <w:rPr>
                <w:sz w:val="20"/>
                <w:szCs w:val="20"/>
                <w:color w:val="auto"/>
              </w:rPr>
            </w:pPr>
          </w:p>
        </w:tc>
        <w:tc>
          <w:tcPr>
            <w:tcW w:w="1900" w:type="dxa"/>
            <w:vAlign w:val="bottom"/>
            <w:gridSpan w:val="3"/>
          </w:tcPr>
          <w:p>
            <w:pPr>
              <w:ind w:left="20"/>
              <w:spacing w:after="0"/>
              <w:rPr>
                <w:sz w:val="20"/>
                <w:szCs w:val="20"/>
                <w:color w:val="auto"/>
              </w:rPr>
            </w:pPr>
            <w:r>
              <w:rPr>
                <w:rFonts w:ascii="Arial" w:cs="Arial" w:eastAsia="Arial" w:hAnsi="Arial"/>
                <w:sz w:val="18"/>
                <w:szCs w:val="18"/>
                <w:color w:val="auto"/>
              </w:rPr>
              <w:t>SOURCE OF FUNDS</w:t>
            </w:r>
          </w:p>
        </w:tc>
        <w:tc>
          <w:tcPr>
            <w:tcW w:w="228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2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4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w w:val="96"/>
              </w:rPr>
              <w:t>OO (</w:t>
            </w:r>
            <w:r>
              <w:rPr>
                <w:rFonts w:ascii="Arial" w:cs="Arial" w:eastAsia="Arial" w:hAnsi="Arial"/>
                <w:sz w:val="18"/>
                <w:szCs w:val="18"/>
                <w:i w:val="1"/>
                <w:iCs w:val="1"/>
                <w:color w:val="auto"/>
                <w:w w:val="96"/>
              </w:rPr>
              <w:t>See Item 3</w:t>
            </w:r>
            <w:r>
              <w:rPr>
                <w:rFonts w:ascii="Arial" w:cs="Arial" w:eastAsia="Arial" w:hAnsi="Arial"/>
                <w:sz w:val="18"/>
                <w:szCs w:val="18"/>
                <w:color w:val="auto"/>
                <w:w w:val="96"/>
              </w:rPr>
              <w:t>)</w:t>
            </w:r>
          </w:p>
        </w:tc>
        <w:tc>
          <w:tcPr>
            <w:tcW w:w="5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6460" w:type="dxa"/>
            <w:vAlign w:val="bottom"/>
            <w:tcBorders>
              <w:bottom w:val="single" w:sz="8" w:color="auto"/>
            </w:tcBorders>
            <w:gridSpan w:val="2"/>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4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5.</w:t>
            </w:r>
          </w:p>
        </w:tc>
        <w:tc>
          <w:tcPr>
            <w:tcW w:w="160" w:type="dxa"/>
            <w:vAlign w:val="bottom"/>
            <w:tcBorders>
              <w:bottom w:val="single" w:sz="8" w:color="auto"/>
              <w:right w:val="single" w:sz="8" w:color="auto"/>
            </w:tcBorders>
          </w:tcPr>
          <w:p>
            <w:pPr>
              <w:spacing w:after="0"/>
              <w:rPr>
                <w:sz w:val="22"/>
                <w:szCs w:val="22"/>
                <w:color w:val="auto"/>
              </w:rPr>
            </w:pPr>
          </w:p>
        </w:tc>
        <w:tc>
          <w:tcPr>
            <w:tcW w:w="836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color w:val="auto"/>
                <w:w w:val="96"/>
              </w:rPr>
              <w:t>CHECK IF DISCLOSURE OF LEGAL PROCEEDINGS IS REQUIRED PURSUANT TO ITEMS 2(D) OR 2(E)</w:t>
            </w:r>
          </w:p>
        </w:tc>
        <w:tc>
          <w:tcPr>
            <w:tcW w:w="2300" w:type="dxa"/>
            <w:vAlign w:val="bottom"/>
            <w:tcBorders>
              <w:bottom w:val="single" w:sz="8" w:color="auto"/>
              <w:right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4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6.</w:t>
            </w:r>
          </w:p>
        </w:tc>
        <w:tc>
          <w:tcPr>
            <w:tcW w:w="160" w:type="dxa"/>
            <w:vAlign w:val="bottom"/>
            <w:tcBorders>
              <w:right w:val="single" w:sz="8" w:color="auto"/>
            </w:tcBorders>
          </w:tcPr>
          <w:p>
            <w:pPr>
              <w:spacing w:after="0"/>
              <w:rPr>
                <w:sz w:val="20"/>
                <w:szCs w:val="20"/>
                <w:color w:val="auto"/>
              </w:rPr>
            </w:pPr>
          </w:p>
        </w:tc>
        <w:tc>
          <w:tcPr>
            <w:tcW w:w="4180" w:type="dxa"/>
            <w:vAlign w:val="bottom"/>
            <w:gridSpan w:val="4"/>
          </w:tcPr>
          <w:p>
            <w:pPr>
              <w:ind w:left="20"/>
              <w:spacing w:after="0"/>
              <w:rPr>
                <w:sz w:val="20"/>
                <w:szCs w:val="20"/>
                <w:color w:val="auto"/>
              </w:rPr>
            </w:pPr>
            <w:r>
              <w:rPr>
                <w:rFonts w:ascii="Arial" w:cs="Arial" w:eastAsia="Arial" w:hAnsi="Arial"/>
                <w:sz w:val="18"/>
                <w:szCs w:val="18"/>
                <w:color w:val="auto"/>
              </w:rPr>
              <w:t>CITIZENSHIP OR PLACE OF ORGANIZATION</w:t>
            </w:r>
          </w:p>
        </w:tc>
        <w:tc>
          <w:tcPr>
            <w:tcW w:w="4180" w:type="dxa"/>
            <w:vAlign w:val="bottom"/>
          </w:tcPr>
          <w:p>
            <w:pPr>
              <w:spacing w:after="0"/>
              <w:rPr>
                <w:sz w:val="20"/>
                <w:szCs w:val="20"/>
                <w:color w:val="auto"/>
              </w:rPr>
            </w:pPr>
          </w:p>
        </w:tc>
        <w:tc>
          <w:tcPr>
            <w:tcW w:w="2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 w:type="dxa"/>
            <w:vAlign w:val="bottom"/>
            <w:vMerge w:val="continue"/>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8"/>
                <w:szCs w:val="18"/>
                <w:color w:val="auto"/>
              </w:rPr>
              <w:t>Delaware</w:t>
            </w:r>
          </w:p>
        </w:tc>
        <w:tc>
          <w:tcPr>
            <w:tcW w:w="5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5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00" w:type="dxa"/>
            <w:vAlign w:val="bottom"/>
            <w:tcBorders>
              <w:bottom w:val="single" w:sz="8" w:color="auto"/>
              <w:right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72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NUMBER OF</w:t>
            </w:r>
          </w:p>
        </w:tc>
        <w:tc>
          <w:tcPr>
            <w:tcW w:w="200" w:type="dxa"/>
            <w:vAlign w:val="bottom"/>
          </w:tcPr>
          <w:p>
            <w:pPr>
              <w:spacing w:after="0"/>
              <w:rPr>
                <w:sz w:val="19"/>
                <w:szCs w:val="19"/>
                <w:color w:val="auto"/>
              </w:rPr>
            </w:pPr>
          </w:p>
        </w:tc>
        <w:tc>
          <w:tcPr>
            <w:tcW w:w="58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2"/>
              </w:rPr>
              <w:t>7.</w:t>
            </w:r>
          </w:p>
        </w:tc>
        <w:tc>
          <w:tcPr>
            <w:tcW w:w="2280" w:type="dxa"/>
            <w:vAlign w:val="bottom"/>
          </w:tcPr>
          <w:p>
            <w:pPr>
              <w:ind w:left="20"/>
              <w:spacing w:after="0"/>
              <w:rPr>
                <w:sz w:val="20"/>
                <w:szCs w:val="20"/>
                <w:color w:val="auto"/>
              </w:rPr>
            </w:pPr>
            <w:r>
              <w:rPr>
                <w:rFonts w:ascii="Arial" w:cs="Arial" w:eastAsia="Arial" w:hAnsi="Arial"/>
                <w:sz w:val="18"/>
                <w:szCs w:val="18"/>
                <w:color w:val="auto"/>
              </w:rPr>
              <w:t>SOLE VOTING POWER  0</w:t>
            </w:r>
          </w:p>
        </w:tc>
        <w:tc>
          <w:tcPr>
            <w:tcW w:w="41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440" w:type="dxa"/>
            <w:vAlign w:val="bottom"/>
          </w:tcPr>
          <w:p>
            <w:pPr>
              <w:spacing w:after="0"/>
              <w:rPr>
                <w:sz w:val="8"/>
                <w:szCs w:val="8"/>
                <w:color w:val="auto"/>
              </w:rPr>
            </w:pPr>
          </w:p>
        </w:tc>
        <w:tc>
          <w:tcPr>
            <w:tcW w:w="1280" w:type="dxa"/>
            <w:vAlign w:val="bottom"/>
            <w:tcBorders>
              <w:right w:val="single" w:sz="8" w:color="auto"/>
            </w:tcBorders>
            <w:gridSpan w:val="2"/>
            <w:vMerge w:val="restart"/>
          </w:tcPr>
          <w:p>
            <w:pPr>
              <w:jc w:val="center"/>
              <w:ind w:right="350"/>
              <w:spacing w:after="0"/>
              <w:rPr>
                <w:sz w:val="20"/>
                <w:szCs w:val="20"/>
                <w:color w:val="auto"/>
              </w:rPr>
            </w:pPr>
            <w:r>
              <w:rPr>
                <w:rFonts w:ascii="Arial" w:cs="Arial" w:eastAsia="Arial" w:hAnsi="Arial"/>
                <w:sz w:val="18"/>
                <w:szCs w:val="18"/>
                <w:color w:val="auto"/>
                <w:w w:val="91"/>
              </w:rPr>
              <w:t>SHARES</w:t>
            </w:r>
          </w:p>
        </w:tc>
        <w:tc>
          <w:tcPr>
            <w:tcW w:w="200" w:type="dxa"/>
            <w:vAlign w:val="bottom"/>
            <w:tcBorders>
              <w:bottom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4180" w:type="dxa"/>
            <w:vAlign w:val="bottom"/>
            <w:tcBorders>
              <w:bottom w:val="single" w:sz="8" w:color="auto"/>
            </w:tcBorders>
          </w:tcPr>
          <w:p>
            <w:pPr>
              <w:spacing w:after="0"/>
              <w:rPr>
                <w:sz w:val="8"/>
                <w:szCs w:val="8"/>
                <w:color w:val="auto"/>
              </w:rPr>
            </w:pPr>
          </w:p>
        </w:tc>
        <w:tc>
          <w:tcPr>
            <w:tcW w:w="23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440" w:type="dxa"/>
            <w:vAlign w:val="bottom"/>
          </w:tcPr>
          <w:p>
            <w:pPr>
              <w:spacing w:after="0"/>
              <w:rPr>
                <w:sz w:val="8"/>
                <w:szCs w:val="8"/>
                <w:color w:val="auto"/>
              </w:rPr>
            </w:pPr>
          </w:p>
        </w:tc>
        <w:tc>
          <w:tcPr>
            <w:tcW w:w="1280" w:type="dxa"/>
            <w:vAlign w:val="bottom"/>
            <w:tcBorders>
              <w:right w:val="single" w:sz="8" w:color="auto"/>
            </w:tcBorders>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Borders>
              <w:right w:val="single" w:sz="8" w:color="auto"/>
            </w:tcBorders>
            <w:vMerge w:val="restart"/>
          </w:tcPr>
          <w:p>
            <w:pPr>
              <w:jc w:val="center"/>
              <w:ind w:right="150"/>
              <w:spacing w:after="0"/>
              <w:rPr>
                <w:sz w:val="20"/>
                <w:szCs w:val="20"/>
                <w:color w:val="auto"/>
              </w:rPr>
            </w:pPr>
            <w:r>
              <w:rPr>
                <w:rFonts w:ascii="Arial" w:cs="Arial" w:eastAsia="Arial" w:hAnsi="Arial"/>
                <w:sz w:val="18"/>
                <w:szCs w:val="18"/>
                <w:b w:val="1"/>
                <w:bCs w:val="1"/>
                <w:color w:val="auto"/>
                <w:w w:val="92"/>
              </w:rPr>
              <w:t>8.</w:t>
            </w:r>
          </w:p>
        </w:tc>
        <w:tc>
          <w:tcPr>
            <w:tcW w:w="228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4180" w:type="dxa"/>
            <w:vAlign w:val="bottom"/>
            <w:vMerge w:val="restart"/>
          </w:tcPr>
          <w:p>
            <w:pPr>
              <w:jc w:val="right"/>
              <w:ind w:right="2350"/>
              <w:spacing w:after="0"/>
              <w:rPr>
                <w:sz w:val="20"/>
                <w:szCs w:val="20"/>
                <w:color w:val="auto"/>
              </w:rPr>
            </w:pPr>
            <w:r>
              <w:rPr>
                <w:rFonts w:ascii="Arial" w:cs="Arial" w:eastAsia="Arial" w:hAnsi="Arial"/>
                <w:sz w:val="18"/>
                <w:szCs w:val="18"/>
                <w:color w:val="auto"/>
                <w:w w:val="88"/>
              </w:rPr>
              <w:t>30,880,000 (</w:t>
            </w:r>
            <w:r>
              <w:rPr>
                <w:rFonts w:ascii="Arial" w:cs="Arial" w:eastAsia="Arial" w:hAnsi="Arial"/>
                <w:sz w:val="18"/>
                <w:szCs w:val="18"/>
                <w:i w:val="1"/>
                <w:iCs w:val="1"/>
                <w:color w:val="auto"/>
                <w:w w:val="88"/>
              </w:rPr>
              <w:t>See Item 5</w:t>
            </w:r>
            <w:r>
              <w:rPr>
                <w:rFonts w:ascii="Arial" w:cs="Arial" w:eastAsia="Arial" w:hAnsi="Arial"/>
                <w:sz w:val="18"/>
                <w:szCs w:val="18"/>
                <w:color w:val="auto"/>
                <w:w w:val="88"/>
              </w:rPr>
              <w:t>)</w:t>
            </w:r>
          </w:p>
        </w:tc>
        <w:tc>
          <w:tcPr>
            <w:tcW w:w="2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1720" w:type="dxa"/>
            <w:vAlign w:val="bottom"/>
            <w:tcBorders>
              <w:right w:val="single" w:sz="8" w:color="auto"/>
            </w:tcBorders>
            <w:gridSpan w:val="3"/>
            <w:vMerge w:val="restart"/>
          </w:tcPr>
          <w:p>
            <w:pPr>
              <w:ind w:left="220"/>
              <w:spacing w:after="0"/>
              <w:rPr>
                <w:sz w:val="20"/>
                <w:szCs w:val="20"/>
                <w:color w:val="auto"/>
              </w:rPr>
            </w:pPr>
            <w:r>
              <w:rPr>
                <w:rFonts w:ascii="Arial" w:cs="Arial" w:eastAsia="Arial" w:hAnsi="Arial"/>
                <w:sz w:val="18"/>
                <w:szCs w:val="18"/>
                <w:color w:val="auto"/>
              </w:rPr>
              <w:t>BENEFICIALLY</w:t>
            </w:r>
          </w:p>
        </w:tc>
        <w:tc>
          <w:tcPr>
            <w:tcW w:w="200" w:type="dxa"/>
            <w:vAlign w:val="bottom"/>
          </w:tcPr>
          <w:p>
            <w:pPr>
              <w:spacing w:after="0"/>
              <w:rPr>
                <w:sz w:val="14"/>
                <w:szCs w:val="14"/>
                <w:color w:val="auto"/>
              </w:rPr>
            </w:pPr>
          </w:p>
        </w:tc>
        <w:tc>
          <w:tcPr>
            <w:tcW w:w="580" w:type="dxa"/>
            <w:vAlign w:val="bottom"/>
            <w:tcBorders>
              <w:right w:val="single" w:sz="8" w:color="auto"/>
            </w:tcBorders>
            <w:vMerge w:val="continue"/>
          </w:tcPr>
          <w:p>
            <w:pPr>
              <w:spacing w:after="0"/>
              <w:rPr>
                <w:sz w:val="14"/>
                <w:szCs w:val="14"/>
                <w:color w:val="auto"/>
              </w:rPr>
            </w:pPr>
          </w:p>
        </w:tc>
        <w:tc>
          <w:tcPr>
            <w:tcW w:w="2280" w:type="dxa"/>
            <w:vAlign w:val="bottom"/>
            <w:vMerge w:val="continue"/>
          </w:tcPr>
          <w:p>
            <w:pPr>
              <w:spacing w:after="0"/>
              <w:rPr>
                <w:sz w:val="14"/>
                <w:szCs w:val="14"/>
                <w:color w:val="auto"/>
              </w:rPr>
            </w:pPr>
          </w:p>
        </w:tc>
        <w:tc>
          <w:tcPr>
            <w:tcW w:w="4180" w:type="dxa"/>
            <w:vAlign w:val="bottom"/>
            <w:vMerge w:val="continue"/>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720" w:type="dxa"/>
            <w:vAlign w:val="bottom"/>
            <w:tcBorders>
              <w:right w:val="single" w:sz="8" w:color="auto"/>
            </w:tcBorders>
            <w:gridSpan w:val="3"/>
            <w:vMerge w:val="continue"/>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418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172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7"/>
              </w:rPr>
              <w:t>OWNED BY EACH</w:t>
            </w:r>
          </w:p>
        </w:tc>
        <w:tc>
          <w:tcPr>
            <w:tcW w:w="200" w:type="dxa"/>
            <w:vAlign w:val="bottom"/>
          </w:tcPr>
          <w:p>
            <w:pPr>
              <w:spacing w:after="0"/>
              <w:rPr>
                <w:sz w:val="18"/>
                <w:szCs w:val="18"/>
                <w:color w:val="auto"/>
              </w:rPr>
            </w:pPr>
          </w:p>
        </w:tc>
        <w:tc>
          <w:tcPr>
            <w:tcW w:w="58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2"/>
              </w:rPr>
              <w:t>9.</w:t>
            </w:r>
          </w:p>
        </w:tc>
        <w:tc>
          <w:tcPr>
            <w:tcW w:w="2280" w:type="dxa"/>
            <w:vAlign w:val="bottom"/>
          </w:tcPr>
          <w:p>
            <w:pPr>
              <w:ind w:left="20"/>
              <w:spacing w:after="0"/>
              <w:rPr>
                <w:sz w:val="20"/>
                <w:szCs w:val="20"/>
                <w:color w:val="auto"/>
              </w:rPr>
            </w:pPr>
            <w:r>
              <w:rPr>
                <w:rFonts w:ascii="Arial" w:cs="Arial" w:eastAsia="Arial" w:hAnsi="Arial"/>
                <w:sz w:val="18"/>
                <w:szCs w:val="18"/>
                <w:color w:val="auto"/>
                <w:w w:val="93"/>
              </w:rPr>
              <w:t>SOLE DISPOSITIVE POWER</w:t>
            </w:r>
          </w:p>
        </w:tc>
        <w:tc>
          <w:tcPr>
            <w:tcW w:w="4180" w:type="dxa"/>
            <w:vAlign w:val="bottom"/>
          </w:tcPr>
          <w:p>
            <w:pPr>
              <w:jc w:val="right"/>
              <w:ind w:right="3830"/>
              <w:spacing w:after="0"/>
              <w:rPr>
                <w:sz w:val="20"/>
                <w:szCs w:val="20"/>
                <w:color w:val="auto"/>
              </w:rPr>
            </w:pPr>
            <w:r>
              <w:rPr>
                <w:rFonts w:ascii="Arial" w:cs="Arial" w:eastAsia="Arial" w:hAnsi="Arial"/>
                <w:sz w:val="18"/>
                <w:szCs w:val="18"/>
                <w:color w:val="auto"/>
              </w:rPr>
              <w:t>0</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720" w:type="dxa"/>
            <w:vAlign w:val="bottom"/>
            <w:tcBorders>
              <w:right w:val="single" w:sz="8" w:color="auto"/>
            </w:tcBorders>
            <w:gridSpan w:val="3"/>
            <w:vMerge w:val="restart"/>
          </w:tcPr>
          <w:p>
            <w:pPr>
              <w:jc w:val="center"/>
              <w:spacing w:after="0" w:line="201" w:lineRule="exact"/>
              <w:rPr>
                <w:sz w:val="20"/>
                <w:szCs w:val="20"/>
                <w:color w:val="auto"/>
              </w:rPr>
            </w:pPr>
            <w:r>
              <w:rPr>
                <w:rFonts w:ascii="Arial" w:cs="Arial" w:eastAsia="Arial" w:hAnsi="Arial"/>
                <w:sz w:val="18"/>
                <w:szCs w:val="18"/>
                <w:color w:val="auto"/>
                <w:w w:val="93"/>
              </w:rPr>
              <w:t>REPORTING</w:t>
            </w:r>
          </w:p>
        </w:tc>
        <w:tc>
          <w:tcPr>
            <w:tcW w:w="200" w:type="dxa"/>
            <w:vAlign w:val="bottom"/>
            <w:tcBorders>
              <w:bottom w:val="single" w:sz="8" w:color="auto"/>
            </w:tcBorders>
          </w:tcPr>
          <w:p>
            <w:pPr>
              <w:spacing w:after="0"/>
              <w:rPr>
                <w:sz w:val="9"/>
                <w:szCs w:val="9"/>
                <w:color w:val="auto"/>
              </w:rPr>
            </w:pPr>
          </w:p>
        </w:tc>
        <w:tc>
          <w:tcPr>
            <w:tcW w:w="580" w:type="dxa"/>
            <w:vAlign w:val="bottom"/>
            <w:tcBorders>
              <w:bottom w:val="single" w:sz="8" w:color="auto"/>
              <w:right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4180" w:type="dxa"/>
            <w:vAlign w:val="bottom"/>
            <w:tcBorders>
              <w:bottom w:val="single" w:sz="8" w:color="auto"/>
            </w:tcBorders>
          </w:tcPr>
          <w:p>
            <w:pPr>
              <w:spacing w:after="0"/>
              <w:rPr>
                <w:sz w:val="9"/>
                <w:szCs w:val="9"/>
                <w:color w:val="auto"/>
              </w:rPr>
            </w:pPr>
          </w:p>
        </w:tc>
        <w:tc>
          <w:tcPr>
            <w:tcW w:w="23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1720" w:type="dxa"/>
            <w:vAlign w:val="bottom"/>
            <w:tcBorders>
              <w:right w:val="single" w:sz="8" w:color="auto"/>
            </w:tcBorders>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Borders>
              <w:right w:val="single" w:sz="8" w:color="auto"/>
            </w:tcBorders>
            <w:vMerge w:val="restart"/>
          </w:tcPr>
          <w:p>
            <w:pPr>
              <w:jc w:val="center"/>
              <w:ind w:right="150"/>
              <w:spacing w:after="0"/>
              <w:rPr>
                <w:sz w:val="20"/>
                <w:szCs w:val="20"/>
                <w:color w:val="auto"/>
              </w:rPr>
            </w:pPr>
            <w:r>
              <w:rPr>
                <w:rFonts w:ascii="Arial" w:cs="Arial" w:eastAsia="Arial" w:hAnsi="Arial"/>
                <w:sz w:val="18"/>
                <w:szCs w:val="18"/>
                <w:b w:val="1"/>
                <w:bCs w:val="1"/>
                <w:color w:val="auto"/>
                <w:w w:val="87"/>
              </w:rPr>
              <w:t>10.</w:t>
            </w:r>
          </w:p>
        </w:tc>
        <w:tc>
          <w:tcPr>
            <w:tcW w:w="6460" w:type="dxa"/>
            <w:vAlign w:val="bottom"/>
            <w:gridSpan w:val="2"/>
            <w:vMerge w:val="restart"/>
          </w:tcPr>
          <w:p>
            <w:pPr>
              <w:ind w:left="20"/>
              <w:spacing w:after="0"/>
              <w:rPr>
                <w:sz w:val="20"/>
                <w:szCs w:val="20"/>
                <w:color w:val="auto"/>
              </w:rPr>
            </w:pPr>
            <w:r>
              <w:rPr>
                <w:rFonts w:ascii="Arial" w:cs="Arial" w:eastAsia="Arial" w:hAnsi="Arial"/>
                <w:sz w:val="18"/>
                <w:szCs w:val="18"/>
                <w:color w:val="auto"/>
              </w:rPr>
              <w:t>SHARED DISPOSITIVE POWER  30,880,000 (</w:t>
            </w:r>
            <w:r>
              <w:rPr>
                <w:rFonts w:ascii="Arial" w:cs="Arial" w:eastAsia="Arial" w:hAnsi="Arial"/>
                <w:sz w:val="18"/>
                <w:szCs w:val="18"/>
                <w:i w:val="1"/>
                <w:iCs w:val="1"/>
                <w:color w:val="auto"/>
              </w:rPr>
              <w:t>See Item 5</w:t>
            </w:r>
            <w:r>
              <w:rPr>
                <w:rFonts w:ascii="Arial" w:cs="Arial" w:eastAsia="Arial" w:hAnsi="Arial"/>
                <w:sz w:val="18"/>
                <w:szCs w:val="18"/>
                <w:color w:val="auto"/>
              </w:rPr>
              <w:t>)</w:t>
            </w:r>
          </w:p>
        </w:tc>
        <w:tc>
          <w:tcPr>
            <w:tcW w:w="2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72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4"/>
              </w:rPr>
              <w:t>PERSON WITH</w:t>
            </w:r>
          </w:p>
        </w:tc>
        <w:tc>
          <w:tcPr>
            <w:tcW w:w="200" w:type="dxa"/>
            <w:vAlign w:val="bottom"/>
          </w:tcPr>
          <w:p>
            <w:pPr>
              <w:spacing w:after="0"/>
              <w:rPr>
                <w:sz w:val="20"/>
                <w:szCs w:val="20"/>
                <w:color w:val="auto"/>
              </w:rPr>
            </w:pPr>
          </w:p>
        </w:tc>
        <w:tc>
          <w:tcPr>
            <w:tcW w:w="580" w:type="dxa"/>
            <w:vAlign w:val="bottom"/>
            <w:tcBorders>
              <w:right w:val="single" w:sz="8" w:color="auto"/>
            </w:tcBorders>
            <w:vMerge w:val="continue"/>
          </w:tcPr>
          <w:p>
            <w:pPr>
              <w:spacing w:after="0"/>
              <w:rPr>
                <w:sz w:val="20"/>
                <w:szCs w:val="20"/>
                <w:color w:val="auto"/>
              </w:rPr>
            </w:pPr>
          </w:p>
        </w:tc>
        <w:tc>
          <w:tcPr>
            <w:tcW w:w="6460" w:type="dxa"/>
            <w:vAlign w:val="bottom"/>
            <w:gridSpan w:val="2"/>
            <w:vMerge w:val="continue"/>
          </w:tcPr>
          <w:p>
            <w:pPr>
              <w:spacing w:after="0"/>
              <w:rPr>
                <w:sz w:val="20"/>
                <w:szCs w:val="20"/>
                <w:color w:val="auto"/>
              </w:rPr>
            </w:pP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620" w:right="4100" w:hanging="429"/>
        <w:spacing w:after="0" w:line="412" w:lineRule="auto"/>
        <w:tabs>
          <w:tab w:leader="none" w:pos="6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 30,880,000 (</w:t>
      </w:r>
      <w:r>
        <w:rPr>
          <w:rFonts w:ascii="Arial" w:cs="Arial" w:eastAsia="Arial" w:hAnsi="Arial"/>
          <w:sz w:val="18"/>
          <w:szCs w:val="18"/>
          <w:i w:val="1"/>
          <w:iCs w:val="1"/>
          <w:color w:val="auto"/>
        </w:rPr>
        <w:t>See Item 5</w:t>
      </w:r>
      <w:r>
        <w:rPr>
          <w:rFonts w:ascii="Arial" w:cs="Arial" w:eastAsia="Arial" w:hAnsi="Arial"/>
          <w:sz w:val="18"/>
          <w:szCs w:val="18"/>
          <w:color w:val="auto"/>
        </w:rPr>
        <w:t>)</w:t>
      </w:r>
    </w:p>
    <w:p>
      <w:pPr>
        <w:spacing w:after="0" w:line="4" w:lineRule="exact"/>
        <w:rPr>
          <w:rFonts w:ascii="Arial" w:cs="Arial" w:eastAsia="Arial" w:hAnsi="Arial"/>
          <w:sz w:val="18"/>
          <w:szCs w:val="18"/>
          <w:b w:val="1"/>
          <w:bCs w:val="1"/>
          <w:color w:val="auto"/>
        </w:rPr>
      </w:pPr>
    </w:p>
    <w:p>
      <w:pPr>
        <w:ind w:left="620" w:right="5120" w:hanging="434"/>
        <w:spacing w:after="0" w:line="255" w:lineRule="auto"/>
        <w:tabs>
          <w:tab w:leader="none" w:pos="6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(9) EXCLUDES CERTAIN SHARES</w:t>
      </w:r>
    </w:p>
    <w:p>
      <w:pPr>
        <w:spacing w:after="0" w:line="2" w:lineRule="exact"/>
        <w:rPr>
          <w:sz w:val="20"/>
          <w:szCs w:val="20"/>
          <w:color w:val="auto"/>
        </w:rPr>
      </w:pPr>
    </w:p>
    <w:p>
      <w:pPr>
        <w:ind w:left="10860"/>
        <w:spacing w:after="0" w:line="181" w:lineRule="exact"/>
        <w:rPr>
          <w:sz w:val="20"/>
          <w:szCs w:val="20"/>
          <w:color w:val="auto"/>
        </w:rPr>
      </w:pPr>
      <w:r>
        <w:rPr>
          <w:rFonts w:ascii="MS PGothic" w:cs="MS PGothic" w:eastAsia="MS PGothic" w:hAnsi="MS PGothic"/>
          <w:sz w:val="18"/>
          <w:szCs w:val="18"/>
          <w:color w:val="auto"/>
        </w:rPr>
        <w:t>☐</w:t>
      </w:r>
    </w:p>
    <w:p>
      <w:pPr>
        <w:spacing w:after="0" w:line="94" w:lineRule="exact"/>
        <w:rPr>
          <w:sz w:val="20"/>
          <w:szCs w:val="20"/>
          <w:color w:val="auto"/>
        </w:rPr>
      </w:pPr>
    </w:p>
    <w:p>
      <w:pPr>
        <w:ind w:left="620" w:hanging="434"/>
        <w:spacing w:after="0"/>
        <w:tabs>
          <w:tab w:leader="none" w:pos="620" w:val="left"/>
        </w:tabs>
        <w:numPr>
          <w:ilvl w:val="1"/>
          <w:numId w:val="7"/>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25" w:lineRule="exact"/>
        <w:rPr>
          <w:rFonts w:ascii="Arial" w:cs="Arial" w:eastAsia="Arial" w:hAnsi="Arial"/>
          <w:sz w:val="18"/>
          <w:szCs w:val="18"/>
          <w:b w:val="1"/>
          <w:bCs w:val="1"/>
          <w:color w:val="auto"/>
        </w:rPr>
      </w:pPr>
    </w:p>
    <w:p>
      <w:pPr>
        <w:ind w:left="620"/>
        <w:spacing w:after="0"/>
        <w:rPr>
          <w:rFonts w:ascii="Arial" w:cs="Arial" w:eastAsia="Arial" w:hAnsi="Arial"/>
          <w:sz w:val="18"/>
          <w:szCs w:val="18"/>
          <w:b w:val="1"/>
          <w:bCs w:val="1"/>
          <w:color w:val="auto"/>
        </w:rPr>
      </w:pPr>
      <w:r>
        <w:rPr>
          <w:rFonts w:ascii="Arial" w:cs="Arial" w:eastAsia="Arial" w:hAnsi="Arial"/>
          <w:sz w:val="18"/>
          <w:szCs w:val="18"/>
          <w:color w:val="auto"/>
        </w:rPr>
        <w:t>27.9%* (</w:t>
      </w:r>
      <w:r>
        <w:rPr>
          <w:rFonts w:ascii="Arial" w:cs="Arial" w:eastAsia="Arial" w:hAnsi="Arial"/>
          <w:sz w:val="18"/>
          <w:szCs w:val="18"/>
          <w:i w:val="1"/>
          <w:iCs w:val="1"/>
          <w:color w:val="auto"/>
        </w:rPr>
        <w:t>See Item 5</w:t>
      </w:r>
      <w:r>
        <w:rPr>
          <w:rFonts w:ascii="Arial" w:cs="Arial" w:eastAsia="Arial" w:hAnsi="Arial"/>
          <w:sz w:val="18"/>
          <w:szCs w:val="18"/>
          <w:color w:val="auto"/>
        </w:rPr>
        <w:t>)</w:t>
      </w:r>
    </w:p>
    <w:p>
      <w:pPr>
        <w:spacing w:after="0" w:line="76" w:lineRule="exact"/>
        <w:rPr>
          <w:rFonts w:ascii="Arial" w:cs="Arial" w:eastAsia="Arial" w:hAnsi="Arial"/>
          <w:sz w:val="18"/>
          <w:szCs w:val="18"/>
          <w:b w:val="1"/>
          <w:bCs w:val="1"/>
          <w:color w:val="auto"/>
        </w:rPr>
      </w:pPr>
    </w:p>
    <w:p>
      <w:pPr>
        <w:ind w:left="620" w:right="8140" w:hanging="434"/>
        <w:spacing w:after="0" w:line="524" w:lineRule="auto"/>
        <w:tabs>
          <w:tab w:leader="none" w:pos="620" w:val="left"/>
        </w:tabs>
        <w:numPr>
          <w:ilvl w:val="1"/>
          <w:numId w:val="7"/>
        </w:numPr>
        <w:rPr>
          <w:rFonts w:ascii="Arial" w:cs="Arial" w:eastAsia="Arial" w:hAnsi="Arial"/>
          <w:sz w:val="18"/>
          <w:szCs w:val="18"/>
          <w:b w:val="1"/>
          <w:bCs w:val="1"/>
          <w:color w:val="auto"/>
        </w:rPr>
      </w:pPr>
      <w:r>
        <w:rPr>
          <w:rFonts w:ascii="Arial" w:cs="Arial" w:eastAsia="Arial" w:hAnsi="Arial"/>
          <w:sz w:val="18"/>
          <w:szCs w:val="18"/>
          <w:color w:val="auto"/>
        </w:rPr>
        <w:t>TYPE OF REPORTING PERSON OO</w:t>
      </w:r>
    </w:p>
    <w:p>
      <w:pPr>
        <w:jc w:val="both"/>
        <w:ind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 Based on 110,789,875 shares of Class A Common Stock of the Issuer that were outstanding following the mergers contemplated by that certain Agreement and Plan of Merger dated as of June 24, 2021, by and among 890 5th Avenue Partners, Inc., Bolt Merger Sub I, Inc., Bolt Merger Sub II, Inc., and BuzzFeed, Inc., as amended. However, the Reporting Persons’ 30,880,000 shares of Class A Common Stock represent less than 5% of the total voting power of all outstanding shares of the Issuer’s Class A Common Stock, Class B Common Stock and Class C Common Stock on a combined basis, as of December 3, 2021, based on information provided by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611" w:right="31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1. Security and Issuer.</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class of equity securities to which this Statement on Schedule 13D (this “Schedule”) relates is the Class A Common Stock, $0.0001 par value per share (“Class A Common Stock”) of BuzzFeed, Inc., a Delaware corporation (the “Issuer”). The principal executive offices of the Issuer are located at 111 East 18th Street, 13th Floor, New York, New York, 10003.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Schedule is filed by Comcast Corporation (“Comcast”), for and on behalf of itself, NBCUniversal, LLC (“NBCUniversal Holdings”) and NBCUniversal Media, LLC (“NBCUniversal” and, together with Comcast and NBCUniversal Holdings, the “Reporting Persons”). NBCUniversal is a wholly owned subsidiary of NBCUniversal Holdings, which in turn is a wholly owned subsidiary of Comcast.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principal business office of Comcast is located at One Comcast Center, Philadelphia, Pennsylvania 19103-2838. The principal business offices of NBCUniversal and NBCUniversal Holdings are located at 30 Rockefeller Plaza, New York, New York 10112. The Reporting Persons principally provide communications services, produce and develop media content and operate theme parks.</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name, residence or business address, present principal occupation or employment and citizenship of each director and executive officer of the Reporting Persons are set forth on Schedule A to this Schedule. None of the Reporting Persons, nor, to the best knowledge of the Reporting Persons, any person named in Schedule A to this Schedule has, during the last five years, been convicted of a criminal proceeding (excluding traffic violations or similar misdemeanors) or been a party to a civil proceeding of a judicial or administrative body of competent jurisdiction resulting in a judgment, decree or final order enjoining future violations of, or prohibiting or mandating activities subject to, federal or state securities laws or finding any violation with respect to such laws.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29"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On December 3, 2021 (the “Closing Date”), the Issuer consummated a business combination (the “Business Combination”) pursuant to the terms of that certain Agreement and Plan of Merger dated as of June 24, 2021, by and among 890 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Avenue Partners, Inc. (the “SPAC”), Bolt Merger Sub I, Inc. (“Merger Sub I”), Bolt Merger Sub II, Inc. (“Merger Sub II”), and BuzzFeed, Inc. (“Old BuzzFeed”) (as amended on October 28, 2021, the “Merger Agreement”).</w:t>
      </w:r>
    </w:p>
    <w:p>
      <w:pPr>
        <w:spacing w:after="0" w:line="20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Immediately upon the consummation of the Business Combination and the other transactions contemplated by the Merger Agreement (the “Transactions”), Merger Sub I merged with and into Old BuzzFeed, after which the separate corporate existence of Merger Sub I ceased and Old BuzzFeed continued as the surviving entity, and immediately thereafter Old BuzzFeed merged with and into Merger Sub II, after which the separate corporate existence of Old BuzzFeed ceased and Merger Sub II continued as the surviving company and changed its name to BuzzFeed, Inc.</w:t>
      </w:r>
    </w:p>
    <w:p>
      <w:pPr>
        <w:spacing w:after="0" w:line="17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Prior to the Transactions, in 2015, NBCUniversal had acquired shares of Series F Preferred Stock of Old BuzzFeed for aggregate consideration of $200 million, and in 2016, NBCUniversal had acquired shares of Series G Preferred Stock of Old BuzzFeed for aggregate consideration of $200 million, in each case using cash on hand. As a result of the Transactions, on the Closing Date, shares of Series F Preferred Stock and Series G Preferred Stock of Old BuzzFeed previously held by NBCUniversal were converted into 30,880,000 shares of Class A Common Stock of the Issuer.</w:t>
      </w:r>
    </w:p>
    <w:p>
      <w:pPr>
        <w:spacing w:after="0" w:line="15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foregoing description of the Merger Agreement and the transactions contemplated thereby is qualified in its entirety by reference to the full text of the Merger Agreement, a copy of which is included as Exhibit 99.1 to this Schedule and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 w:name="page6"/>
    <w:bookmarkEnd w:id="5"/>
    <w:p>
      <w:pPr>
        <w:ind w:left="660"/>
        <w:spacing w:after="0"/>
        <w:rPr>
          <w:sz w:val="20"/>
          <w:szCs w:val="20"/>
          <w:color w:val="auto"/>
        </w:rPr>
      </w:pPr>
      <w:r>
        <w:rPr>
          <w:rFonts w:ascii="Arial" w:cs="Arial" w:eastAsia="Arial" w:hAnsi="Arial"/>
          <w:sz w:val="18"/>
          <w:szCs w:val="18"/>
          <w:color w:val="auto"/>
        </w:rPr>
        <w:t>The information contained above in Item 1 and Item 3 of this Schedule is incorporated herein by reference.</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Reporting Persons hold the Class A Common Stock of the Issuer as an investment. The Reporting Persons intend to review their investment in the Issuer on a continuing basis. Subject to the terms of the agreements described in Item 6 below, the Reporting Persons may acquire additional securities of the Issuer or retain or sell all or a portion of the securities then beneficially held by them, at such time or times as the Reporting Persons determine, including pursuant to sales or purchases in the open market, in privately negotiated transactions, through a public offering upon exercise of registration rights or otherwise, in each case, depending on the course of action the Reporting Persons determine to pursue, the price and liquidity of the Class A Common Stock of the Issuer, subsequent developments affecting the Issuer, the Issuer’s business and prospects, market and economic conditions, regulatory considerations and other factors.</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Although the foregoing represents the range of activities presently contemplated by the Reporting Persons with respect to the Issuer, the possible activities of the Reporting Persons are subject to change at any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jc w:val="both"/>
        <w:ind w:left="660" w:hanging="328"/>
        <w:spacing w:after="0" w:line="25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responses of the Reporting Persons to Rows (11) through (13) of the cover pages of this Schedule are incorporated herein by reference. As of December 3, 2021, NBCUniversal, NBCUniversal Holdings and Comcast had shared beneficial ownership of an aggregate of 30,880,000 shares of Class A Common Stock of the Issuer, which is equal to approximately 27.9% of the outstanding shares of Class A Common Stock of the Issuer, based on information provided by the Issuer.</w:t>
      </w:r>
    </w:p>
    <w:p>
      <w:pPr>
        <w:spacing w:after="0" w:line="186"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Except as disclosed in this Item 5(a), none of the Reporting Persons nor, to the best of their knowledge, any of their directors or executive officers, beneficially owns any shares of Class A Common Stock of the Issuer.</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response of the Reporting Persons to (i) Rows (7) through (10) of the cover pages of this Schedule and (ii) Item 5(a) hereof are incorporated herein by reference.</w:t>
      </w:r>
    </w:p>
    <w:p>
      <w:pPr>
        <w:spacing w:after="0" w:line="170" w:lineRule="exact"/>
        <w:rPr>
          <w:rFonts w:ascii="Arial" w:cs="Arial" w:eastAsia="Arial" w:hAnsi="Arial"/>
          <w:sz w:val="18"/>
          <w:szCs w:val="18"/>
          <w:color w:val="auto"/>
        </w:rPr>
      </w:pPr>
    </w:p>
    <w:p>
      <w:pPr>
        <w:jc w:val="both"/>
        <w:ind w:left="660"/>
        <w:spacing w:after="0" w:line="263" w:lineRule="auto"/>
        <w:rPr>
          <w:rFonts w:ascii="Arial" w:cs="Arial" w:eastAsia="Arial" w:hAnsi="Arial"/>
          <w:sz w:val="18"/>
          <w:szCs w:val="18"/>
          <w:color w:val="auto"/>
        </w:rPr>
      </w:pPr>
      <w:r>
        <w:rPr>
          <w:rFonts w:ascii="Arial" w:cs="Arial" w:eastAsia="Arial" w:hAnsi="Arial"/>
          <w:sz w:val="18"/>
          <w:szCs w:val="18"/>
          <w:color w:val="auto"/>
        </w:rPr>
        <w:t>Except as disclosed in this Item 5(b), none of the Reporting Persons, nor to the best of their knowledge, any of their directors or executive officers, presently has the power to vote or direct the vote or to dispose or direct the disposition of any of the shares of Class A Common Stock of the Issuer which they may be deemed to beneficially own.</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Except as described in Item 3 of this Schedule, which is incorporated herein by reference, none of the Reporting Persons, nor, to the best of their knowledge, any of their directors or executive officers, has effected any transaction in the shares of Class A Common Stock of the Issuer during the past 60 days.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Escrow Agreement</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the Closing Date, Jonah Peretti, Chief Executive Officer of the Issuer, Jonah Peretti, LLC (collectively with Mr. Peretti, the “Peretti Parties”), NBCUniversal and PNC Bank, National Association, as escrow agent, entered into an amended and restated escrow agreement (the “Escrow Agreement”) which provides for, among other things, the escrow of 1,200,000 shares of Class A Common Stock of the Issuer or Class B Common Stock of the Issuer, par value $0.0001 per share (the “Escrowed Shares”) exchangeable by the Peretti Parties in connection with the Transactions. Pursuant to the Escrow Agreement, in the event the Transfer Date SPAC Share Price (as defined in the Escrow Agreement) is less than $12.50 per share on the Transfer Date (as defined in the Escrow Agreement), the Peretti Parties and NBCUniversal shall instruct the escrow agent to transfer (1) to NBCUniversal a number of Escrowed Shares equal to the Make Whole Shares (as defined in the Escrow Agreement) and (2) to the Peretti Parties, the remainder of the Escrowed Shares, if any. If the Transfer Date SPAC Share Price is equal to or greater than $12.50 on the Transfer Date, the Peretti Parties and NBCUniversal shall instruct the escrow agent to transfer all of the Escrowed Shares to the Peretti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346710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 w:name="page7"/>
    <w:bookmarkEnd w:id="6"/>
    <w:p>
      <w:pPr>
        <w:jc w:val="both"/>
        <w:ind w:firstLine="648"/>
        <w:spacing w:after="0" w:line="277" w:lineRule="auto"/>
        <w:rPr>
          <w:sz w:val="20"/>
          <w:szCs w:val="20"/>
          <w:color w:val="auto"/>
        </w:rPr>
      </w:pPr>
      <w:r>
        <w:rPr>
          <w:rFonts w:ascii="Arial" w:cs="Arial" w:eastAsia="Arial" w:hAnsi="Arial"/>
          <w:sz w:val="18"/>
          <w:szCs w:val="18"/>
          <w:color w:val="auto"/>
        </w:rPr>
        <w:t>The foregoing description of the Escrow Agreement is qualified in its entirety by reference to the full text of the Escrow Agreement, which is included as Exhibit 99.2 to this Schedule and is incorporated by reference 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Eighth Amended and Restated Investors’ Rights Agreement</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June 24, 2021, Old BuzzFeed entered into the Eighth Amended and Restated Investors’ Rights Agreement (the “IRA”) with certain holders of its preferred and common stock that may following the consummation of the Business Combination hold 5% or more of the Issuer’s Class A Common Stock or Class B Common Stock, including NBCUniversal. Pursuant to the IRA, these stockholders are entitled to certain information rights, rights to participate in certain additional issuances of the Issuer’s capital stock and rights with respect to the registration of their shares. Further, the parties to the IRA agreed to be subject to a post-closing lock-up with respect to their common shares for a period of 180 days, subject to customary terms; provided that any waiver, termination, shortening or other modification to similar restrictions applicable to such shares shall apply pro rata. All of the terms of the IRA, except for the market standoff provisions, terminated in connection with the closing of the Business Combination.</w:t>
      </w:r>
    </w:p>
    <w:p>
      <w:pPr>
        <w:spacing w:after="0" w:line="1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foregoing description of the IRA is qualified in its entirety by reference to the full text of the IRA, which is included as Exhibit 99.3 to this Schedule and is incorporated by reference 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Registration Rights Agreement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the Closing Date, NBCUniversal entered into an Amended and Restated Registration Rights Agreement (the “RRA”) with 200 Park Avenue Partners, LLC (the “Sponsor”) and certain other stockholders of Old BuzzFeed who would hold 5% or more of the shares of Class A Common Stock of the Issuer as of the Closing Date (collectively with the Sponsor, the “Holders”) and the SPAC, pursuant to which, among other things, the Issuer agreed to provide to such Holders and their permitted transferees certain registration rights, including, among other things, customary “demand” and “piggyback” registration rights, with respect to their shares of Class A Common Stock of the Issuer, subject to certain requirements and customary conditions. The RRA further provides that shares of Class A Common Stock of the Issuer held by the Holders or their permitted transferees will be locked-up for a certain period of time as defined therein.</w:t>
      </w:r>
    </w:p>
    <w:p>
      <w:pPr>
        <w:spacing w:after="0" w:line="19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foregoing description of the RRA is qualified in its entirety by reference to the full text of the RRA, which is included as Exhibit 99.4 to this Schedule and is incorporated by reference herein.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in Items 3 and 4 of this Schedule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documents are filed as exhibits:</w:t>
      </w:r>
    </w:p>
    <w:p>
      <w:pPr>
        <w:sectPr>
          <w:pgSz w:w="11900" w:h="16838" w:orient="portrait"/>
          <w:cols w:equalWidth="0" w:num="1">
            <w:col w:w="11240"/>
          </w:cols>
          <w:pgMar w:left="320" w:top="800" w:right="339" w:bottom="1440" w:gutter="0" w:footer="0" w:header="0"/>
        </w:sectPr>
      </w:pPr>
    </w:p>
    <w:p>
      <w:pPr>
        <w:spacing w:after="0" w:line="248" w:lineRule="exact"/>
        <w:rPr>
          <w:sz w:val="20"/>
          <w:szCs w:val="20"/>
          <w:color w:val="auto"/>
        </w:rPr>
      </w:pPr>
    </w:p>
    <w:p>
      <w:pPr>
        <w:jc w:val="center"/>
        <w:ind w:left="140"/>
        <w:spacing w:after="0"/>
        <w:rPr>
          <w:sz w:val="20"/>
          <w:szCs w:val="20"/>
          <w:color w:val="auto"/>
        </w:rPr>
      </w:pPr>
      <w:r>
        <w:rPr>
          <w:rFonts w:ascii="Arial" w:cs="Arial" w:eastAsia="Arial" w:hAnsi="Arial"/>
          <w:sz w:val="16"/>
          <w:szCs w:val="16"/>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6858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84" w:lineRule="exact"/>
        <w:rPr>
          <w:sz w:val="20"/>
          <w:szCs w:val="20"/>
          <w:color w:val="auto"/>
        </w:rPr>
      </w:pPr>
    </w:p>
    <w:p>
      <w:pPr>
        <w:jc w:val="center"/>
        <w:ind w:left="140"/>
        <w:spacing w:after="0"/>
        <w:rPr>
          <w:sz w:val="20"/>
          <w:szCs w:val="20"/>
          <w:color w:val="auto"/>
        </w:rPr>
      </w:pPr>
      <w:r>
        <w:rPr>
          <w:rFonts w:ascii="Arial" w:cs="Arial" w:eastAsia="Arial" w:hAnsi="Arial"/>
          <w:sz w:val="18"/>
          <w:szCs w:val="18"/>
          <w:color w:val="auto"/>
        </w:rPr>
        <w:t>99.1</w:t>
      </w:r>
    </w:p>
    <w:p>
      <w:pPr>
        <w:spacing w:after="0" w:line="200" w:lineRule="exact"/>
        <w:rPr>
          <w:sz w:val="20"/>
          <w:szCs w:val="20"/>
          <w:color w:val="auto"/>
        </w:rPr>
      </w:pPr>
    </w:p>
    <w:p>
      <w:pPr>
        <w:spacing w:after="0" w:line="336" w:lineRule="exact"/>
        <w:rPr>
          <w:sz w:val="20"/>
          <w:szCs w:val="20"/>
          <w:color w:val="auto"/>
        </w:rPr>
      </w:pPr>
    </w:p>
    <w:p>
      <w:pPr>
        <w:jc w:val="center"/>
        <w:ind w:left="140"/>
        <w:spacing w:after="0"/>
        <w:rPr>
          <w:sz w:val="20"/>
          <w:szCs w:val="20"/>
          <w:color w:val="auto"/>
        </w:rPr>
      </w:pPr>
      <w:r>
        <w:rPr>
          <w:rFonts w:ascii="Arial" w:cs="Arial" w:eastAsia="Arial" w:hAnsi="Arial"/>
          <w:sz w:val="18"/>
          <w:szCs w:val="18"/>
          <w:color w:val="auto"/>
        </w:rPr>
        <w:t>99.2</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637794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77940" cy="8255"/>
                    </a:xfrm>
                    <a:prstGeom prst="rect">
                      <a:avLst/>
                    </a:prstGeom>
                    <a:noFill/>
                  </pic:spPr>
                </pic:pic>
              </a:graphicData>
            </a:graphic>
          </wp:anchor>
        </w:drawing>
      </w:r>
    </w:p>
    <w:p>
      <w:pPr>
        <w:spacing w:after="0" w:line="64" w:lineRule="exact"/>
        <w:rPr>
          <w:sz w:val="20"/>
          <w:szCs w:val="20"/>
          <w:color w:val="auto"/>
        </w:rPr>
      </w:pPr>
    </w:p>
    <w:p>
      <w:pPr>
        <w:jc w:val="both"/>
        <w:ind w:right="20"/>
        <w:spacing w:after="0" w:line="224" w:lineRule="auto"/>
        <w:rPr>
          <w:sz w:val="20"/>
          <w:szCs w:val="20"/>
          <w:color w:val="auto"/>
        </w:rPr>
      </w:pPr>
      <w:r>
        <w:rPr>
          <w:rFonts w:ascii="Arial" w:cs="Arial" w:eastAsia="Arial" w:hAnsi="Arial"/>
          <w:sz w:val="18"/>
          <w:szCs w:val="18"/>
          <w:color w:val="auto"/>
        </w:rPr>
        <w:t>Agreement and Plan of Merger, dated as of June 24, 2021, by and among 890 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Avenue Partners, Inc. (the “SPAC”), Bolt Merger Sub I, Inc., Bolt Merger Sub II, Inc., and BuzzFeed, Inc. (incorporated by reference to Exhibit 2.1 to the SPAC’s Registration Statement on Form S-4/A filed with the Commission on November 9, 2021 (File No. 333-258343))</w:t>
      </w:r>
    </w:p>
    <w:p>
      <w:pPr>
        <w:spacing w:after="0" w:line="4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Amended and Restated Escrow Agreement, dated December 3, 2021, by and among NBCUniversal Media, LLC, Jonah Peretti, Jonah Peretti LLC and PNC Bank, National Association, as escrow agent (incorporated by reference to Exhibit 10.19 to the Issuer’s Current Report on Form 8-K filed with the Commission on December 9, 2021 (File No. 001-39877))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228600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1020" w:space="140"/>
            <w:col w:w="10080"/>
          </w:cols>
          <w:pgMar w:left="320" w:top="800" w:right="339" w:bottom="1440" w:gutter="0" w:footer="0" w:header="0"/>
          <w:type w:val="continuous"/>
        </w:sectPr>
      </w:pPr>
    </w:p>
    <w:bookmarkStart w:id="7" w:name="page8"/>
    <w:bookmarkEnd w:id="7"/>
    <w:p>
      <w:pPr>
        <w:jc w:val="both"/>
        <w:ind w:left="1152" w:hanging="750"/>
        <w:spacing w:after="0" w:line="263" w:lineRule="auto"/>
        <w:tabs>
          <w:tab w:leader="none" w:pos="1132" w:val="left"/>
        </w:tabs>
        <w:rPr>
          <w:sz w:val="20"/>
          <w:szCs w:val="20"/>
          <w:color w:val="auto"/>
        </w:rPr>
      </w:pPr>
      <w:r>
        <w:rPr>
          <w:rFonts w:ascii="Arial" w:cs="Arial" w:eastAsia="Arial" w:hAnsi="Arial"/>
          <w:sz w:val="18"/>
          <w:szCs w:val="18"/>
          <w:color w:val="auto"/>
        </w:rPr>
        <w:t>99.3</w:t>
      </w:r>
      <w:r>
        <w:rPr>
          <w:sz w:val="20"/>
          <w:szCs w:val="20"/>
          <w:color w:val="auto"/>
        </w:rPr>
        <w:tab/>
      </w:r>
      <w:r>
        <w:rPr>
          <w:rFonts w:ascii="Arial" w:cs="Arial" w:eastAsia="Arial" w:hAnsi="Arial"/>
          <w:sz w:val="18"/>
          <w:szCs w:val="18"/>
          <w:color w:val="auto"/>
        </w:rPr>
        <w:t>Eighth Amended and Restated Investors’ Rights Agreement, dated as of June 24, 2021, by and among Old BuzzFeed and the other parties thereto (incorporated by reference to Exhibit 10.8 to the SPAC’s Registration Statement on Form S-4/A filed with the Commission on November 9, 2021 (File No. 333-258343))</w:t>
      </w:r>
    </w:p>
    <w:p>
      <w:pPr>
        <w:spacing w:after="0" w:line="22" w:lineRule="exact"/>
        <w:rPr>
          <w:sz w:val="20"/>
          <w:szCs w:val="20"/>
          <w:color w:val="auto"/>
        </w:rPr>
      </w:pPr>
    </w:p>
    <w:p>
      <w:pPr>
        <w:ind w:left="412"/>
        <w:spacing w:after="0"/>
        <w:tabs>
          <w:tab w:leader="none" w:pos="1132" w:val="left"/>
        </w:tabs>
        <w:rPr>
          <w:sz w:val="20"/>
          <w:szCs w:val="20"/>
          <w:color w:val="auto"/>
        </w:rPr>
      </w:pPr>
      <w:r>
        <w:rPr>
          <w:rFonts w:ascii="Arial" w:cs="Arial" w:eastAsia="Arial" w:hAnsi="Arial"/>
          <w:sz w:val="18"/>
          <w:szCs w:val="18"/>
          <w:color w:val="auto"/>
        </w:rPr>
        <w:t>99.4</w:t>
      </w:r>
      <w:r>
        <w:rPr>
          <w:sz w:val="20"/>
          <w:szCs w:val="20"/>
          <w:color w:val="auto"/>
        </w:rPr>
        <w:tab/>
      </w:r>
      <w:r>
        <w:rPr>
          <w:rFonts w:ascii="Arial" w:cs="Arial" w:eastAsia="Arial" w:hAnsi="Arial"/>
          <w:sz w:val="16"/>
          <w:szCs w:val="16"/>
          <w:color w:val="auto"/>
        </w:rPr>
        <w:t>Amended and Restated Registration Rights Agreement (incorporated by reference to Exhibit 10.1 to the Issuer’s Current Report on Form</w:t>
      </w:r>
    </w:p>
    <w:p>
      <w:pPr>
        <w:spacing w:after="0" w:line="23" w:lineRule="exact"/>
        <w:rPr>
          <w:sz w:val="20"/>
          <w:szCs w:val="20"/>
          <w:color w:val="auto"/>
        </w:rPr>
      </w:pPr>
    </w:p>
    <w:p>
      <w:pPr>
        <w:ind w:left="1152"/>
        <w:spacing w:after="0"/>
        <w:rPr>
          <w:sz w:val="20"/>
          <w:szCs w:val="20"/>
          <w:color w:val="auto"/>
        </w:rPr>
      </w:pPr>
      <w:r>
        <w:rPr>
          <w:rFonts w:ascii="Arial" w:cs="Arial" w:eastAsia="Arial" w:hAnsi="Arial"/>
          <w:sz w:val="18"/>
          <w:szCs w:val="18"/>
          <w:color w:val="auto"/>
        </w:rPr>
        <w:t>8-K filed with the Commission on December 9, 2021 (File No. 001-39877))</w:t>
      </w:r>
    </w:p>
    <w:p>
      <w:pPr>
        <w:spacing w:after="0" w:line="49" w:lineRule="exact"/>
        <w:rPr>
          <w:sz w:val="20"/>
          <w:szCs w:val="20"/>
          <w:color w:val="auto"/>
        </w:rPr>
      </w:pPr>
    </w:p>
    <w:p>
      <w:pPr>
        <w:ind w:left="372"/>
        <w:spacing w:after="0"/>
        <w:tabs>
          <w:tab w:leader="none" w:pos="1132" w:val="left"/>
        </w:tabs>
        <w:rPr>
          <w:sz w:val="20"/>
          <w:szCs w:val="20"/>
          <w:color w:val="auto"/>
        </w:rPr>
      </w:pPr>
      <w:r>
        <w:rPr>
          <w:rFonts w:ascii="Arial" w:cs="Arial" w:eastAsia="Arial" w:hAnsi="Arial"/>
          <w:sz w:val="18"/>
          <w:szCs w:val="18"/>
          <w:color w:val="auto"/>
        </w:rPr>
        <w:t>99.5*</w:t>
      </w:r>
      <w:r>
        <w:rPr>
          <w:sz w:val="20"/>
          <w:szCs w:val="20"/>
          <w:color w:val="auto"/>
        </w:rPr>
        <w:tab/>
      </w:r>
      <w:r>
        <w:rPr>
          <w:rFonts w:ascii="Arial" w:cs="Arial" w:eastAsia="Arial" w:hAnsi="Arial"/>
          <w:sz w:val="16"/>
          <w:szCs w:val="16"/>
          <w:color w:val="auto"/>
        </w:rPr>
        <w:t>Joint Filing Agreement pursuant to Rule 13d-1(k)</w:t>
      </w:r>
    </w:p>
    <w:p>
      <w:pPr>
        <w:spacing w:after="0" w:line="279" w:lineRule="exact"/>
        <w:rPr>
          <w:sz w:val="20"/>
          <w:szCs w:val="20"/>
          <w:color w:val="auto"/>
        </w:rPr>
      </w:pPr>
    </w:p>
    <w:p>
      <w:pPr>
        <w:ind w:left="132" w:hanging="132"/>
        <w:spacing w:after="0"/>
        <w:tabs>
          <w:tab w:leader="none" w:pos="132"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374650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611" w:right="359" w:bottom="1440" w:gutter="0" w:footer="0" w:header="0"/>
        </w:sectPr>
      </w:pPr>
    </w:p>
    <w:bookmarkStart w:id="8" w:name="page9"/>
    <w:bookmarkEnd w:id="8"/>
    <w:p>
      <w:pPr>
        <w:jc w:val="center"/>
        <w:ind w:right="-1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13, 2021</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COMCAST CORPORATION</w:t>
      </w:r>
    </w:p>
    <w:p>
      <w:pPr>
        <w:spacing w:after="0" w:line="200" w:lineRule="exact"/>
        <w:rPr>
          <w:sz w:val="20"/>
          <w:szCs w:val="20"/>
          <w:color w:val="auto"/>
        </w:rPr>
      </w:pPr>
    </w:p>
    <w:p>
      <w:pPr>
        <w:spacing w:after="0" w:line="322" w:lineRule="exact"/>
        <w:rPr>
          <w:sz w:val="20"/>
          <w:szCs w:val="20"/>
          <w:color w:val="auto"/>
        </w:rPr>
      </w:pPr>
    </w:p>
    <w:p>
      <w:pPr>
        <w:ind w:left="6740"/>
        <w:spacing w:after="0"/>
        <w:tabs>
          <w:tab w:leader="none" w:pos="7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Elizabeth Wideman</w:t>
      </w:r>
    </w:p>
    <w:p>
      <w:pPr>
        <w:spacing w:after="0" w:line="50"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Name: Elizabeth Wideman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-130175</wp:posOffset>
            </wp:positionV>
            <wp:extent cx="25031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 Senior Vice President, Senior Deputy General</w:t>
      </w:r>
    </w:p>
    <w:p>
      <w:pPr>
        <w:spacing w:after="0" w:line="23"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Counsel and Assistant Secretary</w:t>
      </w:r>
    </w:p>
    <w:p>
      <w:pPr>
        <w:spacing w:after="0" w:line="200" w:lineRule="exact"/>
        <w:rPr>
          <w:sz w:val="20"/>
          <w:szCs w:val="20"/>
          <w:color w:val="auto"/>
        </w:rPr>
      </w:pPr>
    </w:p>
    <w:p>
      <w:pPr>
        <w:spacing w:after="0" w:line="28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NBCUNIVERSAL, LLC</w:t>
      </w:r>
    </w:p>
    <w:p>
      <w:pPr>
        <w:spacing w:after="0" w:line="200" w:lineRule="exact"/>
        <w:rPr>
          <w:sz w:val="20"/>
          <w:szCs w:val="20"/>
          <w:color w:val="auto"/>
        </w:rPr>
      </w:pPr>
    </w:p>
    <w:p>
      <w:pPr>
        <w:spacing w:after="0" w:line="322" w:lineRule="exact"/>
        <w:rPr>
          <w:sz w:val="20"/>
          <w:szCs w:val="20"/>
          <w:color w:val="auto"/>
        </w:rPr>
      </w:pPr>
    </w:p>
    <w:p>
      <w:pPr>
        <w:ind w:left="6740"/>
        <w:spacing w:after="0"/>
        <w:tabs>
          <w:tab w:leader="none" w:pos="7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Elizabeth Wideman</w:t>
      </w:r>
    </w:p>
    <w:p>
      <w:pPr>
        <w:spacing w:after="0" w:line="50"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Name: Elizabeth Wideman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-130175</wp:posOffset>
            </wp:positionV>
            <wp:extent cx="25031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6"/>
          <w:szCs w:val="16"/>
          <w:color w:val="auto"/>
        </w:rPr>
        <w:t>Title: Senior Vice President and Assistant Secretary</w:t>
      </w:r>
    </w:p>
    <w:p>
      <w:pPr>
        <w:spacing w:after="0" w:line="200" w:lineRule="exact"/>
        <w:rPr>
          <w:sz w:val="20"/>
          <w:szCs w:val="20"/>
          <w:color w:val="auto"/>
        </w:rPr>
      </w:pPr>
    </w:p>
    <w:p>
      <w:pPr>
        <w:spacing w:after="0" w:line="344"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NBCUNIVERSAL MEDIA, LLC</w:t>
      </w:r>
    </w:p>
    <w:p>
      <w:pPr>
        <w:spacing w:after="0" w:line="200" w:lineRule="exact"/>
        <w:rPr>
          <w:sz w:val="20"/>
          <w:szCs w:val="20"/>
          <w:color w:val="auto"/>
        </w:rPr>
      </w:pPr>
    </w:p>
    <w:p>
      <w:pPr>
        <w:spacing w:after="0" w:line="322" w:lineRule="exact"/>
        <w:rPr>
          <w:sz w:val="20"/>
          <w:szCs w:val="20"/>
          <w:color w:val="auto"/>
        </w:rPr>
      </w:pPr>
    </w:p>
    <w:p>
      <w:pPr>
        <w:ind w:left="6740"/>
        <w:spacing w:after="0"/>
        <w:tabs>
          <w:tab w:leader="none" w:pos="7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Elizabeth Wideman</w:t>
      </w:r>
    </w:p>
    <w:p>
      <w:pPr>
        <w:spacing w:after="0" w:line="50"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Name: Elizabeth Wideman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-130175</wp:posOffset>
            </wp:positionV>
            <wp:extent cx="25031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6"/>
          <w:szCs w:val="16"/>
          <w:color w:val="auto"/>
        </w:rPr>
        <w:t>Title: Senior Vice President and 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40"/>
          </w:cols>
          <w:pgMar w:left="320" w:top="580" w:right="5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SCHEDULE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 AND EXECUTIVE OFFICERS OF THE REPORTING PERSONS</w:t>
      </w:r>
    </w:p>
    <w:p>
      <w:pPr>
        <w:spacing w:after="0" w:line="22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The name, business address, title, present principal occupation or employment of each of the directors and executive officers of Comcast Corporation (“Comcast”) are set forth below. If no business address is given, the director’s or officer’s business address is One Comcast Center,</w:t>
      </w:r>
    </w:p>
    <w:p>
      <w:pPr>
        <w:spacing w:after="0" w:line="209" w:lineRule="auto"/>
        <w:rPr>
          <w:sz w:val="20"/>
          <w:szCs w:val="20"/>
          <w:color w:val="auto"/>
        </w:rPr>
      </w:pPr>
      <w:r>
        <w:rPr>
          <w:rFonts w:ascii="Arial" w:cs="Arial" w:eastAsia="Arial" w:hAnsi="Arial"/>
          <w:sz w:val="18"/>
          <w:szCs w:val="18"/>
          <w:color w:val="auto"/>
        </w:rPr>
        <w:t>Philadelphia, Pennsylvania 19103-2838. Unless otherwise indicated, each occupation set forth opposite an individual’s name refers to Comcast.</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All of the persons listed below are citizens of the United States of America.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7060" w:type="dxa"/>
            <w:vAlign w:val="bottom"/>
          </w:tcPr>
          <w:p>
            <w:pPr>
              <w:ind w:left="2720"/>
              <w:spacing w:after="0"/>
              <w:rPr>
                <w:sz w:val="20"/>
                <w:szCs w:val="20"/>
                <w:color w:val="auto"/>
              </w:rPr>
            </w:pPr>
            <w:r>
              <w:rPr>
                <w:rFonts w:ascii="Arial" w:cs="Arial" w:eastAsia="Arial" w:hAnsi="Arial"/>
                <w:sz w:val="18"/>
                <w:szCs w:val="18"/>
                <w:b w:val="1"/>
                <w:bCs w:val="1"/>
                <w:color w:val="auto"/>
              </w:rPr>
              <w:t>Present Principal Occupation</w:t>
            </w:r>
          </w:p>
        </w:tc>
      </w:tr>
      <w:tr>
        <w:trPr>
          <w:trHeight w:val="234"/>
        </w:trPr>
        <w:tc>
          <w:tcPr>
            <w:tcW w:w="4180" w:type="dxa"/>
            <w:vAlign w:val="bottom"/>
            <w:tcBorders>
              <w:bottom w:val="single" w:sz="8" w:color="auto"/>
            </w:tcBorders>
          </w:tcPr>
          <w:p>
            <w:pPr>
              <w:ind w:left="1340"/>
              <w:spacing w:after="0"/>
              <w:rPr>
                <w:sz w:val="20"/>
                <w:szCs w:val="20"/>
                <w:color w:val="auto"/>
              </w:rPr>
            </w:pPr>
            <w:r>
              <w:rPr>
                <w:rFonts w:ascii="Arial" w:cs="Arial" w:eastAsia="Arial" w:hAnsi="Arial"/>
                <w:sz w:val="18"/>
                <w:szCs w:val="18"/>
                <w:b w:val="1"/>
                <w:bCs w:val="1"/>
                <w:color w:val="auto"/>
              </w:rPr>
              <w:t>Name and Business Address</w:t>
            </w:r>
          </w:p>
        </w:tc>
        <w:tc>
          <w:tcPr>
            <w:tcW w:w="7060" w:type="dxa"/>
            <w:vAlign w:val="bottom"/>
            <w:tcBorders>
              <w:bottom w:val="single" w:sz="8" w:color="auto"/>
            </w:tcBorders>
          </w:tcPr>
          <w:p>
            <w:pPr>
              <w:ind w:left="2180"/>
              <w:spacing w:after="0"/>
              <w:rPr>
                <w:sz w:val="20"/>
                <w:szCs w:val="20"/>
                <w:color w:val="auto"/>
              </w:rPr>
            </w:pPr>
            <w:r>
              <w:rPr>
                <w:rFonts w:ascii="Arial" w:cs="Arial" w:eastAsia="Arial" w:hAnsi="Arial"/>
                <w:sz w:val="18"/>
                <w:szCs w:val="18"/>
                <w:b w:val="1"/>
                <w:bCs w:val="1"/>
                <w:color w:val="auto"/>
              </w:rPr>
              <w:t>(Name and Principal Business of Employer)</w:t>
            </w:r>
          </w:p>
        </w:tc>
      </w:tr>
      <w:tr>
        <w:trPr>
          <w:trHeight w:val="224"/>
        </w:trPr>
        <w:tc>
          <w:tcPr>
            <w:tcW w:w="4180" w:type="dxa"/>
            <w:vAlign w:val="bottom"/>
          </w:tcPr>
          <w:p>
            <w:pPr>
              <w:spacing w:after="0"/>
              <w:rPr>
                <w:sz w:val="20"/>
                <w:szCs w:val="20"/>
                <w:color w:val="auto"/>
              </w:rPr>
            </w:pPr>
            <w:r>
              <w:rPr>
                <w:rFonts w:ascii="Arial" w:cs="Arial" w:eastAsia="Arial" w:hAnsi="Arial"/>
                <w:sz w:val="18"/>
                <w:szCs w:val="18"/>
                <w:i w:val="1"/>
                <w:iCs w:val="1"/>
                <w:color w:val="auto"/>
              </w:rPr>
              <w:t>Directors</w:t>
            </w:r>
          </w:p>
        </w:tc>
        <w:tc>
          <w:tcPr>
            <w:tcW w:w="7060" w:type="dxa"/>
            <w:vAlign w:val="bottom"/>
          </w:tcPr>
          <w:p>
            <w:pPr>
              <w:spacing w:after="0"/>
              <w:rPr>
                <w:sz w:val="19"/>
                <w:szCs w:val="19"/>
                <w:color w:val="auto"/>
              </w:rPr>
            </w:pPr>
          </w:p>
        </w:tc>
      </w:tr>
      <w:tr>
        <w:trPr>
          <w:trHeight w:val="350"/>
        </w:trPr>
        <w:tc>
          <w:tcPr>
            <w:tcW w:w="4180" w:type="dxa"/>
            <w:vAlign w:val="bottom"/>
          </w:tcPr>
          <w:p>
            <w:pPr>
              <w:spacing w:after="0"/>
              <w:rPr>
                <w:sz w:val="20"/>
                <w:szCs w:val="20"/>
                <w:color w:val="auto"/>
              </w:rPr>
            </w:pPr>
            <w:r>
              <w:rPr>
                <w:rFonts w:ascii="Arial" w:cs="Arial" w:eastAsia="Arial" w:hAnsi="Arial"/>
                <w:sz w:val="18"/>
                <w:szCs w:val="18"/>
                <w:color w:val="auto"/>
              </w:rPr>
              <w:t>Kenneth J. Bacon</w:t>
            </w:r>
          </w:p>
        </w:tc>
        <w:tc>
          <w:tcPr>
            <w:tcW w:w="7060" w:type="dxa"/>
            <w:vAlign w:val="bottom"/>
          </w:tcPr>
          <w:p>
            <w:pPr>
              <w:ind w:left="660"/>
              <w:spacing w:after="0"/>
              <w:rPr>
                <w:sz w:val="20"/>
                <w:szCs w:val="20"/>
                <w:color w:val="auto"/>
              </w:rPr>
            </w:pPr>
            <w:r>
              <w:rPr>
                <w:rFonts w:ascii="Arial" w:cs="Arial" w:eastAsia="Arial" w:hAnsi="Arial"/>
                <w:sz w:val="18"/>
                <w:szCs w:val="18"/>
                <w:color w:val="auto"/>
              </w:rPr>
              <w:t>Partner at RailField Partners, a financial advisory and asset management firm</w:t>
            </w:r>
          </w:p>
        </w:tc>
      </w:tr>
      <w:tr>
        <w:trPr>
          <w:trHeight w:val="350"/>
        </w:trPr>
        <w:tc>
          <w:tcPr>
            <w:tcW w:w="4180" w:type="dxa"/>
            <w:vAlign w:val="bottom"/>
          </w:tcPr>
          <w:p>
            <w:pPr>
              <w:spacing w:after="0"/>
              <w:rPr>
                <w:sz w:val="20"/>
                <w:szCs w:val="20"/>
                <w:color w:val="auto"/>
              </w:rPr>
            </w:pPr>
            <w:r>
              <w:rPr>
                <w:rFonts w:ascii="Arial" w:cs="Arial" w:eastAsia="Arial" w:hAnsi="Arial"/>
                <w:sz w:val="18"/>
                <w:szCs w:val="18"/>
                <w:color w:val="auto"/>
              </w:rPr>
              <w:t>Madeline S. Bell</w:t>
            </w:r>
          </w:p>
        </w:tc>
        <w:tc>
          <w:tcPr>
            <w:tcW w:w="7060" w:type="dxa"/>
            <w:vAlign w:val="bottom"/>
          </w:tcPr>
          <w:p>
            <w:pPr>
              <w:ind w:left="660"/>
              <w:spacing w:after="0"/>
              <w:rPr>
                <w:sz w:val="20"/>
                <w:szCs w:val="20"/>
                <w:color w:val="auto"/>
              </w:rPr>
            </w:pPr>
            <w:r>
              <w:rPr>
                <w:rFonts w:ascii="Arial" w:cs="Arial" w:eastAsia="Arial" w:hAnsi="Arial"/>
                <w:sz w:val="18"/>
                <w:szCs w:val="18"/>
                <w:color w:val="auto"/>
                <w:w w:val="92"/>
              </w:rPr>
              <w:t>President and Chief Executive Officer of The Children’s Hospital of Philadelphia, a top-</w:t>
            </w:r>
          </w:p>
        </w:tc>
      </w:tr>
      <w:tr>
        <w:trPr>
          <w:trHeight w:val="230"/>
        </w:trPr>
        <w:tc>
          <w:tcPr>
            <w:tcW w:w="4180" w:type="dxa"/>
            <w:vAlign w:val="bottom"/>
          </w:tcPr>
          <w:p>
            <w:pPr>
              <w:spacing w:after="0"/>
              <w:rPr>
                <w:sz w:val="20"/>
                <w:szCs w:val="20"/>
                <w:color w:val="auto"/>
              </w:rPr>
            </w:pPr>
          </w:p>
        </w:tc>
        <w:tc>
          <w:tcPr>
            <w:tcW w:w="7060" w:type="dxa"/>
            <w:vAlign w:val="bottom"/>
          </w:tcPr>
          <w:p>
            <w:pPr>
              <w:ind w:left="660"/>
              <w:spacing w:after="0"/>
              <w:rPr>
                <w:sz w:val="20"/>
                <w:szCs w:val="20"/>
                <w:color w:val="auto"/>
              </w:rPr>
            </w:pPr>
            <w:r>
              <w:rPr>
                <w:rFonts w:ascii="Arial" w:cs="Arial" w:eastAsia="Arial" w:hAnsi="Arial"/>
                <w:sz w:val="18"/>
                <w:szCs w:val="18"/>
                <w:color w:val="auto"/>
              </w:rPr>
              <w:t>ranked children’s hospital</w:t>
            </w:r>
          </w:p>
        </w:tc>
      </w:tr>
      <w:tr>
        <w:trPr>
          <w:trHeight w:val="350"/>
        </w:trPr>
        <w:tc>
          <w:tcPr>
            <w:tcW w:w="4180" w:type="dxa"/>
            <w:vAlign w:val="bottom"/>
          </w:tcPr>
          <w:p>
            <w:pPr>
              <w:spacing w:after="0"/>
              <w:rPr>
                <w:sz w:val="20"/>
                <w:szCs w:val="20"/>
                <w:color w:val="auto"/>
              </w:rPr>
            </w:pPr>
            <w:r>
              <w:rPr>
                <w:rFonts w:ascii="Arial" w:cs="Arial" w:eastAsia="Arial" w:hAnsi="Arial"/>
                <w:sz w:val="18"/>
                <w:szCs w:val="18"/>
                <w:color w:val="auto"/>
              </w:rPr>
              <w:t>Naomi M. Bergman</w:t>
            </w:r>
          </w:p>
        </w:tc>
        <w:tc>
          <w:tcPr>
            <w:tcW w:w="7060" w:type="dxa"/>
            <w:vAlign w:val="bottom"/>
          </w:tcPr>
          <w:p>
            <w:pPr>
              <w:ind w:left="660"/>
              <w:spacing w:after="0"/>
              <w:rPr>
                <w:sz w:val="20"/>
                <w:szCs w:val="20"/>
                <w:color w:val="auto"/>
              </w:rPr>
            </w:pPr>
            <w:r>
              <w:rPr>
                <w:rFonts w:ascii="Arial" w:cs="Arial" w:eastAsia="Arial" w:hAnsi="Arial"/>
                <w:sz w:val="18"/>
                <w:szCs w:val="18"/>
                <w:color w:val="auto"/>
                <w:w w:val="94"/>
              </w:rPr>
              <w:t>Senior Executive of Advance Publications, Inc., a private investor in a broad range of</w:t>
            </w:r>
          </w:p>
        </w:tc>
      </w:tr>
      <w:tr>
        <w:trPr>
          <w:trHeight w:val="230"/>
        </w:trPr>
        <w:tc>
          <w:tcPr>
            <w:tcW w:w="4180" w:type="dxa"/>
            <w:vAlign w:val="bottom"/>
          </w:tcPr>
          <w:p>
            <w:pPr>
              <w:spacing w:after="0"/>
              <w:rPr>
                <w:sz w:val="20"/>
                <w:szCs w:val="20"/>
                <w:color w:val="auto"/>
              </w:rPr>
            </w:pPr>
          </w:p>
        </w:tc>
        <w:tc>
          <w:tcPr>
            <w:tcW w:w="7060" w:type="dxa"/>
            <w:vAlign w:val="bottom"/>
          </w:tcPr>
          <w:p>
            <w:pPr>
              <w:ind w:left="660"/>
              <w:spacing w:after="0"/>
              <w:rPr>
                <w:sz w:val="20"/>
                <w:szCs w:val="20"/>
                <w:color w:val="auto"/>
              </w:rPr>
            </w:pPr>
            <w:r>
              <w:rPr>
                <w:rFonts w:ascii="Arial" w:cs="Arial" w:eastAsia="Arial" w:hAnsi="Arial"/>
                <w:sz w:val="18"/>
                <w:szCs w:val="18"/>
                <w:color w:val="auto"/>
              </w:rPr>
              <w:t>media, entertainment, technology, communications and education companies</w:t>
            </w:r>
          </w:p>
        </w:tc>
      </w:tr>
      <w:tr>
        <w:trPr>
          <w:trHeight w:val="350"/>
        </w:trPr>
        <w:tc>
          <w:tcPr>
            <w:tcW w:w="4180" w:type="dxa"/>
            <w:vAlign w:val="bottom"/>
          </w:tcPr>
          <w:p>
            <w:pPr>
              <w:spacing w:after="0"/>
              <w:rPr>
                <w:sz w:val="20"/>
                <w:szCs w:val="20"/>
                <w:color w:val="auto"/>
              </w:rPr>
            </w:pPr>
            <w:r>
              <w:rPr>
                <w:rFonts w:ascii="Arial" w:cs="Arial" w:eastAsia="Arial" w:hAnsi="Arial"/>
                <w:sz w:val="18"/>
                <w:szCs w:val="18"/>
                <w:color w:val="auto"/>
              </w:rPr>
              <w:t>Edward D. Breen</w:t>
            </w:r>
          </w:p>
        </w:tc>
        <w:tc>
          <w:tcPr>
            <w:tcW w:w="7060" w:type="dxa"/>
            <w:vAlign w:val="bottom"/>
          </w:tcPr>
          <w:p>
            <w:pPr>
              <w:ind w:left="660"/>
              <w:spacing w:after="0"/>
              <w:rPr>
                <w:sz w:val="20"/>
                <w:szCs w:val="20"/>
                <w:color w:val="auto"/>
              </w:rPr>
            </w:pPr>
            <w:r>
              <w:rPr>
                <w:rFonts w:ascii="Arial" w:cs="Arial" w:eastAsia="Arial" w:hAnsi="Arial"/>
                <w:sz w:val="18"/>
                <w:szCs w:val="18"/>
                <w:color w:val="auto"/>
              </w:rPr>
              <w:t>Chief Executive Officer and Executive Chairman of DuPont de Nemours, Inc., a</w:t>
            </w:r>
          </w:p>
        </w:tc>
      </w:tr>
      <w:tr>
        <w:trPr>
          <w:trHeight w:val="230"/>
        </w:trPr>
        <w:tc>
          <w:tcPr>
            <w:tcW w:w="4180" w:type="dxa"/>
            <w:vAlign w:val="bottom"/>
          </w:tcPr>
          <w:p>
            <w:pPr>
              <w:spacing w:after="0"/>
              <w:rPr>
                <w:sz w:val="20"/>
                <w:szCs w:val="20"/>
                <w:color w:val="auto"/>
              </w:rPr>
            </w:pPr>
          </w:p>
        </w:tc>
        <w:tc>
          <w:tcPr>
            <w:tcW w:w="7060" w:type="dxa"/>
            <w:vAlign w:val="bottom"/>
          </w:tcPr>
          <w:p>
            <w:pPr>
              <w:ind w:left="660"/>
              <w:spacing w:after="0"/>
              <w:rPr>
                <w:sz w:val="20"/>
                <w:szCs w:val="20"/>
                <w:color w:val="auto"/>
              </w:rPr>
            </w:pPr>
            <w:r>
              <w:rPr>
                <w:rFonts w:ascii="Arial" w:cs="Arial" w:eastAsia="Arial" w:hAnsi="Arial"/>
                <w:sz w:val="18"/>
                <w:szCs w:val="18"/>
                <w:color w:val="auto"/>
              </w:rPr>
              <w:t>provider of technology-based materials and solutions</w:t>
            </w:r>
          </w:p>
        </w:tc>
      </w:tr>
      <w:tr>
        <w:trPr>
          <w:trHeight w:val="350"/>
        </w:trPr>
        <w:tc>
          <w:tcPr>
            <w:tcW w:w="4180" w:type="dxa"/>
            <w:vAlign w:val="bottom"/>
          </w:tcPr>
          <w:p>
            <w:pPr>
              <w:spacing w:after="0"/>
              <w:rPr>
                <w:sz w:val="20"/>
                <w:szCs w:val="20"/>
                <w:color w:val="auto"/>
              </w:rPr>
            </w:pPr>
            <w:r>
              <w:rPr>
                <w:rFonts w:ascii="Arial" w:cs="Arial" w:eastAsia="Arial" w:hAnsi="Arial"/>
                <w:sz w:val="18"/>
                <w:szCs w:val="18"/>
                <w:color w:val="auto"/>
              </w:rPr>
              <w:t>Gerald L. Hassell</w:t>
            </w:r>
          </w:p>
        </w:tc>
        <w:tc>
          <w:tcPr>
            <w:tcW w:w="7060" w:type="dxa"/>
            <w:vAlign w:val="bottom"/>
          </w:tcPr>
          <w:p>
            <w:pPr>
              <w:ind w:left="660"/>
              <w:spacing w:after="0"/>
              <w:rPr>
                <w:sz w:val="20"/>
                <w:szCs w:val="20"/>
                <w:color w:val="auto"/>
              </w:rPr>
            </w:pPr>
            <w:r>
              <w:rPr>
                <w:rFonts w:ascii="Arial" w:cs="Arial" w:eastAsia="Arial" w:hAnsi="Arial"/>
                <w:sz w:val="18"/>
                <w:szCs w:val="18"/>
                <w:color w:val="auto"/>
              </w:rPr>
              <w:t>Former Chief Executive Officer of The Bank of New York Mellon Corporation, a</w:t>
            </w:r>
          </w:p>
        </w:tc>
      </w:tr>
      <w:tr>
        <w:trPr>
          <w:trHeight w:val="230"/>
        </w:trPr>
        <w:tc>
          <w:tcPr>
            <w:tcW w:w="4180" w:type="dxa"/>
            <w:vAlign w:val="bottom"/>
          </w:tcPr>
          <w:p>
            <w:pPr>
              <w:spacing w:after="0"/>
              <w:rPr>
                <w:sz w:val="20"/>
                <w:szCs w:val="20"/>
                <w:color w:val="auto"/>
              </w:rPr>
            </w:pPr>
          </w:p>
        </w:tc>
        <w:tc>
          <w:tcPr>
            <w:tcW w:w="7060" w:type="dxa"/>
            <w:vAlign w:val="bottom"/>
          </w:tcPr>
          <w:p>
            <w:pPr>
              <w:ind w:left="660"/>
              <w:spacing w:after="0"/>
              <w:rPr>
                <w:sz w:val="20"/>
                <w:szCs w:val="20"/>
                <w:color w:val="auto"/>
              </w:rPr>
            </w:pPr>
            <w:r>
              <w:rPr>
                <w:rFonts w:ascii="Arial" w:cs="Arial" w:eastAsia="Arial" w:hAnsi="Arial"/>
                <w:sz w:val="18"/>
                <w:szCs w:val="18"/>
                <w:color w:val="auto"/>
              </w:rPr>
              <w:t>financial services corporation</w:t>
            </w:r>
          </w:p>
        </w:tc>
      </w:tr>
      <w:tr>
        <w:trPr>
          <w:trHeight w:val="350"/>
        </w:trPr>
        <w:tc>
          <w:tcPr>
            <w:tcW w:w="4180" w:type="dxa"/>
            <w:vAlign w:val="bottom"/>
          </w:tcPr>
          <w:p>
            <w:pPr>
              <w:spacing w:after="0"/>
              <w:rPr>
                <w:sz w:val="20"/>
                <w:szCs w:val="20"/>
                <w:color w:val="auto"/>
              </w:rPr>
            </w:pPr>
            <w:r>
              <w:rPr>
                <w:rFonts w:ascii="Arial" w:cs="Arial" w:eastAsia="Arial" w:hAnsi="Arial"/>
                <w:sz w:val="18"/>
                <w:szCs w:val="18"/>
                <w:color w:val="auto"/>
              </w:rPr>
              <w:t>Jeffrey A. Honickman</w:t>
            </w:r>
          </w:p>
        </w:tc>
        <w:tc>
          <w:tcPr>
            <w:tcW w:w="7060" w:type="dxa"/>
            <w:vAlign w:val="bottom"/>
          </w:tcPr>
          <w:p>
            <w:pPr>
              <w:ind w:left="660"/>
              <w:spacing w:after="0"/>
              <w:rPr>
                <w:sz w:val="20"/>
                <w:szCs w:val="20"/>
                <w:color w:val="auto"/>
              </w:rPr>
            </w:pPr>
            <w:r>
              <w:rPr>
                <w:rFonts w:ascii="Arial" w:cs="Arial" w:eastAsia="Arial" w:hAnsi="Arial"/>
                <w:sz w:val="18"/>
                <w:szCs w:val="18"/>
                <w:color w:val="auto"/>
                <w:w w:val="95"/>
              </w:rPr>
              <w:t>Chief Executive Officer of Pepsi-Cola and National Brand Beverages, Ltd., a bottling</w:t>
            </w:r>
          </w:p>
        </w:tc>
      </w:tr>
      <w:tr>
        <w:trPr>
          <w:trHeight w:val="230"/>
        </w:trPr>
        <w:tc>
          <w:tcPr>
            <w:tcW w:w="4180" w:type="dxa"/>
            <w:vAlign w:val="bottom"/>
          </w:tcPr>
          <w:p>
            <w:pPr>
              <w:spacing w:after="0"/>
              <w:rPr>
                <w:sz w:val="20"/>
                <w:szCs w:val="20"/>
                <w:color w:val="auto"/>
              </w:rPr>
            </w:pPr>
          </w:p>
        </w:tc>
        <w:tc>
          <w:tcPr>
            <w:tcW w:w="7060" w:type="dxa"/>
            <w:vAlign w:val="bottom"/>
          </w:tcPr>
          <w:p>
            <w:pPr>
              <w:ind w:left="660"/>
              <w:spacing w:after="0"/>
              <w:rPr>
                <w:sz w:val="20"/>
                <w:szCs w:val="20"/>
                <w:color w:val="auto"/>
              </w:rPr>
            </w:pPr>
            <w:r>
              <w:rPr>
                <w:rFonts w:ascii="Arial" w:cs="Arial" w:eastAsia="Arial" w:hAnsi="Arial"/>
                <w:sz w:val="18"/>
                <w:szCs w:val="18"/>
                <w:color w:val="auto"/>
              </w:rPr>
              <w:t>and distribution company</w:t>
            </w:r>
          </w:p>
        </w:tc>
      </w:tr>
      <w:tr>
        <w:trPr>
          <w:trHeight w:val="350"/>
        </w:trPr>
        <w:tc>
          <w:tcPr>
            <w:tcW w:w="4180" w:type="dxa"/>
            <w:vAlign w:val="bottom"/>
          </w:tcPr>
          <w:p>
            <w:pPr>
              <w:spacing w:after="0"/>
              <w:rPr>
                <w:sz w:val="20"/>
                <w:szCs w:val="20"/>
                <w:color w:val="auto"/>
              </w:rPr>
            </w:pPr>
            <w:r>
              <w:rPr>
                <w:rFonts w:ascii="Arial" w:cs="Arial" w:eastAsia="Arial" w:hAnsi="Arial"/>
                <w:sz w:val="18"/>
                <w:szCs w:val="18"/>
                <w:color w:val="auto"/>
              </w:rPr>
              <w:t>Maritza G. Montiel</w:t>
            </w:r>
          </w:p>
        </w:tc>
        <w:tc>
          <w:tcPr>
            <w:tcW w:w="7060" w:type="dxa"/>
            <w:vAlign w:val="bottom"/>
          </w:tcPr>
          <w:p>
            <w:pPr>
              <w:ind w:left="660"/>
              <w:spacing w:after="0"/>
              <w:rPr>
                <w:sz w:val="20"/>
                <w:szCs w:val="20"/>
                <w:color w:val="auto"/>
              </w:rPr>
            </w:pPr>
            <w:r>
              <w:rPr>
                <w:rFonts w:ascii="Arial" w:cs="Arial" w:eastAsia="Arial" w:hAnsi="Arial"/>
                <w:sz w:val="18"/>
                <w:szCs w:val="18"/>
                <w:color w:val="auto"/>
              </w:rPr>
              <w:t>Former Deputy Chief Executive Officer and Vice Chairman of Deloitte LLP, a</w:t>
            </w:r>
          </w:p>
        </w:tc>
      </w:tr>
      <w:tr>
        <w:trPr>
          <w:trHeight w:val="230"/>
        </w:trPr>
        <w:tc>
          <w:tcPr>
            <w:tcW w:w="4180" w:type="dxa"/>
            <w:vAlign w:val="bottom"/>
          </w:tcPr>
          <w:p>
            <w:pPr>
              <w:spacing w:after="0"/>
              <w:rPr>
                <w:sz w:val="20"/>
                <w:szCs w:val="20"/>
                <w:color w:val="auto"/>
              </w:rPr>
            </w:pPr>
          </w:p>
        </w:tc>
        <w:tc>
          <w:tcPr>
            <w:tcW w:w="7060" w:type="dxa"/>
            <w:vAlign w:val="bottom"/>
          </w:tcPr>
          <w:p>
            <w:pPr>
              <w:ind w:left="660"/>
              <w:spacing w:after="0"/>
              <w:rPr>
                <w:sz w:val="20"/>
                <w:szCs w:val="20"/>
                <w:color w:val="auto"/>
              </w:rPr>
            </w:pPr>
            <w:r>
              <w:rPr>
                <w:rFonts w:ascii="Arial" w:cs="Arial" w:eastAsia="Arial" w:hAnsi="Arial"/>
                <w:sz w:val="18"/>
                <w:szCs w:val="18"/>
                <w:color w:val="auto"/>
              </w:rPr>
              <w:t>multinational accounting and professional services firm</w:t>
            </w:r>
          </w:p>
        </w:tc>
      </w:tr>
      <w:tr>
        <w:trPr>
          <w:trHeight w:val="365"/>
        </w:trPr>
        <w:tc>
          <w:tcPr>
            <w:tcW w:w="4180" w:type="dxa"/>
            <w:vAlign w:val="bottom"/>
          </w:tcPr>
          <w:p>
            <w:pPr>
              <w:spacing w:after="0"/>
              <w:rPr>
                <w:sz w:val="20"/>
                <w:szCs w:val="20"/>
                <w:color w:val="auto"/>
              </w:rPr>
            </w:pPr>
            <w:r>
              <w:rPr>
                <w:rFonts w:ascii="Arial" w:cs="Arial" w:eastAsia="Arial" w:hAnsi="Arial"/>
                <w:sz w:val="18"/>
                <w:szCs w:val="18"/>
                <w:color w:val="auto"/>
              </w:rPr>
              <w:t>Asuka Nakahara</w:t>
            </w:r>
          </w:p>
        </w:tc>
        <w:tc>
          <w:tcPr>
            <w:tcW w:w="7060" w:type="dxa"/>
            <w:vAlign w:val="bottom"/>
          </w:tcPr>
          <w:p>
            <w:pPr>
              <w:ind w:left="660"/>
              <w:spacing w:after="0"/>
              <w:rPr>
                <w:sz w:val="20"/>
                <w:szCs w:val="20"/>
                <w:color w:val="auto"/>
              </w:rPr>
            </w:pPr>
            <w:r>
              <w:rPr>
                <w:rFonts w:ascii="Arial" w:cs="Arial" w:eastAsia="Arial" w:hAnsi="Arial"/>
                <w:sz w:val="18"/>
                <w:szCs w:val="18"/>
                <w:color w:val="auto"/>
                <w:w w:val="95"/>
              </w:rPr>
              <w:t>Partner at Triton Atlantic Partners, a real estate advisory firm and investment vehicle</w:t>
            </w:r>
          </w:p>
        </w:tc>
      </w:tr>
      <w:tr>
        <w:trPr>
          <w:trHeight w:val="459"/>
        </w:trPr>
        <w:tc>
          <w:tcPr>
            <w:tcW w:w="4180" w:type="dxa"/>
            <w:vAlign w:val="bottom"/>
          </w:tcPr>
          <w:p>
            <w:pPr>
              <w:spacing w:after="0"/>
              <w:rPr>
                <w:sz w:val="20"/>
                <w:szCs w:val="20"/>
                <w:color w:val="auto"/>
              </w:rPr>
            </w:pPr>
            <w:r>
              <w:rPr>
                <w:rFonts w:ascii="Arial" w:cs="Arial" w:eastAsia="Arial" w:hAnsi="Arial"/>
                <w:sz w:val="18"/>
                <w:szCs w:val="18"/>
                <w:color w:val="auto"/>
              </w:rPr>
              <w:t>David C. Novak</w:t>
            </w:r>
          </w:p>
        </w:tc>
        <w:tc>
          <w:tcPr>
            <w:tcW w:w="7060" w:type="dxa"/>
            <w:vAlign w:val="bottom"/>
          </w:tcPr>
          <w:p>
            <w:pPr>
              <w:ind w:left="660"/>
              <w:spacing w:after="0"/>
              <w:rPr>
                <w:sz w:val="20"/>
                <w:szCs w:val="20"/>
                <w:color w:val="auto"/>
              </w:rPr>
            </w:pPr>
            <w:r>
              <w:rPr>
                <w:rFonts w:ascii="Arial" w:cs="Arial" w:eastAsia="Arial" w:hAnsi="Arial"/>
                <w:sz w:val="18"/>
                <w:szCs w:val="18"/>
                <w:color w:val="auto"/>
                <w:w w:val="95"/>
              </w:rPr>
              <w:t>Founder of David Novak Leadership, LLC, which provides online leadership training</w:t>
            </w:r>
          </w:p>
        </w:tc>
      </w:tr>
      <w:tr>
        <w:trPr>
          <w:trHeight w:val="459"/>
        </w:trPr>
        <w:tc>
          <w:tcPr>
            <w:tcW w:w="4180" w:type="dxa"/>
            <w:vAlign w:val="bottom"/>
          </w:tcPr>
          <w:p>
            <w:pPr>
              <w:spacing w:after="0"/>
              <w:rPr>
                <w:sz w:val="20"/>
                <w:szCs w:val="20"/>
                <w:color w:val="auto"/>
              </w:rPr>
            </w:pPr>
            <w:r>
              <w:rPr>
                <w:rFonts w:ascii="Arial" w:cs="Arial" w:eastAsia="Arial" w:hAnsi="Arial"/>
                <w:sz w:val="18"/>
                <w:szCs w:val="18"/>
                <w:color w:val="auto"/>
              </w:rPr>
              <w:t>Brian L. Roberts</w:t>
            </w:r>
          </w:p>
        </w:tc>
        <w:tc>
          <w:tcPr>
            <w:tcW w:w="7060" w:type="dxa"/>
            <w:vAlign w:val="bottom"/>
          </w:tcPr>
          <w:p>
            <w:pPr>
              <w:ind w:left="660"/>
              <w:spacing w:after="0"/>
              <w:rPr>
                <w:sz w:val="20"/>
                <w:szCs w:val="20"/>
                <w:color w:val="auto"/>
              </w:rPr>
            </w:pPr>
            <w:r>
              <w:rPr>
                <w:rFonts w:ascii="Arial" w:cs="Arial" w:eastAsia="Arial" w:hAnsi="Arial"/>
                <w:sz w:val="18"/>
                <w:szCs w:val="18"/>
                <w:color w:val="auto"/>
              </w:rPr>
              <w:t>Chairman, President and Chief Executive Officer</w:t>
            </w:r>
          </w:p>
        </w:tc>
      </w:tr>
      <w:tr>
        <w:trPr>
          <w:trHeight w:val="608"/>
        </w:trPr>
        <w:tc>
          <w:tcPr>
            <w:tcW w:w="4180" w:type="dxa"/>
            <w:vAlign w:val="bottom"/>
          </w:tcPr>
          <w:p>
            <w:pPr>
              <w:spacing w:after="0"/>
              <w:rPr>
                <w:sz w:val="20"/>
                <w:szCs w:val="20"/>
                <w:color w:val="auto"/>
              </w:rPr>
            </w:pPr>
            <w:r>
              <w:rPr>
                <w:rFonts w:ascii="Arial" w:cs="Arial" w:eastAsia="Arial" w:hAnsi="Arial"/>
                <w:sz w:val="18"/>
                <w:szCs w:val="18"/>
                <w:i w:val="1"/>
                <w:iCs w:val="1"/>
                <w:color w:val="auto"/>
              </w:rPr>
              <w:t>Executive Officers</w:t>
            </w:r>
          </w:p>
        </w:tc>
        <w:tc>
          <w:tcPr>
            <w:tcW w:w="7060" w:type="dxa"/>
            <w:vAlign w:val="bottom"/>
          </w:tcPr>
          <w:p>
            <w:pPr>
              <w:spacing w:after="0"/>
              <w:rPr>
                <w:sz w:val="24"/>
                <w:szCs w:val="24"/>
                <w:color w:val="auto"/>
              </w:rPr>
            </w:pPr>
          </w:p>
        </w:tc>
      </w:tr>
      <w:tr>
        <w:trPr>
          <w:trHeight w:val="350"/>
        </w:trPr>
        <w:tc>
          <w:tcPr>
            <w:tcW w:w="4180" w:type="dxa"/>
            <w:vAlign w:val="bottom"/>
          </w:tcPr>
          <w:p>
            <w:pPr>
              <w:spacing w:after="0"/>
              <w:rPr>
                <w:sz w:val="20"/>
                <w:szCs w:val="20"/>
                <w:color w:val="auto"/>
              </w:rPr>
            </w:pPr>
            <w:r>
              <w:rPr>
                <w:rFonts w:ascii="Arial" w:cs="Arial" w:eastAsia="Arial" w:hAnsi="Arial"/>
                <w:sz w:val="18"/>
                <w:szCs w:val="18"/>
                <w:color w:val="auto"/>
              </w:rPr>
              <w:t>Michael J. Cavanagh</w:t>
            </w:r>
          </w:p>
        </w:tc>
        <w:tc>
          <w:tcPr>
            <w:tcW w:w="7060" w:type="dxa"/>
            <w:vAlign w:val="bottom"/>
          </w:tcPr>
          <w:p>
            <w:pPr>
              <w:ind w:left="660"/>
              <w:spacing w:after="0"/>
              <w:rPr>
                <w:sz w:val="20"/>
                <w:szCs w:val="20"/>
                <w:color w:val="auto"/>
              </w:rPr>
            </w:pPr>
            <w:r>
              <w:rPr>
                <w:rFonts w:ascii="Arial" w:cs="Arial" w:eastAsia="Arial" w:hAnsi="Arial"/>
                <w:sz w:val="18"/>
                <w:szCs w:val="18"/>
                <w:color w:val="auto"/>
              </w:rPr>
              <w:t>Chief Financial Officer;</w:t>
            </w:r>
          </w:p>
        </w:tc>
      </w:tr>
      <w:tr>
        <w:trPr>
          <w:trHeight w:val="230"/>
        </w:trPr>
        <w:tc>
          <w:tcPr>
            <w:tcW w:w="4180" w:type="dxa"/>
            <w:vAlign w:val="bottom"/>
          </w:tcPr>
          <w:p>
            <w:pPr>
              <w:spacing w:after="0"/>
              <w:rPr>
                <w:sz w:val="20"/>
                <w:szCs w:val="20"/>
                <w:color w:val="auto"/>
              </w:rPr>
            </w:pPr>
          </w:p>
        </w:tc>
        <w:tc>
          <w:tcPr>
            <w:tcW w:w="7060" w:type="dxa"/>
            <w:vAlign w:val="bottom"/>
          </w:tcPr>
          <w:p>
            <w:pPr>
              <w:ind w:left="660"/>
              <w:spacing w:after="0"/>
              <w:rPr>
                <w:sz w:val="20"/>
                <w:szCs w:val="20"/>
                <w:color w:val="auto"/>
              </w:rPr>
            </w:pPr>
            <w:r>
              <w:rPr>
                <w:rFonts w:ascii="Arial" w:cs="Arial" w:eastAsia="Arial" w:hAnsi="Arial"/>
                <w:sz w:val="18"/>
                <w:szCs w:val="18"/>
                <w:color w:val="auto"/>
              </w:rPr>
              <w:t>Director, NBCUniversal, LLC</w:t>
            </w:r>
          </w:p>
        </w:tc>
      </w:tr>
      <w:tr>
        <w:trPr>
          <w:trHeight w:val="351"/>
        </w:trPr>
        <w:tc>
          <w:tcPr>
            <w:tcW w:w="4180" w:type="dxa"/>
            <w:vAlign w:val="bottom"/>
            <w:tcBorders>
              <w:bottom w:val="single" w:sz="8" w:color="auto"/>
            </w:tcBorders>
          </w:tcPr>
          <w:p>
            <w:pPr>
              <w:spacing w:after="0"/>
              <w:rPr>
                <w:sz w:val="24"/>
                <w:szCs w:val="24"/>
                <w:color w:val="auto"/>
              </w:rPr>
            </w:pPr>
          </w:p>
        </w:tc>
        <w:tc>
          <w:tcPr>
            <w:tcW w:w="7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color w:val="auto"/>
        </w:rPr>
        <w:t>Adam L. Miller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Chief Administrative Officer;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Director, NBCUniversal, LLC</w:t>
      </w:r>
    </w:p>
    <w:p>
      <w:pPr>
        <w:spacing w:after="0" w:line="200" w:lineRule="exact"/>
        <w:rPr>
          <w:sz w:val="20"/>
          <w:szCs w:val="20"/>
          <w:color w:val="auto"/>
        </w:rPr>
      </w:pPr>
    </w:p>
    <w:p>
      <w:pPr>
        <w:sectPr>
          <w:pgSz w:w="11900" w:h="16838" w:orient="portrait"/>
          <w:cols w:equalWidth="0" w:num="2">
            <w:col w:w="4120" w:space="720"/>
            <w:col w:w="6200"/>
          </w:cols>
          <w:pgMar w:left="320" w:top="584" w:right="539" w:bottom="1440" w:gutter="0" w:footer="0" w:header="0"/>
        </w:sectPr>
      </w:pP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Daniel C. Murdock</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Executive Vice President, Chief Accounting Officer and Controller</w:t>
      </w:r>
    </w:p>
    <w:p>
      <w:pPr>
        <w:spacing w:after="0" w:line="211" w:lineRule="exact"/>
        <w:rPr>
          <w:sz w:val="20"/>
          <w:szCs w:val="20"/>
          <w:color w:val="auto"/>
        </w:rPr>
      </w:pPr>
    </w:p>
    <w:p>
      <w:pPr>
        <w:sectPr>
          <w:pgSz w:w="11900" w:h="16838" w:orient="portrait"/>
          <w:cols w:equalWidth="0" w:num="2">
            <w:col w:w="4120" w:space="720"/>
            <w:col w:w="6200"/>
          </w:cols>
          <w:pgMar w:left="320" w:top="584" w:right="539" w:bottom="1440" w:gutter="0" w:footer="0" w:header="0"/>
          <w:type w:val="continuous"/>
        </w:sectPr>
      </w:pP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Thomas J. Reid</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Chief Legal Officer and Secretary;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Director, NBCUniversal, LLC</w:t>
      </w:r>
    </w:p>
    <w:p>
      <w:pPr>
        <w:spacing w:after="0" w:line="143" w:lineRule="exact"/>
        <w:rPr>
          <w:sz w:val="20"/>
          <w:szCs w:val="20"/>
          <w:color w:val="auto"/>
        </w:rPr>
      </w:pPr>
    </w:p>
    <w:p>
      <w:pPr>
        <w:sectPr>
          <w:pgSz w:w="11900" w:h="16838" w:orient="portrait"/>
          <w:cols w:equalWidth="0" w:num="2">
            <w:col w:w="4120" w:space="720"/>
            <w:col w:w="6200"/>
          </w:cols>
          <w:pgMar w:left="320" w:top="584" w:right="539" w:bottom="1440" w:gutter="0" w:footer="0" w:header="0"/>
          <w:type w:val="continuous"/>
        </w:sectPr>
      </w:pPr>
    </w:p>
    <w:p>
      <w:pPr>
        <w:spacing w:after="0"/>
        <w:rPr>
          <w:sz w:val="20"/>
          <w:szCs w:val="20"/>
          <w:color w:val="auto"/>
        </w:rPr>
      </w:pPr>
      <w:r>
        <w:rPr>
          <w:rFonts w:ascii="Arial" w:cs="Arial" w:eastAsia="Arial" w:hAnsi="Arial"/>
          <w:sz w:val="16"/>
          <w:szCs w:val="16"/>
          <w:color w:val="auto"/>
        </w:rPr>
        <w:t>Brian L. Roberts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Chairman, President and Chief Executive Officer</w:t>
      </w:r>
    </w:p>
    <w:p>
      <w:pPr>
        <w:spacing w:after="0" w:line="181" w:lineRule="exact"/>
        <w:rPr>
          <w:sz w:val="20"/>
          <w:szCs w:val="20"/>
          <w:color w:val="auto"/>
        </w:rPr>
      </w:pPr>
    </w:p>
    <w:p>
      <w:pPr>
        <w:sectPr>
          <w:pgSz w:w="11900" w:h="16838" w:orient="portrait"/>
          <w:cols w:equalWidth="0" w:num="2">
            <w:col w:w="4120" w:space="720"/>
            <w:col w:w="6200"/>
          </w:cols>
          <w:pgMar w:left="320" w:top="584" w:right="539" w:bottom="1440" w:gutter="0" w:footer="0" w:header="0"/>
          <w:type w:val="continuous"/>
        </w:sectPr>
      </w:pPr>
    </w:p>
    <w:p>
      <w:pPr>
        <w:spacing w:after="0"/>
        <w:rPr>
          <w:sz w:val="20"/>
          <w:szCs w:val="20"/>
          <w:color w:val="auto"/>
        </w:rPr>
      </w:pPr>
      <w:r>
        <w:rPr>
          <w:rFonts w:ascii="Arial" w:cs="Arial" w:eastAsia="Arial" w:hAnsi="Arial"/>
          <w:sz w:val="18"/>
          <w:szCs w:val="18"/>
          <w:color w:val="auto"/>
        </w:rPr>
        <w:t>Jeffrey Shell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 Rockefeller Plaza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 10112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Chief Executive Officer, NBCUniversal, LLC and NBCUniversal Media, LLC</w:t>
      </w:r>
    </w:p>
    <w:p>
      <w:pPr>
        <w:spacing w:after="0" w:line="634" w:lineRule="exact"/>
        <w:rPr>
          <w:sz w:val="20"/>
          <w:szCs w:val="20"/>
          <w:color w:val="auto"/>
        </w:rPr>
      </w:pPr>
    </w:p>
    <w:p>
      <w:pPr>
        <w:sectPr>
          <w:pgSz w:w="11900" w:h="16838" w:orient="portrait"/>
          <w:cols w:equalWidth="0" w:num="2">
            <w:col w:w="4120" w:space="720"/>
            <w:col w:w="6200"/>
          </w:cols>
          <w:pgMar w:left="320" w:top="584" w:right="539" w:bottom="1440" w:gutter="0" w:footer="0" w:header="0"/>
          <w:type w:val="continuous"/>
        </w:sectPr>
      </w:pP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Dana Strong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Sky Central, Grant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Isleworth, Middlesex</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United Kingdom TW7 5QD</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jc w:val="center"/>
        <w:ind w:right="3000"/>
        <w:spacing w:after="0"/>
        <w:rPr>
          <w:sz w:val="20"/>
          <w:szCs w:val="20"/>
          <w:color w:val="auto"/>
        </w:rPr>
      </w:pPr>
      <w:r>
        <w:rPr>
          <w:rFonts w:ascii="Arial" w:cs="Arial" w:eastAsia="Arial" w:hAnsi="Arial"/>
          <w:sz w:val="16"/>
          <w:szCs w:val="16"/>
          <w:color w:val="auto"/>
        </w:rPr>
        <w:t>Group Chief Executive Officer, Sky Limited</w:t>
      </w:r>
    </w:p>
    <w:p>
      <w:pPr>
        <w:spacing w:after="0" w:line="873" w:lineRule="exact"/>
        <w:rPr>
          <w:sz w:val="20"/>
          <w:szCs w:val="20"/>
          <w:color w:val="auto"/>
        </w:rPr>
      </w:pPr>
    </w:p>
    <w:p>
      <w:pPr>
        <w:sectPr>
          <w:pgSz w:w="11900" w:h="16838" w:orient="portrait"/>
          <w:cols w:equalWidth="0" w:num="2">
            <w:col w:w="4120" w:space="720"/>
            <w:col w:w="6200"/>
          </w:cols>
          <w:pgMar w:left="320" w:top="584" w:right="539" w:bottom="1440" w:gutter="0" w:footer="0" w:header="0"/>
          <w:type w:val="continuous"/>
        </w:sectPr>
      </w:pP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David N. Watson</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Executive Officer, Comcast Cable Communications, LLC</w:t>
      </w:r>
    </w:p>
    <w:p>
      <w:pPr>
        <w:spacing w:after="0" w:line="200" w:lineRule="exact"/>
        <w:rPr>
          <w:sz w:val="20"/>
          <w:szCs w:val="20"/>
          <w:color w:val="auto"/>
        </w:rPr>
      </w:pPr>
    </w:p>
    <w:p>
      <w:pPr>
        <w:sectPr>
          <w:pgSz w:w="11900" w:h="16838" w:orient="portrait"/>
          <w:cols w:equalWidth="0" w:num="2">
            <w:col w:w="4120" w:space="720"/>
            <w:col w:w="6200"/>
          </w:cols>
          <w:pgMar w:left="320" w:top="584" w:right="539" w:bottom="1440" w:gutter="0" w:footer="0" w:header="0"/>
          <w:type w:val="continuous"/>
        </w:sectPr>
      </w:pPr>
    </w:p>
    <w:p>
      <w:pPr>
        <w:spacing w:after="0" w:line="1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Notes:</w:t>
      </w:r>
    </w:p>
    <w:p>
      <w:pPr>
        <w:spacing w:after="0" w:line="23" w:lineRule="exact"/>
        <w:rPr>
          <w:sz w:val="20"/>
          <w:szCs w:val="20"/>
          <w:color w:val="auto"/>
        </w:rPr>
      </w:pPr>
    </w:p>
    <w:p>
      <w:pPr>
        <w:ind w:left="920" w:right="60" w:hanging="791"/>
        <w:spacing w:after="0" w:line="260" w:lineRule="auto"/>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NBCUniversal Media, LLC does not have a board of directors, and is managed by NBCUniversal, LLC as its sole member. The directors of NBCUniversal, LLC are identified where noted above.</w:t>
      </w:r>
    </w:p>
    <w:p>
      <w:pPr>
        <w:spacing w:after="0" w:line="212" w:lineRule="exact"/>
        <w:rPr>
          <w:rFonts w:ascii="Arial" w:cs="Arial" w:eastAsia="Arial" w:hAnsi="Arial"/>
          <w:sz w:val="18"/>
          <w:szCs w:val="18"/>
          <w:color w:val="auto"/>
        </w:rPr>
      </w:pPr>
    </w:p>
    <w:p>
      <w:pPr>
        <w:ind w:left="920" w:hanging="791"/>
        <w:spacing w:after="0" w:line="263" w:lineRule="auto"/>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Certain of the individuals identified on this Schedule A may have beneficial ownership of de minimis amounts of Class A Common Stock of the Issuer held in investment accounts for which such individuals hold discretionary authority. The Reporting Persons disclaim beneficial ownership of any such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40"/>
          </w:cols>
          <w:pgMar w:left="320" w:top="584" w:right="53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10660" w:type="dxa"/>
            <w:vAlign w:val="bottom"/>
          </w:tcPr>
          <w:p>
            <w:pPr>
              <w:ind w:left="4340"/>
              <w:spacing w:after="0"/>
              <w:rPr>
                <w:sz w:val="20"/>
                <w:szCs w:val="20"/>
                <w:color w:val="auto"/>
              </w:rPr>
            </w:pPr>
            <w:r>
              <w:rPr>
                <w:rFonts w:ascii="Arial" w:cs="Arial" w:eastAsia="Arial" w:hAnsi="Arial"/>
                <w:sz w:val="18"/>
                <w:szCs w:val="18"/>
                <w:b w:val="1"/>
                <w:bCs w:val="1"/>
                <w:color w:val="auto"/>
              </w:rPr>
              <w:t>EXHIBIT INDEX</w:t>
            </w:r>
          </w:p>
        </w:tc>
      </w:tr>
      <w:tr>
        <w:trPr>
          <w:trHeight w:val="414"/>
        </w:trPr>
        <w:tc>
          <w:tcPr>
            <w:tcW w:w="580" w:type="dxa"/>
            <w:vAlign w:val="bottom"/>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10660" w:type="dxa"/>
            <w:vAlign w:val="bottom"/>
          </w:tcPr>
          <w:p>
            <w:pPr>
              <w:spacing w:after="0"/>
              <w:rPr>
                <w:sz w:val="24"/>
                <w:szCs w:val="24"/>
                <w:color w:val="auto"/>
              </w:rPr>
            </w:pPr>
          </w:p>
        </w:tc>
      </w:tr>
      <w:tr>
        <w:trPr>
          <w:trHeight w:val="234"/>
        </w:trPr>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No.</w:t>
            </w:r>
          </w:p>
        </w:tc>
        <w:tc>
          <w:tcPr>
            <w:tcW w:w="10660" w:type="dxa"/>
            <w:vAlign w:val="bottom"/>
            <w:tcBorders>
              <w:bottom w:val="single" w:sz="8" w:color="auto"/>
            </w:tcBorders>
          </w:tcPr>
          <w:p>
            <w:pPr>
              <w:ind w:left="4880"/>
              <w:spacing w:after="0"/>
              <w:rPr>
                <w:sz w:val="20"/>
                <w:szCs w:val="20"/>
                <w:color w:val="auto"/>
              </w:rPr>
            </w:pPr>
            <w:r>
              <w:rPr>
                <w:rFonts w:ascii="Arial" w:cs="Arial" w:eastAsia="Arial" w:hAnsi="Arial"/>
                <w:sz w:val="18"/>
                <w:szCs w:val="18"/>
                <w:b w:val="1"/>
                <w:bCs w:val="1"/>
                <w:color w:val="auto"/>
              </w:rPr>
              <w:t>Description</w:t>
            </w:r>
          </w:p>
        </w:tc>
      </w:tr>
      <w:tr>
        <w:trPr>
          <w:trHeight w:val="236"/>
        </w:trPr>
        <w:tc>
          <w:tcPr>
            <w:tcW w:w="58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10660" w:type="dxa"/>
            <w:vAlign w:val="bottom"/>
          </w:tcPr>
          <w:p>
            <w:pPr>
              <w:spacing w:after="0" w:line="236" w:lineRule="exact"/>
              <w:rPr>
                <w:sz w:val="20"/>
                <w:szCs w:val="20"/>
                <w:color w:val="auto"/>
              </w:rPr>
            </w:pPr>
            <w:r>
              <w:rPr>
                <w:rFonts w:ascii="Arial" w:cs="Arial" w:eastAsia="Arial" w:hAnsi="Arial"/>
                <w:sz w:val="17"/>
                <w:szCs w:val="17"/>
                <w:color w:val="auto"/>
                <w:w w:val="96"/>
              </w:rPr>
              <w:t>Agreement and Plan of Merger, dated as of June 24, 2021, by and among 890 5</w:t>
            </w:r>
            <w:r>
              <w:rPr>
                <w:rFonts w:ascii="Arial" w:cs="Arial" w:eastAsia="Arial" w:hAnsi="Arial"/>
                <w:sz w:val="27"/>
                <w:szCs w:val="27"/>
                <w:color w:val="auto"/>
                <w:w w:val="96"/>
                <w:vertAlign w:val="superscript"/>
              </w:rPr>
              <w:t>th</w:t>
            </w:r>
            <w:r>
              <w:rPr>
                <w:rFonts w:ascii="Arial" w:cs="Arial" w:eastAsia="Arial" w:hAnsi="Arial"/>
                <w:sz w:val="17"/>
                <w:szCs w:val="17"/>
                <w:color w:val="auto"/>
                <w:w w:val="96"/>
              </w:rPr>
              <w:t xml:space="preserve"> Avenue Partners, Inc. (the “SPAC”), Bolt Merger Sub I, Inc., Bolt</w:t>
            </w:r>
          </w:p>
        </w:tc>
      </w:tr>
      <w:tr>
        <w:trPr>
          <w:trHeight w:val="216"/>
        </w:trPr>
        <w:tc>
          <w:tcPr>
            <w:tcW w:w="580" w:type="dxa"/>
            <w:vAlign w:val="bottom"/>
          </w:tcPr>
          <w:p>
            <w:pPr>
              <w:spacing w:after="0"/>
              <w:rPr>
                <w:sz w:val="18"/>
                <w:szCs w:val="18"/>
                <w:color w:val="auto"/>
              </w:rPr>
            </w:pPr>
          </w:p>
        </w:tc>
        <w:tc>
          <w:tcPr>
            <w:tcW w:w="10660" w:type="dxa"/>
            <w:vAlign w:val="bottom"/>
          </w:tcPr>
          <w:p>
            <w:pPr>
              <w:spacing w:after="0"/>
              <w:rPr>
                <w:sz w:val="20"/>
                <w:szCs w:val="20"/>
                <w:color w:val="auto"/>
              </w:rPr>
            </w:pPr>
            <w:r>
              <w:rPr>
                <w:rFonts w:ascii="Arial" w:cs="Arial" w:eastAsia="Arial" w:hAnsi="Arial"/>
                <w:sz w:val="18"/>
                <w:szCs w:val="18"/>
                <w:color w:val="auto"/>
                <w:w w:val="93"/>
              </w:rPr>
              <w:t>Merger Sub II, Inc., and BuzzFeed, Inc. (incorporated by reference to Exhibit 2.1 to the SPAC’s Registration Statement on Form S-4/A filed with</w:t>
            </w:r>
          </w:p>
        </w:tc>
      </w:tr>
      <w:tr>
        <w:trPr>
          <w:trHeight w:val="230"/>
        </w:trPr>
        <w:tc>
          <w:tcPr>
            <w:tcW w:w="580" w:type="dxa"/>
            <w:vAlign w:val="bottom"/>
          </w:tcPr>
          <w:p>
            <w:pPr>
              <w:spacing w:after="0"/>
              <w:rPr>
                <w:sz w:val="20"/>
                <w:szCs w:val="20"/>
                <w:color w:val="auto"/>
              </w:rPr>
            </w:pPr>
          </w:p>
        </w:tc>
        <w:tc>
          <w:tcPr>
            <w:tcW w:w="10660" w:type="dxa"/>
            <w:vAlign w:val="bottom"/>
          </w:tcPr>
          <w:p>
            <w:pPr>
              <w:spacing w:after="0"/>
              <w:rPr>
                <w:sz w:val="20"/>
                <w:szCs w:val="20"/>
                <w:color w:val="auto"/>
              </w:rPr>
            </w:pPr>
            <w:r>
              <w:rPr>
                <w:rFonts w:ascii="Arial" w:cs="Arial" w:eastAsia="Arial" w:hAnsi="Arial"/>
                <w:sz w:val="18"/>
                <w:szCs w:val="18"/>
                <w:color w:val="auto"/>
              </w:rPr>
              <w:t>the Commission on November 9, 2021 (File No. 333-258343))</w:t>
            </w:r>
          </w:p>
        </w:tc>
      </w:tr>
      <w:tr>
        <w:trPr>
          <w:trHeight w:val="445"/>
        </w:trPr>
        <w:tc>
          <w:tcPr>
            <w:tcW w:w="580" w:type="dxa"/>
            <w:vAlign w:val="bottom"/>
          </w:tcPr>
          <w:p>
            <w:pPr>
              <w:jc w:val="center"/>
              <w:spacing w:after="0"/>
              <w:rPr>
                <w:sz w:val="20"/>
                <w:szCs w:val="20"/>
                <w:color w:val="auto"/>
              </w:rPr>
            </w:pPr>
            <w:r>
              <w:rPr>
                <w:rFonts w:ascii="Arial" w:cs="Arial" w:eastAsia="Arial" w:hAnsi="Arial"/>
                <w:sz w:val="18"/>
                <w:szCs w:val="18"/>
                <w:color w:val="auto"/>
                <w:w w:val="91"/>
              </w:rPr>
              <w:t>99.2</w:t>
            </w:r>
          </w:p>
        </w:tc>
        <w:tc>
          <w:tcPr>
            <w:tcW w:w="10660" w:type="dxa"/>
            <w:vAlign w:val="bottom"/>
          </w:tcPr>
          <w:p>
            <w:pPr>
              <w:spacing w:after="0"/>
              <w:rPr>
                <w:sz w:val="20"/>
                <w:szCs w:val="20"/>
                <w:color w:val="auto"/>
              </w:rPr>
            </w:pPr>
            <w:r>
              <w:rPr>
                <w:rFonts w:ascii="Arial" w:cs="Arial" w:eastAsia="Arial" w:hAnsi="Arial"/>
                <w:sz w:val="18"/>
                <w:szCs w:val="18"/>
                <w:color w:val="auto"/>
                <w:w w:val="91"/>
              </w:rPr>
              <w:t>Amended and Restated Escrow Agreement, dated December 3, 2021, by and among NBCUniversal Media, LLC, Jonah Peretti, Jonah Peretti LLC</w:t>
            </w:r>
          </w:p>
        </w:tc>
      </w:tr>
      <w:tr>
        <w:trPr>
          <w:trHeight w:val="216"/>
        </w:trPr>
        <w:tc>
          <w:tcPr>
            <w:tcW w:w="580" w:type="dxa"/>
            <w:vAlign w:val="bottom"/>
          </w:tcPr>
          <w:p>
            <w:pPr>
              <w:spacing w:after="0"/>
              <w:rPr>
                <w:sz w:val="18"/>
                <w:szCs w:val="18"/>
                <w:color w:val="auto"/>
              </w:rPr>
            </w:pPr>
          </w:p>
        </w:tc>
        <w:tc>
          <w:tcPr>
            <w:tcW w:w="10660" w:type="dxa"/>
            <w:vAlign w:val="bottom"/>
          </w:tcPr>
          <w:p>
            <w:pPr>
              <w:spacing w:after="0"/>
              <w:rPr>
                <w:sz w:val="20"/>
                <w:szCs w:val="20"/>
                <w:color w:val="auto"/>
              </w:rPr>
            </w:pPr>
            <w:r>
              <w:rPr>
                <w:rFonts w:ascii="Arial" w:cs="Arial" w:eastAsia="Arial" w:hAnsi="Arial"/>
                <w:sz w:val="18"/>
                <w:szCs w:val="18"/>
                <w:color w:val="auto"/>
                <w:w w:val="91"/>
              </w:rPr>
              <w:t>and PNC Bank, National Association, as escrow agent (incorporated by reference to Exhibit 10.19 to the Issuer’s Current Report on Form 8-K filed</w:t>
            </w:r>
          </w:p>
        </w:tc>
      </w:tr>
      <w:tr>
        <w:trPr>
          <w:trHeight w:val="230"/>
        </w:trPr>
        <w:tc>
          <w:tcPr>
            <w:tcW w:w="580" w:type="dxa"/>
            <w:vAlign w:val="bottom"/>
          </w:tcPr>
          <w:p>
            <w:pPr>
              <w:spacing w:after="0"/>
              <w:rPr>
                <w:sz w:val="20"/>
                <w:szCs w:val="20"/>
                <w:color w:val="auto"/>
              </w:rPr>
            </w:pPr>
          </w:p>
        </w:tc>
        <w:tc>
          <w:tcPr>
            <w:tcW w:w="10660" w:type="dxa"/>
            <w:vAlign w:val="bottom"/>
          </w:tcPr>
          <w:p>
            <w:pPr>
              <w:spacing w:after="0"/>
              <w:rPr>
                <w:sz w:val="20"/>
                <w:szCs w:val="20"/>
                <w:color w:val="auto"/>
              </w:rPr>
            </w:pPr>
            <w:r>
              <w:rPr>
                <w:rFonts w:ascii="Arial" w:cs="Arial" w:eastAsia="Arial" w:hAnsi="Arial"/>
                <w:sz w:val="18"/>
                <w:szCs w:val="18"/>
                <w:color w:val="auto"/>
              </w:rPr>
              <w:t>with the Commission on December 9, 2021 (File No. 001-39877))</w:t>
            </w:r>
          </w:p>
        </w:tc>
      </w:tr>
      <w:tr>
        <w:trPr>
          <w:trHeight w:val="445"/>
        </w:trPr>
        <w:tc>
          <w:tcPr>
            <w:tcW w:w="580" w:type="dxa"/>
            <w:vAlign w:val="bottom"/>
          </w:tcPr>
          <w:p>
            <w:pPr>
              <w:jc w:val="center"/>
              <w:spacing w:after="0"/>
              <w:rPr>
                <w:sz w:val="20"/>
                <w:szCs w:val="20"/>
                <w:color w:val="auto"/>
              </w:rPr>
            </w:pPr>
            <w:r>
              <w:rPr>
                <w:rFonts w:ascii="Arial" w:cs="Arial" w:eastAsia="Arial" w:hAnsi="Arial"/>
                <w:sz w:val="18"/>
                <w:szCs w:val="18"/>
                <w:color w:val="auto"/>
                <w:w w:val="91"/>
              </w:rPr>
              <w:t>99.3</w:t>
            </w:r>
          </w:p>
        </w:tc>
        <w:tc>
          <w:tcPr>
            <w:tcW w:w="10660" w:type="dxa"/>
            <w:vAlign w:val="bottom"/>
          </w:tcPr>
          <w:p>
            <w:pPr>
              <w:spacing w:after="0"/>
              <w:rPr>
                <w:sz w:val="20"/>
                <w:szCs w:val="20"/>
                <w:color w:val="auto"/>
              </w:rPr>
            </w:pPr>
            <w:r>
              <w:rPr>
                <w:rFonts w:ascii="Arial" w:cs="Arial" w:eastAsia="Arial" w:hAnsi="Arial"/>
                <w:sz w:val="18"/>
                <w:szCs w:val="18"/>
                <w:color w:val="auto"/>
                <w:w w:val="91"/>
              </w:rPr>
              <w:t>Eighth Amended and Restated Investors’ Rights Agreement, dated as of June 24, 2021, by and among Old BuzzFeed and the other parties thereto</w:t>
            </w:r>
          </w:p>
        </w:tc>
      </w:tr>
      <w:tr>
        <w:trPr>
          <w:trHeight w:val="216"/>
        </w:trPr>
        <w:tc>
          <w:tcPr>
            <w:tcW w:w="580" w:type="dxa"/>
            <w:vAlign w:val="bottom"/>
          </w:tcPr>
          <w:p>
            <w:pPr>
              <w:spacing w:after="0"/>
              <w:rPr>
                <w:sz w:val="18"/>
                <w:szCs w:val="18"/>
                <w:color w:val="auto"/>
              </w:rPr>
            </w:pPr>
          </w:p>
        </w:tc>
        <w:tc>
          <w:tcPr>
            <w:tcW w:w="10660" w:type="dxa"/>
            <w:vAlign w:val="bottom"/>
          </w:tcPr>
          <w:p>
            <w:pPr>
              <w:spacing w:after="0"/>
              <w:rPr>
                <w:sz w:val="20"/>
                <w:szCs w:val="20"/>
                <w:color w:val="auto"/>
              </w:rPr>
            </w:pPr>
            <w:r>
              <w:rPr>
                <w:rFonts w:ascii="Arial" w:cs="Arial" w:eastAsia="Arial" w:hAnsi="Arial"/>
                <w:sz w:val="18"/>
                <w:szCs w:val="18"/>
                <w:color w:val="auto"/>
                <w:w w:val="92"/>
              </w:rPr>
              <w:t>(incorporated by reference to Exhibit 10.8 to the SPAC’s Registration Statement on Form S-4/A filed with the Commission on November 9, 2021</w:t>
            </w:r>
          </w:p>
        </w:tc>
      </w:tr>
      <w:tr>
        <w:trPr>
          <w:trHeight w:val="230"/>
        </w:trPr>
        <w:tc>
          <w:tcPr>
            <w:tcW w:w="580" w:type="dxa"/>
            <w:vAlign w:val="bottom"/>
          </w:tcPr>
          <w:p>
            <w:pPr>
              <w:spacing w:after="0"/>
              <w:rPr>
                <w:sz w:val="20"/>
                <w:szCs w:val="20"/>
                <w:color w:val="auto"/>
              </w:rPr>
            </w:pPr>
          </w:p>
        </w:tc>
        <w:tc>
          <w:tcPr>
            <w:tcW w:w="10660" w:type="dxa"/>
            <w:vAlign w:val="bottom"/>
          </w:tcPr>
          <w:p>
            <w:pPr>
              <w:spacing w:after="0"/>
              <w:rPr>
                <w:sz w:val="20"/>
                <w:szCs w:val="20"/>
                <w:color w:val="auto"/>
              </w:rPr>
            </w:pPr>
            <w:r>
              <w:rPr>
                <w:rFonts w:ascii="Arial" w:cs="Arial" w:eastAsia="Arial" w:hAnsi="Arial"/>
                <w:sz w:val="18"/>
                <w:szCs w:val="18"/>
                <w:color w:val="auto"/>
              </w:rPr>
              <w:t>(File No. 333-258343))</w:t>
            </w:r>
          </w:p>
        </w:tc>
      </w:tr>
      <w:tr>
        <w:trPr>
          <w:trHeight w:val="445"/>
        </w:trPr>
        <w:tc>
          <w:tcPr>
            <w:tcW w:w="580" w:type="dxa"/>
            <w:vAlign w:val="bottom"/>
          </w:tcPr>
          <w:p>
            <w:pPr>
              <w:jc w:val="center"/>
              <w:spacing w:after="0"/>
              <w:rPr>
                <w:sz w:val="20"/>
                <w:szCs w:val="20"/>
                <w:color w:val="auto"/>
              </w:rPr>
            </w:pPr>
            <w:r>
              <w:rPr>
                <w:rFonts w:ascii="Arial" w:cs="Arial" w:eastAsia="Arial" w:hAnsi="Arial"/>
                <w:sz w:val="18"/>
                <w:szCs w:val="18"/>
                <w:color w:val="auto"/>
                <w:w w:val="91"/>
              </w:rPr>
              <w:t>99.4</w:t>
            </w:r>
          </w:p>
        </w:tc>
        <w:tc>
          <w:tcPr>
            <w:tcW w:w="10660" w:type="dxa"/>
            <w:vAlign w:val="bottom"/>
          </w:tcPr>
          <w:p>
            <w:pPr>
              <w:spacing w:after="0"/>
              <w:rPr>
                <w:sz w:val="20"/>
                <w:szCs w:val="20"/>
                <w:color w:val="auto"/>
              </w:rPr>
            </w:pPr>
            <w:r>
              <w:rPr>
                <w:rFonts w:ascii="Arial" w:cs="Arial" w:eastAsia="Arial" w:hAnsi="Arial"/>
                <w:sz w:val="18"/>
                <w:szCs w:val="18"/>
                <w:color w:val="auto"/>
                <w:w w:val="91"/>
              </w:rPr>
              <w:t>Amended and Restated Registration Rights Agreement (incorporated by reference to Exhibit 10.1 to the Issuer’s Current Report on Form 8-K filed</w:t>
            </w:r>
          </w:p>
        </w:tc>
      </w:tr>
      <w:tr>
        <w:trPr>
          <w:trHeight w:val="230"/>
        </w:trPr>
        <w:tc>
          <w:tcPr>
            <w:tcW w:w="580" w:type="dxa"/>
            <w:vAlign w:val="bottom"/>
          </w:tcPr>
          <w:p>
            <w:pPr>
              <w:spacing w:after="0"/>
              <w:rPr>
                <w:sz w:val="20"/>
                <w:szCs w:val="20"/>
                <w:color w:val="auto"/>
              </w:rPr>
            </w:pPr>
          </w:p>
        </w:tc>
        <w:tc>
          <w:tcPr>
            <w:tcW w:w="10660" w:type="dxa"/>
            <w:vAlign w:val="bottom"/>
          </w:tcPr>
          <w:p>
            <w:pPr>
              <w:spacing w:after="0"/>
              <w:rPr>
                <w:sz w:val="20"/>
                <w:szCs w:val="20"/>
                <w:color w:val="auto"/>
              </w:rPr>
            </w:pPr>
            <w:r>
              <w:rPr>
                <w:rFonts w:ascii="Arial" w:cs="Arial" w:eastAsia="Arial" w:hAnsi="Arial"/>
                <w:sz w:val="18"/>
                <w:szCs w:val="18"/>
                <w:color w:val="auto"/>
              </w:rPr>
              <w:t>with the Commission on December 9, 2021 (File No. 001-39877))</w:t>
            </w:r>
          </w:p>
        </w:tc>
      </w:tr>
      <w:tr>
        <w:trPr>
          <w:trHeight w:val="459"/>
        </w:trPr>
        <w:tc>
          <w:tcPr>
            <w:tcW w:w="580" w:type="dxa"/>
            <w:vAlign w:val="bottom"/>
          </w:tcPr>
          <w:p>
            <w:pPr>
              <w:jc w:val="center"/>
              <w:spacing w:after="0"/>
              <w:rPr>
                <w:sz w:val="20"/>
                <w:szCs w:val="20"/>
                <w:color w:val="auto"/>
              </w:rPr>
            </w:pPr>
            <w:r>
              <w:rPr>
                <w:rFonts w:ascii="Arial" w:cs="Arial" w:eastAsia="Arial" w:hAnsi="Arial"/>
                <w:sz w:val="18"/>
                <w:szCs w:val="18"/>
                <w:color w:val="auto"/>
                <w:w w:val="95"/>
              </w:rPr>
              <w:t>99.5*</w:t>
            </w:r>
          </w:p>
        </w:tc>
        <w:tc>
          <w:tcPr>
            <w:tcW w:w="10660" w:type="dxa"/>
            <w:vAlign w:val="bottom"/>
          </w:tcPr>
          <w:p>
            <w:pPr>
              <w:spacing w:after="0"/>
              <w:rPr>
                <w:sz w:val="20"/>
                <w:szCs w:val="20"/>
                <w:color w:val="auto"/>
              </w:rPr>
            </w:pPr>
            <w:r>
              <w:rPr>
                <w:rFonts w:ascii="Arial" w:cs="Arial" w:eastAsia="Arial" w:hAnsi="Arial"/>
                <w:sz w:val="18"/>
                <w:szCs w:val="18"/>
                <w:color w:val="auto"/>
              </w:rPr>
              <w:t>Joint Filing Agreement pursuant to Rule 13d-1(k)</w:t>
            </w:r>
          </w:p>
        </w:tc>
      </w:tr>
    </w:tbl>
    <w:p>
      <w:pPr>
        <w:spacing w:after="0" w:line="229" w:lineRule="exact"/>
        <w:rPr>
          <w:sz w:val="20"/>
          <w:szCs w:val="20"/>
          <w:color w:val="auto"/>
        </w:rPr>
      </w:pPr>
    </w:p>
    <w:p>
      <w:pPr>
        <w:ind w:left="140" w:hanging="132"/>
        <w:spacing w:after="0"/>
        <w:tabs>
          <w:tab w:leader="none" w:pos="1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99.5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accordance with Rule 13d-1(k) under the Securities Exchange Act of 1934, as amended, each of the undersigned agrees that (i) this statement on Schedule 13D has been adopted and filed on behalf of each of them and (ii) all future amendments to such statement on Schedule 13D will, unless written notice to the contrary is delivered as described below, be jointly filed on behalf of each of them. This agreement may be terminated with respect to the obligations to jointly file future amendments to such statement on Schedule 13D as to any of the undersigned upon such person giving written notice thereof to each of the other persons signatory hereto, at the principal office thereof.</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13, 2021</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COMCAST CORPORATION</w:t>
      </w:r>
    </w:p>
    <w:p>
      <w:pPr>
        <w:spacing w:after="0" w:line="200" w:lineRule="exact"/>
        <w:rPr>
          <w:sz w:val="20"/>
          <w:szCs w:val="20"/>
          <w:color w:val="auto"/>
        </w:rPr>
      </w:pPr>
    </w:p>
    <w:p>
      <w:pPr>
        <w:spacing w:after="0" w:line="322" w:lineRule="exact"/>
        <w:rPr>
          <w:sz w:val="20"/>
          <w:szCs w:val="20"/>
          <w:color w:val="auto"/>
        </w:rPr>
      </w:pPr>
    </w:p>
    <w:p>
      <w:pPr>
        <w:ind w:left="6740"/>
        <w:spacing w:after="0"/>
        <w:tabs>
          <w:tab w:leader="none" w:pos="7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Elizabeth Wideman</w:t>
      </w:r>
    </w:p>
    <w:p>
      <w:pPr>
        <w:spacing w:after="0" w:line="50"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Name: Elizabeth Wideman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-130175</wp:posOffset>
            </wp:positionV>
            <wp:extent cx="25031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7"/>
          <w:szCs w:val="17"/>
          <w:color w:val="auto"/>
        </w:rPr>
        <w:t>Title: Senior Vice President, Senior Deputy General</w:t>
      </w:r>
    </w:p>
    <w:p>
      <w:pPr>
        <w:spacing w:after="0" w:line="34"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Counsel and Assistant Secretary</w:t>
      </w:r>
    </w:p>
    <w:p>
      <w:pPr>
        <w:spacing w:after="0" w:line="200" w:lineRule="exact"/>
        <w:rPr>
          <w:sz w:val="20"/>
          <w:szCs w:val="20"/>
          <w:color w:val="auto"/>
        </w:rPr>
      </w:pPr>
    </w:p>
    <w:p>
      <w:pPr>
        <w:spacing w:after="0" w:line="28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NBCUNIVERSAL, LLC</w:t>
      </w:r>
    </w:p>
    <w:p>
      <w:pPr>
        <w:spacing w:after="0" w:line="200" w:lineRule="exact"/>
        <w:rPr>
          <w:sz w:val="20"/>
          <w:szCs w:val="20"/>
          <w:color w:val="auto"/>
        </w:rPr>
      </w:pPr>
    </w:p>
    <w:p>
      <w:pPr>
        <w:spacing w:after="0" w:line="322" w:lineRule="exact"/>
        <w:rPr>
          <w:sz w:val="20"/>
          <w:szCs w:val="20"/>
          <w:color w:val="auto"/>
        </w:rPr>
      </w:pPr>
    </w:p>
    <w:p>
      <w:pPr>
        <w:ind w:left="6740"/>
        <w:spacing w:after="0"/>
        <w:tabs>
          <w:tab w:leader="none" w:pos="7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Elizabeth Wideman</w:t>
      </w:r>
    </w:p>
    <w:p>
      <w:pPr>
        <w:spacing w:after="0" w:line="50"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Name: Elizabeth Wideman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-130175</wp:posOffset>
            </wp:positionV>
            <wp:extent cx="25031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7"/>
          <w:szCs w:val="17"/>
          <w:color w:val="auto"/>
        </w:rPr>
        <w:t>Title: Senior Vice President and Assistant Secretary</w:t>
      </w:r>
    </w:p>
    <w:p>
      <w:pPr>
        <w:spacing w:after="0" w:line="200" w:lineRule="exact"/>
        <w:rPr>
          <w:sz w:val="20"/>
          <w:szCs w:val="20"/>
          <w:color w:val="auto"/>
        </w:rPr>
      </w:pPr>
    </w:p>
    <w:p>
      <w:pPr>
        <w:spacing w:after="0" w:line="33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NBCUNIVERSAL MEDIA, LLC</w:t>
      </w:r>
    </w:p>
    <w:p>
      <w:pPr>
        <w:spacing w:after="0" w:line="200" w:lineRule="exact"/>
        <w:rPr>
          <w:sz w:val="20"/>
          <w:szCs w:val="20"/>
          <w:color w:val="auto"/>
        </w:rPr>
      </w:pPr>
    </w:p>
    <w:p>
      <w:pPr>
        <w:spacing w:after="0" w:line="322" w:lineRule="exact"/>
        <w:rPr>
          <w:sz w:val="20"/>
          <w:szCs w:val="20"/>
          <w:color w:val="auto"/>
        </w:rPr>
      </w:pPr>
    </w:p>
    <w:p>
      <w:pPr>
        <w:ind w:left="6740"/>
        <w:spacing w:after="0"/>
        <w:tabs>
          <w:tab w:leader="none" w:pos="7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Elizabeth Wideman</w:t>
      </w:r>
    </w:p>
    <w:p>
      <w:pPr>
        <w:spacing w:after="0" w:line="50"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Name: Elizabeth Wideman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-130175</wp:posOffset>
            </wp:positionV>
            <wp:extent cx="25031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7"/>
          <w:szCs w:val="17"/>
          <w:color w:val="auto"/>
        </w:rPr>
        <w:t>Title: Senior Vice President and 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381635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11"/>
    </w:lvl>
  </w:abstractNum>
  <w:abstractNum w:abstractNumId="2">
    <w:nsid w:val="41B71EFB"/>
    <w:multiLevelType w:val="hybridMultilevel"/>
    <w:lvl w:ilvl="0">
      <w:lvlJc w:val="left"/>
      <w:lvlText w:val="*"/>
      <w:numFmt w:val="bullet"/>
      <w:start w:val="1"/>
    </w:lvl>
    <w:lvl w:ilvl="1">
      <w:lvlJc w:val="left"/>
      <w:lvlText w:val="%2."/>
      <w:numFmt w:val="decimal"/>
      <w:start w:val="13"/>
    </w:lvl>
  </w:abstractNum>
  <w:abstractNum w:abstractNumId="3">
    <w:nsid w:val="79E2A9E3"/>
    <w:multiLevelType w:val="hybridMultilevel"/>
    <w:lvl w:ilvl="0">
      <w:lvlJc w:val="left"/>
      <w:lvlText w:val="%1."/>
      <w:numFmt w:val="decimal"/>
      <w:start w:val="11"/>
    </w:lvl>
  </w:abstractNum>
  <w:abstractNum w:abstractNumId="4">
    <w:nsid w:val="7545E146"/>
    <w:multiLevelType w:val="hybridMultilevel"/>
    <w:lvl w:ilvl="0">
      <w:lvlJc w:val="left"/>
      <w:lvlText w:val="*"/>
      <w:numFmt w:val="bullet"/>
      <w:start w:val="1"/>
    </w:lvl>
    <w:lvl w:ilvl="1">
      <w:lvlJc w:val="left"/>
      <w:lvlText w:val="%2."/>
      <w:numFmt w:val="decimal"/>
      <w:start w:val="13"/>
    </w:lvl>
  </w:abstractNum>
  <w:abstractNum w:abstractNumId="5">
    <w:nsid w:val="515F007C"/>
    <w:multiLevelType w:val="hybridMultilevel"/>
    <w:lvl w:ilvl="0">
      <w:lvlJc w:val="left"/>
      <w:lvlText w:val="%1."/>
      <w:numFmt w:val="decimal"/>
      <w:start w:val="11"/>
    </w:lvl>
  </w:abstractNum>
  <w:abstractNum w:abstractNumId="6">
    <w:nsid w:val="5BD062C2"/>
    <w:multiLevelType w:val="hybridMultilevel"/>
    <w:lvl w:ilvl="0">
      <w:lvlJc w:val="left"/>
      <w:lvlText w:val="*"/>
      <w:numFmt w:val="bullet"/>
      <w:start w:val="1"/>
    </w:lvl>
    <w:lvl w:ilvl="1">
      <w:lvlJc w:val="left"/>
      <w:lvlText w:val="%2."/>
      <w:numFmt w:val="decimal"/>
      <w:start w:val="13"/>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2021-12-13T12:45:14Z</dcterms:created>
  <dcterms:modified xsi:type="dcterms:W3CDTF">2021-12-13T12:45:14Z</dcterms:modified>
</cp:coreProperties>
</file>