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May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4620" w:type="dxa"/>
            <w:vAlign w:val="bottom"/>
          </w:tcPr>
          <w:p>
            <w:pPr>
              <w:jc w:val="center"/>
              <w:ind w:right="1961"/>
              <w:spacing w:after="0"/>
              <w:rPr>
                <w:sz w:val="20"/>
                <w:szCs w:val="20"/>
                <w:color w:val="auto"/>
              </w:rPr>
            </w:pPr>
            <w:r>
              <w:rPr>
                <w:rFonts w:ascii="Arial" w:cs="Arial" w:eastAsia="Arial" w:hAnsi="Arial"/>
                <w:sz w:val="18"/>
                <w:szCs w:val="18"/>
                <w:b w:val="1"/>
                <w:bCs w:val="1"/>
                <w:color w:val="auto"/>
                <w:w w:val="88"/>
              </w:rPr>
              <w:t>Pennsylvania</w:t>
            </w:r>
          </w:p>
        </w:tc>
      </w:tr>
      <w:tr>
        <w:trPr>
          <w:trHeight w:val="149"/>
        </w:trPr>
        <w:tc>
          <w:tcPr>
            <w:tcW w:w="2920" w:type="dxa"/>
            <w:vAlign w:val="bottom"/>
          </w:tcPr>
          <w:p>
            <w:pPr>
              <w:spacing w:after="0"/>
              <w:rPr>
                <w:sz w:val="12"/>
                <w:szCs w:val="12"/>
                <w:color w:val="auto"/>
              </w:rPr>
            </w:pPr>
          </w:p>
        </w:tc>
        <w:tc>
          <w:tcPr>
            <w:tcW w:w="4620" w:type="dxa"/>
            <w:vAlign w:val="bottom"/>
          </w:tcPr>
          <w:p>
            <w:pPr>
              <w:jc w:val="center"/>
              <w:ind w:right="19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r>
      <w:tr>
        <w:trPr>
          <w:trHeight w:val="186"/>
        </w:trPr>
        <w:tc>
          <w:tcPr>
            <w:tcW w:w="2920" w:type="dxa"/>
            <w:vAlign w:val="bottom"/>
          </w:tcPr>
          <w:p>
            <w:pPr>
              <w:spacing w:after="0"/>
              <w:rPr>
                <w:sz w:val="16"/>
                <w:szCs w:val="16"/>
                <w:color w:val="auto"/>
              </w:rPr>
            </w:pPr>
          </w:p>
        </w:tc>
        <w:tc>
          <w:tcPr>
            <w:tcW w:w="4620" w:type="dxa"/>
            <w:vAlign w:val="bottom"/>
          </w:tcPr>
          <w:p>
            <w:pPr>
              <w:jc w:val="center"/>
              <w:ind w:right="1981"/>
              <w:spacing w:after="0"/>
              <w:rPr>
                <w:sz w:val="20"/>
                <w:szCs w:val="20"/>
                <w:color w:val="auto"/>
              </w:rPr>
            </w:pPr>
            <w:r>
              <w:rPr>
                <w:rFonts w:ascii="Arial" w:cs="Arial" w:eastAsia="Arial" w:hAnsi="Arial"/>
                <w:sz w:val="14"/>
                <w:szCs w:val="14"/>
                <w:b w:val="1"/>
                <w:bCs w:val="1"/>
                <w:color w:val="auto"/>
                <w:w w:val="92"/>
              </w:rPr>
              <w:t>of incorporation)</w:t>
            </w:r>
          </w:p>
        </w:tc>
      </w:tr>
      <w:tr>
        <w:trPr>
          <w:trHeight w:val="435"/>
        </w:trPr>
        <w:tc>
          <w:tcPr>
            <w:tcW w:w="2920" w:type="dxa"/>
            <w:vAlign w:val="bottom"/>
          </w:tcPr>
          <w:p>
            <w:pPr>
              <w:jc w:val="center"/>
              <w:ind w:right="379"/>
              <w:spacing w:after="0"/>
              <w:rPr>
                <w:sz w:val="20"/>
                <w:szCs w:val="20"/>
                <w:color w:val="auto"/>
              </w:rPr>
            </w:pPr>
            <w:r>
              <w:rPr>
                <w:rFonts w:ascii="Arial" w:cs="Arial" w:eastAsia="Arial" w:hAnsi="Arial"/>
                <w:sz w:val="18"/>
                <w:szCs w:val="18"/>
                <w:b w:val="1"/>
                <w:bCs w:val="1"/>
                <w:color w:val="auto"/>
                <w:w w:val="90"/>
              </w:rPr>
              <w:t>001-32871</w:t>
            </w:r>
          </w:p>
        </w:tc>
        <w:tc>
          <w:tcPr>
            <w:tcW w:w="4620" w:type="dxa"/>
            <w:vAlign w:val="bottom"/>
          </w:tcPr>
          <w:p>
            <w:pPr>
              <w:jc w:val="center"/>
              <w:ind w:left="3421"/>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92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0"/>
              </w:rPr>
              <w:t>(Commission</w:t>
            </w:r>
          </w:p>
        </w:tc>
        <w:tc>
          <w:tcPr>
            <w:tcW w:w="4620" w:type="dxa"/>
            <w:vAlign w:val="bottom"/>
          </w:tcPr>
          <w:p>
            <w:pPr>
              <w:jc w:val="center"/>
              <w:ind w:left="34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20" w:type="dxa"/>
            <w:vAlign w:val="bottom"/>
          </w:tcPr>
          <w:p>
            <w:pPr>
              <w:jc w:val="center"/>
              <w:ind w:right="379"/>
              <w:spacing w:after="0"/>
              <w:rPr>
                <w:sz w:val="20"/>
                <w:szCs w:val="20"/>
                <w:color w:val="auto"/>
              </w:rPr>
            </w:pPr>
            <w:r>
              <w:rPr>
                <w:rFonts w:ascii="Arial" w:cs="Arial" w:eastAsia="Arial" w:hAnsi="Arial"/>
                <w:sz w:val="14"/>
                <w:szCs w:val="14"/>
                <w:b w:val="1"/>
                <w:bCs w:val="1"/>
                <w:color w:val="auto"/>
                <w:w w:val="95"/>
              </w:rPr>
              <w:t>File Number)</w:t>
            </w:r>
          </w:p>
        </w:tc>
        <w:tc>
          <w:tcPr>
            <w:tcW w:w="4620" w:type="dxa"/>
            <w:vAlign w:val="bottom"/>
          </w:tcPr>
          <w:p>
            <w:pPr>
              <w:jc w:val="center"/>
              <w:ind w:left="34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2920" w:type="dxa"/>
            <w:vAlign w:val="bottom"/>
          </w:tcPr>
          <w:p>
            <w:pPr>
              <w:jc w:val="center"/>
              <w:ind w:right="399"/>
              <w:spacing w:after="0"/>
              <w:rPr>
                <w:sz w:val="20"/>
                <w:szCs w:val="20"/>
                <w:color w:val="auto"/>
              </w:rPr>
            </w:pPr>
            <w:r>
              <w:rPr>
                <w:rFonts w:ascii="Arial" w:cs="Arial" w:eastAsia="Arial" w:hAnsi="Arial"/>
                <w:sz w:val="18"/>
                <w:szCs w:val="18"/>
                <w:b w:val="1"/>
                <w:bCs w:val="1"/>
                <w:color w:val="auto"/>
                <w:w w:val="89"/>
              </w:rPr>
              <w:t>One Comcast Center</w:t>
            </w:r>
          </w:p>
        </w:tc>
        <w:tc>
          <w:tcPr>
            <w:tcW w:w="4620" w:type="dxa"/>
            <w:vAlign w:val="bottom"/>
          </w:tcPr>
          <w:p>
            <w:pPr>
              <w:spacing w:after="0"/>
              <w:rPr>
                <w:sz w:val="24"/>
                <w:szCs w:val="24"/>
                <w:color w:val="auto"/>
              </w:rPr>
            </w:pPr>
          </w:p>
        </w:tc>
      </w:tr>
      <w:tr>
        <w:trPr>
          <w:trHeight w:val="225"/>
        </w:trPr>
        <w:tc>
          <w:tcPr>
            <w:tcW w:w="2920" w:type="dxa"/>
            <w:vAlign w:val="bottom"/>
          </w:tcPr>
          <w:p>
            <w:pPr>
              <w:jc w:val="center"/>
              <w:ind w:right="399"/>
              <w:spacing w:after="0"/>
              <w:rPr>
                <w:sz w:val="20"/>
                <w:szCs w:val="20"/>
                <w:color w:val="auto"/>
              </w:rPr>
            </w:pPr>
            <w:r>
              <w:rPr>
                <w:rFonts w:ascii="Arial" w:cs="Arial" w:eastAsia="Arial" w:hAnsi="Arial"/>
                <w:sz w:val="18"/>
                <w:szCs w:val="18"/>
                <w:b w:val="1"/>
                <w:bCs w:val="1"/>
                <w:color w:val="auto"/>
                <w:w w:val="90"/>
              </w:rPr>
              <w:t>Philadelphia, PA</w:t>
            </w:r>
          </w:p>
        </w:tc>
        <w:tc>
          <w:tcPr>
            <w:tcW w:w="4620" w:type="dxa"/>
            <w:vAlign w:val="bottom"/>
          </w:tcPr>
          <w:p>
            <w:pPr>
              <w:jc w:val="center"/>
              <w:ind w:left="3421"/>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920" w:type="dxa"/>
            <w:vAlign w:val="bottom"/>
          </w:tcPr>
          <w:p>
            <w:pPr>
              <w:jc w:val="center"/>
              <w:ind w:right="3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620" w:type="dxa"/>
            <w:vAlign w:val="bottom"/>
          </w:tcPr>
          <w:p>
            <w:pPr>
              <w:jc w:val="center"/>
              <w:ind w:left="34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left="220"/>
        <w:spacing w:after="0"/>
        <w:tabs>
          <w:tab w:leader="none" w:pos="13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On May 27, 2015 Comcast Corporation (“Comcast”) has consummated the issuance and sale of $1,500,000,000 aggregate principal amount of its 3.375% Notes due 2025, $800,000,000 aggregate principal amount of its 4.400% Notes due 2035 and $1,700,000,000 aggregate principal amount of its</w:t>
      </w:r>
    </w:p>
    <w:p>
      <w:pPr>
        <w:ind w:right="60"/>
        <w:spacing w:after="0" w:line="252" w:lineRule="auto"/>
        <w:rPr>
          <w:sz w:val="20"/>
          <w:szCs w:val="20"/>
          <w:color w:val="auto"/>
        </w:rPr>
      </w:pPr>
      <w:r>
        <w:rPr>
          <w:rFonts w:ascii="Arial" w:cs="Arial" w:eastAsia="Arial" w:hAnsi="Arial"/>
          <w:sz w:val="18"/>
          <w:szCs w:val="18"/>
          <w:color w:val="auto"/>
        </w:rPr>
        <w:t>4.600% Notes due 2045 (collectively, the “Notes”), pursuant to an underwriting agreement dated May 19, 2015 among Comcast, the Guarantors (defined below) and Citigroup Global Markets Inc., Goldman, Sachs &amp; Co. and Morgan Stanley &amp; Co. LLC, as representatives of the several underwriters named therein. The Notes were issued pursuant to an Indenture dated as of September 18, 2013 (the “Indenture”) among Comcast, the guarantors named therein and The Bank of New York Mellon, as trustee (the “Trustee”), and an officers’ certificate issued pursuant thereto. The Notes are guaranteed on an unsecured and unsubordinated basis by Comcast Cable Communications, LLC, Comcast Cable Holdings, LLC, Comcast MO Group, Inc., Comcast MO of Delaware, LLC and NBCUniversal Media, LLC (the “Guarantors”).</w:t>
      </w:r>
    </w:p>
    <w:p>
      <w:pPr>
        <w:spacing w:after="0" w:line="194"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Notes are being offered pursuant to Comcast’s Registration Statement on Form S-3 filed on September 18, 2013, as amended on February 19, 2014 (Reg. No. 333-191239), including the prospectus contained therein, and a related prospectus supplement dated May 19, 2015.</w:t>
      </w:r>
    </w:p>
    <w:p>
      <w:pPr>
        <w:spacing w:after="0" w:line="14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Indenture filed as Exhibit 4.3 to Comcast’s Registration Statement on Form S-3 filed on September 18, 2013, as amended on February 19, 2014.</w:t>
      </w:r>
    </w:p>
    <w:p>
      <w:pPr>
        <w:spacing w:after="0" w:line="326"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9.01(d)</w:t>
      </w:r>
      <w:r>
        <w:rPr>
          <w:sz w:val="20"/>
          <w:szCs w:val="20"/>
          <w:color w:val="auto"/>
        </w:rPr>
        <w:tab/>
      </w:r>
      <w:r>
        <w:rPr>
          <w:rFonts w:ascii="Arial" w:cs="Arial" w:eastAsia="Arial" w:hAnsi="Arial"/>
          <w:sz w:val="16"/>
          <w:szCs w:val="16"/>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May 27, 2015</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636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7"/>
          <w:szCs w:val="17"/>
          <w:color w:val="auto"/>
        </w:rPr>
        <w:t>Title:</w:t>
        <w:tab/>
        <w:t>Executive Vice President, 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27, 2015</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Section 2.03 of the Indenture dated as of September 18, 2013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on an unsecured and unsubordinated basis by Comcast Cable Communications, LLC, Comcast Cable Holdings, LLC, Comcast MO Group, Inc., Comcast MO of Delaware, LLC and NBCUniversal Media, LLC, the undersigned officers of the Company do hereby certify, in connection with the issuance of the Company’s $1,500,000,000 aggregate principal amount of 3.375% Notes Due 2025 (the “</w:t>
      </w:r>
      <w:r>
        <w:rPr>
          <w:rFonts w:ascii="Arial" w:cs="Arial" w:eastAsia="Arial" w:hAnsi="Arial"/>
          <w:sz w:val="18"/>
          <w:szCs w:val="18"/>
          <w:b w:val="1"/>
          <w:bCs w:val="1"/>
          <w:color w:val="auto"/>
        </w:rPr>
        <w:t>2025 Notes</w:t>
      </w:r>
      <w:r>
        <w:rPr>
          <w:rFonts w:ascii="Arial" w:cs="Arial" w:eastAsia="Arial" w:hAnsi="Arial"/>
          <w:sz w:val="18"/>
          <w:szCs w:val="18"/>
          <w:color w:val="auto"/>
        </w:rPr>
        <w:t>”), $800,000,000 aggregate principal amount of 4.400% Notes Due 2035 (the “</w:t>
      </w:r>
      <w:r>
        <w:rPr>
          <w:rFonts w:ascii="Arial" w:cs="Arial" w:eastAsia="Arial" w:hAnsi="Arial"/>
          <w:sz w:val="18"/>
          <w:szCs w:val="18"/>
          <w:b w:val="1"/>
          <w:bCs w:val="1"/>
          <w:color w:val="auto"/>
        </w:rPr>
        <w:t>2035 Notes</w:t>
      </w:r>
      <w:r>
        <w:rPr>
          <w:rFonts w:ascii="Arial" w:cs="Arial" w:eastAsia="Arial" w:hAnsi="Arial"/>
          <w:sz w:val="18"/>
          <w:szCs w:val="18"/>
          <w:color w:val="auto"/>
        </w:rPr>
        <w:t>”) and $1,700,000,000 aggregate principal amount of 4.600% Notes Due 2045 (the “</w:t>
      </w:r>
      <w:r>
        <w:rPr>
          <w:rFonts w:ascii="Arial" w:cs="Arial" w:eastAsia="Arial" w:hAnsi="Arial"/>
          <w:sz w:val="18"/>
          <w:szCs w:val="18"/>
          <w:b w:val="1"/>
          <w:bCs w:val="1"/>
          <w:color w:val="auto"/>
        </w:rPr>
        <w:t>2045 Notes</w:t>
      </w:r>
      <w:r>
        <w:rPr>
          <w:rFonts w:ascii="Arial" w:cs="Arial" w:eastAsia="Arial" w:hAnsi="Arial"/>
          <w:sz w:val="18"/>
          <w:szCs w:val="18"/>
          <w:color w:val="auto"/>
        </w:rPr>
        <w:t>” and, together with the 2025 Notes and 2035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375%</w:t>
            </w:r>
            <w:r>
              <w:rPr>
                <w:rFonts w:ascii="Arial" w:cs="Arial" w:eastAsia="Arial" w:hAnsi="Arial"/>
                <w:sz w:val="18"/>
                <w:szCs w:val="18"/>
                <w:b w:val="1"/>
                <w:bCs w:val="1"/>
                <w:color w:val="auto"/>
              </w:rPr>
              <w:t xml:space="preserve"> Notes Due 2025</w:t>
            </w:r>
          </w:p>
        </w:tc>
      </w:tr>
      <w:tr>
        <w:trPr>
          <w:trHeight w:val="20"/>
        </w:trPr>
        <w:tc>
          <w:tcPr>
            <w:tcW w:w="3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rPr>
              <w:t>3.375% Notes Due 2025</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w w:val="98"/>
              </w:rPr>
              <w:t>Aggregate Principal Amount at Maturity:</w:t>
            </w:r>
          </w:p>
        </w:tc>
        <w:tc>
          <w:tcPr>
            <w:tcW w:w="1640" w:type="dxa"/>
            <w:vAlign w:val="bottom"/>
          </w:tcPr>
          <w:p>
            <w:pPr>
              <w:ind w:left="180"/>
              <w:spacing w:after="0"/>
              <w:rPr>
                <w:sz w:val="20"/>
                <w:szCs w:val="20"/>
                <w:color w:val="auto"/>
              </w:rPr>
            </w:pPr>
            <w:r>
              <w:rPr>
                <w:rFonts w:ascii="Arial" w:cs="Arial" w:eastAsia="Arial" w:hAnsi="Arial"/>
                <w:sz w:val="18"/>
                <w:szCs w:val="18"/>
                <w:color w:val="auto"/>
              </w:rPr>
              <w:t>$1,500,000,000</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rPr>
              <w:t>August 15, 2025</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640" w:type="dxa"/>
            <w:vAlign w:val="bottom"/>
          </w:tcPr>
          <w:p>
            <w:pPr>
              <w:ind w:left="180"/>
              <w:spacing w:after="0"/>
              <w:rPr>
                <w:sz w:val="20"/>
                <w:szCs w:val="20"/>
                <w:color w:val="auto"/>
              </w:rPr>
            </w:pPr>
            <w:r>
              <w:rPr>
                <w:rFonts w:ascii="Arial" w:cs="Arial" w:eastAsia="Arial" w:hAnsi="Arial"/>
                <w:sz w:val="18"/>
                <w:szCs w:val="18"/>
                <w:color w:val="auto"/>
              </w:rPr>
              <w:t>3.375%</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10"/>
        </w:trPr>
        <w:tc>
          <w:tcPr>
            <w:tcW w:w="31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5"/>
              </w:rPr>
              <w:t>The Company may at its option redeem the 2025 Notes in whole or in part, at any time or from time to time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6"/>
              </w:rPr>
              <w:t>prior to their maturity, on at least 30 days, but not more than 60 days, prior notice mailed to the registered</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1"/>
              </w:rPr>
              <w:t>address of each holder of the 2025 Notes, at the “Redemption Price.” Prior to May 15, 2025 (three months prior</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rPr>
              <w:t>to the maturity of the Notes due 2025),</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3"/>
              </w:rPr>
              <w:t>the Redemption Price is the greater of (i) 100% of the principal amount of the 2025 Notes, and (ii) the sum of</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1"/>
              </w:rPr>
              <w:t>the present values of the remaining scheduled payments of principal and interest thereon (exclusive of interest</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1"/>
              </w:rPr>
              <w:t>accrued to the date of redemption) discounted to the redemption date on a semiannual basis (assuming a 360-</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1"/>
              </w:rPr>
              <w:t>day year consisting of twelve 30-day months) at the Treasury Rate (as defined in the 2025 Notes) plus 20 basis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1"/>
              </w:rPr>
              <w:t>points. On and after May 15, 2025 (three months prior to the maturity of the 2025 Notes), the Redemption Price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rPr>
              <w:t>will equal 100% of the principal amount of such notes. In each case described in this paragraph, the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91"/>
              </w:rPr>
              <w:t>Redemption Price will include accrued and unpaid interest thereon to the date of redemption, and in each case</w:t>
            </w:r>
          </w:p>
        </w:tc>
      </w:tr>
      <w:tr>
        <w:trPr>
          <w:trHeight w:val="230"/>
        </w:trPr>
        <w:tc>
          <w:tcPr>
            <w:tcW w:w="3160" w:type="dxa"/>
            <w:vAlign w:val="bottom"/>
          </w:tcPr>
          <w:p>
            <w:pPr>
              <w:spacing w:after="0"/>
              <w:rPr>
                <w:sz w:val="20"/>
                <w:szCs w:val="20"/>
                <w:color w:val="auto"/>
              </w:rPr>
            </w:pPr>
          </w:p>
        </w:tc>
        <w:tc>
          <w:tcPr>
            <w:tcW w:w="8260" w:type="dxa"/>
            <w:vAlign w:val="bottom"/>
            <w:gridSpan w:val="3"/>
          </w:tcPr>
          <w:p>
            <w:pPr>
              <w:ind w:left="180"/>
              <w:spacing w:after="0"/>
              <w:rPr>
                <w:sz w:val="20"/>
                <w:szCs w:val="20"/>
                <w:color w:val="auto"/>
              </w:rPr>
            </w:pPr>
            <w:r>
              <w:rPr>
                <w:rFonts w:ascii="Arial" w:cs="Arial" w:eastAsia="Arial" w:hAnsi="Arial"/>
                <w:sz w:val="18"/>
                <w:szCs w:val="18"/>
                <w:color w:val="auto"/>
                <w:w w:val="89"/>
              </w:rPr>
              <w:t>described in this paragraph, subject to the further description in the Prospectus Supplement dated May 19, 2015.</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6"/>
              </w:rPr>
              <w:t>The 2025 Notes need not be issued at the same time and the series may be reopened for issuance of an</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1"/>
              </w:rPr>
              <w:t>unlimited principal amount of additional 2025 Notes under this series. Additional 2025 Notes of this series may</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4"/>
              </w:rPr>
              <w:t>be consolidated with, and form a single series with, 2025 Notes then outstanding, including for purposes of</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5"/>
              </w:rPr>
              <w:t>determining whether the required percentage of the holders of record has given approval or consent to an</w:t>
            </w:r>
          </w:p>
        </w:tc>
      </w:tr>
      <w:tr>
        <w:trPr>
          <w:trHeight w:val="230"/>
        </w:trPr>
        <w:tc>
          <w:tcPr>
            <w:tcW w:w="2460" w:type="dxa"/>
            <w:vAlign w:val="bottom"/>
          </w:tcPr>
          <w:p>
            <w:pPr>
              <w:spacing w:after="0"/>
              <w:rPr>
                <w:sz w:val="20"/>
                <w:szCs w:val="20"/>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9"/>
              </w:rPr>
              <w:t>amendment or waiver or joined in directing the Trustee to take certain actions on behalf of all holders.</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rPr>
              <w:t>None</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rPr>
              <w:t>None</w:t>
            </w:r>
          </w:p>
        </w:tc>
      </w:tr>
      <w:tr>
        <w:trPr>
          <w:trHeight w:val="306"/>
        </w:trPr>
        <w:tc>
          <w:tcPr>
            <w:tcW w:w="24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4"/>
              </w:rPr>
              <w:t>The terms of the 2025 Notes shall include such other terms as are set forth in the Form of Notes Due 2025</w:t>
            </w:r>
          </w:p>
        </w:tc>
      </w:tr>
      <w:tr>
        <w:trPr>
          <w:trHeight w:val="194"/>
        </w:trPr>
        <w:tc>
          <w:tcPr>
            <w:tcW w:w="2460" w:type="dxa"/>
            <w:vAlign w:val="bottom"/>
          </w:tcPr>
          <w:p>
            <w:pPr>
              <w:spacing w:after="0"/>
              <w:rPr>
                <w:sz w:val="16"/>
                <w:szCs w:val="16"/>
                <w:color w:val="auto"/>
              </w:rPr>
            </w:pPr>
          </w:p>
        </w:tc>
        <w:tc>
          <w:tcPr>
            <w:tcW w:w="8920" w:type="dxa"/>
            <w:vAlign w:val="bottom"/>
            <w:gridSpan w:val="3"/>
          </w:tcPr>
          <w:p>
            <w:pPr>
              <w:ind w:left="88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ectPr>
          <w:pgSz w:w="11900" w:h="16838" w:orient="portrait"/>
          <w:cols w:equalWidth="0" w:num="1">
            <w:col w:w="11380"/>
          </w:cols>
          <w:pgMar w:left="240" w:top="382" w:right="2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400%</w:t>
            </w:r>
            <w:r>
              <w:rPr>
                <w:rFonts w:ascii="Arial" w:cs="Arial" w:eastAsia="Arial" w:hAnsi="Arial"/>
                <w:sz w:val="18"/>
                <w:szCs w:val="18"/>
                <w:b w:val="1"/>
                <w:bCs w:val="1"/>
                <w:color w:val="auto"/>
              </w:rPr>
              <w:t xml:space="preserve"> Notes Due 2035</w:t>
            </w:r>
          </w:p>
        </w:tc>
      </w:tr>
      <w:tr>
        <w:trPr>
          <w:trHeight w:val="20"/>
        </w:trPr>
        <w:tc>
          <w:tcPr>
            <w:tcW w:w="3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rPr>
              <w:t>4.400% Notes Due 2035</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w w:val="98"/>
              </w:rPr>
              <w:t>Aggregate Principal Amount at Maturity:</w:t>
            </w:r>
          </w:p>
        </w:tc>
        <w:tc>
          <w:tcPr>
            <w:tcW w:w="1640" w:type="dxa"/>
            <w:vAlign w:val="bottom"/>
          </w:tcPr>
          <w:p>
            <w:pPr>
              <w:ind w:left="180"/>
              <w:spacing w:after="0"/>
              <w:rPr>
                <w:sz w:val="20"/>
                <w:szCs w:val="20"/>
                <w:color w:val="auto"/>
              </w:rPr>
            </w:pPr>
            <w:r>
              <w:rPr>
                <w:rFonts w:ascii="Arial" w:cs="Arial" w:eastAsia="Arial" w:hAnsi="Arial"/>
                <w:sz w:val="18"/>
                <w:szCs w:val="18"/>
                <w:color w:val="auto"/>
              </w:rPr>
              <w:t>$800,000,000</w:t>
            </w: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rPr>
              <w:t>August 15, 2035</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640" w:type="dxa"/>
            <w:vAlign w:val="bottom"/>
          </w:tcPr>
          <w:p>
            <w:pPr>
              <w:ind w:left="180"/>
              <w:spacing w:after="0"/>
              <w:rPr>
                <w:sz w:val="20"/>
                <w:szCs w:val="20"/>
                <w:color w:val="auto"/>
              </w:rPr>
            </w:pPr>
            <w:r>
              <w:rPr>
                <w:rFonts w:ascii="Arial" w:cs="Arial" w:eastAsia="Arial" w:hAnsi="Arial"/>
                <w:sz w:val="18"/>
                <w:szCs w:val="18"/>
                <w:color w:val="auto"/>
              </w:rPr>
              <w:t>4.400%</w:t>
            </w: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10"/>
        </w:trPr>
        <w:tc>
          <w:tcPr>
            <w:tcW w:w="31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4"/>
              </w:rPr>
              <w:t>The Company may at its option redeem the 2035 Notes in whole or in part, at any time or from time to time</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6"/>
              </w:rPr>
              <w:t>prior to their maturity, on at least 30 days, but not more than 60 days, prior notice mailed to the registered</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3"/>
              </w:rPr>
              <w:t>address of each holder of the 2035 Notes, at the “Redemption Price.” Prior to February 15, 2035 (six months</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1"/>
              </w:rPr>
              <w:t>prior to the maturity of the 2035 Notes), the Redemption Price is the greater of (i) 100% of the principal amount</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1"/>
              </w:rPr>
              <w:t>of the 2035 Notes, and (ii) the sum of the present values of the remaining scheduled payments of principal and</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0"/>
              </w:rPr>
              <w:t>interest thereon (exclusive of interest accrued to the date of redemption) discounted to the redemption date on a</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5"/>
              </w:rPr>
              <w:t>semiannual basis (assuming a 360-day year consisting of twelve 30-day months) at the Treasury Rate (as</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7"/>
              </w:rPr>
              <w:t>defined in the 2035 Notes) plus 20 basis points. On and after February 15, 2035 (six months prior to the</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4"/>
              </w:rPr>
              <w:t>maturity of the 2035 Notes), the Redemption Price will equal 100% of the principal amount of such notes. In</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0"/>
              </w:rPr>
              <w:t>each case described in this paragraph, the Redemption Price will include accrued and unpaid interest thereon to</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3"/>
              </w:rPr>
              <w:t>the date of redemption, and in each case described in this paragraph, subject to the further description in the</w:t>
            </w:r>
          </w:p>
        </w:tc>
      </w:tr>
      <w:tr>
        <w:trPr>
          <w:trHeight w:val="230"/>
        </w:trPr>
        <w:tc>
          <w:tcPr>
            <w:tcW w:w="3160" w:type="dxa"/>
            <w:vAlign w:val="bottom"/>
          </w:tcPr>
          <w:p>
            <w:pPr>
              <w:spacing w:after="0"/>
              <w:rPr>
                <w:sz w:val="20"/>
                <w:szCs w:val="20"/>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rPr>
              <w:t>Prospectus Supplement dated May 19, 2015.</w:t>
            </w:r>
          </w:p>
        </w:tc>
      </w:tr>
      <w:tr>
        <w:trPr>
          <w:trHeight w:val="310"/>
        </w:trPr>
        <w:tc>
          <w:tcPr>
            <w:tcW w:w="31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6"/>
              </w:rPr>
              <w:t>The 2035 Notes need not be issued at the same time and the series may be reopened for issuance of an</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1"/>
              </w:rPr>
              <w:t>unlimited principal amount of additional 2035 Notes under this series. Additional 2035 Notes of this series may</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4"/>
              </w:rPr>
              <w:t>be consolidated with, and form a single series with, 2035 Notes then outstanding, including for purposes of</w:t>
            </w:r>
          </w:p>
        </w:tc>
      </w:tr>
      <w:tr>
        <w:trPr>
          <w:trHeight w:val="216"/>
        </w:trPr>
        <w:tc>
          <w:tcPr>
            <w:tcW w:w="3160" w:type="dxa"/>
            <w:vAlign w:val="bottom"/>
          </w:tcPr>
          <w:p>
            <w:pPr>
              <w:spacing w:after="0"/>
              <w:rPr>
                <w:sz w:val="18"/>
                <w:szCs w:val="18"/>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5"/>
              </w:rPr>
              <w:t>determining whether the required percentage of the holders of record has given approval or consent to an</w:t>
            </w:r>
          </w:p>
        </w:tc>
      </w:tr>
      <w:tr>
        <w:trPr>
          <w:trHeight w:val="230"/>
        </w:trPr>
        <w:tc>
          <w:tcPr>
            <w:tcW w:w="3160" w:type="dxa"/>
            <w:vAlign w:val="bottom"/>
          </w:tcPr>
          <w:p>
            <w:pPr>
              <w:spacing w:after="0"/>
              <w:rPr>
                <w:sz w:val="20"/>
                <w:szCs w:val="20"/>
                <w:color w:val="auto"/>
              </w:rPr>
            </w:pP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w w:val="99"/>
              </w:rPr>
              <w:t>amendment or waiver or joined in directing the Trustee to take certain actions on behalf of all holders.</w:t>
            </w:r>
          </w:p>
        </w:tc>
      </w:tr>
    </w:tbl>
    <w:p>
      <w:pPr>
        <w:sectPr>
          <w:pgSz w:w="11900" w:h="16838" w:orient="portrait"/>
          <w:cols w:equalWidth="0" w:num="1">
            <w:col w:w="11400"/>
          </w:cols>
          <w:pgMar w:left="240" w:top="257"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rPr>
              <w:t>None</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rPr>
              <w:t>None</w:t>
            </w:r>
          </w:p>
        </w:tc>
      </w:tr>
      <w:tr>
        <w:trPr>
          <w:trHeight w:val="306"/>
        </w:trPr>
        <w:tc>
          <w:tcPr>
            <w:tcW w:w="31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4"/>
              </w:rPr>
              <w:t>The terms of the 2035 Notes shall include such other terms as are set forth in the Form of Notes Due 2035</w:t>
            </w:r>
          </w:p>
        </w:tc>
      </w:tr>
      <w:tr>
        <w:trPr>
          <w:trHeight w:val="194"/>
        </w:trPr>
        <w:tc>
          <w:tcPr>
            <w:tcW w:w="3160" w:type="dxa"/>
            <w:vAlign w:val="bottom"/>
          </w:tcPr>
          <w:p>
            <w:pPr>
              <w:spacing w:after="0"/>
              <w:rPr>
                <w:sz w:val="16"/>
                <w:szCs w:val="16"/>
                <w:color w:val="auto"/>
              </w:rPr>
            </w:pPr>
          </w:p>
        </w:tc>
        <w:tc>
          <w:tcPr>
            <w:tcW w:w="8240" w:type="dxa"/>
            <w:vAlign w:val="bottom"/>
            <w:gridSpan w:val="5"/>
          </w:tcPr>
          <w:p>
            <w:pPr>
              <w:ind w:left="18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696"/>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600%</w:t>
            </w:r>
            <w:r>
              <w:rPr>
                <w:rFonts w:ascii="Arial" w:cs="Arial" w:eastAsia="Arial" w:hAnsi="Arial"/>
                <w:sz w:val="18"/>
                <w:szCs w:val="18"/>
                <w:b w:val="1"/>
                <w:bCs w:val="1"/>
                <w:color w:val="auto"/>
              </w:rPr>
              <w:t xml:space="preserve"> Notes Due 2045</w:t>
            </w:r>
          </w:p>
        </w:tc>
      </w:tr>
      <w:tr>
        <w:trPr>
          <w:trHeight w:val="20"/>
        </w:trPr>
        <w:tc>
          <w:tcPr>
            <w:tcW w:w="3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rPr>
              <w:t>4.600% Notes Due 2045</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w w:val="98"/>
              </w:rPr>
              <w:t>Aggregate Principal Amount at Maturity:</w:t>
            </w:r>
          </w:p>
        </w:tc>
        <w:tc>
          <w:tcPr>
            <w:tcW w:w="1500" w:type="dxa"/>
            <w:vAlign w:val="bottom"/>
          </w:tcPr>
          <w:p>
            <w:pPr>
              <w:ind w:left="180"/>
              <w:spacing w:after="0"/>
              <w:rPr>
                <w:sz w:val="20"/>
                <w:szCs w:val="20"/>
                <w:color w:val="auto"/>
              </w:rPr>
            </w:pPr>
            <w:r>
              <w:rPr>
                <w:rFonts w:ascii="Arial" w:cs="Arial" w:eastAsia="Arial" w:hAnsi="Arial"/>
                <w:sz w:val="18"/>
                <w:szCs w:val="18"/>
                <w:color w:val="auto"/>
              </w:rPr>
              <w:t>$1,700,000,000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rPr>
              <w:t>August 15, 2045</w:t>
            </w:r>
          </w:p>
        </w:tc>
      </w:tr>
      <w:tr>
        <w:trPr>
          <w:trHeight w:val="324"/>
        </w:trPr>
        <w:tc>
          <w:tcPr>
            <w:tcW w:w="31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500" w:type="dxa"/>
            <w:vAlign w:val="bottom"/>
          </w:tcPr>
          <w:p>
            <w:pPr>
              <w:ind w:left="180"/>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10"/>
        </w:trPr>
        <w:tc>
          <w:tcPr>
            <w:tcW w:w="31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4"/>
              </w:rPr>
              <w:t>The Company may at its option redeem the 2045 Notes in whole or in part, at any time or from time to time</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6"/>
              </w:rPr>
              <w:t>prior to their maturity, on at least 30 days, but not more than 60 days, prior notice mailed to the registered</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3"/>
              </w:rPr>
              <w:t>address of each holder of the 2045 Notes, at the “Redemption Price.” Prior to February 15, 2045 (six months</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1"/>
              </w:rPr>
              <w:t>prior to the maturity of the 2045 Notes), the Redemption Price is the greater of (i) 100% of the principal amount</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1"/>
              </w:rPr>
              <w:t>of the 2045 Notes, and (ii) the sum of the present values of the remaining scheduled payments of principal and</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0"/>
              </w:rPr>
              <w:t>interest thereon (exclusive of interest accrued to the date of redemption) discounted to the redemption date on a</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5"/>
              </w:rPr>
              <w:t>semiannual basis (assuming a 360-day year consisting of twelve 30-day months) at the Treasury Rate (as</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7"/>
              </w:rPr>
              <w:t>defined in the 2045 Notes) plus 25 basis points. On and after February 15, 2045 (six months prior to the</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4"/>
              </w:rPr>
              <w:t>maturity of the 2045 Notes), the Redemption Price will equal 100% of the principal amount of such notes. In</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0"/>
              </w:rPr>
              <w:t>each case described in this paragraph, the Redemption Price will include accrued and unpaid interest thereon to</w:t>
            </w:r>
          </w:p>
        </w:tc>
      </w:tr>
      <w:tr>
        <w:trPr>
          <w:trHeight w:val="216"/>
        </w:trPr>
        <w:tc>
          <w:tcPr>
            <w:tcW w:w="3160" w:type="dxa"/>
            <w:vAlign w:val="bottom"/>
          </w:tcPr>
          <w:p>
            <w:pPr>
              <w:spacing w:after="0"/>
              <w:rPr>
                <w:sz w:val="18"/>
                <w:szCs w:val="18"/>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w w:val="93"/>
              </w:rPr>
              <w:t>the date of redemption, and in each case described in this paragraph, subject to the further description in the</w:t>
            </w:r>
          </w:p>
        </w:tc>
      </w:tr>
      <w:tr>
        <w:trPr>
          <w:trHeight w:val="230"/>
        </w:trPr>
        <w:tc>
          <w:tcPr>
            <w:tcW w:w="3160" w:type="dxa"/>
            <w:vAlign w:val="bottom"/>
          </w:tcPr>
          <w:p>
            <w:pPr>
              <w:spacing w:after="0"/>
              <w:rPr>
                <w:sz w:val="20"/>
                <w:szCs w:val="20"/>
                <w:color w:val="auto"/>
              </w:rPr>
            </w:pPr>
          </w:p>
        </w:tc>
        <w:tc>
          <w:tcPr>
            <w:tcW w:w="8240" w:type="dxa"/>
            <w:vAlign w:val="bottom"/>
            <w:gridSpan w:val="5"/>
          </w:tcPr>
          <w:p>
            <w:pPr>
              <w:ind w:left="180"/>
              <w:spacing w:after="0"/>
              <w:rPr>
                <w:sz w:val="20"/>
                <w:szCs w:val="20"/>
                <w:color w:val="auto"/>
              </w:rPr>
            </w:pPr>
            <w:r>
              <w:rPr>
                <w:rFonts w:ascii="Arial" w:cs="Arial" w:eastAsia="Arial" w:hAnsi="Arial"/>
                <w:sz w:val="18"/>
                <w:szCs w:val="18"/>
                <w:color w:val="auto"/>
              </w:rPr>
              <w:t>Prospectus Supplement dated May 19, 2015.</w:t>
            </w:r>
          </w:p>
        </w:tc>
      </w:tr>
    </w:tbl>
    <w:p>
      <w:pPr>
        <w:sectPr>
          <w:pgSz w:w="11900" w:h="16838" w:orient="portrait"/>
          <w:cols w:equalWidth="0" w:num="1">
            <w:col w:w="11400"/>
          </w:cols>
          <w:pgMar w:left="240" w:top="382" w:right="2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6"/>
              </w:rPr>
              <w:t>The 2045 Notes need not be issued at the same time and the series may be reopened for issuance of an</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1"/>
              </w:rPr>
              <w:t>unlimited principal amount of additional 2045 Notes under this series. Additional 2045 Notes of this series may</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4"/>
              </w:rPr>
              <w:t>be consolidated with, and form a single series with, 2045 Notes then outstanding, including for purposes of</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5"/>
              </w:rPr>
              <w:t>determining whether the required percentage of the holders of record has given approval or consent to an</w:t>
            </w:r>
          </w:p>
        </w:tc>
      </w:tr>
      <w:tr>
        <w:trPr>
          <w:trHeight w:val="230"/>
        </w:trPr>
        <w:tc>
          <w:tcPr>
            <w:tcW w:w="2460" w:type="dxa"/>
            <w:vAlign w:val="bottom"/>
          </w:tcPr>
          <w:p>
            <w:pPr>
              <w:spacing w:after="0"/>
              <w:rPr>
                <w:sz w:val="20"/>
                <w:szCs w:val="20"/>
                <w:color w:val="auto"/>
              </w:rPr>
            </w:pP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9"/>
              </w:rPr>
              <w:t>amendment or waiver or joined in directing the Trustee to take certain actions on behalf of all holders.</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rPr>
              <w:t>None</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rPr>
              <w:t>None</w:t>
            </w:r>
          </w:p>
        </w:tc>
      </w:tr>
      <w:tr>
        <w:trPr>
          <w:trHeight w:val="306"/>
        </w:trPr>
        <w:tc>
          <w:tcPr>
            <w:tcW w:w="24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920" w:type="dxa"/>
            <w:vAlign w:val="bottom"/>
            <w:gridSpan w:val="3"/>
          </w:tcPr>
          <w:p>
            <w:pPr>
              <w:ind w:left="880"/>
              <w:spacing w:after="0"/>
              <w:rPr>
                <w:sz w:val="20"/>
                <w:szCs w:val="20"/>
                <w:color w:val="auto"/>
              </w:rPr>
            </w:pPr>
            <w:r>
              <w:rPr>
                <w:rFonts w:ascii="Arial" w:cs="Arial" w:eastAsia="Arial" w:hAnsi="Arial"/>
                <w:sz w:val="18"/>
                <w:szCs w:val="18"/>
                <w:color w:val="auto"/>
                <w:w w:val="94"/>
              </w:rPr>
              <w:t>The terms of the 2045 Notes shall include such other terms as are set forth in the Form of Notes Due 2045</w:t>
            </w:r>
          </w:p>
        </w:tc>
      </w:tr>
      <w:tr>
        <w:trPr>
          <w:trHeight w:val="194"/>
        </w:trPr>
        <w:tc>
          <w:tcPr>
            <w:tcW w:w="2460" w:type="dxa"/>
            <w:vAlign w:val="bottom"/>
          </w:tcPr>
          <w:p>
            <w:pPr>
              <w:spacing w:after="0"/>
              <w:rPr>
                <w:sz w:val="16"/>
                <w:szCs w:val="16"/>
                <w:color w:val="auto"/>
              </w:rPr>
            </w:pPr>
          </w:p>
        </w:tc>
        <w:tc>
          <w:tcPr>
            <w:tcW w:w="8920" w:type="dxa"/>
            <w:vAlign w:val="bottom"/>
            <w:gridSpan w:val="3"/>
          </w:tcPr>
          <w:p>
            <w:pPr>
              <w:ind w:left="88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380"/>
          </w:cols>
          <w:pgMar w:left="240" w:top="382"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720"/>
          </w:cols>
          <w:pgMar w:left="70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2025]</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3.375% Note Due 2025</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BN0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US20030NBN03</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August 15, 2025.</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26498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3.375% Note Due 2025</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27, 2015. The Issuer will pay interest semi-annually in arrears on each Interest Payment Date, commencing August 15, 2015.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13" w:name="page14"/>
    <w:bookmarkEnd w:id="13"/>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Issuer issued the Securities under an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32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14" w:name="page15"/>
    <w:bookmarkEnd w:id="14"/>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means (a) at any time prior to May 15, 2025 (three months prior to the maturity of the Securities),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20 basis points and (b) if the Securities are redeemed on or after May 15, 2025 (three months prior to the maturity of the Securities) 100% of the principal amount of such Securities; plus, in each case, accrued and unpaid interest thereon to the date of redemption.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 w:name="page16"/>
    <w:bookmarkEnd w:id="15"/>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Goldman, Sachs &amp; Co. and Morgan Stanley &amp; Co.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6" w:name="page17"/>
    <w:bookmarkEnd w:id="16"/>
    <w:p>
      <w:pPr>
        <w:ind w:right="4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2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7" w:name="page18"/>
    <w:bookmarkEnd w:id="17"/>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4"/>
          </w:tcPr>
          <w:p>
            <w:pPr>
              <w:jc w:val="center"/>
              <w:ind w:right="190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r>
      <w:tr>
        <w:trPr>
          <w:trHeight w:val="250"/>
        </w:trPr>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500" w:type="dxa"/>
            <w:vAlign w:val="bottom"/>
            <w:gridSpan w:val="4"/>
          </w:tcPr>
          <w:p>
            <w:pPr>
              <w:jc w:val="center"/>
              <w:ind w:right="192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and irrevocably appoint</w:t>
            </w:r>
          </w:p>
        </w:tc>
        <w:tc>
          <w:tcPr>
            <w:tcW w:w="100" w:type="dxa"/>
            <w:vAlign w:val="bottom"/>
          </w:tcPr>
          <w:p>
            <w:pPr>
              <w:spacing w:after="0"/>
              <w:rPr>
                <w:sz w:val="24"/>
                <w:szCs w:val="24"/>
                <w:color w:val="auto"/>
              </w:rPr>
            </w:pPr>
          </w:p>
        </w:tc>
        <w:tc>
          <w:tcPr>
            <w:tcW w:w="9500" w:type="dxa"/>
            <w:vAlign w:val="bottom"/>
            <w:gridSpan w:val="4"/>
          </w:tcPr>
          <w:p>
            <w:pPr>
              <w:ind w:left="168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702"/>
        </w:trPr>
        <w:tc>
          <w:tcPr>
            <w:tcW w:w="18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20" w:type="dxa"/>
            <w:vAlign w:val="bottom"/>
            <w:gridSpan w:val="3"/>
          </w:tcPr>
          <w:p>
            <w:pPr>
              <w:ind w:left="660"/>
              <w:spacing w:after="0"/>
              <w:rPr>
                <w:sz w:val="20"/>
                <w:szCs w:val="20"/>
                <w:color w:val="auto"/>
              </w:rPr>
            </w:pPr>
            <w:r>
              <w:rPr>
                <w:rFonts w:ascii="Arial" w:cs="Arial" w:eastAsia="Arial" w:hAnsi="Arial"/>
                <w:sz w:val="18"/>
                <w:szCs w:val="18"/>
                <w:color w:val="auto"/>
              </w:rPr>
              <w:t>Signed:</w:t>
            </w:r>
          </w:p>
        </w:tc>
      </w:tr>
      <w:tr>
        <w:trPr>
          <w:trHeight w:val="209"/>
        </w:trPr>
        <w:tc>
          <w:tcPr>
            <w:tcW w:w="6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Security)</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0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w w:val="93"/>
              </w:rPr>
              <w:t>Participant in a recognized Signature Guarantee Medallion Program (or other signature</w:t>
            </w:r>
          </w:p>
        </w:tc>
        <w:tc>
          <w:tcPr>
            <w:tcW w:w="30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0" w:type="dxa"/>
            <w:vAlign w:val="bottom"/>
            <w:gridSpan w:val="5"/>
          </w:tcPr>
          <w:p>
            <w:pPr>
              <w:ind w:left="10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20" w:type="dxa"/>
            <w:vAlign w:val="bottom"/>
            <w:gridSpan w:val="3"/>
          </w:tcPr>
          <w:p>
            <w:pPr>
              <w:jc w:val="center"/>
              <w:ind w:left="2870"/>
              <w:spacing w:after="0"/>
              <w:rPr>
                <w:sz w:val="20"/>
                <w:szCs w:val="20"/>
                <w:color w:val="auto"/>
              </w:rPr>
            </w:pPr>
            <w:r>
              <w:rPr>
                <w:rFonts w:ascii="Arial" w:cs="Arial" w:eastAsia="Arial" w:hAnsi="Arial"/>
                <w:sz w:val="18"/>
                <w:szCs w:val="18"/>
                <w:color w:val="auto"/>
                <w:w w:val="99"/>
              </w:rPr>
              <w:t>7</w:t>
            </w:r>
          </w:p>
        </w:tc>
        <w:tc>
          <w:tcPr>
            <w:tcW w:w="176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2035]</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4.400% Note Due 2035</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BP5</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US20030NBP50</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360"/>
            <w:col w:w="8040" w:space="720"/>
            <w:col w:w="192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August 15, 2035.</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274" w:right="4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4.400% Note Due 2035</w:t>
      </w:r>
    </w:p>
    <w:p>
      <w:pPr>
        <w:spacing w:after="0" w:line="2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27, 2015. The Issuer will pay interest semi-annually in arrears on each Interest Payment Date, commencing August 15, 2015.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23" w:name="page24"/>
    <w:bookmarkEnd w:id="23"/>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Issuer issued the Securities under an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325"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24" w:name="page25"/>
    <w:bookmarkEnd w:id="24"/>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means (a) at any time prior to February 15, 2035 (six months prior to the maturity of the Securities),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20 basis points and (b) if the Securities are redeemed on or after February 15, 2035 (six months prior to the maturity of the Securities) 100% of the principal amount of such Securities; plus, in each case, accrued and unpaid interest thereon to the date of redemption.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5" w:name="page26"/>
    <w:bookmarkEnd w:id="25"/>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Goldman, Sachs &amp; Co. and Morgan Stanley &amp; Co.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6" w:name="page27"/>
    <w:bookmarkEnd w:id="26"/>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7" w:name="page28"/>
    <w:bookmarkEnd w:id="27"/>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4"/>
          </w:tcPr>
          <w:p>
            <w:pPr>
              <w:jc w:val="center"/>
              <w:ind w:right="190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97"/>
        </w:trPr>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4"/>
          </w:tcPr>
          <w:p>
            <w:pPr>
              <w:jc w:val="center"/>
              <w:ind w:right="192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and irrevocably appoint</w:t>
            </w:r>
          </w:p>
        </w:tc>
        <w:tc>
          <w:tcPr>
            <w:tcW w:w="100" w:type="dxa"/>
            <w:vAlign w:val="bottom"/>
          </w:tcPr>
          <w:p>
            <w:pPr>
              <w:spacing w:after="0"/>
              <w:rPr>
                <w:sz w:val="24"/>
                <w:szCs w:val="24"/>
                <w:color w:val="auto"/>
              </w:rPr>
            </w:pPr>
          </w:p>
        </w:tc>
        <w:tc>
          <w:tcPr>
            <w:tcW w:w="9500" w:type="dxa"/>
            <w:vAlign w:val="bottom"/>
            <w:gridSpan w:val="4"/>
          </w:tcPr>
          <w:p>
            <w:pPr>
              <w:ind w:left="164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20" w:type="dxa"/>
            <w:vAlign w:val="bottom"/>
            <w:gridSpan w:val="3"/>
          </w:tcPr>
          <w:p>
            <w:pPr>
              <w:ind w:left="660"/>
              <w:spacing w:after="0"/>
              <w:rPr>
                <w:sz w:val="20"/>
                <w:szCs w:val="20"/>
                <w:color w:val="auto"/>
              </w:rPr>
            </w:pPr>
            <w:r>
              <w:rPr>
                <w:rFonts w:ascii="Arial" w:cs="Arial" w:eastAsia="Arial" w:hAnsi="Arial"/>
                <w:sz w:val="18"/>
                <w:szCs w:val="18"/>
                <w:color w:val="auto"/>
              </w:rPr>
              <w:t>Signed:</w:t>
            </w:r>
          </w:p>
        </w:tc>
      </w:tr>
      <w:tr>
        <w:trPr>
          <w:trHeight w:val="209"/>
        </w:trPr>
        <w:tc>
          <w:tcPr>
            <w:tcW w:w="6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Security)</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0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w w:val="93"/>
              </w:rPr>
              <w:t>Participant in a recognized Signature Guarantee Medallion Program (or other signature</w:t>
            </w:r>
          </w:p>
        </w:tc>
        <w:tc>
          <w:tcPr>
            <w:tcW w:w="30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0" w:type="dxa"/>
            <w:vAlign w:val="bottom"/>
            <w:gridSpan w:val="5"/>
          </w:tcPr>
          <w:p>
            <w:pPr>
              <w:ind w:left="10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20" w:type="dxa"/>
            <w:vAlign w:val="bottom"/>
            <w:gridSpan w:val="3"/>
          </w:tcPr>
          <w:p>
            <w:pPr>
              <w:jc w:val="center"/>
              <w:ind w:left="2870"/>
              <w:spacing w:after="0"/>
              <w:rPr>
                <w:sz w:val="20"/>
                <w:szCs w:val="20"/>
                <w:color w:val="auto"/>
              </w:rPr>
            </w:pPr>
            <w:r>
              <w:rPr>
                <w:rFonts w:ascii="Arial" w:cs="Arial" w:eastAsia="Arial" w:hAnsi="Arial"/>
                <w:sz w:val="18"/>
                <w:szCs w:val="18"/>
                <w:color w:val="auto"/>
                <w:w w:val="99"/>
              </w:rPr>
              <w:t>7</w:t>
            </w:r>
          </w:p>
        </w:tc>
        <w:tc>
          <w:tcPr>
            <w:tcW w:w="176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2045]</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4.600% Note Due 2045</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BQ3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US20030NBQ34</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200" w:space="720"/>
            <w:col w:w="194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August 15, 2045.</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4.600% Note Due 2045</w:t>
      </w:r>
    </w:p>
    <w:p>
      <w:pPr>
        <w:spacing w:after="0" w:line="25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27, 2015. The Issuer will pay interest semi-annually in arrears on each Interest Payment Date, commencing August 15, 2015.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33" w:name="page34"/>
    <w:bookmarkEnd w:id="33"/>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Issuer issued the Securities under an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325"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34" w:name="page35"/>
    <w:bookmarkEnd w:id="34"/>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“Redemption Price” </w:t>
      </w:r>
      <w:r>
        <w:rPr>
          <w:rFonts w:ascii="Arial" w:cs="Arial" w:eastAsia="Arial" w:hAnsi="Arial"/>
          <w:sz w:val="16"/>
          <w:szCs w:val="16"/>
          <w:color w:val="auto"/>
        </w:rPr>
        <w:t>means (a) at any time prior to February 15, 2045 (six months prior to the maturity of the Securities), the greater of (i) 100%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25 basis points and (b) if the Securities are redeemed on or after February 15, 2045 (six months prior to the maturity of the Securities) 100% of the principal amount of such Securities; plus, in each case, accrued and unpaid interest thereon to the date of redemption.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 w:name="page36"/>
    <w:bookmarkEnd w:id="35"/>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Goldman, Sachs &amp; Co. and Morgan Stanley &amp; Co.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6" w:name="page37"/>
    <w:bookmarkEnd w:id="36"/>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7" w:name="page38"/>
    <w:bookmarkEnd w:id="37"/>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4"/>
          </w:tcPr>
          <w:p>
            <w:pPr>
              <w:jc w:val="center"/>
              <w:ind w:right="190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97"/>
        </w:trPr>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4"/>
          </w:tcPr>
          <w:p>
            <w:pPr>
              <w:jc w:val="center"/>
              <w:ind w:right="192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and irrevocably appoint</w:t>
            </w:r>
          </w:p>
        </w:tc>
        <w:tc>
          <w:tcPr>
            <w:tcW w:w="100" w:type="dxa"/>
            <w:vAlign w:val="bottom"/>
          </w:tcPr>
          <w:p>
            <w:pPr>
              <w:spacing w:after="0"/>
              <w:rPr>
                <w:sz w:val="24"/>
                <w:szCs w:val="24"/>
                <w:color w:val="auto"/>
              </w:rPr>
            </w:pPr>
          </w:p>
        </w:tc>
        <w:tc>
          <w:tcPr>
            <w:tcW w:w="9500" w:type="dxa"/>
            <w:vAlign w:val="bottom"/>
            <w:gridSpan w:val="4"/>
          </w:tcPr>
          <w:p>
            <w:pPr>
              <w:ind w:left="164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20" w:type="dxa"/>
            <w:vAlign w:val="bottom"/>
            <w:gridSpan w:val="3"/>
          </w:tcPr>
          <w:p>
            <w:pPr>
              <w:ind w:left="660"/>
              <w:spacing w:after="0"/>
              <w:rPr>
                <w:sz w:val="20"/>
                <w:szCs w:val="20"/>
                <w:color w:val="auto"/>
              </w:rPr>
            </w:pPr>
            <w:r>
              <w:rPr>
                <w:rFonts w:ascii="Arial" w:cs="Arial" w:eastAsia="Arial" w:hAnsi="Arial"/>
                <w:sz w:val="18"/>
                <w:szCs w:val="18"/>
                <w:color w:val="auto"/>
              </w:rPr>
              <w:t>Signed:</w:t>
            </w:r>
          </w:p>
        </w:tc>
      </w:tr>
      <w:tr>
        <w:trPr>
          <w:trHeight w:val="209"/>
        </w:trPr>
        <w:tc>
          <w:tcPr>
            <w:tcW w:w="6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Security)</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0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w w:val="93"/>
              </w:rPr>
              <w:t>Participant in a recognized Signature Guarantee Medallion Program (or other signature</w:t>
            </w:r>
          </w:p>
        </w:tc>
        <w:tc>
          <w:tcPr>
            <w:tcW w:w="30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0" w:type="dxa"/>
            <w:vAlign w:val="bottom"/>
            <w:gridSpan w:val="5"/>
          </w:tcPr>
          <w:p>
            <w:pPr>
              <w:ind w:left="10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20" w:type="dxa"/>
            <w:vAlign w:val="bottom"/>
            <w:gridSpan w:val="3"/>
          </w:tcPr>
          <w:p>
            <w:pPr>
              <w:jc w:val="center"/>
              <w:ind w:left="2870"/>
              <w:spacing w:after="0"/>
              <w:rPr>
                <w:sz w:val="20"/>
                <w:szCs w:val="20"/>
                <w:color w:val="auto"/>
              </w:rPr>
            </w:pPr>
            <w:r>
              <w:rPr>
                <w:rFonts w:ascii="Arial" w:cs="Arial" w:eastAsia="Arial" w:hAnsi="Arial"/>
                <w:sz w:val="18"/>
                <w:szCs w:val="18"/>
                <w:color w:val="auto"/>
                <w:w w:val="99"/>
              </w:rPr>
              <w:t>7</w:t>
            </w:r>
          </w:p>
        </w:tc>
        <w:tc>
          <w:tcPr>
            <w:tcW w:w="176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May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 am Executive Vice President, General Counsel and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 May 19, 2015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Citigroup Global Markets Inc., Goldman, Sachs &amp; Co., and Morgan Stanley &amp; Co.</w:t>
      </w:r>
      <w:r>
        <w:rPr>
          <w:rFonts w:ascii="Arial" w:cs="Arial" w:eastAsia="Arial" w:hAnsi="Arial"/>
          <w:sz w:val="17"/>
          <w:szCs w:val="17"/>
          <w:b w:val="1"/>
          <w:bCs w:val="1"/>
          <w:color w:val="auto"/>
        </w:rPr>
        <w:t xml:space="preserve"> </w:t>
      </w:r>
      <w:r>
        <w:rPr>
          <w:rFonts w:ascii="Arial" w:cs="Arial" w:eastAsia="Arial" w:hAnsi="Arial"/>
          <w:sz w:val="17"/>
          <w:szCs w:val="17"/>
          <w:color w:val="auto"/>
        </w:rPr>
        <w:t>LLC, as representatives of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$1,500,000,000 aggregate principal amount of its 3.375% Notes due 2025, $800,000,000 aggregate principal amount of its 4.400% Notes due 2035 and $1,700,000,000 aggregate principal amount of its 4.600% Notes due 2045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on an unsecured and unsubordinated basis by the Guarantors.</w:t>
      </w:r>
    </w:p>
    <w:p>
      <w:pPr>
        <w:spacing w:after="0" w:line="17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Comcast Corporation</w:t>
            </w:r>
          </w:p>
        </w:tc>
        <w:tc>
          <w:tcPr>
            <w:tcW w:w="4020" w:type="dxa"/>
            <w:vAlign w:val="bottom"/>
          </w:tcPr>
          <w:p>
            <w:pPr>
              <w:jc w:val="right"/>
              <w:ind w:right="1670"/>
              <w:spacing w:after="0"/>
              <w:rPr>
                <w:sz w:val="20"/>
                <w:szCs w:val="20"/>
                <w:color w:val="auto"/>
              </w:rPr>
            </w:pPr>
            <w:r>
              <w:rPr>
                <w:rFonts w:ascii="Arial" w:cs="Arial" w:eastAsia="Arial" w:hAnsi="Arial"/>
                <w:sz w:val="18"/>
                <w:szCs w:val="18"/>
                <w:color w:val="auto"/>
              </w:rPr>
              <w:t>2</w:t>
            </w:r>
          </w:p>
        </w:tc>
        <w:tc>
          <w:tcPr>
            <w:tcW w:w="2760" w:type="dxa"/>
            <w:vAlign w:val="bottom"/>
          </w:tcPr>
          <w:p>
            <w:pPr>
              <w:ind w:left="1760"/>
              <w:spacing w:after="0"/>
              <w:rPr>
                <w:sz w:val="20"/>
                <w:szCs w:val="20"/>
                <w:color w:val="auto"/>
              </w:rPr>
            </w:pPr>
            <w:r>
              <w:rPr>
                <w:rFonts w:ascii="Arial" w:cs="Arial" w:eastAsia="Arial" w:hAnsi="Arial"/>
                <w:sz w:val="18"/>
                <w:szCs w:val="18"/>
                <w:color w:val="auto"/>
                <w:w w:val="89"/>
              </w:rPr>
              <w:t>May 27, 2015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filed on September 18, 2013, as amended on February 19, 2014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220"/>
          </w:cols>
          <w:pgMar w:left="2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the Underwriting Agreement dated May 19, 2015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(as defined below) and Citigroup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Global Markets Inc., Goldman, Sachs &amp; Co., and Morgan Stanley &amp; Co. LLC, as representatives of the several underwriters named therein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of $1,500,000,000 aggregate principal amount of its 3.375% Notes due 2025, $800,000,000 aggregate principal amount of its 4.400%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due 2035 and $1,700,000,000 aggregate principal amount of its 4.600% Notes due 2045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provisions of the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(the “</w:t>
      </w:r>
      <w:r>
        <w:rPr>
          <w:rFonts w:ascii="Arial" w:cs="Arial" w:eastAsia="Arial" w:hAnsi="Arial"/>
          <w:sz w:val="16"/>
          <w:szCs w:val="16"/>
          <w:b w:val="1"/>
          <w:bCs w:val="1"/>
          <w:color w:val="auto"/>
        </w:rPr>
        <w:t>Guarantees</w:t>
      </w:r>
      <w:r>
        <w:rPr>
          <w:rFonts w:ascii="Arial" w:cs="Arial" w:eastAsia="Arial" w:hAnsi="Arial"/>
          <w:sz w:val="16"/>
          <w:szCs w:val="16"/>
          <w:color w:val="auto"/>
        </w:rPr>
        <w:t>”) on an unsecured and unsubordinated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Guarantors.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420"/>
          </w:cols>
          <w:pgMar w:left="240" w:top="12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Comcast Corporation</w:t>
            </w:r>
          </w:p>
        </w:tc>
        <w:tc>
          <w:tcPr>
            <w:tcW w:w="4460" w:type="dxa"/>
            <w:vAlign w:val="bottom"/>
          </w:tcPr>
          <w:p>
            <w:pPr>
              <w:jc w:val="right"/>
              <w:ind w:right="2110"/>
              <w:spacing w:after="0"/>
              <w:rPr>
                <w:sz w:val="20"/>
                <w:szCs w:val="20"/>
                <w:color w:val="auto"/>
              </w:rPr>
            </w:pPr>
            <w:r>
              <w:rPr>
                <w:rFonts w:ascii="Arial" w:cs="Arial" w:eastAsia="Arial" w:hAnsi="Arial"/>
                <w:sz w:val="18"/>
                <w:szCs w:val="18"/>
                <w:color w:val="auto"/>
              </w:rPr>
              <w:t>2</w:t>
            </w:r>
          </w:p>
        </w:tc>
        <w:tc>
          <w:tcPr>
            <w:tcW w:w="3220" w:type="dxa"/>
            <w:vAlign w:val="bottom"/>
          </w:tcPr>
          <w:p>
            <w:pPr>
              <w:ind w:left="2220"/>
              <w:spacing w:after="0"/>
              <w:rPr>
                <w:sz w:val="20"/>
                <w:szCs w:val="20"/>
                <w:color w:val="auto"/>
              </w:rPr>
            </w:pPr>
            <w:r>
              <w:rPr>
                <w:rFonts w:ascii="Arial" w:cs="Arial" w:eastAsia="Arial" w:hAnsi="Arial"/>
                <w:sz w:val="18"/>
                <w:szCs w:val="18"/>
                <w:color w:val="auto"/>
                <w:w w:val="89"/>
              </w:rPr>
              <w:t>May 27, 2015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Assuming the Indenture has been duly authorized, executed and delivered by the Trustee and the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40" w:firstLine="8"/>
        <w:spacing w:after="0" w:line="271"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7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Comcast Corporation</w:t>
            </w:r>
          </w:p>
        </w:tc>
        <w:tc>
          <w:tcPr>
            <w:tcW w:w="4460" w:type="dxa"/>
            <w:vAlign w:val="bottom"/>
          </w:tcPr>
          <w:p>
            <w:pPr>
              <w:jc w:val="right"/>
              <w:ind w:right="2110"/>
              <w:spacing w:after="0"/>
              <w:rPr>
                <w:sz w:val="20"/>
                <w:szCs w:val="20"/>
                <w:color w:val="auto"/>
              </w:rPr>
            </w:pPr>
            <w:r>
              <w:rPr>
                <w:rFonts w:ascii="Arial" w:cs="Arial" w:eastAsia="Arial" w:hAnsi="Arial"/>
                <w:sz w:val="18"/>
                <w:szCs w:val="18"/>
                <w:color w:val="auto"/>
              </w:rPr>
              <w:t>3</w:t>
            </w:r>
          </w:p>
        </w:tc>
        <w:tc>
          <w:tcPr>
            <w:tcW w:w="3220" w:type="dxa"/>
            <w:vAlign w:val="bottom"/>
          </w:tcPr>
          <w:p>
            <w:pPr>
              <w:ind w:left="2220"/>
              <w:spacing w:after="0"/>
              <w:rPr>
                <w:sz w:val="20"/>
                <w:szCs w:val="20"/>
                <w:color w:val="auto"/>
              </w:rPr>
            </w:pPr>
            <w:r>
              <w:rPr>
                <w:rFonts w:ascii="Arial" w:cs="Arial" w:eastAsia="Arial" w:hAnsi="Arial"/>
                <w:sz w:val="18"/>
                <w:szCs w:val="18"/>
                <w:color w:val="auto"/>
                <w:w w:val="89"/>
              </w:rPr>
              <w:t>May 27, 2015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0"/>
        <w:spacing w:after="0" w:line="302"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filed on September 18, 2013, as amended on February 19, 2014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decimal"/>
      <w:start w:val="3"/>
    </w:lvl>
  </w:abstractNum>
  <w:abstractNum w:abstractNumId="4">
    <w:nsid w:val="22221A70"/>
    <w:multiLevelType w:val="hybridMultilevel"/>
    <w:lvl w:ilvl="0">
      <w:lvlJc w:val="left"/>
      <w:lvlText w:val="%1."/>
      <w:numFmt w:val="decimal"/>
      <w:start w:val="4"/>
    </w:lvl>
  </w:abstractNum>
  <w:abstractNum w:abstractNumId="5">
    <w:nsid w:val="4516DDE9"/>
    <w:multiLevelType w:val="hybridMultilevel"/>
    <w:lvl w:ilvl="0">
      <w:lvlJc w:val="left"/>
      <w:lvlText w:val="%1."/>
      <w:numFmt w:val="decimal"/>
      <w:start w:val="5"/>
    </w:lvl>
  </w:abstractNum>
  <w:abstractNum w:abstractNumId="6">
    <w:nsid w:val="3006C83E"/>
    <w:multiLevelType w:val="hybridMultilevel"/>
    <w:lvl w:ilvl="0">
      <w:lvlJc w:val="left"/>
      <w:lvlText w:val="%1."/>
      <w:numFmt w:val="decimal"/>
      <w:start w:val="6"/>
    </w:lvl>
  </w:abstractNum>
  <w:abstractNum w:abstractNumId="7">
    <w:nsid w:val="614FD4A1"/>
    <w:multiLevelType w:val="hybridMultilevel"/>
    <w:lvl w:ilvl="0">
      <w:lvlJc w:val="left"/>
      <w:lvlText w:val="%1."/>
      <w:numFmt w:val="decimal"/>
      <w:start w:val="7"/>
    </w:lvl>
  </w:abstractNum>
  <w:abstractNum w:abstractNumId="8">
    <w:nsid w:val="419AC241"/>
    <w:multiLevelType w:val="hybridMultilevel"/>
    <w:lvl w:ilvl="0">
      <w:lvlJc w:val="left"/>
      <w:lvlText w:val="%1."/>
      <w:numFmt w:val="decimal"/>
      <w:start w:val="8"/>
    </w:lvl>
  </w:abstractNum>
  <w:abstractNum w:abstractNumId="9">
    <w:nsid w:val="5577F8E1"/>
    <w:multiLevelType w:val="hybridMultilevel"/>
    <w:lvl w:ilvl="0">
      <w:lvlJc w:val="left"/>
      <w:lvlText w:val="%1."/>
      <w:numFmt w:val="decimal"/>
      <w:start w:val="9"/>
    </w:lvl>
  </w:abstractNum>
  <w:abstractNum w:abstractNumId="10">
    <w:nsid w:val="440BADFC"/>
    <w:multiLevelType w:val="hybridMultilevel"/>
    <w:lvl w:ilvl="0">
      <w:lvlJc w:val="left"/>
      <w:lvlText w:val="%1."/>
      <w:numFmt w:val="decimal"/>
      <w:start w:val="10"/>
    </w:lvl>
  </w:abstractNum>
  <w:abstractNum w:abstractNumId="11">
    <w:nsid w:val="5072367"/>
    <w:multiLevelType w:val="hybridMultilevel"/>
    <w:lvl w:ilvl="0">
      <w:lvlJc w:val="left"/>
      <w:lvlText w:val="%1."/>
      <w:numFmt w:val="decimal"/>
      <w:start w:val="11"/>
    </w:lvl>
  </w:abstractNum>
  <w:abstractNum w:abstractNumId="12">
    <w:nsid w:val="3804823E"/>
    <w:multiLevelType w:val="hybridMultilevel"/>
    <w:lvl w:ilvl="0">
      <w:lvlJc w:val="left"/>
      <w:lvlText w:val="%1."/>
      <w:numFmt w:val="decimal"/>
      <w:start w:val="12"/>
    </w:lvl>
  </w:abstractNum>
  <w:abstractNum w:abstractNumId="13">
    <w:nsid w:val="77465F01"/>
    <w:multiLevelType w:val="hybridMultilevel"/>
    <w:lvl w:ilvl="0">
      <w:lvlJc w:val="left"/>
      <w:lvlText w:val="%1."/>
      <w:numFmt w:val="decimal"/>
      <w:start w:val="13"/>
    </w:lvl>
  </w:abstractNum>
  <w:abstractNum w:abstractNumId="14">
    <w:nsid w:val="7724C67E"/>
    <w:multiLevelType w:val="hybridMultilevel"/>
    <w:lvl w:ilvl="0">
      <w:lvlJc w:val="left"/>
      <w:lvlText w:val="%1."/>
      <w:numFmt w:val="decimal"/>
      <w:start w:val="14"/>
    </w:lvl>
  </w:abstractNum>
  <w:abstractNum w:abstractNumId="15">
    <w:nsid w:val="5C482A97"/>
    <w:multiLevelType w:val="hybridMultilevel"/>
    <w:lvl w:ilvl="0">
      <w:lvlJc w:val="left"/>
      <w:lvlText w:val="%1."/>
      <w:numFmt w:val="decimal"/>
      <w:start w:val="15"/>
    </w:lvl>
  </w:abstractNum>
  <w:abstractNum w:abstractNumId="16">
    <w:nsid w:val="2463B9EA"/>
    <w:multiLevelType w:val="hybridMultilevel"/>
    <w:lvl w:ilvl="0">
      <w:lvlJc w:val="left"/>
      <w:lvlText w:val="%1."/>
      <w:numFmt w:val="decimal"/>
      <w:start w:val="16"/>
    </w:lvl>
  </w:abstractNum>
  <w:abstractNum w:abstractNumId="17">
    <w:nsid w:val="5E884ADC"/>
    <w:multiLevelType w:val="hybridMultilevel"/>
    <w:lvl w:ilvl="0">
      <w:lvlJc w:val="left"/>
      <w:lvlText w:val="%1."/>
      <w:numFmt w:val="decimal"/>
      <w:start w:val="17"/>
    </w:lvl>
  </w:abstractNum>
  <w:abstractNum w:abstractNumId="18">
    <w:nsid w:val="51EAD36B"/>
    <w:multiLevelType w:val="hybridMultilevel"/>
    <w:lvl w:ilvl="0">
      <w:lvlJc w:val="left"/>
      <w:lvlText w:val="%1."/>
      <w:numFmt w:val="decimal"/>
      <w:start w:val="18"/>
    </w:lvl>
  </w:abstractNum>
  <w:abstractNum w:abstractNumId="19">
    <w:nsid w:val="2D517796"/>
    <w:multiLevelType w:val="hybridMultilevel"/>
    <w:lvl w:ilvl="0">
      <w:lvlJc w:val="left"/>
      <w:lvlText w:val="%1."/>
      <w:numFmt w:val="decimal"/>
      <w:start w:val="19"/>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2"/>
    </w:lvl>
  </w:abstractNum>
  <w:abstractNum w:abstractNumId="22">
    <w:nsid w:val="3855585C"/>
    <w:multiLevelType w:val="hybridMultilevel"/>
    <w:lvl w:ilvl="0">
      <w:lvlJc w:val="left"/>
      <w:lvlText w:val="%1."/>
      <w:numFmt w:val="decimal"/>
      <w:start w:val="3"/>
    </w:lvl>
  </w:abstractNum>
  <w:abstractNum w:abstractNumId="23">
    <w:nsid w:val="70A64E2A"/>
    <w:multiLevelType w:val="hybridMultilevel"/>
    <w:lvl w:ilvl="0">
      <w:lvlJc w:val="left"/>
      <w:lvlText w:val="%1."/>
      <w:numFmt w:val="decimal"/>
      <w:start w:val="4"/>
    </w:lvl>
  </w:abstractNum>
  <w:abstractNum w:abstractNumId="24">
    <w:nsid w:val="6A2342EC"/>
    <w:multiLevelType w:val="hybridMultilevel"/>
    <w:lvl w:ilvl="0">
      <w:lvlJc w:val="left"/>
      <w:lvlText w:val="%1."/>
      <w:numFmt w:val="decimal"/>
      <w:start w:val="5"/>
    </w:lvl>
  </w:abstractNum>
  <w:abstractNum w:abstractNumId="25">
    <w:nsid w:val="2A487CB0"/>
    <w:multiLevelType w:val="hybridMultilevel"/>
    <w:lvl w:ilvl="0">
      <w:lvlJc w:val="left"/>
      <w:lvlText w:val="%1."/>
      <w:numFmt w:val="decimal"/>
      <w:start w:val="6"/>
    </w:lvl>
  </w:abstractNum>
  <w:abstractNum w:abstractNumId="26">
    <w:nsid w:val="1D4ED43B"/>
    <w:multiLevelType w:val="hybridMultilevel"/>
    <w:lvl w:ilvl="0">
      <w:lvlJc w:val="left"/>
      <w:lvlText w:val="%1."/>
      <w:numFmt w:val="decimal"/>
      <w:start w:val="7"/>
    </w:lvl>
  </w:abstractNum>
  <w:abstractNum w:abstractNumId="27">
    <w:nsid w:val="725A06FB"/>
    <w:multiLevelType w:val="hybridMultilevel"/>
    <w:lvl w:ilvl="0">
      <w:lvlJc w:val="left"/>
      <w:lvlText w:val="%1."/>
      <w:numFmt w:val="decimal"/>
      <w:start w:val="8"/>
    </w:lvl>
  </w:abstractNum>
  <w:abstractNum w:abstractNumId="28">
    <w:nsid w:val="2CD89A32"/>
    <w:multiLevelType w:val="hybridMultilevel"/>
    <w:lvl w:ilvl="0">
      <w:lvlJc w:val="left"/>
      <w:lvlText w:val="%1."/>
      <w:numFmt w:val="decimal"/>
      <w:start w:val="9"/>
    </w:lvl>
  </w:abstractNum>
  <w:abstractNum w:abstractNumId="29">
    <w:nsid w:val="57E4CCAF"/>
    <w:multiLevelType w:val="hybridMultilevel"/>
    <w:lvl w:ilvl="0">
      <w:lvlJc w:val="left"/>
      <w:lvlText w:val="%1."/>
      <w:numFmt w:val="decimal"/>
      <w:start w:val="10"/>
    </w:lvl>
  </w:abstractNum>
  <w:abstractNum w:abstractNumId="30">
    <w:nsid w:val="7A6D8D3C"/>
    <w:multiLevelType w:val="hybridMultilevel"/>
    <w:lvl w:ilvl="0">
      <w:lvlJc w:val="left"/>
      <w:lvlText w:val="%1."/>
      <w:numFmt w:val="decimal"/>
      <w:start w:val="11"/>
    </w:lvl>
  </w:abstractNum>
  <w:abstractNum w:abstractNumId="31">
    <w:nsid w:val="4B588F54"/>
    <w:multiLevelType w:val="hybridMultilevel"/>
    <w:lvl w:ilvl="0">
      <w:lvlJc w:val="left"/>
      <w:lvlText w:val="%1."/>
      <w:numFmt w:val="decimal"/>
      <w:start w:val="12"/>
    </w:lvl>
  </w:abstractNum>
  <w:abstractNum w:abstractNumId="32">
    <w:nsid w:val="542289EC"/>
    <w:multiLevelType w:val="hybridMultilevel"/>
    <w:lvl w:ilvl="0">
      <w:lvlJc w:val="left"/>
      <w:lvlText w:val="%1."/>
      <w:numFmt w:val="decimal"/>
      <w:start w:val="13"/>
    </w:lvl>
  </w:abstractNum>
  <w:abstractNum w:abstractNumId="33">
    <w:nsid w:val="6DE91B18"/>
    <w:multiLevelType w:val="hybridMultilevel"/>
    <w:lvl w:ilvl="0">
      <w:lvlJc w:val="left"/>
      <w:lvlText w:val="%1."/>
      <w:numFmt w:val="decimal"/>
      <w:start w:val="14"/>
    </w:lvl>
  </w:abstractNum>
  <w:abstractNum w:abstractNumId="34">
    <w:nsid w:val="38437FDB"/>
    <w:multiLevelType w:val="hybridMultilevel"/>
    <w:lvl w:ilvl="0">
      <w:lvlJc w:val="left"/>
      <w:lvlText w:val="%1."/>
      <w:numFmt w:val="decimal"/>
      <w:start w:val="15"/>
    </w:lvl>
  </w:abstractNum>
  <w:abstractNum w:abstractNumId="35">
    <w:nsid w:val="7644A45C"/>
    <w:multiLevelType w:val="hybridMultilevel"/>
    <w:lvl w:ilvl="0">
      <w:lvlJc w:val="left"/>
      <w:lvlText w:val="%1."/>
      <w:numFmt w:val="decimal"/>
      <w:start w:val="16"/>
    </w:lvl>
  </w:abstractNum>
  <w:abstractNum w:abstractNumId="36">
    <w:nsid w:val="32FFF902"/>
    <w:multiLevelType w:val="hybridMultilevel"/>
    <w:lvl w:ilvl="0">
      <w:lvlJc w:val="left"/>
      <w:lvlText w:val="%1."/>
      <w:numFmt w:val="decimal"/>
      <w:start w:val="17"/>
    </w:lvl>
  </w:abstractNum>
  <w:abstractNum w:abstractNumId="37">
    <w:nsid w:val="684A481A"/>
    <w:multiLevelType w:val="hybridMultilevel"/>
    <w:lvl w:ilvl="0">
      <w:lvlJc w:val="left"/>
      <w:lvlText w:val="%1."/>
      <w:numFmt w:val="decimal"/>
      <w:start w:val="18"/>
    </w:lvl>
  </w:abstractNum>
  <w:abstractNum w:abstractNumId="38">
    <w:nsid w:val="579478FE"/>
    <w:multiLevelType w:val="hybridMultilevel"/>
    <w:lvl w:ilvl="0">
      <w:lvlJc w:val="left"/>
      <w:lvlText w:val="%1."/>
      <w:numFmt w:val="decimal"/>
      <w:start w:val="19"/>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3"/>
    </w:lvl>
  </w:abstractNum>
  <w:abstractNum w:abstractNumId="42">
    <w:nsid w:val="79A1DEAA"/>
    <w:multiLevelType w:val="hybridMultilevel"/>
    <w:lvl w:ilvl="0">
      <w:lvlJc w:val="left"/>
      <w:lvlText w:val="%1."/>
      <w:numFmt w:val="decimal"/>
      <w:start w:val="4"/>
    </w:lvl>
  </w:abstractNum>
  <w:abstractNum w:abstractNumId="43">
    <w:nsid w:val="75C6C33A"/>
    <w:multiLevelType w:val="hybridMultilevel"/>
    <w:lvl w:ilvl="0">
      <w:lvlJc w:val="left"/>
      <w:lvlText w:val="%1."/>
      <w:numFmt w:val="decimal"/>
      <w:start w:val="5"/>
    </w:lvl>
  </w:abstractNum>
  <w:abstractNum w:abstractNumId="44">
    <w:nsid w:val="12E685FB"/>
    <w:multiLevelType w:val="hybridMultilevel"/>
    <w:lvl w:ilvl="0">
      <w:lvlJc w:val="left"/>
      <w:lvlText w:val="%1."/>
      <w:numFmt w:val="decimal"/>
      <w:start w:val="6"/>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decimal"/>
      <w:start w:val="8"/>
    </w:lvl>
  </w:abstractNum>
  <w:abstractNum w:abstractNumId="47">
    <w:nsid w:val="374A3FE6"/>
    <w:multiLevelType w:val="hybridMultilevel"/>
    <w:lvl w:ilvl="0">
      <w:lvlJc w:val="left"/>
      <w:lvlText w:val="%1."/>
      <w:numFmt w:val="decimal"/>
      <w:start w:val="9"/>
    </w:lvl>
  </w:abstractNum>
  <w:abstractNum w:abstractNumId="48">
    <w:nsid w:val="4F4EF005"/>
    <w:multiLevelType w:val="hybridMultilevel"/>
    <w:lvl w:ilvl="0">
      <w:lvlJc w:val="left"/>
      <w:lvlText w:val="%1."/>
      <w:numFmt w:val="decimal"/>
      <w:start w:val="10"/>
    </w:lvl>
  </w:abstractNum>
  <w:abstractNum w:abstractNumId="49">
    <w:nsid w:val="23F9C13C"/>
    <w:multiLevelType w:val="hybridMultilevel"/>
    <w:lvl w:ilvl="0">
      <w:lvlJc w:val="left"/>
      <w:lvlText w:val="%1."/>
      <w:numFmt w:val="decimal"/>
      <w:start w:val="11"/>
    </w:lvl>
  </w:abstractNum>
  <w:abstractNum w:abstractNumId="50">
    <w:nsid w:val="649BB77C"/>
    <w:multiLevelType w:val="hybridMultilevel"/>
    <w:lvl w:ilvl="0">
      <w:lvlJc w:val="left"/>
      <w:lvlText w:val="%1."/>
      <w:numFmt w:val="decimal"/>
      <w:start w:val="12"/>
    </w:lvl>
  </w:abstractNum>
  <w:abstractNum w:abstractNumId="51">
    <w:nsid w:val="275AC794"/>
    <w:multiLevelType w:val="hybridMultilevel"/>
    <w:lvl w:ilvl="0">
      <w:lvlJc w:val="left"/>
      <w:lvlText w:val="%1."/>
      <w:numFmt w:val="decimal"/>
      <w:start w:val="13"/>
    </w:lvl>
  </w:abstractNum>
  <w:abstractNum w:abstractNumId="52">
    <w:nsid w:val="39386575"/>
    <w:multiLevelType w:val="hybridMultilevel"/>
    <w:lvl w:ilvl="0">
      <w:lvlJc w:val="left"/>
      <w:lvlText w:val="%1."/>
      <w:numFmt w:val="decimal"/>
      <w:start w:val="14"/>
    </w:lvl>
  </w:abstractNum>
  <w:abstractNum w:abstractNumId="53">
    <w:nsid w:val="1CF10FD8"/>
    <w:multiLevelType w:val="hybridMultilevel"/>
    <w:lvl w:ilvl="0">
      <w:lvlJc w:val="left"/>
      <w:lvlText w:val="%1."/>
      <w:numFmt w:val="decimal"/>
      <w:start w:val="15"/>
    </w:lvl>
  </w:abstractNum>
  <w:abstractNum w:abstractNumId="54">
    <w:nsid w:val="180115BE"/>
    <w:multiLevelType w:val="hybridMultilevel"/>
    <w:lvl w:ilvl="0">
      <w:lvlJc w:val="left"/>
      <w:lvlText w:val="%1."/>
      <w:numFmt w:val="decimal"/>
      <w:start w:val="16"/>
    </w:lvl>
  </w:abstractNum>
  <w:abstractNum w:abstractNumId="55">
    <w:nsid w:val="235BA861"/>
    <w:multiLevelType w:val="hybridMultilevel"/>
    <w:lvl w:ilvl="0">
      <w:lvlJc w:val="left"/>
      <w:lvlText w:val="%1."/>
      <w:numFmt w:val="decimal"/>
      <w:start w:val="17"/>
    </w:lvl>
  </w:abstractNum>
  <w:abstractNum w:abstractNumId="56">
    <w:nsid w:val="47398C89"/>
    <w:multiLevelType w:val="hybridMultilevel"/>
    <w:lvl w:ilvl="0">
      <w:lvlJc w:val="left"/>
      <w:lvlText w:val="%1."/>
      <w:numFmt w:val="decimal"/>
      <w:start w:val="18"/>
    </w:lvl>
  </w:abstractNum>
  <w:abstractNum w:abstractNumId="57">
    <w:nsid w:val="354FE9F9"/>
    <w:multiLevelType w:val="hybridMultilevel"/>
    <w:lvl w:ilvl="0">
      <w:lvlJc w:val="left"/>
      <w:lvlText w:val="%1."/>
      <w:numFmt w:val="decimal"/>
      <w:start w:val="19"/>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2019-12-08T00:38:40Z</dcterms:created>
  <dcterms:modified xsi:type="dcterms:W3CDTF">2019-12-08T00:38:40Z</dcterms:modified>
</cp:coreProperties>
</file>