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518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223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ANSTROM S DECKER</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11/22/2010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2"/>
        <w:spacing w:after="0"/>
        <w:tabs>
          <w:tab w:leader="none" w:pos="532" w:val="left"/>
          <w:tab w:leader="none" w:pos="217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5"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2"/>
        <w:spacing w:after="0"/>
        <w:tabs>
          <w:tab w:leader="none" w:pos="21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9"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60" w:type="dxa"/>
            <w:vAlign w:val="bottom"/>
          </w:tcPr>
          <w:p>
            <w:pPr>
              <w:jc w:val="right"/>
              <w:ind w:right="682"/>
              <w:spacing w:after="0"/>
              <w:rPr>
                <w:sz w:val="20"/>
                <w:szCs w:val="20"/>
                <w:color w:val="auto"/>
              </w:rPr>
            </w:pPr>
            <w:r>
              <w:rPr>
                <w:rFonts w:ascii="Arial" w:cs="Arial" w:eastAsia="Arial" w:hAnsi="Arial"/>
                <w:sz w:val="18"/>
                <w:szCs w:val="18"/>
                <w:color w:val="0000FF"/>
              </w:rPr>
              <w:t>19103</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2"/>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5"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6,127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11/22/2010</w:t>
            </w:r>
          </w:p>
        </w:tc>
        <w:tc>
          <w:tcPr>
            <w:tcW w:w="1140" w:type="dxa"/>
            <w:vAlign w:val="bottom"/>
          </w:tcPr>
          <w:p>
            <w:pPr>
              <w:spacing w:after="0"/>
              <w:rPr>
                <w:sz w:val="5"/>
                <w:szCs w:val="5"/>
                <w:color w:val="auto"/>
              </w:rPr>
            </w:pPr>
          </w:p>
        </w:tc>
        <w:tc>
          <w:tcPr>
            <w:tcW w:w="840" w:type="dxa"/>
            <w:vAlign w:val="bottom"/>
            <w:vMerge w:val="restart"/>
          </w:tcPr>
          <w:p>
            <w:pPr>
              <w:ind w:left="180"/>
              <w:spacing w:after="0" w:line="149"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6,127</w:t>
            </w:r>
          </w:p>
        </w:tc>
        <w:tc>
          <w:tcPr>
            <w:tcW w:w="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3"/>
                <w:szCs w:val="13"/>
                <w:color w:val="0000FF"/>
              </w:rPr>
              <w:t>39,509</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215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11/22/2010</w:t>
            </w:r>
          </w:p>
        </w:tc>
        <w:tc>
          <w:tcPr>
            <w:tcW w:w="1140" w:type="dxa"/>
            <w:vAlign w:val="bottom"/>
          </w:tcPr>
          <w:p>
            <w:pPr>
              <w:spacing w:after="0"/>
              <w:rPr>
                <w:sz w:val="5"/>
                <w:szCs w:val="5"/>
                <w:color w:val="auto"/>
              </w:rPr>
            </w:pPr>
          </w:p>
        </w:tc>
        <w:tc>
          <w:tcPr>
            <w:tcW w:w="840" w:type="dxa"/>
            <w:vAlign w:val="bottom"/>
            <w:vMerge w:val="restart"/>
          </w:tcPr>
          <w:p>
            <w:pPr>
              <w:ind w:left="200"/>
              <w:spacing w:after="0" w:line="149" w:lineRule="exact"/>
              <w:rPr>
                <w:sz w:val="20"/>
                <w:szCs w:val="20"/>
                <w:color w:val="auto"/>
              </w:rPr>
            </w:pPr>
            <w:r>
              <w:rPr>
                <w:rFonts w:ascii="Arial" w:cs="Arial" w:eastAsia="Arial" w:hAnsi="Arial"/>
                <w:sz w:val="13"/>
                <w:szCs w:val="13"/>
                <w:color w:val="0000FF"/>
              </w:rPr>
              <w:t>F</w:t>
            </w:r>
          </w:p>
        </w:tc>
        <w:tc>
          <w:tcPr>
            <w:tcW w:w="480" w:type="dxa"/>
            <w:vAlign w:val="bottom"/>
          </w:tcPr>
          <w:p>
            <w:pPr>
              <w:spacing w:after="0"/>
              <w:rPr>
                <w:sz w:val="5"/>
                <w:szCs w:val="5"/>
                <w:color w:val="auto"/>
              </w:rPr>
            </w:pPr>
          </w:p>
        </w:tc>
        <w:tc>
          <w:tcPr>
            <w:tcW w:w="320" w:type="dxa"/>
            <w:vAlign w:val="bottom"/>
            <w:vMerge w:val="restart"/>
          </w:tcPr>
          <w:p>
            <w:pPr>
              <w:ind w:left="40"/>
              <w:spacing w:after="0" w:line="149" w:lineRule="exact"/>
              <w:rPr>
                <w:sz w:val="20"/>
                <w:szCs w:val="20"/>
                <w:color w:val="auto"/>
              </w:rPr>
            </w:pPr>
            <w:r>
              <w:rPr>
                <w:rFonts w:ascii="Arial" w:cs="Arial" w:eastAsia="Arial" w:hAnsi="Arial"/>
                <w:sz w:val="13"/>
                <w:szCs w:val="13"/>
                <w:color w:val="0000FF"/>
              </w:rPr>
              <w:t>215</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3"/>
                <w:szCs w:val="13"/>
                <w:color w:val="0000FF"/>
              </w:rPr>
              <w:t>39,294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convert on a one-to-one basis.</w:t>
      </w:r>
    </w:p>
    <w:p>
      <w:pPr>
        <w:spacing w:after="0" w:line="52" w:lineRule="exact"/>
        <w:rPr>
          <w:rFonts w:ascii="Arial" w:cs="Arial" w:eastAsia="Arial" w:hAnsi="Arial"/>
          <w:sz w:val="13"/>
          <w:szCs w:val="13"/>
          <w:color w:val="008000"/>
        </w:rPr>
      </w:pPr>
    </w:p>
    <w:p>
      <w:pPr>
        <w:ind w:left="40" w:right="20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Although the reporting person elected to defer receipt of the shares of Class A common stock underlying the phantom shares, these shares were withheld for payment of tax liability.</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Arthur R. Block, Attorney-in-</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69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2019-12-18T06:58:51Z</dcterms:created>
  <dcterms:modified xsi:type="dcterms:W3CDTF">2019-12-18T06:58:51Z</dcterms:modified>
</cp:coreProperties>
</file>