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6"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Pursuant to Section 13 or 15(d) of</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The Securities Exchange Act of 1934</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August 11,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(State or other jurisdiction of incorporation)</w:t>
      </w:r>
    </w:p>
    <w:p>
      <w:pPr>
        <w:sectPr>
          <w:pgSz w:w="11900" w:h="16838" w:orient="portrait"/>
          <w:cols w:equalWidth="0" w:num="1">
            <w:col w:w="11240"/>
          </w:cols>
          <w:pgMar w:left="320" w:top="792" w:right="339" w:bottom="0" w:gutter="0" w:footer="0" w:header="0"/>
        </w:sectPr>
      </w:pPr>
    </w:p>
    <w:p>
      <w:pPr>
        <w:spacing w:after="0" w:line="9" w:lineRule="exact"/>
        <w:rPr>
          <w:sz w:val="24"/>
          <w:szCs w:val="24"/>
          <w:color w:val="auto"/>
        </w:rPr>
      </w:pPr>
    </w:p>
    <w:p>
      <w:pPr>
        <w:jc w:val="center"/>
        <w:ind w:right="3640"/>
        <w:spacing w:after="0"/>
        <w:rPr>
          <w:sz w:val="20"/>
          <w:szCs w:val="20"/>
          <w:color w:val="auto"/>
        </w:rPr>
      </w:pPr>
      <w:r>
        <w:rPr>
          <w:rFonts w:ascii="Arial" w:cs="Arial" w:eastAsia="Arial" w:hAnsi="Arial"/>
          <w:sz w:val="18"/>
          <w:szCs w:val="18"/>
          <w:b w:val="1"/>
          <w:bCs w:val="1"/>
          <w:color w:val="auto"/>
        </w:rPr>
        <w:t>001-32871</w:t>
      </w:r>
    </w:p>
    <w:p>
      <w:pPr>
        <w:spacing w:after="0" w:line="9" w:lineRule="exact"/>
        <w:rPr>
          <w:sz w:val="24"/>
          <w:szCs w:val="24"/>
          <w:color w:val="auto"/>
        </w:rPr>
      </w:pPr>
    </w:p>
    <w:p>
      <w:pPr>
        <w:jc w:val="center"/>
        <w:ind w:right="36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540"/>
        <w:spacing w:after="0"/>
        <w:rPr>
          <w:sz w:val="20"/>
          <w:szCs w:val="20"/>
          <w:color w:val="auto"/>
        </w:rPr>
      </w:pPr>
      <w:r>
        <w:rPr>
          <w:rFonts w:ascii="Arial" w:cs="Arial" w:eastAsia="Arial" w:hAnsi="Arial"/>
          <w:sz w:val="18"/>
          <w:szCs w:val="18"/>
          <w:b w:val="1"/>
          <w:bCs w:val="1"/>
          <w:color w:val="auto"/>
        </w:rPr>
        <w:t>27-0000798</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7360" w:space="720"/>
            <w:col w:w="3160"/>
          </w:cols>
          <w:pgMar w:left="320" w:top="792" w:right="339" w:bottom="0" w:gutter="0" w:footer="0" w:header="0"/>
          <w:type w:val="continuous"/>
        </w:sectPr>
      </w:pPr>
    </w:p>
    <w:p>
      <w:pPr>
        <w:spacing w:after="0" w:line="57" w:lineRule="exact"/>
        <w:rPr>
          <w:sz w:val="24"/>
          <w:szCs w:val="24"/>
          <w:color w:val="auto"/>
        </w:rPr>
      </w:pPr>
    </w:p>
    <w:p>
      <w:pPr>
        <w:jc w:val="center"/>
        <w:ind w:right="4520"/>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4520"/>
        <w:spacing w:after="0"/>
        <w:rPr>
          <w:sz w:val="20"/>
          <w:szCs w:val="20"/>
          <w:color w:val="auto"/>
        </w:rPr>
      </w:pPr>
      <w:r>
        <w:rPr>
          <w:rFonts w:ascii="Arial" w:cs="Arial" w:eastAsia="Arial" w:hAnsi="Arial"/>
          <w:sz w:val="18"/>
          <w:szCs w:val="18"/>
          <w:b w:val="1"/>
          <w:bCs w:val="1"/>
          <w:color w:val="auto"/>
        </w:rPr>
        <w:t>Philadelphia, PA</w:t>
      </w:r>
    </w:p>
    <w:p>
      <w:pPr>
        <w:spacing w:after="0" w:line="9" w:lineRule="exact"/>
        <w:rPr>
          <w:sz w:val="24"/>
          <w:szCs w:val="24"/>
          <w:color w:val="auto"/>
        </w:rPr>
      </w:pPr>
    </w:p>
    <w:p>
      <w:pPr>
        <w:jc w:val="center"/>
        <w:ind w:right="452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19103-2838</w:t>
      </w:r>
    </w:p>
    <w:p>
      <w:pPr>
        <w:spacing w:after="0" w:line="50"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8240" w:space="720"/>
            <w:col w:w="2280"/>
          </w:cols>
          <w:pgMar w:left="320" w:top="792" w:right="3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56"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252"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252"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540" w:firstLine="332"/>
        <w:spacing w:after="0" w:line="524"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8"/>
        </w:trPr>
        <w:tc>
          <w:tcPr>
            <w:tcW w:w="4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$0.01 par value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CMCSA</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0.250% Notes due 2027</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CMCS27</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1.500% Notes due 2029</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CMCS29</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0.750% Notes due 2032</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CMCS32</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1.875% Notes due 2036</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CMCS36</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1.250% Notes due 2040</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CMCS40</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9.455% Guaranteed Notes due 2022</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CMCSA/22</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5.50% Notes due 2029</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CCGBP29</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 Exchangeable Subordinated Debentures due 2029</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CCZ</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180"/>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On August 11, 2020, Comcast Corporation notified The Bank of New York Mellon, as trustee, that it will redeem its (i) $1 billion aggregate principal amount of 3.125% Notes due July 15, 2022 (the “3.125% Notes”) in full at the redemption price calculated in accordance with the indenture governing such 3.125% Notes, (ii) $750 million aggregate principal amount of 2.85% Notes due January 15, 2023 (the “2.85% Notes”) in full at the redemption price calculated in accordance with the indenture governing such 2.85% Notes and (iii) $1.1 billion aggregate principal amount of 2.75% Notes due March 1, 2023 (the “2.75% Notes”) in full at the redemption price calculated in accordance with the indenture governing such 2.75% Notes, in each case, plus accrued and unpaid interest. The redemption date for the 3.125% Notes, the 2.85% Notes and the 2.75% Notes will be September 10, 2020.</w:t>
      </w:r>
    </w:p>
    <w:p>
      <w:pPr>
        <w:spacing w:after="0" w:line="164"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In addition, on August 11, 2020, NBCUniversal Media, LLC notified The Bank of New York Mellon, as trustee, that it will redeem its $1 billion aggregate principal amount of 2.875% Notes due January 15, 2023 (the “2.875% Notes”) in full at the redemption price calculated in accordance with the indenture governing such 2.875% Notes, plus accrued and unpaid interest. The redemption date for the 2.875% Notes will be September 10, 2020.</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Current Report on Form 8-K is not a notice of redemption for any of the 3.125% Notes, the 2.85% Notes, the 2.75% Notes or the 2.875%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700" w:type="dxa"/>
            <w:vAlign w:val="bottom"/>
          </w:tcPr>
          <w:p>
            <w:pPr>
              <w:spacing w:after="0"/>
              <w:rPr>
                <w:sz w:val="20"/>
                <w:szCs w:val="20"/>
                <w:color w:val="auto"/>
              </w:rPr>
            </w:pPr>
            <w:r>
              <w:rPr>
                <w:rFonts w:ascii="Arial" w:cs="Arial" w:eastAsia="Arial" w:hAnsi="Arial"/>
                <w:sz w:val="18"/>
                <w:szCs w:val="18"/>
                <w:color w:val="auto"/>
              </w:rPr>
              <w:t>Date:  August 11, 2020</w:t>
            </w:r>
          </w:p>
        </w:tc>
        <w:tc>
          <w:tcPr>
            <w:tcW w:w="7540" w:type="dxa"/>
            <w:vAlign w:val="bottom"/>
            <w:gridSpan w:val="2"/>
          </w:tcPr>
          <w:p>
            <w:pPr>
              <w:ind w:left="1940"/>
              <w:spacing w:after="0"/>
              <w:rPr>
                <w:sz w:val="20"/>
                <w:szCs w:val="20"/>
                <w:color w:val="auto"/>
              </w:rPr>
            </w:pPr>
            <w:r>
              <w:rPr>
                <w:rFonts w:ascii="Arial" w:cs="Arial" w:eastAsia="Arial" w:hAnsi="Arial"/>
                <w:sz w:val="18"/>
                <w:szCs w:val="18"/>
                <w:color w:val="auto"/>
              </w:rPr>
              <w:t>By:  /s/ Jason S. Armstrong</w:t>
            </w:r>
          </w:p>
        </w:tc>
      </w:tr>
      <w:tr>
        <w:trPr>
          <w:trHeight w:val="195"/>
        </w:trPr>
        <w:tc>
          <w:tcPr>
            <w:tcW w:w="3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Jason S. Armstrong</w:t>
            </w:r>
          </w:p>
        </w:tc>
      </w:tr>
      <w:tr>
        <w:trPr>
          <w:trHeight w:val="230"/>
        </w:trPr>
        <w:tc>
          <w:tcPr>
            <w:tcW w:w="3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Title:  Executive Vice President and Treasurer</w:t>
            </w:r>
          </w:p>
        </w:tc>
      </w:tr>
      <w:tr>
        <w:trPr>
          <w:trHeight w:val="310"/>
        </w:trPr>
        <w:tc>
          <w:tcPr>
            <w:tcW w:w="37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2020-08-11T16:31:36Z</dcterms:created>
  <dcterms:modified xsi:type="dcterms:W3CDTF">2020-08-11T16:31:36Z</dcterms:modified>
</cp:coreProperties>
</file>