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spacing w:after="0" w:line="3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SECURITIES EXCHANGE ACT OF 1934</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Date of Report (Date of earliest event reported): October 27, 2004</w:t>
      </w:r>
    </w:p>
    <w:p>
      <w:pPr>
        <w:spacing w:after="0" w:line="22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COMCAST CORPORATION</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18" w:right="1440" w:bottom="1440" w:gutter="0" w:footer="0" w:header="0"/>
        </w:sectPr>
      </w:pP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Pennsylvania</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w:t>
      </w:r>
    </w:p>
    <w:p>
      <w:pPr>
        <w:spacing w:after="0"/>
        <w:rPr>
          <w:sz w:val="20"/>
          <w:szCs w:val="20"/>
          <w:color w:val="auto"/>
        </w:rPr>
      </w:pPr>
      <w:r>
        <w:rPr>
          <w:rFonts w:ascii="Courier New" w:cs="Courier New" w:eastAsia="Courier New" w:hAnsi="Courier New"/>
          <w:sz w:val="18"/>
          <w:szCs w:val="18"/>
          <w:color w:val="auto"/>
        </w:rPr>
        <w:t>jurisdiction of</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000-50093</w:t>
      </w:r>
    </w:p>
    <w:p>
      <w:pPr>
        <w:spacing w:after="0" w:line="31"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w:t>
      </w:r>
    </w:p>
    <w:p>
      <w:pPr>
        <w:ind w:left="520"/>
        <w:spacing w:after="0"/>
        <w:rPr>
          <w:sz w:val="20"/>
          <w:szCs w:val="20"/>
          <w:color w:val="auto"/>
        </w:rPr>
      </w:pPr>
      <w:r>
        <w:rPr>
          <w:rFonts w:ascii="Courier New" w:cs="Courier New" w:eastAsia="Courier New" w:hAnsi="Courier New"/>
          <w:sz w:val="18"/>
          <w:szCs w:val="18"/>
          <w:color w:val="auto"/>
        </w:rPr>
        <w:t>number)</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27-0000798</w:t>
      </w:r>
    </w:p>
    <w:p>
      <w:pPr>
        <w:spacing w:after="0" w:line="29"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rPr>
          <w:sz w:val="20"/>
          <w:szCs w:val="20"/>
          <w:color w:val="auto"/>
        </w:rPr>
      </w:pPr>
      <w:r>
        <w:rPr>
          <w:rFonts w:ascii="Courier New" w:cs="Courier New" w:eastAsia="Courier New" w:hAnsi="Courier New"/>
          <w:sz w:val="16"/>
          <w:szCs w:val="16"/>
          <w:color w:val="auto"/>
        </w:rPr>
        <w:t>identification no.)</w:t>
      </w:r>
    </w:p>
    <w:p>
      <w:pPr>
        <w:spacing w:after="0" w:line="81" w:lineRule="exact"/>
        <w:rPr>
          <w:sz w:val="24"/>
          <w:szCs w:val="24"/>
          <w:color w:val="auto"/>
        </w:rPr>
      </w:pPr>
    </w:p>
    <w:p>
      <w:pPr>
        <w:sectPr>
          <w:pgSz w:w="11900" w:h="16838" w:orient="portrait"/>
          <w:cols w:equalWidth="0" w:num="3">
            <w:col w:w="2660" w:space="720"/>
            <w:col w:w="2120" w:space="720"/>
            <w:col w:w="3999"/>
          </w:cols>
          <w:pgMar w:left="240" w:top="218"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incorporation)</w:t>
      </w:r>
    </w:p>
    <w:p>
      <w:pPr>
        <w:spacing w:after="0" w:line="109" w:lineRule="exact"/>
        <w:rPr>
          <w:sz w:val="24"/>
          <w:szCs w:val="24"/>
          <w:color w:val="auto"/>
        </w:rPr>
      </w:pPr>
    </w:p>
    <w:p>
      <w:pPr>
        <w:jc w:val="both"/>
        <w:ind w:left="1280" w:right="3039" w:firstLine="105"/>
        <w:spacing w:after="0" w:line="292" w:lineRule="auto"/>
        <w:rPr>
          <w:sz w:val="20"/>
          <w:szCs w:val="20"/>
          <w:color w:val="auto"/>
        </w:rPr>
      </w:pPr>
      <w:r>
        <w:rPr>
          <w:rFonts w:ascii="Courier New" w:cs="Courier New" w:eastAsia="Courier New" w:hAnsi="Courier New"/>
          <w:sz w:val="18"/>
          <w:szCs w:val="18"/>
          <w:color w:val="auto"/>
        </w:rPr>
        <w:t>1500 Market Street, Philadelphia, PA 19102-2148 -------------------------------------------------------- (Address of principal executive offices) (Zip Code)</w:t>
      </w:r>
    </w:p>
    <w:p>
      <w:pPr>
        <w:spacing w:after="0" w:line="66" w:lineRule="exact"/>
        <w:rPr>
          <w:sz w:val="24"/>
          <w:szCs w:val="24"/>
          <w:color w:val="auto"/>
        </w:rPr>
      </w:pPr>
    </w:p>
    <w:p>
      <w:pPr>
        <w:jc w:val="right"/>
        <w:ind w:left="860" w:right="2519"/>
        <w:spacing w:after="0" w:line="347" w:lineRule="auto"/>
        <w:rPr>
          <w:sz w:val="20"/>
          <w:szCs w:val="20"/>
          <w:color w:val="auto"/>
        </w:rPr>
      </w:pPr>
      <w:r>
        <w:rPr>
          <w:rFonts w:ascii="Courier New" w:cs="Courier New" w:eastAsia="Courier New" w:hAnsi="Courier New"/>
          <w:sz w:val="18"/>
          <w:szCs w:val="18"/>
          <w:color w:val="auto"/>
        </w:rPr>
        <w:t>Registrant's telephone number, including area code (215) 665-1700 --------------</w:t>
      </w:r>
    </w:p>
    <w:p>
      <w:pPr>
        <w:sectPr>
          <w:pgSz w:w="11900" w:h="16838" w:orient="portrait"/>
          <w:cols w:equalWidth="0" w:num="1">
            <w:col w:w="10219"/>
          </w:cols>
          <w:pgMar w:left="240" w:top="218" w:right="1440" w:bottom="1440" w:gutter="0" w:footer="0" w:header="0"/>
          <w:type w:val="continuous"/>
        </w:sect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2.02. Results of Operations and Financial Condition</w:t>
      </w:r>
    </w:p>
    <w:p>
      <w:pPr>
        <w:spacing w:after="0" w:line="201" w:lineRule="exact"/>
        <w:rPr>
          <w:sz w:val="24"/>
          <w:szCs w:val="24"/>
          <w:color w:val="auto"/>
        </w:rPr>
      </w:pPr>
    </w:p>
    <w:p>
      <w:pPr>
        <w:ind w:right="1879" w:firstLine="632"/>
        <w:spacing w:after="0" w:line="298" w:lineRule="auto"/>
        <w:rPr>
          <w:sz w:val="20"/>
          <w:szCs w:val="20"/>
          <w:color w:val="auto"/>
        </w:rPr>
      </w:pPr>
      <w:r>
        <w:rPr>
          <w:rFonts w:ascii="Courier New" w:cs="Courier New" w:eastAsia="Courier New" w:hAnsi="Courier New"/>
          <w:sz w:val="16"/>
          <w:szCs w:val="16"/>
          <w:color w:val="auto"/>
        </w:rPr>
        <w:t>On October 27, 2004, Comcast Corporation ("Comcast") issued a press release reporting the results of its operations for the three and nine months ended September 30, 2004. The press release is attached hereto as Exhibit 99.1. Comcast does not intend for this Item 2.02 or Exhibit 99.1 to be treated as "filed" under the Securities Exchange Act of 1934, as amended, or incorporated by reference into its filings under the Securities Act of 1933, as amended.</w:t>
      </w:r>
    </w:p>
    <w:p>
      <w:pPr>
        <w:spacing w:after="0" w:line="6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9.01. Exhibits</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Exhibit 99.1</w:t>
      </w:r>
      <w:r>
        <w:rPr>
          <w:sz w:val="20"/>
          <w:szCs w:val="20"/>
          <w:color w:val="auto"/>
        </w:rPr>
        <w:tab/>
      </w:r>
      <w:r>
        <w:rPr>
          <w:rFonts w:ascii="Courier New" w:cs="Courier New" w:eastAsia="Courier New" w:hAnsi="Courier New"/>
          <w:sz w:val="16"/>
          <w:szCs w:val="16"/>
          <w:color w:val="auto"/>
        </w:rPr>
        <w:t>Comcast Corporation press release dated October 27, 2004.</w:t>
      </w:r>
    </w:p>
    <w:p>
      <w:pPr>
        <w:sectPr>
          <w:pgSz w:w="11900" w:h="16838" w:orient="portrait"/>
          <w:cols w:equalWidth="0" w:num="1">
            <w:col w:w="10219"/>
          </w:cols>
          <w:pgMar w:left="240" w:top="218" w:right="1440" w:bottom="1440" w:gutter="0" w:footer="0" w:header="0"/>
          <w:type w:val="continuous"/>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1999" w:firstLine="632"/>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219"/>
          </w:cols>
          <w:pgMar w:left="240" w:top="691" w:right="1440" w:bottom="1440" w:gutter="0" w:footer="0" w:header="0"/>
        </w:sectPr>
      </w:pP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27, 2004</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w:t>
      </w:r>
    </w:p>
    <w:p>
      <w:pPr>
        <w:spacing w:after="0" w:line="200" w:lineRule="exact"/>
        <w:rPr>
          <w:sz w:val="20"/>
          <w:szCs w:val="20"/>
          <w:color w:val="auto"/>
        </w:rPr>
      </w:pPr>
    </w:p>
    <w:p>
      <w:pPr>
        <w:sectPr>
          <w:pgSz w:w="11900" w:h="16838" w:orient="portrait"/>
          <w:cols w:equalWidth="0" w:num="3">
            <w:col w:w="640" w:space="220"/>
            <w:col w:w="2740" w:space="720"/>
            <w:col w:w="5899"/>
          </w:cols>
          <w:pgMar w:left="240" w:top="691" w:right="1440" w:bottom="1440" w:gutter="0" w:footer="0" w:header="0"/>
          <w:type w:val="continuous"/>
        </w:sectPr>
      </w:pPr>
    </w:p>
    <w:p>
      <w:pPr>
        <w:spacing w:after="0" w:line="2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By: /s/ Lawrence J. Salva</w:t>
      </w:r>
    </w:p>
    <w:p>
      <w:pPr>
        <w:spacing w:after="0" w:line="31"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Lawrence J. Salva</w:t>
      </w:r>
    </w:p>
    <w:p>
      <w:pPr>
        <w:ind w:left="4320"/>
        <w:spacing w:after="0" w:line="238" w:lineRule="auto"/>
        <w:rPr>
          <w:sz w:val="20"/>
          <w:szCs w:val="20"/>
          <w:color w:val="auto"/>
        </w:rPr>
      </w:pPr>
      <w:r>
        <w:rPr>
          <w:rFonts w:ascii="Courier New" w:cs="Courier New" w:eastAsia="Courier New" w:hAnsi="Courier New"/>
          <w:sz w:val="18"/>
          <w:szCs w:val="18"/>
          <w:color w:val="auto"/>
        </w:rPr>
        <w:t>Senior Vice President,</w:t>
      </w:r>
    </w:p>
    <w:p>
      <w:pPr>
        <w:ind w:left="4320"/>
        <w:spacing w:after="0"/>
        <w:rPr>
          <w:sz w:val="20"/>
          <w:szCs w:val="20"/>
          <w:color w:val="auto"/>
        </w:rPr>
      </w:pPr>
      <w:r>
        <w:rPr>
          <w:rFonts w:ascii="Courier New" w:cs="Courier New" w:eastAsia="Courier New" w:hAnsi="Courier New"/>
          <w:sz w:val="16"/>
          <w:szCs w:val="16"/>
          <w:color w:val="auto"/>
        </w:rPr>
        <w:t>Chief Accounting Officer and Controller</w:t>
      </w:r>
    </w:p>
    <w:p>
      <w:pPr>
        <w:spacing w:after="0" w:line="2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(Principal Accounting Officer)</w:t>
      </w:r>
    </w:p>
    <w:p>
      <w:pPr>
        <w:sectPr>
          <w:pgSz w:w="11900" w:h="16838" w:orient="portrait"/>
          <w:cols w:equalWidth="0" w:num="1">
            <w:col w:w="10219"/>
          </w:cols>
          <w:pgMar w:left="240" w:top="691" w:right="1440" w:bottom="1440" w:gutter="0" w:footer="0" w:header="0"/>
          <w:type w:val="continuous"/>
        </w:sectPr>
      </w:pPr>
    </w:p>
    <w:bookmarkStart w:id="2" w:name="page3"/>
    <w:bookmarkEnd w:id="2"/>
    <w:p>
      <w:pPr>
        <w:spacing w:after="0" w:line="1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Comcast Reports Third Quarter 2004 Results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Cable Revenue Increased 10.6% to $4.844 Billion</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Delivers Record New Product Growth</w:t>
      </w:r>
    </w:p>
    <w:p>
      <w:pPr>
        <w:spacing w:after="0" w:line="3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Led by High-Speed Internet Subscriber Additions of 549,100</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Digital Cable Subscribers Increased 341,000 to 8.4 Million</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Cable Operating Cash Flow Increased 14.6% to $1.858 Billion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Consolidated Operating Income Increased 39.0% to $686 Million</w:t>
      </w:r>
    </w:p>
    <w:p>
      <w:pPr>
        <w:spacing w:after="0" w:line="201" w:lineRule="exact"/>
        <w:rPr>
          <w:sz w:val="20"/>
          <w:szCs w:val="20"/>
          <w:color w:val="auto"/>
        </w:rPr>
      </w:pPr>
    </w:p>
    <w:p>
      <w:pPr>
        <w:ind w:right="2099" w:firstLine="421"/>
        <w:spacing w:after="0" w:line="244" w:lineRule="auto"/>
        <w:rPr>
          <w:sz w:val="20"/>
          <w:szCs w:val="20"/>
          <w:color w:val="auto"/>
        </w:rPr>
      </w:pPr>
      <w:r>
        <w:rPr>
          <w:rFonts w:ascii="Courier New" w:cs="Courier New" w:eastAsia="Courier New" w:hAnsi="Courier New"/>
          <w:sz w:val="18"/>
          <w:szCs w:val="18"/>
          <w:color w:val="auto"/>
        </w:rPr>
        <w:t>PHILADELPHIA, Oct. 27 /PRNewswire-FirstCall/ -- Comcast Corporation (Nasdaq: CMCSA, CMCSK) today reported results for the quarter ended September 30, 2004. Comcast will discuss third quarter results on a conference call and webcast today at 8:30 AM Eastern Time. A live broadcast of the conference call will be available on the investor relations website at http://www.cmcsa.com and http://www.cmcsk.com.</w:t>
      </w:r>
    </w:p>
    <w:p>
      <w:pPr>
        <w:spacing w:after="0" w:line="4" w:lineRule="exact"/>
        <w:rPr>
          <w:sz w:val="20"/>
          <w:szCs w:val="20"/>
          <w:color w:val="auto"/>
        </w:rPr>
      </w:pPr>
    </w:p>
    <w:p>
      <w:pPr>
        <w:ind w:right="1999" w:firstLine="421"/>
        <w:spacing w:after="0" w:line="268" w:lineRule="auto"/>
        <w:rPr>
          <w:sz w:val="20"/>
          <w:szCs w:val="20"/>
          <w:color w:val="auto"/>
        </w:rPr>
      </w:pPr>
      <w:r>
        <w:rPr>
          <w:rFonts w:ascii="Courier New" w:cs="Courier New" w:eastAsia="Courier New" w:hAnsi="Courier New"/>
          <w:sz w:val="16"/>
          <w:szCs w:val="16"/>
          <w:color w:val="auto"/>
        </w:rPr>
        <w:t>Brian L. Roberts, Chairman and CEO of Comcast Corporation, said, "We reached record levels of new video and high-speed Internet service additions this quarter, confirming that we have successfully transformed Comcast into a new products company. Our high-speed Internet service led the way, adding over 549,000 subscribers - the highest level of quarterly high-speed Internet additions in the Company's history. We also posted strong growth in Digital Cable as we continue to extend our video offering to include ON DEMAND, HDTV and DVRs. We added 341,000 new digital subscribers this quarter and installed more than 200,000 HDTV set-top boxes in customers' homes. Interest in our</w:t>
      </w:r>
    </w:p>
    <w:p>
      <w:pPr>
        <w:spacing w:after="0" w:line="2"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8"/>
          <w:szCs w:val="18"/>
          <w:color w:val="auto"/>
        </w:rPr>
        <w:t>ON DEMAND service continues to grow. Customers are selecting ON DEMAND content more than 50 million times each month and early indications suggest strong demand for our DVR product. Our strong unit growth this quarter reflects the increasing appeal of our services, as we deliver differentiated products and a better experience to our customers.</w:t>
      </w:r>
    </w:p>
    <w:p>
      <w:pPr>
        <w:spacing w:after="0" w:line="1" w:lineRule="exact"/>
        <w:rPr>
          <w:sz w:val="20"/>
          <w:szCs w:val="20"/>
          <w:color w:val="auto"/>
        </w:rPr>
      </w:pPr>
    </w:p>
    <w:p>
      <w:pPr>
        <w:jc w:val="center"/>
        <w:ind w:right="2839"/>
        <w:spacing w:after="0"/>
        <w:tabs>
          <w:tab w:leader="none" w:pos="200" w:val="left"/>
        </w:tabs>
        <w:rPr>
          <w:sz w:val="20"/>
          <w:szCs w:val="20"/>
          <w:color w:val="auto"/>
        </w:rPr>
      </w:pPr>
      <w:r>
        <w:rPr>
          <w:rFonts w:ascii="Courier New" w:cs="Courier New" w:eastAsia="Courier New" w:hAnsi="Courier New"/>
          <w:sz w:val="18"/>
          <w:szCs w:val="18"/>
          <w:color w:val="auto"/>
        </w:rPr>
        <w:t>"We are also reporting strong financial results.</w:t>
      </w:r>
      <w:r>
        <w:rPr>
          <w:sz w:val="20"/>
          <w:szCs w:val="20"/>
          <w:color w:val="auto"/>
        </w:rPr>
        <w:tab/>
      </w:r>
      <w:r>
        <w:rPr>
          <w:rFonts w:ascii="Courier New" w:cs="Courier New" w:eastAsia="Courier New" w:hAnsi="Courier New"/>
          <w:sz w:val="16"/>
          <w:szCs w:val="16"/>
          <w:color w:val="auto"/>
        </w:rPr>
        <w:t>We generated</w:t>
      </w:r>
    </w:p>
    <w:p>
      <w:pPr>
        <w:ind w:right="1999"/>
        <w:spacing w:after="0" w:line="244" w:lineRule="auto"/>
        <w:rPr>
          <w:sz w:val="20"/>
          <w:szCs w:val="20"/>
          <w:color w:val="auto"/>
        </w:rPr>
      </w:pPr>
      <w:r>
        <w:rPr>
          <w:rFonts w:ascii="Courier New" w:cs="Courier New" w:eastAsia="Courier New" w:hAnsi="Courier New"/>
          <w:sz w:val="18"/>
          <w:szCs w:val="18"/>
          <w:color w:val="auto"/>
        </w:rPr>
        <w:t>$540 million of Free Cash Flow this quarter through the combination of Operating Cash Flow growth and capital expenditure declines as our two-way networks are now 98% upgraded. We continue to make investments to support our growth and product differentiation strategy, while returning capital to shareholders. This year we have repurchased over $1 billion of our stock and cash settled more than $600 million of debt securities that were otherwise exchangeable into our stock. At the same time, in the last quarter alone, we announced several transactions that will enable us to offer a growing array of choices for movies, regional and national sports and children's programming, as well as video mail and other broadband features and applications. All of these will provide our customers more choice and control - on TV, on Comcast.net and ON DEMAND."</w:t>
      </w:r>
    </w:p>
    <w:p>
      <w:pPr>
        <w:spacing w:after="0" w:line="11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Comcast Cable Results</w:t>
      </w:r>
    </w:p>
    <w:p>
      <w:pPr>
        <w:spacing w:after="0" w:line="31" w:lineRule="exact"/>
        <w:rPr>
          <w:sz w:val="20"/>
          <w:szCs w:val="20"/>
          <w:color w:val="auto"/>
        </w:rPr>
      </w:pPr>
    </w:p>
    <w:p>
      <w:pPr>
        <w:jc w:val="both"/>
        <w:ind w:right="1999" w:firstLine="421"/>
        <w:spacing w:after="0" w:line="238" w:lineRule="auto"/>
        <w:rPr>
          <w:sz w:val="20"/>
          <w:szCs w:val="20"/>
          <w:color w:val="auto"/>
        </w:rPr>
      </w:pPr>
      <w:r>
        <w:rPr>
          <w:rFonts w:ascii="Courier New" w:cs="Courier New" w:eastAsia="Courier New" w:hAnsi="Courier New"/>
          <w:sz w:val="18"/>
          <w:szCs w:val="18"/>
          <w:color w:val="auto"/>
        </w:rPr>
        <w:t>Cable results are presented on a pro forma basis. Pro forma cable results adjust only for significant acquisitions and dispositions and are presented as if the acquisitions and dispositions were effective on January 1, 2003. Please refer to Table 7-A for a reconciliation of pro forma data.</w:t>
      </w:r>
    </w:p>
    <w:p>
      <w:pPr>
        <w:spacing w:after="0" w:line="1" w:lineRule="exact"/>
        <w:rPr>
          <w:sz w:val="20"/>
          <w:szCs w:val="20"/>
          <w:color w:val="auto"/>
        </w:rPr>
      </w:pPr>
    </w:p>
    <w:p>
      <w:pPr>
        <w:ind w:right="1999" w:firstLine="421"/>
        <w:spacing w:after="0" w:line="238" w:lineRule="auto"/>
        <w:rPr>
          <w:sz w:val="20"/>
          <w:szCs w:val="20"/>
          <w:color w:val="auto"/>
        </w:rPr>
      </w:pPr>
      <w:r>
        <w:rPr>
          <w:rFonts w:ascii="Courier New" w:cs="Courier New" w:eastAsia="Courier New" w:hAnsi="Courier New"/>
          <w:sz w:val="18"/>
          <w:szCs w:val="18"/>
          <w:color w:val="auto"/>
        </w:rPr>
        <w:t>For the quarter ended September 30, 2004, Comcast Cable reported revenue of $4.844 billion representing a 10.6% increase from the third quarter of 2003. Video revenue increased 6.6% from the third quarter of 2003, driven by a 5.5% increase in average monthly revenue per basic subscriber and an increase in digital revenue. During the third quarter, Comcast Cable added 341,000 digital cable subscribers to end the period with over 8.4 million subscribers, or 39.1% of basic subscribers. Basic subscribers of 21.5 million remained essentially unchanged from a year ago but increased 8,500 from the prior quarter. Included in the basic subscriber results for the quarter was the loss of an estimated 10,000 subscribers as a result of the severe hurricane season experienced in parts of Florida and other Southeastern states.</w:t>
      </w:r>
    </w:p>
    <w:p>
      <w:pPr>
        <w:spacing w:after="0" w:line="4" w:lineRule="exact"/>
        <w:rPr>
          <w:sz w:val="20"/>
          <w:szCs w:val="20"/>
          <w:color w:val="auto"/>
        </w:rPr>
      </w:pPr>
    </w:p>
    <w:p>
      <w:pPr>
        <w:ind w:right="1999" w:firstLine="421"/>
        <w:spacing w:after="0" w:line="238" w:lineRule="auto"/>
        <w:rPr>
          <w:sz w:val="20"/>
          <w:szCs w:val="20"/>
          <w:color w:val="auto"/>
        </w:rPr>
      </w:pPr>
      <w:r>
        <w:rPr>
          <w:rFonts w:ascii="Courier New" w:cs="Courier New" w:eastAsia="Courier New" w:hAnsi="Courier New"/>
          <w:sz w:val="18"/>
          <w:szCs w:val="18"/>
          <w:color w:val="auto"/>
        </w:rPr>
        <w:t>Growth in video revenue also reflects increasing consumer demand for new digital features, including Comcast ON DEMAND, high-definition television (HDTV) programming and digital video recorders (DVRs). During the third quarter, pay-per-view revenues increased nearly 32% to more than $100 million, driven by more movie and event purchases through the Comcast ON DEMAND service. Increasing demand for HDTV and the accelerating rollout of DVRs is also contributing to digital growth. At the end of the third quarter, Comcast had nearly 870,000 set-top boxes in customers' homes offering HDTV and/or DVR service.</w:t>
      </w:r>
    </w:p>
    <w:p>
      <w:pPr>
        <w:spacing w:after="0" w:line="3" w:lineRule="exact"/>
        <w:rPr>
          <w:sz w:val="20"/>
          <w:szCs w:val="20"/>
          <w:color w:val="auto"/>
        </w:rPr>
      </w:pPr>
    </w:p>
    <w:p>
      <w:pPr>
        <w:ind w:right="1999" w:firstLine="421"/>
        <w:spacing w:after="0" w:line="290" w:lineRule="auto"/>
        <w:rPr>
          <w:sz w:val="20"/>
          <w:szCs w:val="20"/>
          <w:color w:val="auto"/>
        </w:rPr>
      </w:pPr>
      <w:r>
        <w:rPr>
          <w:rFonts w:ascii="Courier New" w:cs="Courier New" w:eastAsia="Courier New" w:hAnsi="Courier New"/>
          <w:sz w:val="16"/>
          <w:szCs w:val="16"/>
          <w:color w:val="auto"/>
        </w:rPr>
        <w:t>During the third quarter of 2004 Comcast Cable added a record 549,100 High-Speed Internet subscribers to end the quarter with more than 6.5 million subscribers. Revenues for this service increased 37.9% from the third quarter of 2003 to $808 million reflecting strong subscriber growth and stable average monthly revenue per subscriber of $42.91. Comcast High-Speed Internet service is now available to 94% of the Company's footprint, or 38 million homes.</w:t>
      </w:r>
    </w:p>
    <w:p>
      <w:pPr>
        <w:sectPr>
          <w:pgSz w:w="11900" w:h="16850" w:orient="portrait"/>
          <w:cols w:equalWidth="0" w:num="1">
            <w:col w:w="10219"/>
          </w:cols>
          <w:pgMar w:left="240" w:top="110" w:right="1440" w:bottom="0" w:gutter="0" w:footer="0" w:header="0"/>
        </w:sectPr>
      </w:pPr>
    </w:p>
    <w:bookmarkStart w:id="3" w:name="page4"/>
    <w:bookmarkEnd w:id="3"/>
    <w:p>
      <w:pPr>
        <w:spacing w:after="0" w:line="3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Advertising revenue increased 15.5% from the third quarter of 2003 to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$319 million, reflecting growth of over 10% in local advertising and growth of</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 in regional/national advertising as a result of an increase in political</w:t>
      </w:r>
    </w:p>
    <w:p>
      <w:pPr>
        <w:spacing w:after="0" w:line="238" w:lineRule="auto"/>
        <w:rPr>
          <w:sz w:val="20"/>
          <w:szCs w:val="20"/>
          <w:color w:val="auto"/>
        </w:rPr>
      </w:pPr>
      <w:r>
        <w:rPr>
          <w:rFonts w:ascii="Courier New" w:cs="Courier New" w:eastAsia="Courier New" w:hAnsi="Courier New"/>
          <w:sz w:val="18"/>
          <w:szCs w:val="18"/>
          <w:color w:val="auto"/>
        </w:rPr>
        <w:t>advertising during the third quarter and the ongoing success of our regional</w:t>
      </w:r>
    </w:p>
    <w:p>
      <w:pPr>
        <w:spacing w:after="0"/>
        <w:rPr>
          <w:sz w:val="20"/>
          <w:szCs w:val="20"/>
          <w:color w:val="auto"/>
        </w:rPr>
      </w:pPr>
      <w:r>
        <w:rPr>
          <w:rFonts w:ascii="Courier New" w:cs="Courier New" w:eastAsia="Courier New" w:hAnsi="Courier New"/>
          <w:sz w:val="18"/>
          <w:szCs w:val="18"/>
          <w:color w:val="auto"/>
        </w:rPr>
        <w:t>interconnect strategy.</w:t>
      </w:r>
    </w:p>
    <w:p>
      <w:pPr>
        <w:ind w:right="2199" w:firstLine="421"/>
        <w:spacing w:after="0" w:line="238" w:lineRule="auto"/>
        <w:rPr>
          <w:sz w:val="20"/>
          <w:szCs w:val="20"/>
          <w:color w:val="auto"/>
        </w:rPr>
      </w:pPr>
      <w:r>
        <w:rPr>
          <w:rFonts w:ascii="Courier New" w:cs="Courier New" w:eastAsia="Courier New" w:hAnsi="Courier New"/>
          <w:sz w:val="18"/>
          <w:szCs w:val="18"/>
          <w:color w:val="auto"/>
        </w:rPr>
        <w:t>As expected, cable phone revenue declined 8.6% from the third quarter of 2003 to $173 million, the result of a 7.5% decrease in subscribers to</w:t>
      </w:r>
    </w:p>
    <w:p>
      <w:pPr>
        <w:spacing w:after="0" w:line="1"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1.2 million and stable average monthly revenue per subscriber of $47.18. Cable phone results continue to reflect the Company's focus on profitability, not unit growth, of its circuit-switched telephone business as it begins the transition to offer cable phone service using VoIP. Excluding cable phone revenue, which is expected to continue to decline through 2004, total revenue for Comcast Cable increased 11.5% from the third quarter of 2003 to $4.671 billion.</w:t>
      </w:r>
    </w:p>
    <w:p>
      <w:pPr>
        <w:spacing w:after="0" w:line="3" w:lineRule="exact"/>
        <w:rPr>
          <w:sz w:val="20"/>
          <w:szCs w:val="20"/>
          <w:color w:val="auto"/>
        </w:rPr>
      </w:pPr>
    </w:p>
    <w:p>
      <w:pPr>
        <w:ind w:right="1999" w:firstLine="421"/>
        <w:spacing w:after="0" w:line="268" w:lineRule="auto"/>
        <w:rPr>
          <w:sz w:val="20"/>
          <w:szCs w:val="20"/>
          <w:color w:val="auto"/>
        </w:rPr>
      </w:pPr>
      <w:r>
        <w:rPr>
          <w:rFonts w:ascii="Courier New" w:cs="Courier New" w:eastAsia="Courier New" w:hAnsi="Courier New"/>
          <w:sz w:val="16"/>
          <w:szCs w:val="16"/>
          <w:color w:val="auto"/>
        </w:rPr>
        <w:t>Cable operating income before depreciation and amortization (Operating Cash Flow) grew 14.6% from the third quarter of 2003 to $1.858 billion, reflecting strong revenue growth, offset by the impact of hurricane-related costs estimated at $10-$15 million and higher operating and marketing expenses associated with the record number of new service additions in the quarter.</w:t>
      </w:r>
    </w:p>
    <w:p>
      <w:pPr>
        <w:spacing w:after="0" w:line="1" w:lineRule="exact"/>
        <w:rPr>
          <w:sz w:val="20"/>
          <w:szCs w:val="20"/>
          <w:color w:val="auto"/>
        </w:rPr>
      </w:pPr>
    </w:p>
    <w:p>
      <w:pPr>
        <w:ind w:right="1999" w:firstLine="421"/>
        <w:spacing w:after="0" w:line="238" w:lineRule="auto"/>
        <w:rPr>
          <w:sz w:val="20"/>
          <w:szCs w:val="20"/>
          <w:color w:val="auto"/>
        </w:rPr>
      </w:pPr>
      <w:r>
        <w:rPr>
          <w:rFonts w:ascii="Courier New" w:cs="Courier New" w:eastAsia="Courier New" w:hAnsi="Courier New"/>
          <w:sz w:val="18"/>
          <w:szCs w:val="18"/>
          <w:color w:val="auto"/>
        </w:rPr>
        <w:t>Cable capital expenditures declined nearly 17% to $871 million compared to the $1.045 billion in the third quarter of 2003. The decline in cable capital expenditures reflects the near-completion of the Company's cable network upgrade. Comcast Cable finished the third quarter with nearly 98% of its cable network upgraded to provide advanced services.</w:t>
      </w:r>
    </w:p>
    <w:p>
      <w:pPr>
        <w:spacing w:after="0" w:line="2" w:lineRule="exact"/>
        <w:rPr>
          <w:sz w:val="20"/>
          <w:szCs w:val="20"/>
          <w:color w:val="auto"/>
        </w:rPr>
      </w:pPr>
    </w:p>
    <w:p>
      <w:pPr>
        <w:ind w:right="2099" w:firstLine="421"/>
        <w:spacing w:after="0" w:line="268" w:lineRule="auto"/>
        <w:rPr>
          <w:sz w:val="20"/>
          <w:szCs w:val="20"/>
          <w:color w:val="auto"/>
        </w:rPr>
      </w:pPr>
      <w:r>
        <w:rPr>
          <w:rFonts w:ascii="Courier New" w:cs="Courier New" w:eastAsia="Courier New" w:hAnsi="Courier New"/>
          <w:sz w:val="16"/>
          <w:szCs w:val="16"/>
          <w:color w:val="auto"/>
        </w:rPr>
        <w:t>For the nine months ended September 30, 2004, Comcast Cable reported revenue of $14.334 billion, a 10.3% increase from the same period in 2003. Comcast Cable Operating Cash Flow grew 18.4% from the nine months ended September 30, 2003 to $5.499 billion. Video revenue increased 6.7% from the same period in 2003, driven by a 5.7% increase in average monthly revenue per basic subscriber and an increase in digital revenue, primarily reflecting a 1.1 million increase in the number of digital cable subscribers. Comcast High-Speed Internet service revenues increased 39.6% from the nine months ended September 30, 2003 to $2.269 billion reflecting the addition of</w:t>
      </w:r>
    </w:p>
    <w:p>
      <w:pPr>
        <w:spacing w:after="0" w:line="2"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1.7 million new subscribers and unchanged average monthly revenue per subscriber of $42.59. Advertising revenue increased 15.1% from the year-ago period to $918 million. As expected, cable phone revenue declined 14.6% from 2003 to $528 million, the result of a 7.5% decrease in subscribers and 5.3% decrease in average monthly revenue per subscriber to $47.31.</w:t>
      </w:r>
    </w:p>
    <w:p>
      <w:pPr>
        <w:spacing w:after="0" w:line="2" w:lineRule="exact"/>
        <w:rPr>
          <w:sz w:val="20"/>
          <w:szCs w:val="20"/>
          <w:color w:val="auto"/>
        </w:rPr>
      </w:pPr>
    </w:p>
    <w:p>
      <w:pPr>
        <w:ind w:right="2099" w:firstLine="421"/>
        <w:spacing w:after="0" w:line="262" w:lineRule="auto"/>
        <w:rPr>
          <w:sz w:val="20"/>
          <w:szCs w:val="20"/>
          <w:color w:val="auto"/>
        </w:rPr>
      </w:pPr>
      <w:r>
        <w:rPr>
          <w:rFonts w:ascii="Courier New" w:cs="Courier New" w:eastAsia="Courier New" w:hAnsi="Courier New"/>
          <w:sz w:val="18"/>
          <w:szCs w:val="18"/>
          <w:color w:val="auto"/>
        </w:rPr>
        <w:t>Cable capital expenditures for the nine months ended September 30, 2004 declined 15.3% to $2.578 billion compared to the $3.045 billion in the prior year. The decline in cable capital expenditures reflects the near-completion of the Company's cable network upgrade.</w:t>
      </w:r>
    </w:p>
    <w:p>
      <w:pPr>
        <w:spacing w:after="0" w:line="9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Content</w:t>
      </w:r>
    </w:p>
    <w:p>
      <w:pPr>
        <w:spacing w:after="0" w:line="31" w:lineRule="exact"/>
        <w:rPr>
          <w:sz w:val="20"/>
          <w:szCs w:val="20"/>
          <w:color w:val="auto"/>
        </w:rPr>
      </w:pPr>
    </w:p>
    <w:p>
      <w:pPr>
        <w:ind w:right="1999" w:firstLine="421"/>
        <w:spacing w:after="0" w:line="238" w:lineRule="auto"/>
        <w:rPr>
          <w:sz w:val="20"/>
          <w:szCs w:val="20"/>
          <w:color w:val="auto"/>
        </w:rPr>
      </w:pPr>
      <w:r>
        <w:rPr>
          <w:rFonts w:ascii="Courier New" w:cs="Courier New" w:eastAsia="Courier New" w:hAnsi="Courier New"/>
          <w:sz w:val="18"/>
          <w:szCs w:val="18"/>
          <w:color w:val="auto"/>
        </w:rPr>
        <w:t>Comcast's content segment consists of the national networks E! Entertainment Television and Style Network (E! Networks), The Golf Channel, Outdoor Life Network, G4techTV and the recently acquired International Channel Networks.</w:t>
      </w:r>
    </w:p>
    <w:p>
      <w:pPr>
        <w:jc w:val="center"/>
        <w:ind w:right="2619"/>
        <w:spacing w:after="0"/>
        <w:rPr>
          <w:sz w:val="20"/>
          <w:szCs w:val="20"/>
          <w:color w:val="auto"/>
        </w:rPr>
      </w:pPr>
      <w:r>
        <w:rPr>
          <w:rFonts w:ascii="Courier New" w:cs="Courier New" w:eastAsia="Courier New" w:hAnsi="Courier New"/>
          <w:sz w:val="18"/>
          <w:szCs w:val="18"/>
          <w:color w:val="auto"/>
        </w:rPr>
        <w:t>Comcast's content segment reported third quarter 2004 revenue of</w:t>
      </w:r>
    </w:p>
    <w:p>
      <w:pPr>
        <w:ind w:right="2199"/>
        <w:spacing w:after="0" w:line="238" w:lineRule="auto"/>
        <w:rPr>
          <w:sz w:val="20"/>
          <w:szCs w:val="20"/>
          <w:color w:val="auto"/>
        </w:rPr>
      </w:pPr>
      <w:r>
        <w:rPr>
          <w:rFonts w:ascii="Courier New" w:cs="Courier New" w:eastAsia="Courier New" w:hAnsi="Courier New"/>
          <w:sz w:val="18"/>
          <w:szCs w:val="18"/>
          <w:color w:val="auto"/>
        </w:rPr>
        <w:t>$207 million, a 30.6% increase from the third quarter of 2003 reflecting increases in distribution and advertising revenue for all the networks. The Content segment reported Operating Cash Flow of $62 million in the third quarter of 2004, a 7% increase above the third quarter of 2003 reflecting higher development and marketing expenses for signature events and other original programming.</w:t>
      </w:r>
    </w:p>
    <w:p>
      <w:pPr>
        <w:spacing w:after="0" w:line="2" w:lineRule="exact"/>
        <w:rPr>
          <w:sz w:val="20"/>
          <w:szCs w:val="20"/>
          <w:color w:val="auto"/>
        </w:rPr>
      </w:pPr>
    </w:p>
    <w:p>
      <w:pPr>
        <w:ind w:right="2319" w:firstLine="421"/>
        <w:spacing w:after="0" w:line="273" w:lineRule="auto"/>
        <w:rPr>
          <w:sz w:val="20"/>
          <w:szCs w:val="20"/>
          <w:color w:val="auto"/>
        </w:rPr>
      </w:pPr>
      <w:r>
        <w:rPr>
          <w:rFonts w:ascii="Courier New" w:cs="Courier New" w:eastAsia="Courier New" w:hAnsi="Courier New"/>
          <w:sz w:val="18"/>
          <w:szCs w:val="18"/>
          <w:color w:val="auto"/>
        </w:rPr>
        <w:t>For the nine months ended September 30, 2004, Comcast's content segment increased revenue 26.0% to $582 million and increased Operating Cash Flow 34.0% to $208 million.</w:t>
      </w:r>
    </w:p>
    <w:p>
      <w:pPr>
        <w:spacing w:after="0" w:line="8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Corporate and Other</w:t>
      </w:r>
    </w:p>
    <w:p>
      <w:pPr>
        <w:spacing w:after="0" w:line="31" w:lineRule="exact"/>
        <w:rPr>
          <w:sz w:val="20"/>
          <w:szCs w:val="20"/>
          <w:color w:val="auto"/>
        </w:rPr>
      </w:pPr>
    </w:p>
    <w:p>
      <w:pPr>
        <w:ind w:right="1999" w:firstLine="421"/>
        <w:spacing w:after="0" w:line="238" w:lineRule="auto"/>
        <w:rPr>
          <w:sz w:val="20"/>
          <w:szCs w:val="20"/>
          <w:color w:val="auto"/>
        </w:rPr>
      </w:pPr>
      <w:r>
        <w:rPr>
          <w:rFonts w:ascii="Courier New" w:cs="Courier New" w:eastAsia="Courier New" w:hAnsi="Courier New"/>
          <w:sz w:val="18"/>
          <w:szCs w:val="18"/>
          <w:color w:val="auto"/>
        </w:rPr>
        <w:t>Corporate and Other includes Comcast-Spectacor, corporate overhead and other operations and eliminations between Comcast's businesses. In the third quarter of 2004, we reported Corporate and Other revenue of $47 million and an Operating Cash Flow loss of $60 million as compared to revenue of $14 million and an Operating Cash Flow loss of $46 million in the third quarter of 2003. Beginning in the third quarter of 2004, Comcast-Spectacor includes the operating results of its investment in a sports event-related business.</w:t>
      </w:r>
    </w:p>
    <w:p>
      <w:pPr>
        <w:spacing w:after="0" w:line="3" w:lineRule="exact"/>
        <w:rPr>
          <w:sz w:val="20"/>
          <w:szCs w:val="20"/>
          <w:color w:val="auto"/>
        </w:rPr>
      </w:pPr>
    </w:p>
    <w:p>
      <w:pPr>
        <w:ind w:right="2099" w:firstLine="421"/>
        <w:spacing w:after="0" w:line="323" w:lineRule="auto"/>
        <w:rPr>
          <w:sz w:val="20"/>
          <w:szCs w:val="20"/>
          <w:color w:val="auto"/>
        </w:rPr>
      </w:pPr>
      <w:r>
        <w:rPr>
          <w:rFonts w:ascii="Courier New" w:cs="Courier New" w:eastAsia="Courier New" w:hAnsi="Courier New"/>
          <w:sz w:val="16"/>
          <w:szCs w:val="16"/>
          <w:color w:val="auto"/>
        </w:rPr>
        <w:t>For the nine months ended September 30, 2004, Corporate and Other revenue remained relatively unchanged at $161 million and Operating Cash Flow loss increased to $160 million from the nine months ended September 30, 2003.</w:t>
      </w:r>
    </w:p>
    <w:p>
      <w:pPr>
        <w:spacing w:after="0" w:line="4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Consolidated Results</w:t>
      </w:r>
    </w:p>
    <w:p>
      <w:pPr>
        <w:spacing w:after="0" w:line="31" w:lineRule="exact"/>
        <w:rPr>
          <w:sz w:val="20"/>
          <w:szCs w:val="20"/>
          <w:color w:val="auto"/>
        </w:rPr>
      </w:pPr>
    </w:p>
    <w:p>
      <w:pPr>
        <w:ind w:right="2199" w:firstLine="421"/>
        <w:spacing w:after="0" w:line="238" w:lineRule="auto"/>
        <w:rPr>
          <w:sz w:val="20"/>
          <w:szCs w:val="20"/>
          <w:color w:val="auto"/>
        </w:rPr>
      </w:pPr>
      <w:r>
        <w:rPr>
          <w:rFonts w:ascii="Courier New" w:cs="Courier New" w:eastAsia="Courier New" w:hAnsi="Courier New"/>
          <w:sz w:val="18"/>
          <w:szCs w:val="18"/>
          <w:color w:val="auto"/>
        </w:rPr>
        <w:t>Comcast sold its 57% ownership interest in QVC in September 2003. QVC's results, prior to its sale, are presented as discontinued operations. Consolidated amounts primarily reflect the results of the cable division as discussed above.</w:t>
      </w:r>
    </w:p>
    <w:p>
      <w:pPr>
        <w:spacing w:after="0" w:line="1" w:lineRule="exact"/>
        <w:rPr>
          <w:sz w:val="20"/>
          <w:szCs w:val="20"/>
          <w:color w:val="auto"/>
        </w:rPr>
      </w:pPr>
    </w:p>
    <w:p>
      <w:pPr>
        <w:ind w:right="2739" w:firstLine="421"/>
        <w:spacing w:after="0" w:line="268" w:lineRule="auto"/>
        <w:rPr>
          <w:sz w:val="20"/>
          <w:szCs w:val="20"/>
          <w:color w:val="auto"/>
        </w:rPr>
      </w:pPr>
      <w:r>
        <w:rPr>
          <w:rFonts w:ascii="Courier New" w:cs="Courier New" w:eastAsia="Courier New" w:hAnsi="Courier New"/>
          <w:sz w:val="16"/>
          <w:szCs w:val="16"/>
          <w:color w:val="auto"/>
        </w:rPr>
        <w:t>For the three months ended September 30, 2004, the Company reported consolidated revenues of $5.098 billion, a 12.1% increase from the</w:t>
      </w:r>
    </w:p>
    <w:p>
      <w:pPr>
        <w:ind w:right="2099"/>
        <w:spacing w:after="0" w:line="323" w:lineRule="auto"/>
        <w:rPr>
          <w:sz w:val="20"/>
          <w:szCs w:val="20"/>
          <w:color w:val="auto"/>
        </w:rPr>
      </w:pPr>
      <w:r>
        <w:rPr>
          <w:rFonts w:ascii="Courier New" w:cs="Courier New" w:eastAsia="Courier New" w:hAnsi="Courier New"/>
          <w:sz w:val="16"/>
          <w:szCs w:val="16"/>
          <w:color w:val="auto"/>
        </w:rPr>
        <w:t>$4.546 billion reported in the same period of 2003. Consolidated Operating Cash Flow increased to $1.860 billion or 14.0%, in the third quarter of 2004, from the $1.632 billion reported in the same prior year period. Operating</w:t>
      </w:r>
    </w:p>
    <w:p>
      <w:pPr>
        <w:sectPr>
          <w:pgSz w:w="11900" w:h="16875" w:orient="portrait"/>
          <w:cols w:equalWidth="0" w:num="1">
            <w:col w:w="10219"/>
          </w:cols>
          <w:pgMar w:left="240" w:top="110" w:right="1440" w:bottom="0" w:gutter="0" w:footer="0" w:header="0"/>
        </w:sectPr>
      </w:pPr>
    </w:p>
    <w:bookmarkStart w:id="4" w:name="page5"/>
    <w:bookmarkEnd w:id="4"/>
    <w:p>
      <w:pPr>
        <w:spacing w:after="0" w:line="21" w:lineRule="exact"/>
        <w:rPr>
          <w:sz w:val="20"/>
          <w:szCs w:val="20"/>
          <w:color w:val="auto"/>
        </w:rPr>
      </w:pPr>
    </w:p>
    <w:p>
      <w:pPr>
        <w:ind w:right="2199"/>
        <w:spacing w:after="0" w:line="257" w:lineRule="auto"/>
        <w:rPr>
          <w:sz w:val="20"/>
          <w:szCs w:val="20"/>
          <w:color w:val="auto"/>
        </w:rPr>
      </w:pPr>
      <w:r>
        <w:rPr>
          <w:rFonts w:ascii="Courier New" w:cs="Courier New" w:eastAsia="Courier New" w:hAnsi="Courier New"/>
          <w:sz w:val="18"/>
          <w:szCs w:val="18"/>
          <w:color w:val="auto"/>
        </w:rPr>
        <w:t>income increased 39.0% to $686 million in the third quarter of 2004 compared to operating income of $493 million in the third quarter of 2003.</w:t>
      </w:r>
    </w:p>
    <w:p>
      <w:pPr>
        <w:ind w:right="2099" w:firstLine="421"/>
        <w:spacing w:after="0" w:line="238" w:lineRule="auto"/>
        <w:rPr>
          <w:sz w:val="20"/>
          <w:szCs w:val="20"/>
          <w:color w:val="auto"/>
        </w:rPr>
      </w:pPr>
      <w:r>
        <w:rPr>
          <w:rFonts w:ascii="Courier New" w:cs="Courier New" w:eastAsia="Courier New" w:hAnsi="Courier New"/>
          <w:sz w:val="18"/>
          <w:szCs w:val="18"/>
          <w:color w:val="auto"/>
        </w:rPr>
        <w:t>For the three months ended September 30, 2004, the Company reported consolidated net income of $220 million or $0.10 per share compared to a consolidated net loss from continuing operations of $153 million or a loss of $0.07 per share in the third quarter of 2003. For the nine months ended September 30, 2004, the Company reported consolidated net income of</w:t>
      </w:r>
    </w:p>
    <w:p>
      <w:pPr>
        <w:spacing w:after="0" w:line="2"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$547 million or $0.24 per share compared to a consolidated net loss from continuing operations of $601 million or a loss of $0.27 per share in the nine months ended September 30, 2003. Please refer to the "Reconciliation of Net Income to Free Cash Flow" in Table 7-B at the end of this release and the Company's Form 10-Q for further details on items affecting net income.</w:t>
      </w:r>
    </w:p>
    <w:p>
      <w:pPr>
        <w:spacing w:after="0" w:line="2" w:lineRule="exact"/>
        <w:rPr>
          <w:sz w:val="20"/>
          <w:szCs w:val="20"/>
          <w:color w:val="auto"/>
        </w:rPr>
      </w:pPr>
    </w:p>
    <w:p>
      <w:pPr>
        <w:ind w:right="1999" w:firstLine="421"/>
        <w:spacing w:after="0" w:line="252" w:lineRule="auto"/>
        <w:rPr>
          <w:sz w:val="20"/>
          <w:szCs w:val="20"/>
          <w:color w:val="auto"/>
        </w:rPr>
      </w:pPr>
      <w:r>
        <w:rPr>
          <w:rFonts w:ascii="Courier New" w:cs="Courier New" w:eastAsia="Courier New" w:hAnsi="Courier New"/>
          <w:sz w:val="18"/>
          <w:szCs w:val="18"/>
          <w:color w:val="auto"/>
        </w:rPr>
        <w:t>As previously announced in July 2004, Comcast exchanged its 120 million shares of Liberty Media common stock for 100% ownership in a subsidiary of Liberty Media that primarily held a 100% ownership interest in International Channel Networks, a 10.4% ownership interest in E! Entertainment Television and $547 million in cash. This transaction results in Comcast owning 60.5% of E! Entertainment Television.</w:t>
      </w:r>
    </w:p>
    <w:p>
      <w:pPr>
        <w:spacing w:after="0" w:line="1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Share Repurchase Program</w:t>
      </w:r>
    </w:p>
    <w:p>
      <w:pPr>
        <w:spacing w:after="0" w:line="31" w:lineRule="exact"/>
        <w:rPr>
          <w:sz w:val="20"/>
          <w:szCs w:val="20"/>
          <w:color w:val="auto"/>
        </w:rPr>
      </w:pPr>
    </w:p>
    <w:p>
      <w:pPr>
        <w:ind w:right="1999" w:firstLine="421"/>
        <w:spacing w:after="0" w:line="238" w:lineRule="auto"/>
        <w:rPr>
          <w:sz w:val="20"/>
          <w:szCs w:val="20"/>
          <w:color w:val="auto"/>
        </w:rPr>
      </w:pPr>
      <w:r>
        <w:rPr>
          <w:rFonts w:ascii="Courier New" w:cs="Courier New" w:eastAsia="Courier New" w:hAnsi="Courier New"/>
          <w:sz w:val="18"/>
          <w:szCs w:val="18"/>
          <w:color w:val="auto"/>
        </w:rPr>
        <w:t>During the third quarter, Comcast repurchased $502 million or 18.4 million shares of its common stock under its stock repurchase program. Comcast expects such repurchases to continue to occur from time to time in the open market or in private transactions, subject to market conditions.</w:t>
      </w:r>
    </w:p>
    <w:p>
      <w:pPr>
        <w:spacing w:after="0" w:line="1" w:lineRule="exact"/>
        <w:rPr>
          <w:sz w:val="20"/>
          <w:szCs w:val="20"/>
          <w:color w:val="auto"/>
        </w:rPr>
      </w:pPr>
    </w:p>
    <w:p>
      <w:pPr>
        <w:ind w:right="1999" w:firstLine="421"/>
        <w:spacing w:after="0" w:line="238" w:lineRule="auto"/>
        <w:rPr>
          <w:sz w:val="20"/>
          <w:szCs w:val="20"/>
          <w:color w:val="auto"/>
        </w:rPr>
      </w:pPr>
      <w:r>
        <w:rPr>
          <w:rFonts w:ascii="Courier New" w:cs="Courier New" w:eastAsia="Courier New" w:hAnsi="Courier New"/>
          <w:sz w:val="18"/>
          <w:szCs w:val="18"/>
          <w:color w:val="auto"/>
        </w:rPr>
        <w:t>During the third quarter the Company elected to redeem for $209 million in cash, a debt issue that was exchangeable into Comcast Class A Special Common Stock, eliminating the need to issue 7.6 million additional shares.</w:t>
      </w:r>
    </w:p>
    <w:p>
      <w:pPr>
        <w:spacing w:after="0" w:line="1" w:lineRule="exact"/>
        <w:rPr>
          <w:sz w:val="20"/>
          <w:szCs w:val="20"/>
          <w:color w:val="auto"/>
        </w:rPr>
      </w:pPr>
    </w:p>
    <w:p>
      <w:pPr>
        <w:jc w:val="both"/>
        <w:ind w:right="2199" w:firstLine="421"/>
        <w:spacing w:after="0" w:line="268" w:lineRule="auto"/>
        <w:rPr>
          <w:sz w:val="20"/>
          <w:szCs w:val="20"/>
          <w:color w:val="auto"/>
        </w:rPr>
      </w:pPr>
      <w:r>
        <w:rPr>
          <w:rFonts w:ascii="Courier New" w:cs="Courier New" w:eastAsia="Courier New" w:hAnsi="Courier New"/>
          <w:sz w:val="16"/>
          <w:szCs w:val="16"/>
          <w:color w:val="auto"/>
        </w:rPr>
        <w:t>Starting in December 2003, the inception of the program, through October 2004, the Company has repurchased $1.1 billion of its Class A Special Common Stock or 38.9 million shares under its $2 billion share repurchase program.</w:t>
      </w:r>
    </w:p>
    <w:p>
      <w:pPr>
        <w:spacing w:after="0" w:line="1" w:lineRule="exact"/>
        <w:rPr>
          <w:sz w:val="20"/>
          <w:szCs w:val="20"/>
          <w:color w:val="auto"/>
        </w:rPr>
      </w:pPr>
    </w:p>
    <w:p>
      <w:pPr>
        <w:ind w:right="2099"/>
        <w:spacing w:after="0" w:line="273" w:lineRule="auto"/>
        <w:rPr>
          <w:sz w:val="20"/>
          <w:szCs w:val="20"/>
          <w:color w:val="auto"/>
        </w:rPr>
      </w:pPr>
      <w:r>
        <w:rPr>
          <w:rFonts w:ascii="Courier New" w:cs="Courier New" w:eastAsia="Courier New" w:hAnsi="Courier New"/>
          <w:sz w:val="18"/>
          <w:szCs w:val="18"/>
          <w:color w:val="auto"/>
        </w:rPr>
        <w:t>Including the $609 million paid in cash to redeem several debt issues exchangeable into Comcast common stock, the Company has invested $1.7 billion in its common stock and related securities.</w:t>
      </w:r>
    </w:p>
    <w:p>
      <w:pPr>
        <w:spacing w:after="0" w:line="8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Financial Guidance 2004:</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Comcast Cable Reaffirms:</w:t>
      </w:r>
    </w:p>
    <w:p>
      <w:pPr>
        <w:ind w:left="1160" w:hanging="309"/>
        <w:spacing w:after="0" w:line="238" w:lineRule="auto"/>
        <w:tabs>
          <w:tab w:leader="none" w:pos="11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Revenue growth of approximately 10%</w:t>
      </w:r>
    </w:p>
    <w:p>
      <w:pPr>
        <w:ind w:left="1160" w:hanging="309"/>
        <w:spacing w:after="0" w:line="238" w:lineRule="auto"/>
        <w:tabs>
          <w:tab w:leader="none" w:pos="11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OCF of approximately $7.5 billion or 18% growth</w:t>
      </w:r>
    </w:p>
    <w:p>
      <w:pPr>
        <w:ind w:left="1160" w:right="2519" w:hanging="309"/>
        <w:spacing w:after="0" w:line="238" w:lineRule="auto"/>
        <w:tabs>
          <w:tab w:leader="none" w:pos="11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basic cable subscribers is expected to remain at approximately 21.5 million</w:t>
      </w:r>
    </w:p>
    <w:p>
      <w:pPr>
        <w:ind w:left="1160" w:hanging="309"/>
        <w:spacing w:after="0"/>
        <w:tabs>
          <w:tab w:leader="none" w:pos="11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cable phone subscribers may decline by up to 100,000</w:t>
      </w:r>
    </w:p>
    <w:p>
      <w:pPr>
        <w:spacing w:after="0" w:line="21" w:lineRule="exact"/>
        <w:rPr>
          <w:rFonts w:ascii="Courier New" w:cs="Courier New" w:eastAsia="Courier New" w:hAnsi="Courier New"/>
          <w:sz w:val="16"/>
          <w:szCs w:val="16"/>
          <w:color w:val="auto"/>
        </w:rPr>
      </w:pPr>
    </w:p>
    <w:p>
      <w:pPr>
        <w:ind w:left="1160" w:hanging="309"/>
        <w:spacing w:after="0"/>
        <w:tabs>
          <w:tab w:leader="none" w:pos="11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expenditures of between $3.3 and $3.4 billion</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Comcast Cable Updates:</w:t>
      </w:r>
    </w:p>
    <w:p>
      <w:pPr>
        <w:spacing w:after="0" w:line="31" w:lineRule="exact"/>
        <w:rPr>
          <w:sz w:val="20"/>
          <w:szCs w:val="20"/>
          <w:color w:val="auto"/>
        </w:rPr>
      </w:pPr>
    </w:p>
    <w:p>
      <w:pPr>
        <w:jc w:val="both"/>
        <w:ind w:left="1160" w:right="2099" w:hanging="309"/>
        <w:spacing w:after="0" w:line="238" w:lineRule="auto"/>
        <w:tabs>
          <w:tab w:leader="none" w:pos="11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Digital Cable subscriber net additions of approximately 1 million, representing the top end of the previous guidance range of between 700,000 and 1 million net additions</w:t>
      </w:r>
    </w:p>
    <w:p>
      <w:pPr>
        <w:spacing w:after="0" w:line="1" w:lineRule="exact"/>
        <w:rPr>
          <w:rFonts w:ascii="Courier New" w:cs="Courier New" w:eastAsia="Courier New" w:hAnsi="Courier New"/>
          <w:sz w:val="18"/>
          <w:szCs w:val="18"/>
          <w:color w:val="auto"/>
        </w:rPr>
      </w:pPr>
    </w:p>
    <w:p>
      <w:pPr>
        <w:ind w:left="1160" w:hanging="309"/>
        <w:spacing w:after="0" w:line="238" w:lineRule="auto"/>
        <w:tabs>
          <w:tab w:leader="none" w:pos="11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High-speed Internet subscriber net additions of between 1.6 and</w:t>
      </w:r>
    </w:p>
    <w:p>
      <w:pPr>
        <w:ind w:left="11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1.7 million, an increase from original guidance of between 1.5 and</w:t>
      </w:r>
    </w:p>
    <w:p>
      <w:pPr>
        <w:spacing w:after="0" w:line="21" w:lineRule="exact"/>
        <w:rPr>
          <w:rFonts w:ascii="Courier New" w:cs="Courier New" w:eastAsia="Courier New" w:hAnsi="Courier New"/>
          <w:sz w:val="18"/>
          <w:szCs w:val="18"/>
          <w:color w:val="auto"/>
        </w:rPr>
      </w:pPr>
    </w:p>
    <w:p>
      <w:pPr>
        <w:ind w:left="11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1.6 million net additions</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Comcast Content Segment Reaffirms:</w:t>
      </w:r>
    </w:p>
    <w:p>
      <w:pPr>
        <w:spacing w:after="0" w:line="29" w:lineRule="exact"/>
        <w:rPr>
          <w:sz w:val="20"/>
          <w:szCs w:val="20"/>
          <w:color w:val="auto"/>
        </w:rPr>
      </w:pPr>
    </w:p>
    <w:p>
      <w:pPr>
        <w:ind w:left="1160" w:hanging="309"/>
        <w:spacing w:after="0"/>
        <w:tabs>
          <w:tab w:leader="none" w:pos="11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Revenue growth of at least 20%</w:t>
      </w:r>
    </w:p>
    <w:p>
      <w:pPr>
        <w:ind w:left="1160" w:hanging="309"/>
        <w:spacing w:after="0"/>
        <w:tabs>
          <w:tab w:leader="none" w:pos="11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OCF growth of at least 30%</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Other Financial Guidance Reaffirmed:</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 Consolidated Free Cash Flow of $2 billion</w:t>
      </w:r>
    </w:p>
    <w:p>
      <w:pPr>
        <w:spacing w:after="0" w:line="169" w:lineRule="exact"/>
        <w:rPr>
          <w:sz w:val="20"/>
          <w:szCs w:val="20"/>
          <w:color w:val="auto"/>
        </w:rPr>
      </w:pPr>
    </w:p>
    <w:p>
      <w:pPr>
        <w:ind w:right="1999" w:firstLine="421"/>
        <w:spacing w:after="0" w:line="275" w:lineRule="auto"/>
        <w:rPr>
          <w:sz w:val="20"/>
          <w:szCs w:val="20"/>
          <w:color w:val="auto"/>
        </w:rPr>
      </w:pPr>
      <w:r>
        <w:rPr>
          <w:rFonts w:ascii="Courier New" w:cs="Courier New" w:eastAsia="Courier New" w:hAnsi="Courier New"/>
          <w:sz w:val="16"/>
          <w:szCs w:val="16"/>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for a description of such risks and uncertainties.</w:t>
      </w:r>
    </w:p>
    <w:p>
      <w:pPr>
        <w:spacing w:after="0" w:line="1" w:lineRule="exact"/>
        <w:rPr>
          <w:sz w:val="20"/>
          <w:szCs w:val="20"/>
          <w:color w:val="auto"/>
        </w:rPr>
      </w:pPr>
    </w:p>
    <w:p>
      <w:pPr>
        <w:ind w:right="2099" w:firstLine="421"/>
        <w:spacing w:after="0" w:line="250" w:lineRule="auto"/>
        <w:rPr>
          <w:sz w:val="20"/>
          <w:szCs w:val="20"/>
          <w:color w:val="auto"/>
        </w:rPr>
      </w:pPr>
      <w:r>
        <w:rPr>
          <w:rFonts w:ascii="Courier New" w:cs="Courier New" w:eastAsia="Courier New" w:hAnsi="Courier New"/>
          <w:sz w:val="18"/>
          <w:szCs w:val="18"/>
          <w:color w:val="auto"/>
        </w:rPr>
        <w:t>In this discussion we sometimes refer to financial measures that are not presented according to generally accepted accounting principles (GAAP). Certain of these measures are considered "non-GAAP financial measures" under the Securities and Exchange Commission (SEC) regulations; those rules require the supplemental explanation and reconciliation provided in Table 7 of this release. All percentages are calculated based on actual amounts. Minor differences may exist due to rounding.</w:t>
      </w:r>
    </w:p>
    <w:p>
      <w:pPr>
        <w:spacing w:after="0" w:line="102" w:lineRule="exact"/>
        <w:rPr>
          <w:sz w:val="20"/>
          <w:szCs w:val="20"/>
          <w:color w:val="auto"/>
        </w:rPr>
      </w:pPr>
    </w:p>
    <w:p>
      <w:pPr>
        <w:ind w:right="2199" w:firstLine="421"/>
        <w:spacing w:after="0" w:line="245" w:lineRule="auto"/>
        <w:rPr>
          <w:sz w:val="20"/>
          <w:szCs w:val="20"/>
          <w:color w:val="auto"/>
        </w:rPr>
      </w:pPr>
      <w:r>
        <w:rPr>
          <w:rFonts w:ascii="Courier New" w:cs="Courier New" w:eastAsia="Courier New" w:hAnsi="Courier New"/>
          <w:sz w:val="18"/>
          <w:szCs w:val="18"/>
          <w:color w:val="auto"/>
        </w:rPr>
        <w:t>Comcast Corporation will host a conference call with the financial community today October 27, 2004 at 8:30 a.m. Eastern Time (ET). The conference call will be broadcast live on the Company's Investor Relations website at http://www.cmcsa.com or http://www.cmcsk.com. A recording of the call will be available on the Investor Relations website starting at</w:t>
      </w:r>
    </w:p>
    <w:p>
      <w:pPr>
        <w:spacing w:after="0" w:line="4" w:lineRule="exact"/>
        <w:rPr>
          <w:sz w:val="20"/>
          <w:szCs w:val="20"/>
          <w:color w:val="auto"/>
        </w:rPr>
      </w:pPr>
    </w:p>
    <w:p>
      <w:pPr>
        <w:ind w:right="2099"/>
        <w:spacing w:after="0" w:line="304" w:lineRule="auto"/>
        <w:rPr>
          <w:sz w:val="20"/>
          <w:szCs w:val="20"/>
          <w:color w:val="auto"/>
        </w:rPr>
      </w:pPr>
      <w:r>
        <w:rPr>
          <w:rFonts w:ascii="Courier New" w:cs="Courier New" w:eastAsia="Courier New" w:hAnsi="Courier New"/>
          <w:sz w:val="16"/>
          <w:szCs w:val="16"/>
          <w:color w:val="auto"/>
        </w:rPr>
        <w:t>12:30 p.m. ET on October 27, 2004. Those parties interested in participating via telephone should dial (847) 413-2408. A telephone replay will begin immediately following the call until October 28, 2004 at midnight ET. To access the rebroadcast, please dial (630) 652-3000 and enter passcode number</w:t>
      </w:r>
    </w:p>
    <w:p>
      <w:pPr>
        <w:sectPr>
          <w:pgSz w:w="11900" w:h="16859" w:orient="portrait"/>
          <w:cols w:equalWidth="0" w:num="1">
            <w:col w:w="10219"/>
          </w:cols>
          <w:pgMar w:left="240" w:top="110" w:right="1440" w:bottom="0" w:gutter="0" w:footer="0" w:header="0"/>
        </w:sectPr>
      </w:pPr>
    </w:p>
    <w:bookmarkStart w:id="5" w:name="page6"/>
    <w:bookmarkEnd w:id="5"/>
    <w:p>
      <w:pPr>
        <w:ind w:right="2319"/>
        <w:spacing w:after="0" w:line="250" w:lineRule="auto"/>
        <w:rPr>
          <w:sz w:val="20"/>
          <w:szCs w:val="20"/>
          <w:color w:val="auto"/>
        </w:rPr>
      </w:pPr>
      <w:r>
        <w:rPr>
          <w:rFonts w:ascii="Courier New" w:cs="Courier New" w:eastAsia="Courier New" w:hAnsi="Courier New"/>
          <w:sz w:val="18"/>
          <w:szCs w:val="18"/>
          <w:color w:val="auto"/>
        </w:rPr>
        <w:t>9980173#. To automatically receive Comcast financial news by email, please visit http://www.cmcsa.com or http://www.cmcsk.com and subscribe to e-mail Alerts.</w:t>
      </w:r>
    </w:p>
    <w:p>
      <w:pPr>
        <w:spacing w:after="0" w:line="3" w:lineRule="exact"/>
        <w:rPr>
          <w:sz w:val="20"/>
          <w:szCs w:val="20"/>
          <w:color w:val="auto"/>
        </w:rPr>
      </w:pPr>
    </w:p>
    <w:p>
      <w:pPr>
        <w:ind w:right="2099" w:firstLine="421"/>
        <w:spacing w:after="0" w:line="268" w:lineRule="auto"/>
        <w:rPr>
          <w:sz w:val="20"/>
          <w:szCs w:val="20"/>
          <w:color w:val="auto"/>
        </w:rPr>
      </w:pPr>
      <w:r>
        <w:rPr>
          <w:rFonts w:ascii="Courier New" w:cs="Courier New" w:eastAsia="Courier New" w:hAnsi="Courier New"/>
          <w:sz w:val="16"/>
          <w:szCs w:val="16"/>
          <w:color w:val="auto"/>
        </w:rPr>
        <w:t>Comcast Corporation (http://www.comcast.com) is principally involved in the development, management and operation of broadband cable networks and in the provision of programming content. The Company is the largest provider of cable and broadband services in the United States, serving more than</w:t>
      </w:r>
    </w:p>
    <w:p>
      <w:pPr>
        <w:spacing w:after="0" w:line="1"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21 million cable television subscribers and more than 6 million high-speed Internet customers. The Company's content businesses include Comcast SportsNet, Comcast-Spectacor, E! Entertainment Television, Style Network, G4techTV, The Golf Channel, International Channel Networks and Outdoor Life Network. Comcast Class A common stock and Class A Special common stock trade on The NASDAQ Stock Market under the symbols CMCSA and CMCSK, respectively.</w:t>
      </w:r>
    </w:p>
    <w:p>
      <w:pPr>
        <w:spacing w:after="0" w:line="7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COMCAST CORPORATION</w:t>
      </w:r>
    </w:p>
    <w:p>
      <w:pPr>
        <w:spacing w:after="0" w:line="2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Table 1</w:t>
      </w:r>
    </w:p>
    <w:p>
      <w:pPr>
        <w:jc w:val="center"/>
        <w:ind w:right="1979"/>
        <w:spacing w:after="0" w:line="238" w:lineRule="auto"/>
        <w:rPr>
          <w:sz w:val="20"/>
          <w:szCs w:val="20"/>
          <w:color w:val="auto"/>
        </w:rPr>
      </w:pPr>
      <w:r>
        <w:rPr>
          <w:rFonts w:ascii="Courier New" w:cs="Courier New" w:eastAsia="Courier New" w:hAnsi="Courier New"/>
          <w:sz w:val="18"/>
          <w:szCs w:val="18"/>
          <w:color w:val="auto"/>
        </w:rPr>
        <w:t>Condensed Consolidated Statement of Operations (Unaudited)</w:t>
      </w:r>
    </w:p>
    <w:p>
      <w:pPr>
        <w:jc w:val="center"/>
        <w:ind w:right="1979"/>
        <w:spacing w:after="0"/>
        <w:rPr>
          <w:sz w:val="20"/>
          <w:szCs w:val="20"/>
          <w:color w:val="auto"/>
        </w:rPr>
      </w:pPr>
      <w:r>
        <w:rPr>
          <w:rFonts w:ascii="Courier New" w:cs="Courier New" w:eastAsia="Courier New" w:hAnsi="Courier New"/>
          <w:sz w:val="18"/>
          <w:szCs w:val="18"/>
          <w:color w:val="auto"/>
        </w:rPr>
        <w:t>(amounts in millions, except per share data)</w:t>
      </w:r>
    </w:p>
    <w:p>
      <w:pPr>
        <w:spacing w:after="0" w:line="168"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3840" w:type="dxa"/>
            <w:vAlign w:val="bottom"/>
          </w:tcPr>
          <w:p>
            <w:pPr>
              <w:spacing w:after="0"/>
              <w:rPr>
                <w:sz w:val="17"/>
                <w:szCs w:val="17"/>
                <w:color w:val="auto"/>
              </w:rPr>
            </w:pPr>
          </w:p>
        </w:tc>
        <w:tc>
          <w:tcPr>
            <w:tcW w:w="16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Three Months</w:t>
            </w:r>
          </w:p>
        </w:tc>
        <w:tc>
          <w:tcPr>
            <w:tcW w:w="18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Nine Months</w:t>
            </w:r>
          </w:p>
        </w:tc>
        <w:tc>
          <w:tcPr>
            <w:tcW w:w="0" w:type="dxa"/>
            <w:vAlign w:val="bottom"/>
          </w:tcPr>
          <w:p>
            <w:pPr>
              <w:spacing w:after="0"/>
              <w:rPr>
                <w:sz w:val="1"/>
                <w:szCs w:val="1"/>
                <w:color w:val="auto"/>
              </w:rPr>
            </w:pPr>
          </w:p>
        </w:tc>
      </w:tr>
      <w:tr>
        <w:trPr>
          <w:trHeight w:val="203"/>
        </w:trPr>
        <w:tc>
          <w:tcPr>
            <w:tcW w:w="3840" w:type="dxa"/>
            <w:vAlign w:val="bottom"/>
          </w:tcPr>
          <w:p>
            <w:pPr>
              <w:spacing w:after="0"/>
              <w:rPr>
                <w:sz w:val="17"/>
                <w:szCs w:val="17"/>
                <w:color w:val="auto"/>
              </w:rPr>
            </w:pPr>
          </w:p>
        </w:tc>
        <w:tc>
          <w:tcPr>
            <w:tcW w:w="168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Ended</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Ended</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tcPr>
          <w:p>
            <w:pPr>
              <w:spacing w:after="0"/>
              <w:rPr>
                <w:sz w:val="17"/>
                <w:szCs w:val="17"/>
                <w:color w:val="auto"/>
              </w:rPr>
            </w:pP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9"/>
              </w:rPr>
              <w:t>September 30,</w:t>
            </w:r>
          </w:p>
        </w:tc>
        <w:tc>
          <w:tcPr>
            <w:tcW w:w="184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September 30,</w:t>
            </w:r>
          </w:p>
        </w:tc>
        <w:tc>
          <w:tcPr>
            <w:tcW w:w="0" w:type="dxa"/>
            <w:vAlign w:val="bottom"/>
          </w:tcPr>
          <w:p>
            <w:pPr>
              <w:spacing w:after="0"/>
              <w:rPr>
                <w:sz w:val="1"/>
                <w:szCs w:val="1"/>
                <w:color w:val="auto"/>
              </w:rPr>
            </w:pPr>
          </w:p>
        </w:tc>
      </w:tr>
      <w:tr>
        <w:trPr>
          <w:trHeight w:val="296"/>
        </w:trPr>
        <w:tc>
          <w:tcPr>
            <w:tcW w:w="3840" w:type="dxa"/>
            <w:vAlign w:val="bottom"/>
          </w:tcPr>
          <w:p>
            <w:pPr>
              <w:spacing w:after="0"/>
              <w:rPr>
                <w:sz w:val="24"/>
                <w:szCs w:val="24"/>
                <w:color w:val="auto"/>
              </w:rPr>
            </w:pPr>
          </w:p>
        </w:tc>
        <w:tc>
          <w:tcPr>
            <w:tcW w:w="8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2004</w:t>
            </w:r>
          </w:p>
        </w:tc>
        <w:tc>
          <w:tcPr>
            <w:tcW w:w="8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2003</w:t>
            </w:r>
          </w:p>
        </w:tc>
        <w:tc>
          <w:tcPr>
            <w:tcW w:w="10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2004</w:t>
            </w:r>
          </w:p>
        </w:tc>
        <w:tc>
          <w:tcPr>
            <w:tcW w:w="8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2003</w:t>
            </w:r>
          </w:p>
        </w:tc>
        <w:tc>
          <w:tcPr>
            <w:tcW w:w="0" w:type="dxa"/>
            <w:vAlign w:val="bottom"/>
          </w:tcPr>
          <w:p>
            <w:pPr>
              <w:spacing w:after="0"/>
              <w:rPr>
                <w:sz w:val="1"/>
                <w:szCs w:val="1"/>
                <w:color w:val="auto"/>
              </w:rPr>
            </w:pPr>
          </w:p>
        </w:tc>
      </w:tr>
      <w:tr>
        <w:trPr>
          <w:trHeight w:val="405"/>
        </w:trPr>
        <w:tc>
          <w:tcPr>
            <w:tcW w:w="384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$5,098</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$4,546</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$15,072</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$13,606</w:t>
            </w:r>
          </w:p>
        </w:tc>
        <w:tc>
          <w:tcPr>
            <w:tcW w:w="0" w:type="dxa"/>
            <w:vAlign w:val="bottom"/>
          </w:tcPr>
          <w:p>
            <w:pPr>
              <w:spacing w:after="0"/>
              <w:rPr>
                <w:sz w:val="1"/>
                <w:szCs w:val="1"/>
                <w:color w:val="auto"/>
              </w:rPr>
            </w:pPr>
          </w:p>
        </w:tc>
      </w:tr>
      <w:tr>
        <w:trPr>
          <w:trHeight w:val="405"/>
        </w:trPr>
        <w:tc>
          <w:tcPr>
            <w:tcW w:w="384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1,837</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1,703</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5,500</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5,267</w:t>
            </w:r>
          </w:p>
        </w:tc>
        <w:tc>
          <w:tcPr>
            <w:tcW w:w="0" w:type="dxa"/>
            <w:vAlign w:val="bottom"/>
          </w:tcPr>
          <w:p>
            <w:pPr>
              <w:spacing w:after="0"/>
              <w:rPr>
                <w:sz w:val="1"/>
                <w:szCs w:val="1"/>
                <w:color w:val="auto"/>
              </w:rPr>
            </w:pPr>
          </w:p>
        </w:tc>
      </w:tr>
      <w:tr>
        <w:trPr>
          <w:trHeight w:val="311"/>
        </w:trPr>
        <w:tc>
          <w:tcPr>
            <w:tcW w:w="3840" w:type="dxa"/>
            <w:vAlign w:val="bottom"/>
          </w:tcPr>
          <w:p>
            <w:pPr>
              <w:spacing w:after="0"/>
              <w:rPr>
                <w:sz w:val="20"/>
                <w:szCs w:val="20"/>
                <w:color w:val="auto"/>
              </w:rPr>
            </w:pPr>
            <w:r>
              <w:rPr>
                <w:rFonts w:ascii="Courier New" w:cs="Courier New" w:eastAsia="Courier New" w:hAnsi="Courier New"/>
                <w:sz w:val="18"/>
                <w:szCs w:val="18"/>
                <w:color w:val="auto"/>
              </w:rPr>
              <w:t>Selling, general and administrative</w:t>
            </w:r>
          </w:p>
        </w:tc>
        <w:tc>
          <w:tcPr>
            <w:tcW w:w="8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1,401</w:t>
            </w:r>
          </w:p>
        </w:tc>
        <w:tc>
          <w:tcPr>
            <w:tcW w:w="8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1,211</w:t>
            </w:r>
          </w:p>
        </w:tc>
        <w:tc>
          <w:tcPr>
            <w:tcW w:w="10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4,027</w:t>
            </w: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3,667</w:t>
            </w:r>
          </w:p>
        </w:tc>
        <w:tc>
          <w:tcPr>
            <w:tcW w:w="0" w:type="dxa"/>
            <w:vAlign w:val="bottom"/>
          </w:tcPr>
          <w:p>
            <w:pPr>
              <w:spacing w:after="0"/>
              <w:rPr>
                <w:sz w:val="1"/>
                <w:szCs w:val="1"/>
                <w:color w:val="auto"/>
              </w:rPr>
            </w:pPr>
          </w:p>
        </w:tc>
      </w:tr>
      <w:tr>
        <w:trPr>
          <w:trHeight w:val="296"/>
        </w:trPr>
        <w:tc>
          <w:tcPr>
            <w:tcW w:w="3840" w:type="dxa"/>
            <w:vAlign w:val="bottom"/>
          </w:tcPr>
          <w:p>
            <w:pPr>
              <w:ind w:left="100"/>
              <w:spacing w:after="0"/>
              <w:rPr>
                <w:sz w:val="20"/>
                <w:szCs w:val="20"/>
                <w:color w:val="auto"/>
              </w:rPr>
            </w:pPr>
            <w:r>
              <w:rPr>
                <w:rFonts w:ascii="Courier New" w:cs="Courier New" w:eastAsia="Courier New" w:hAnsi="Courier New"/>
                <w:sz w:val="18"/>
                <w:szCs w:val="18"/>
                <w:color w:val="auto"/>
              </w:rPr>
              <w:t>expenses</w:t>
            </w:r>
          </w:p>
        </w:tc>
        <w:tc>
          <w:tcPr>
            <w:tcW w:w="840" w:type="dxa"/>
            <w:vAlign w:val="bottom"/>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1000" w:type="dxa"/>
            <w:vAlign w:val="bottom"/>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840" w:type="dxa"/>
            <w:vAlign w:val="bottom"/>
          </w:tcPr>
          <w:p>
            <w:pPr>
              <w:spacing w:after="0"/>
              <w:rPr>
                <w:sz w:val="20"/>
                <w:szCs w:val="20"/>
                <w:color w:val="auto"/>
              </w:rPr>
            </w:pPr>
            <w:r>
              <w:rPr>
                <w:rFonts w:ascii="Courier New" w:cs="Courier New" w:eastAsia="Courier New" w:hAnsi="Courier New"/>
                <w:sz w:val="18"/>
                <w:szCs w:val="18"/>
                <w:color w:val="auto"/>
              </w:rPr>
              <w:t>Operating Cash Flow</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1,860</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1,632</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5,545</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4,672</w:t>
            </w:r>
          </w:p>
        </w:tc>
        <w:tc>
          <w:tcPr>
            <w:tcW w:w="0" w:type="dxa"/>
            <w:vAlign w:val="bottom"/>
          </w:tcPr>
          <w:p>
            <w:pPr>
              <w:spacing w:after="0"/>
              <w:rPr>
                <w:sz w:val="1"/>
                <w:szCs w:val="1"/>
                <w:color w:val="auto"/>
              </w:rPr>
            </w:pPr>
          </w:p>
        </w:tc>
      </w:tr>
      <w:tr>
        <w:trPr>
          <w:trHeight w:val="405"/>
        </w:trPr>
        <w:tc>
          <w:tcPr>
            <w:tcW w:w="3840" w:type="dxa"/>
            <w:vAlign w:val="bottom"/>
          </w:tcPr>
          <w:p>
            <w:pPr>
              <w:spacing w:after="0"/>
              <w:rPr>
                <w:sz w:val="20"/>
                <w:szCs w:val="20"/>
                <w:color w:val="auto"/>
              </w:rPr>
            </w:pPr>
            <w:r>
              <w:rPr>
                <w:rFonts w:ascii="Courier New" w:cs="Courier New" w:eastAsia="Courier New" w:hAnsi="Courier New"/>
                <w:sz w:val="18"/>
                <w:szCs w:val="18"/>
                <w:color w:val="auto"/>
              </w:rPr>
              <w:t>Depreciation</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869</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774</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2,480</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2,370</w:t>
            </w:r>
          </w:p>
        </w:tc>
        <w:tc>
          <w:tcPr>
            <w:tcW w:w="0" w:type="dxa"/>
            <w:vAlign w:val="bottom"/>
          </w:tcPr>
          <w:p>
            <w:pPr>
              <w:spacing w:after="0"/>
              <w:rPr>
                <w:sz w:val="1"/>
                <w:szCs w:val="1"/>
                <w:color w:val="auto"/>
              </w:rPr>
            </w:pPr>
          </w:p>
        </w:tc>
      </w:tr>
      <w:tr>
        <w:trPr>
          <w:trHeight w:val="405"/>
        </w:trPr>
        <w:tc>
          <w:tcPr>
            <w:tcW w:w="3840" w:type="dxa"/>
            <w:vAlign w:val="bottom"/>
          </w:tcPr>
          <w:p>
            <w:pPr>
              <w:spacing w:after="0"/>
              <w:rPr>
                <w:sz w:val="20"/>
                <w:szCs w:val="20"/>
                <w:color w:val="auto"/>
              </w:rPr>
            </w:pPr>
            <w:r>
              <w:rPr>
                <w:rFonts w:ascii="Courier New" w:cs="Courier New" w:eastAsia="Courier New" w:hAnsi="Courier New"/>
                <w:sz w:val="18"/>
                <w:szCs w:val="18"/>
                <w:color w:val="auto"/>
              </w:rPr>
              <w:t>Amortization</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305</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365</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868</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1,090</w:t>
            </w:r>
          </w:p>
        </w:tc>
        <w:tc>
          <w:tcPr>
            <w:tcW w:w="0" w:type="dxa"/>
            <w:vAlign w:val="bottom"/>
          </w:tcPr>
          <w:p>
            <w:pPr>
              <w:spacing w:after="0"/>
              <w:rPr>
                <w:sz w:val="1"/>
                <w:szCs w:val="1"/>
                <w:color w:val="auto"/>
              </w:rPr>
            </w:pPr>
          </w:p>
        </w:tc>
      </w:tr>
      <w:tr>
        <w:trPr>
          <w:trHeight w:val="405"/>
        </w:trPr>
        <w:tc>
          <w:tcPr>
            <w:tcW w:w="384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686</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493</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2,197</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1,212</w:t>
            </w:r>
          </w:p>
        </w:tc>
        <w:tc>
          <w:tcPr>
            <w:tcW w:w="0" w:type="dxa"/>
            <w:vAlign w:val="bottom"/>
          </w:tcPr>
          <w:p>
            <w:pPr>
              <w:spacing w:after="0"/>
              <w:rPr>
                <w:sz w:val="1"/>
                <w:szCs w:val="1"/>
                <w:color w:val="auto"/>
              </w:rPr>
            </w:pPr>
          </w:p>
        </w:tc>
      </w:tr>
      <w:tr>
        <w:trPr>
          <w:trHeight w:val="311"/>
        </w:trPr>
        <w:tc>
          <w:tcPr>
            <w:tcW w:w="3840" w:type="dxa"/>
            <w:vAlign w:val="bottom"/>
          </w:tcPr>
          <w:p>
            <w:pPr>
              <w:spacing w:after="0"/>
              <w:rPr>
                <w:sz w:val="20"/>
                <w:szCs w:val="20"/>
                <w:color w:val="auto"/>
              </w:rPr>
            </w:pPr>
            <w:r>
              <w:rPr>
                <w:rFonts w:ascii="Courier New" w:cs="Courier New" w:eastAsia="Courier New" w:hAnsi="Courier New"/>
                <w:sz w:val="18"/>
                <w:szCs w:val="18"/>
                <w:color w:val="auto"/>
              </w:rPr>
              <w:t>Interest expense</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(435)</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(565)</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(1,419)</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(1,579)</w:t>
            </w:r>
          </w:p>
        </w:tc>
        <w:tc>
          <w:tcPr>
            <w:tcW w:w="0" w:type="dxa"/>
            <w:vAlign w:val="bottom"/>
          </w:tcPr>
          <w:p>
            <w:pPr>
              <w:spacing w:after="0"/>
              <w:rPr>
                <w:sz w:val="1"/>
                <w:szCs w:val="1"/>
                <w:color w:val="auto"/>
              </w:rPr>
            </w:pP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income (loss), net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(178)</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231</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(407)</w:t>
            </w:r>
          </w:p>
        </w:tc>
        <w:tc>
          <w:tcPr>
            <w:tcW w:w="0" w:type="dxa"/>
            <w:vAlign w:val="bottom"/>
          </w:tcPr>
          <w:p>
            <w:pPr>
              <w:spacing w:after="0"/>
              <w:rPr>
                <w:sz w:val="1"/>
                <w:szCs w:val="1"/>
                <w:color w:val="auto"/>
              </w:rPr>
            </w:pP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Equity in net losses of affiliates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w:t>
            </w:r>
          </w:p>
        </w:tc>
        <w:tc>
          <w:tcPr>
            <w:tcW w:w="0" w:type="dxa"/>
            <w:vAlign w:val="bottom"/>
          </w:tcPr>
          <w:p>
            <w:pPr>
              <w:spacing w:after="0"/>
              <w:rPr>
                <w:sz w:val="1"/>
                <w:szCs w:val="1"/>
                <w:color w:val="auto"/>
              </w:rPr>
            </w:pP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82</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w:t>
            </w:r>
          </w:p>
        </w:tc>
        <w:tc>
          <w:tcPr>
            <w:tcW w:w="0" w:type="dxa"/>
            <w:vAlign w:val="bottom"/>
          </w:tcPr>
          <w:p>
            <w:pPr>
              <w:spacing w:after="0"/>
              <w:rPr>
                <w:sz w:val="1"/>
                <w:szCs w:val="1"/>
                <w:color w:val="auto"/>
              </w:rPr>
            </w:pPr>
          </w:p>
        </w:tc>
      </w:tr>
      <w:tr>
        <w:trPr>
          <w:trHeight w:val="296"/>
        </w:trPr>
        <w:tc>
          <w:tcPr>
            <w:tcW w:w="3840" w:type="dxa"/>
            <w:vAlign w:val="bottom"/>
            <w:vMerge w:val="restart"/>
          </w:tcPr>
          <w:p>
            <w:pPr>
              <w:spacing w:after="0"/>
              <w:rPr>
                <w:sz w:val="20"/>
                <w:szCs w:val="20"/>
                <w:color w:val="auto"/>
              </w:rPr>
            </w:pPr>
            <w:r>
              <w:rPr>
                <w:rFonts w:ascii="Courier New" w:cs="Courier New" w:eastAsia="Courier New" w:hAnsi="Courier New"/>
                <w:sz w:val="18"/>
                <w:szCs w:val="18"/>
                <w:color w:val="auto"/>
              </w:rPr>
              <w:t>Income (Loss) from Continuing</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(312)</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(735)</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(1,172)</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(1,959)</w:t>
            </w:r>
          </w:p>
        </w:tc>
        <w:tc>
          <w:tcPr>
            <w:tcW w:w="0" w:type="dxa"/>
            <w:vAlign w:val="bottom"/>
          </w:tcPr>
          <w:p>
            <w:pPr>
              <w:spacing w:after="0"/>
              <w:rPr>
                <w:sz w:val="1"/>
                <w:szCs w:val="1"/>
                <w:color w:val="auto"/>
              </w:rPr>
            </w:pPr>
          </w:p>
        </w:tc>
      </w:tr>
      <w:tr>
        <w:trPr>
          <w:trHeight w:val="109"/>
        </w:trPr>
        <w:tc>
          <w:tcPr>
            <w:tcW w:w="384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Operations before Income</w:t>
            </w:r>
          </w:p>
        </w:tc>
        <w:tc>
          <w:tcPr>
            <w:tcW w:w="8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374</w:t>
            </w: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(242)</w:t>
            </w:r>
          </w:p>
        </w:tc>
        <w:tc>
          <w:tcPr>
            <w:tcW w:w="10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1,025</w:t>
            </w: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(747)</w:t>
            </w:r>
          </w:p>
        </w:tc>
        <w:tc>
          <w:tcPr>
            <w:tcW w:w="0" w:type="dxa"/>
            <w:vAlign w:val="bottom"/>
          </w:tcPr>
          <w:p>
            <w:pPr>
              <w:spacing w:after="0"/>
              <w:rPr>
                <w:sz w:val="1"/>
                <w:szCs w:val="1"/>
                <w:color w:val="auto"/>
              </w:rPr>
            </w:pPr>
          </w:p>
        </w:tc>
      </w:tr>
      <w:tr>
        <w:trPr>
          <w:trHeight w:val="296"/>
        </w:trPr>
        <w:tc>
          <w:tcPr>
            <w:tcW w:w="3840" w:type="dxa"/>
            <w:vAlign w:val="bottom"/>
          </w:tcPr>
          <w:p>
            <w:pPr>
              <w:ind w:left="420"/>
              <w:spacing w:after="0"/>
              <w:rPr>
                <w:sz w:val="20"/>
                <w:szCs w:val="20"/>
                <w:color w:val="auto"/>
              </w:rPr>
            </w:pPr>
            <w:r>
              <w:rPr>
                <w:rFonts w:ascii="Courier New" w:cs="Courier New" w:eastAsia="Courier New" w:hAnsi="Courier New"/>
                <w:sz w:val="18"/>
                <w:szCs w:val="18"/>
                <w:color w:val="auto"/>
              </w:rPr>
              <w:t>Taxes and Minority Interest</w:t>
            </w:r>
          </w:p>
        </w:tc>
        <w:tc>
          <w:tcPr>
            <w:tcW w:w="840" w:type="dxa"/>
            <w:vAlign w:val="bottom"/>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1000" w:type="dxa"/>
            <w:vAlign w:val="bottom"/>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840" w:type="dxa"/>
            <w:vAlign w:val="bottom"/>
          </w:tcPr>
          <w:p>
            <w:pPr>
              <w:spacing w:after="0"/>
              <w:rPr>
                <w:sz w:val="20"/>
                <w:szCs w:val="20"/>
                <w:color w:val="auto"/>
              </w:rPr>
            </w:pPr>
            <w:r>
              <w:rPr>
                <w:rFonts w:ascii="Courier New" w:cs="Courier New" w:eastAsia="Courier New" w:hAnsi="Courier New"/>
                <w:sz w:val="18"/>
                <w:szCs w:val="18"/>
                <w:color w:val="auto"/>
              </w:rPr>
              <w:t>Income tax (expense) benefit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(156)</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103</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(466)</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231</w:t>
            </w:r>
          </w:p>
        </w:tc>
        <w:tc>
          <w:tcPr>
            <w:tcW w:w="0" w:type="dxa"/>
            <w:vAlign w:val="bottom"/>
          </w:tcPr>
          <w:p>
            <w:pPr>
              <w:spacing w:after="0"/>
              <w:rPr>
                <w:sz w:val="1"/>
                <w:szCs w:val="1"/>
                <w:color w:val="auto"/>
              </w:rPr>
            </w:pPr>
          </w:p>
        </w:tc>
      </w:tr>
      <w:tr>
        <w:trPr>
          <w:trHeight w:val="311"/>
        </w:trPr>
        <w:tc>
          <w:tcPr>
            <w:tcW w:w="3840" w:type="dxa"/>
            <w:vAlign w:val="bottom"/>
          </w:tcPr>
          <w:p>
            <w:pPr>
              <w:spacing w:after="0"/>
              <w:rPr>
                <w:sz w:val="20"/>
                <w:szCs w:val="20"/>
                <w:color w:val="auto"/>
              </w:rPr>
            </w:pPr>
            <w:r>
              <w:rPr>
                <w:rFonts w:ascii="Courier New" w:cs="Courier New" w:eastAsia="Courier New" w:hAnsi="Courier New"/>
                <w:sz w:val="18"/>
                <w:szCs w:val="18"/>
                <w:color w:val="auto"/>
              </w:rPr>
              <w:t>Income (Loss) from Continuing</w:t>
            </w: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Operations</w:t>
            </w:r>
          </w:p>
        </w:tc>
        <w:tc>
          <w:tcPr>
            <w:tcW w:w="8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218</w:t>
            </w: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(139)</w:t>
            </w:r>
          </w:p>
        </w:tc>
        <w:tc>
          <w:tcPr>
            <w:tcW w:w="10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559</w:t>
            </w: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(516)</w:t>
            </w:r>
          </w:p>
        </w:tc>
        <w:tc>
          <w:tcPr>
            <w:tcW w:w="0" w:type="dxa"/>
            <w:vAlign w:val="bottom"/>
          </w:tcPr>
          <w:p>
            <w:pPr>
              <w:spacing w:after="0"/>
              <w:rPr>
                <w:sz w:val="1"/>
                <w:szCs w:val="1"/>
                <w:color w:val="auto"/>
              </w:rPr>
            </w:pPr>
          </w:p>
        </w:tc>
      </w:tr>
      <w:tr>
        <w:trPr>
          <w:trHeight w:val="296"/>
        </w:trPr>
        <w:tc>
          <w:tcPr>
            <w:tcW w:w="3840" w:type="dxa"/>
            <w:vAlign w:val="bottom"/>
          </w:tcPr>
          <w:p>
            <w:pPr>
              <w:ind w:left="320"/>
              <w:spacing w:after="0"/>
              <w:rPr>
                <w:sz w:val="20"/>
                <w:szCs w:val="20"/>
                <w:color w:val="auto"/>
              </w:rPr>
            </w:pPr>
            <w:r>
              <w:rPr>
                <w:rFonts w:ascii="Courier New" w:cs="Courier New" w:eastAsia="Courier New" w:hAnsi="Courier New"/>
                <w:sz w:val="18"/>
                <w:szCs w:val="18"/>
                <w:color w:val="auto"/>
              </w:rPr>
              <w:t>Before Minority Interest</w:t>
            </w:r>
          </w:p>
        </w:tc>
        <w:tc>
          <w:tcPr>
            <w:tcW w:w="840" w:type="dxa"/>
            <w:vAlign w:val="bottom"/>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1000" w:type="dxa"/>
            <w:vAlign w:val="bottom"/>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840" w:type="dxa"/>
            <w:vAlign w:val="bottom"/>
          </w:tcPr>
          <w:p>
            <w:pPr>
              <w:spacing w:after="0"/>
              <w:rPr>
                <w:sz w:val="20"/>
                <w:szCs w:val="20"/>
                <w:color w:val="auto"/>
              </w:rPr>
            </w:pPr>
            <w:r>
              <w:rPr>
                <w:rFonts w:ascii="Courier New" w:cs="Courier New" w:eastAsia="Courier New" w:hAnsi="Courier New"/>
                <w:sz w:val="18"/>
                <w:szCs w:val="18"/>
                <w:color w:val="auto"/>
              </w:rPr>
              <w:t>Minority interest (income) expense</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(14)</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(85)</w:t>
            </w:r>
          </w:p>
        </w:tc>
        <w:tc>
          <w:tcPr>
            <w:tcW w:w="0" w:type="dxa"/>
            <w:vAlign w:val="bottom"/>
          </w:tcPr>
          <w:p>
            <w:pPr>
              <w:spacing w:after="0"/>
              <w:rPr>
                <w:sz w:val="1"/>
                <w:szCs w:val="1"/>
                <w:color w:val="auto"/>
              </w:rPr>
            </w:pPr>
          </w:p>
        </w:tc>
      </w:tr>
      <w:tr>
        <w:trPr>
          <w:trHeight w:val="311"/>
        </w:trPr>
        <w:tc>
          <w:tcPr>
            <w:tcW w:w="3840" w:type="dxa"/>
            <w:vAlign w:val="bottom"/>
          </w:tcPr>
          <w:p>
            <w:pPr>
              <w:spacing w:after="0"/>
              <w:rPr>
                <w:sz w:val="20"/>
                <w:szCs w:val="20"/>
                <w:color w:val="auto"/>
              </w:rPr>
            </w:pPr>
            <w:r>
              <w:rPr>
                <w:rFonts w:ascii="Courier New" w:cs="Courier New" w:eastAsia="Courier New" w:hAnsi="Courier New"/>
                <w:sz w:val="18"/>
                <w:szCs w:val="18"/>
                <w:color w:val="auto"/>
              </w:rPr>
              <w:t>Income (Loss) from Continuing</w:t>
            </w:r>
          </w:p>
        </w:tc>
        <w:tc>
          <w:tcPr>
            <w:tcW w:w="8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220</w:t>
            </w: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(153)</w:t>
            </w:r>
          </w:p>
        </w:tc>
        <w:tc>
          <w:tcPr>
            <w:tcW w:w="10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547</w:t>
            </w: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(601)</w:t>
            </w:r>
          </w:p>
        </w:tc>
        <w:tc>
          <w:tcPr>
            <w:tcW w:w="0" w:type="dxa"/>
            <w:vAlign w:val="bottom"/>
          </w:tcPr>
          <w:p>
            <w:pPr>
              <w:spacing w:after="0"/>
              <w:rPr>
                <w:sz w:val="1"/>
                <w:szCs w:val="1"/>
                <w:color w:val="auto"/>
              </w:rPr>
            </w:pPr>
          </w:p>
        </w:tc>
      </w:tr>
      <w:tr>
        <w:trPr>
          <w:trHeight w:val="296"/>
        </w:trPr>
        <w:tc>
          <w:tcPr>
            <w:tcW w:w="3840" w:type="dxa"/>
            <w:vAlign w:val="bottom"/>
          </w:tcPr>
          <w:p>
            <w:pPr>
              <w:ind w:left="100"/>
              <w:spacing w:after="0"/>
              <w:rPr>
                <w:sz w:val="20"/>
                <w:szCs w:val="20"/>
                <w:color w:val="auto"/>
              </w:rPr>
            </w:pPr>
            <w:r>
              <w:rPr>
                <w:rFonts w:ascii="Courier New" w:cs="Courier New" w:eastAsia="Courier New" w:hAnsi="Courier New"/>
                <w:sz w:val="18"/>
                <w:szCs w:val="18"/>
                <w:color w:val="auto"/>
              </w:rPr>
              <w:t>Operations</w:t>
            </w:r>
          </w:p>
        </w:tc>
        <w:tc>
          <w:tcPr>
            <w:tcW w:w="840" w:type="dxa"/>
            <w:vAlign w:val="bottom"/>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1000" w:type="dxa"/>
            <w:vAlign w:val="bottom"/>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840" w:type="dxa"/>
            <w:vAlign w:val="bottom"/>
          </w:tcPr>
          <w:p>
            <w:pPr>
              <w:spacing w:after="0"/>
              <w:rPr>
                <w:sz w:val="20"/>
                <w:szCs w:val="20"/>
                <w:color w:val="auto"/>
              </w:rPr>
            </w:pPr>
            <w:r>
              <w:rPr>
                <w:rFonts w:ascii="Courier New" w:cs="Courier New" w:eastAsia="Courier New" w:hAnsi="Courier New"/>
                <w:sz w:val="18"/>
                <w:szCs w:val="18"/>
                <w:color w:val="auto"/>
                <w:w w:val="98"/>
              </w:rPr>
              <w:t>Income from discontinued operations,</w:t>
            </w:r>
          </w:p>
        </w:tc>
        <w:tc>
          <w:tcPr>
            <w:tcW w:w="8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8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39</w:t>
            </w:r>
          </w:p>
        </w:tc>
        <w:tc>
          <w:tcPr>
            <w:tcW w:w="10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168</w:t>
            </w:r>
          </w:p>
        </w:tc>
        <w:tc>
          <w:tcPr>
            <w:tcW w:w="0" w:type="dxa"/>
            <w:vAlign w:val="bottom"/>
          </w:tcPr>
          <w:p>
            <w:pPr>
              <w:spacing w:after="0"/>
              <w:rPr>
                <w:sz w:val="1"/>
                <w:szCs w:val="1"/>
                <w:color w:val="auto"/>
              </w:rPr>
            </w:pPr>
          </w:p>
        </w:tc>
      </w:tr>
      <w:tr>
        <w:trPr>
          <w:trHeight w:val="203"/>
        </w:trPr>
        <w:tc>
          <w:tcPr>
            <w:tcW w:w="3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net of tax (1)</w:t>
            </w:r>
          </w:p>
        </w:tc>
        <w:tc>
          <w:tcPr>
            <w:tcW w:w="8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Gain on discontinued operations, net</w:t>
            </w:r>
          </w:p>
        </w:tc>
        <w:tc>
          <w:tcPr>
            <w:tcW w:w="8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8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3,290</w:t>
            </w:r>
          </w:p>
        </w:tc>
        <w:tc>
          <w:tcPr>
            <w:tcW w:w="10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3,290</w:t>
            </w:r>
          </w:p>
        </w:tc>
        <w:tc>
          <w:tcPr>
            <w:tcW w:w="0" w:type="dxa"/>
            <w:vAlign w:val="bottom"/>
          </w:tcPr>
          <w:p>
            <w:pPr>
              <w:spacing w:after="0"/>
              <w:rPr>
                <w:sz w:val="1"/>
                <w:szCs w:val="1"/>
                <w:color w:val="auto"/>
              </w:rPr>
            </w:pPr>
          </w:p>
        </w:tc>
      </w:tr>
      <w:tr>
        <w:trPr>
          <w:trHeight w:val="296"/>
        </w:trPr>
        <w:tc>
          <w:tcPr>
            <w:tcW w:w="3840" w:type="dxa"/>
            <w:vAlign w:val="bottom"/>
          </w:tcPr>
          <w:p>
            <w:pPr>
              <w:ind w:left="100"/>
              <w:spacing w:after="0"/>
              <w:rPr>
                <w:sz w:val="20"/>
                <w:szCs w:val="20"/>
                <w:color w:val="auto"/>
              </w:rPr>
            </w:pPr>
            <w:r>
              <w:rPr>
                <w:rFonts w:ascii="Courier New" w:cs="Courier New" w:eastAsia="Courier New" w:hAnsi="Courier New"/>
                <w:sz w:val="18"/>
                <w:szCs w:val="18"/>
                <w:color w:val="auto"/>
              </w:rPr>
              <w:t>of tax (1)</w:t>
            </w:r>
          </w:p>
        </w:tc>
        <w:tc>
          <w:tcPr>
            <w:tcW w:w="840" w:type="dxa"/>
            <w:vAlign w:val="bottom"/>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1000" w:type="dxa"/>
            <w:vAlign w:val="bottom"/>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84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$220</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$3,176</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$547</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$2,857</w:t>
            </w:r>
          </w:p>
        </w:tc>
        <w:tc>
          <w:tcPr>
            <w:tcW w:w="0" w:type="dxa"/>
            <w:vAlign w:val="bottom"/>
          </w:tcPr>
          <w:p>
            <w:pPr>
              <w:spacing w:after="0"/>
              <w:rPr>
                <w:sz w:val="1"/>
                <w:szCs w:val="1"/>
                <w:color w:val="auto"/>
              </w:rPr>
            </w:pPr>
          </w:p>
        </w:tc>
      </w:tr>
      <w:tr>
        <w:trPr>
          <w:trHeight w:val="311"/>
        </w:trPr>
        <w:tc>
          <w:tcPr>
            <w:tcW w:w="3840" w:type="dxa"/>
            <w:vAlign w:val="bottom"/>
          </w:tcPr>
          <w:p>
            <w:pPr>
              <w:spacing w:after="0"/>
              <w:rPr>
                <w:sz w:val="20"/>
                <w:szCs w:val="20"/>
                <w:color w:val="auto"/>
              </w:rPr>
            </w:pPr>
            <w:r>
              <w:rPr>
                <w:rFonts w:ascii="Courier New" w:cs="Courier New" w:eastAsia="Courier New" w:hAnsi="Courier New"/>
                <w:sz w:val="18"/>
                <w:szCs w:val="18"/>
                <w:color w:val="auto"/>
              </w:rPr>
              <w:t>Basic and Diluted earnings (loss)</w:t>
            </w: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3840" w:type="dxa"/>
            <w:vAlign w:val="bottom"/>
          </w:tcPr>
          <w:p>
            <w:pPr>
              <w:ind w:left="100"/>
              <w:spacing w:after="0"/>
              <w:rPr>
                <w:sz w:val="20"/>
                <w:szCs w:val="20"/>
                <w:color w:val="auto"/>
              </w:rPr>
            </w:pPr>
            <w:r>
              <w:rPr>
                <w:rFonts w:ascii="Courier New" w:cs="Courier New" w:eastAsia="Courier New" w:hAnsi="Courier New"/>
                <w:sz w:val="18"/>
                <w:szCs w:val="18"/>
                <w:color w:val="auto"/>
              </w:rPr>
              <w:t>per common share</w:t>
            </w: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840" w:type="dxa"/>
            <w:vAlign w:val="bottom"/>
          </w:tcPr>
          <w:p>
            <w:pPr>
              <w:ind w:left="320"/>
              <w:spacing w:after="0"/>
              <w:rPr>
                <w:sz w:val="20"/>
                <w:szCs w:val="20"/>
                <w:color w:val="auto"/>
              </w:rPr>
            </w:pPr>
            <w:r>
              <w:rPr>
                <w:rFonts w:ascii="Courier New" w:cs="Courier New" w:eastAsia="Courier New" w:hAnsi="Courier New"/>
                <w:sz w:val="18"/>
                <w:szCs w:val="18"/>
                <w:color w:val="auto"/>
              </w:rPr>
              <w:t>Income (loss) from continuing</w:t>
            </w:r>
          </w:p>
        </w:tc>
        <w:tc>
          <w:tcPr>
            <w:tcW w:w="8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$0.10</w:t>
            </w: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($0.07)</w:t>
            </w:r>
          </w:p>
        </w:tc>
        <w:tc>
          <w:tcPr>
            <w:tcW w:w="10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$0.24</w:t>
            </w: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($0.27)</w:t>
            </w:r>
          </w:p>
        </w:tc>
        <w:tc>
          <w:tcPr>
            <w:tcW w:w="0" w:type="dxa"/>
            <w:vAlign w:val="bottom"/>
          </w:tcPr>
          <w:p>
            <w:pPr>
              <w:spacing w:after="0"/>
              <w:rPr>
                <w:sz w:val="1"/>
                <w:szCs w:val="1"/>
                <w:color w:val="auto"/>
              </w:rPr>
            </w:pPr>
          </w:p>
        </w:tc>
      </w:tr>
      <w:tr>
        <w:trPr>
          <w:trHeight w:val="296"/>
        </w:trPr>
        <w:tc>
          <w:tcPr>
            <w:tcW w:w="3840" w:type="dxa"/>
            <w:vAlign w:val="bottom"/>
          </w:tcPr>
          <w:p>
            <w:pPr>
              <w:ind w:left="420"/>
              <w:spacing w:after="0"/>
              <w:rPr>
                <w:sz w:val="20"/>
                <w:szCs w:val="20"/>
                <w:color w:val="auto"/>
              </w:rPr>
            </w:pPr>
            <w:r>
              <w:rPr>
                <w:rFonts w:ascii="Courier New" w:cs="Courier New" w:eastAsia="Courier New" w:hAnsi="Courier New"/>
                <w:sz w:val="18"/>
                <w:szCs w:val="18"/>
                <w:color w:val="auto"/>
              </w:rPr>
              <w:t>operations</w:t>
            </w:r>
          </w:p>
        </w:tc>
        <w:tc>
          <w:tcPr>
            <w:tcW w:w="840" w:type="dxa"/>
            <w:vAlign w:val="bottom"/>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1000" w:type="dxa"/>
            <w:vAlign w:val="bottom"/>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840" w:type="dxa"/>
            <w:vAlign w:val="bottom"/>
          </w:tcPr>
          <w:p>
            <w:pPr>
              <w:ind w:left="320"/>
              <w:spacing w:after="0"/>
              <w:rPr>
                <w:sz w:val="20"/>
                <w:szCs w:val="20"/>
                <w:color w:val="auto"/>
              </w:rPr>
            </w:pPr>
            <w:r>
              <w:rPr>
                <w:rFonts w:ascii="Courier New" w:cs="Courier New" w:eastAsia="Courier New" w:hAnsi="Courier New"/>
                <w:sz w:val="18"/>
                <w:szCs w:val="18"/>
                <w:color w:val="auto"/>
              </w:rPr>
              <w:t>Income from discontinued</w:t>
            </w:r>
          </w:p>
        </w:tc>
        <w:tc>
          <w:tcPr>
            <w:tcW w:w="8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8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0.02</w:t>
            </w:r>
          </w:p>
        </w:tc>
        <w:tc>
          <w:tcPr>
            <w:tcW w:w="10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0.08</w:t>
            </w:r>
          </w:p>
        </w:tc>
        <w:tc>
          <w:tcPr>
            <w:tcW w:w="0" w:type="dxa"/>
            <w:vAlign w:val="bottom"/>
          </w:tcPr>
          <w:p>
            <w:pPr>
              <w:spacing w:after="0"/>
              <w:rPr>
                <w:sz w:val="1"/>
                <w:szCs w:val="1"/>
                <w:color w:val="auto"/>
              </w:rPr>
            </w:pPr>
          </w:p>
        </w:tc>
      </w:tr>
      <w:tr>
        <w:trPr>
          <w:trHeight w:val="296"/>
        </w:trPr>
        <w:tc>
          <w:tcPr>
            <w:tcW w:w="3840" w:type="dxa"/>
            <w:vAlign w:val="bottom"/>
          </w:tcPr>
          <w:p>
            <w:pPr>
              <w:ind w:left="420"/>
              <w:spacing w:after="0"/>
              <w:rPr>
                <w:sz w:val="20"/>
                <w:szCs w:val="20"/>
                <w:color w:val="auto"/>
              </w:rPr>
            </w:pPr>
            <w:r>
              <w:rPr>
                <w:rFonts w:ascii="Courier New" w:cs="Courier New" w:eastAsia="Courier New" w:hAnsi="Courier New"/>
                <w:sz w:val="18"/>
                <w:szCs w:val="18"/>
                <w:color w:val="auto"/>
              </w:rPr>
              <w:t>operations</w:t>
            </w:r>
          </w:p>
        </w:tc>
        <w:tc>
          <w:tcPr>
            <w:tcW w:w="840" w:type="dxa"/>
            <w:vAlign w:val="bottom"/>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1000" w:type="dxa"/>
            <w:vAlign w:val="bottom"/>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840" w:type="dxa"/>
            <w:vAlign w:val="bottom"/>
          </w:tcPr>
          <w:p>
            <w:pPr>
              <w:ind w:left="320"/>
              <w:spacing w:after="0"/>
              <w:rPr>
                <w:sz w:val="20"/>
                <w:szCs w:val="20"/>
                <w:color w:val="auto"/>
              </w:rPr>
            </w:pPr>
            <w:r>
              <w:rPr>
                <w:rFonts w:ascii="Courier New" w:cs="Courier New" w:eastAsia="Courier New" w:hAnsi="Courier New"/>
                <w:sz w:val="18"/>
                <w:szCs w:val="18"/>
                <w:color w:val="auto"/>
              </w:rPr>
              <w:t>Gain on discontinued operations</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1.46</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1.46</w:t>
            </w:r>
          </w:p>
        </w:tc>
        <w:tc>
          <w:tcPr>
            <w:tcW w:w="0" w:type="dxa"/>
            <w:vAlign w:val="bottom"/>
          </w:tcPr>
          <w:p>
            <w:pPr>
              <w:spacing w:after="0"/>
              <w:rPr>
                <w:sz w:val="1"/>
                <w:szCs w:val="1"/>
                <w:color w:val="auto"/>
              </w:rPr>
            </w:pPr>
          </w:p>
        </w:tc>
      </w:tr>
      <w:tr>
        <w:trPr>
          <w:trHeight w:val="405"/>
        </w:trPr>
        <w:tc>
          <w:tcPr>
            <w:tcW w:w="3840" w:type="dxa"/>
            <w:vAlign w:val="bottom"/>
          </w:tcPr>
          <w:p>
            <w:pPr>
              <w:ind w:left="320"/>
              <w:spacing w:after="0"/>
              <w:rPr>
                <w:sz w:val="20"/>
                <w:szCs w:val="20"/>
                <w:color w:val="auto"/>
              </w:rPr>
            </w:pPr>
            <w:r>
              <w:rPr>
                <w:rFonts w:ascii="Courier New" w:cs="Courier New" w:eastAsia="Courier New" w:hAnsi="Courier New"/>
                <w:sz w:val="18"/>
                <w:szCs w:val="18"/>
                <w:color w:val="auto"/>
              </w:rPr>
              <w:t>Net Income per common share</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$0.10</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$1.41</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$0.24</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$1.27</w:t>
            </w:r>
          </w:p>
        </w:tc>
        <w:tc>
          <w:tcPr>
            <w:tcW w:w="0" w:type="dxa"/>
            <w:vAlign w:val="bottom"/>
          </w:tcPr>
          <w:p>
            <w:pPr>
              <w:spacing w:after="0"/>
              <w:rPr>
                <w:sz w:val="1"/>
                <w:szCs w:val="1"/>
                <w:color w:val="auto"/>
              </w:rPr>
            </w:pPr>
          </w:p>
        </w:tc>
      </w:tr>
      <w:tr>
        <w:trPr>
          <w:trHeight w:val="311"/>
        </w:trPr>
        <w:tc>
          <w:tcPr>
            <w:tcW w:w="3840" w:type="dxa"/>
            <w:vAlign w:val="bottom"/>
          </w:tcPr>
          <w:p>
            <w:pPr>
              <w:spacing w:after="0"/>
              <w:rPr>
                <w:sz w:val="20"/>
                <w:szCs w:val="20"/>
                <w:color w:val="auto"/>
              </w:rPr>
            </w:pPr>
            <w:r>
              <w:rPr>
                <w:rFonts w:ascii="Courier New" w:cs="Courier New" w:eastAsia="Courier New" w:hAnsi="Courier New"/>
                <w:sz w:val="18"/>
                <w:szCs w:val="18"/>
                <w:color w:val="auto"/>
              </w:rPr>
              <w:t>Basic weighted average number of</w:t>
            </w:r>
          </w:p>
        </w:tc>
        <w:tc>
          <w:tcPr>
            <w:tcW w:w="8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2,234</w:t>
            </w:r>
          </w:p>
        </w:tc>
        <w:tc>
          <w:tcPr>
            <w:tcW w:w="8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2,257</w:t>
            </w:r>
          </w:p>
        </w:tc>
        <w:tc>
          <w:tcPr>
            <w:tcW w:w="10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2,249</w:t>
            </w: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2,256</w:t>
            </w:r>
          </w:p>
        </w:tc>
        <w:tc>
          <w:tcPr>
            <w:tcW w:w="0" w:type="dxa"/>
            <w:vAlign w:val="bottom"/>
          </w:tcPr>
          <w:p>
            <w:pPr>
              <w:spacing w:after="0"/>
              <w:rPr>
                <w:sz w:val="1"/>
                <w:szCs w:val="1"/>
                <w:color w:val="auto"/>
              </w:rPr>
            </w:pPr>
          </w:p>
        </w:tc>
      </w:tr>
      <w:tr>
        <w:trPr>
          <w:trHeight w:val="296"/>
        </w:trPr>
        <w:tc>
          <w:tcPr>
            <w:tcW w:w="3840" w:type="dxa"/>
            <w:vAlign w:val="bottom"/>
          </w:tcPr>
          <w:p>
            <w:pPr>
              <w:ind w:left="100"/>
              <w:spacing w:after="0"/>
              <w:rPr>
                <w:sz w:val="20"/>
                <w:szCs w:val="20"/>
                <w:color w:val="auto"/>
              </w:rPr>
            </w:pPr>
            <w:r>
              <w:rPr>
                <w:rFonts w:ascii="Courier New" w:cs="Courier New" w:eastAsia="Courier New" w:hAnsi="Courier New"/>
                <w:sz w:val="18"/>
                <w:szCs w:val="18"/>
                <w:color w:val="auto"/>
              </w:rPr>
              <w:t>common shares outstanding</w:t>
            </w:r>
          </w:p>
        </w:tc>
        <w:tc>
          <w:tcPr>
            <w:tcW w:w="840" w:type="dxa"/>
            <w:vAlign w:val="bottom"/>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1000" w:type="dxa"/>
            <w:vAlign w:val="bottom"/>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0" w:right="1440" w:bottom="0" w:gutter="0" w:footer="0" w:header="0"/>
        </w:sectPr>
      </w:pPr>
    </w:p>
    <w:bookmarkStart w:id="6" w:name="page7"/>
    <w:bookmarkEnd w:id="6"/>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780" w:type="dxa"/>
            <w:vAlign w:val="bottom"/>
          </w:tcPr>
          <w:p>
            <w:pPr>
              <w:jc w:val="right"/>
              <w:spacing w:after="0"/>
              <w:rPr>
                <w:sz w:val="20"/>
                <w:szCs w:val="20"/>
                <w:color w:val="auto"/>
              </w:rPr>
            </w:pPr>
            <w:r>
              <w:rPr>
                <w:rFonts w:ascii="Courier New" w:cs="Courier New" w:eastAsia="Courier New" w:hAnsi="Courier New"/>
                <w:sz w:val="18"/>
                <w:szCs w:val="18"/>
                <w:color w:val="auto"/>
                <w:w w:val="95"/>
              </w:rPr>
              <w:t>Diluted</w:t>
            </w:r>
          </w:p>
        </w:tc>
        <w:tc>
          <w:tcPr>
            <w:tcW w:w="3000" w:type="dxa"/>
            <w:vAlign w:val="bottom"/>
          </w:tcPr>
          <w:p>
            <w:pPr>
              <w:ind w:left="60"/>
              <w:spacing w:after="0"/>
              <w:rPr>
                <w:sz w:val="20"/>
                <w:szCs w:val="20"/>
                <w:color w:val="auto"/>
              </w:rPr>
            </w:pPr>
            <w:r>
              <w:rPr>
                <w:rFonts w:ascii="Courier New" w:cs="Courier New" w:eastAsia="Courier New" w:hAnsi="Courier New"/>
                <w:sz w:val="18"/>
                <w:szCs w:val="18"/>
                <w:color w:val="auto"/>
              </w:rPr>
              <w:t>weighted average number of</w:t>
            </w:r>
          </w:p>
        </w:tc>
        <w:tc>
          <w:tcPr>
            <w:tcW w:w="18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2,243   2,257</w:t>
            </w:r>
          </w:p>
        </w:tc>
        <w:tc>
          <w:tcPr>
            <w:tcW w:w="94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2,259</w:t>
            </w: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2,256</w:t>
            </w:r>
          </w:p>
        </w:tc>
        <w:tc>
          <w:tcPr>
            <w:tcW w:w="0" w:type="dxa"/>
            <w:vAlign w:val="bottom"/>
          </w:tcPr>
          <w:p>
            <w:pPr>
              <w:spacing w:after="0"/>
              <w:rPr>
                <w:sz w:val="1"/>
                <w:szCs w:val="1"/>
                <w:color w:val="auto"/>
              </w:rPr>
            </w:pPr>
          </w:p>
        </w:tc>
      </w:tr>
      <w:tr>
        <w:trPr>
          <w:trHeight w:val="296"/>
        </w:trPr>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common</w:t>
            </w:r>
          </w:p>
        </w:tc>
        <w:tc>
          <w:tcPr>
            <w:tcW w:w="3000" w:type="dxa"/>
            <w:vAlign w:val="bottom"/>
          </w:tcPr>
          <w:p>
            <w:pPr>
              <w:ind w:left="60"/>
              <w:spacing w:after="0"/>
              <w:rPr>
                <w:sz w:val="20"/>
                <w:szCs w:val="20"/>
                <w:color w:val="auto"/>
              </w:rPr>
            </w:pPr>
            <w:r>
              <w:rPr>
                <w:rFonts w:ascii="Courier New" w:cs="Courier New" w:eastAsia="Courier New" w:hAnsi="Courier New"/>
                <w:sz w:val="18"/>
                <w:szCs w:val="18"/>
                <w:color w:val="auto"/>
              </w:rPr>
              <w:t>shares outstanding</w:t>
            </w:r>
          </w:p>
        </w:tc>
        <w:tc>
          <w:tcPr>
            <w:tcW w:w="1800" w:type="dxa"/>
            <w:vAlign w:val="bottom"/>
            <w:vMerge w:val="continue"/>
          </w:tcPr>
          <w:p>
            <w:pPr>
              <w:spacing w:after="0"/>
              <w:rPr>
                <w:sz w:val="24"/>
                <w:szCs w:val="24"/>
                <w:color w:val="auto"/>
              </w:rPr>
            </w:pPr>
          </w:p>
        </w:tc>
        <w:tc>
          <w:tcPr>
            <w:tcW w:w="940" w:type="dxa"/>
            <w:vAlign w:val="bottom"/>
            <w:vMerge w:val="continue"/>
          </w:tcPr>
          <w:p>
            <w:pPr>
              <w:spacing w:after="0"/>
              <w:rPr>
                <w:sz w:val="24"/>
                <w:szCs w:val="24"/>
                <w:color w:val="auto"/>
              </w:rPr>
            </w:pPr>
          </w:p>
        </w:tc>
        <w:tc>
          <w:tcPr>
            <w:tcW w:w="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440" w:right="2099" w:hanging="431"/>
        <w:spacing w:after="0" w:line="292" w:lineRule="auto"/>
        <w:tabs>
          <w:tab w:leader="none" w:pos="4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September 17, 2003, the Company completed the sale of its approximate 57% interest in QVC, Inc. Accordingly, the results of QVC have been presented as discontinued operations.</w:t>
      </w:r>
    </w:p>
    <w:p>
      <w:pPr>
        <w:spacing w:after="0" w:line="66"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COMCAST CORPORATION</w:t>
      </w:r>
    </w:p>
    <w:p>
      <w:pPr>
        <w:spacing w:after="0" w:line="29"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TABLE 2</w:t>
      </w:r>
    </w:p>
    <w:p>
      <w:pPr>
        <w:jc w:val="center"/>
        <w:ind w:right="2199"/>
        <w:spacing w:after="0" w:line="238" w:lineRule="auto"/>
        <w:rPr>
          <w:sz w:val="20"/>
          <w:szCs w:val="20"/>
          <w:color w:val="auto"/>
        </w:rPr>
      </w:pPr>
      <w:r>
        <w:rPr>
          <w:rFonts w:ascii="Courier New" w:cs="Courier New" w:eastAsia="Courier New" w:hAnsi="Courier New"/>
          <w:sz w:val="18"/>
          <w:szCs w:val="18"/>
          <w:color w:val="auto"/>
        </w:rPr>
        <w:t>Condensed Consolidated Balance Sheet (Unaudited)</w:t>
      </w:r>
    </w:p>
    <w:p>
      <w:pPr>
        <w:jc w:val="center"/>
        <w:ind w:right="2099"/>
        <w:spacing w:after="0"/>
        <w:rPr>
          <w:sz w:val="20"/>
          <w:szCs w:val="20"/>
          <w:color w:val="auto"/>
        </w:rPr>
      </w:pPr>
      <w:r>
        <w:rPr>
          <w:rFonts w:ascii="Courier New" w:cs="Courier New" w:eastAsia="Courier New" w:hAnsi="Courier New"/>
          <w:sz w:val="18"/>
          <w:szCs w:val="18"/>
          <w:color w:val="auto"/>
        </w:rPr>
        <w:t>(dollars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17"/>
                <w:szCs w:val="17"/>
                <w:color w:val="auto"/>
              </w:rPr>
            </w:pPr>
          </w:p>
        </w:tc>
        <w:tc>
          <w:tcPr>
            <w:tcW w:w="1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September 30,</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December 31,</w:t>
            </w:r>
          </w:p>
        </w:tc>
        <w:tc>
          <w:tcPr>
            <w:tcW w:w="0" w:type="dxa"/>
            <w:vAlign w:val="bottom"/>
          </w:tcPr>
          <w:p>
            <w:pPr>
              <w:spacing w:after="0"/>
              <w:rPr>
                <w:sz w:val="1"/>
                <w:szCs w:val="1"/>
                <w:color w:val="auto"/>
              </w:rPr>
            </w:pPr>
          </w:p>
        </w:tc>
      </w:tr>
      <w:tr>
        <w:trPr>
          <w:trHeight w:val="296"/>
        </w:trPr>
        <w:tc>
          <w:tcPr>
            <w:tcW w:w="4380" w:type="dxa"/>
            <w:vAlign w:val="bottom"/>
          </w:tcPr>
          <w:p>
            <w:pPr>
              <w:spacing w:after="0"/>
              <w:rPr>
                <w:sz w:val="24"/>
                <w:szCs w:val="24"/>
                <w:color w:val="auto"/>
              </w:rPr>
            </w:pPr>
          </w:p>
        </w:tc>
        <w:tc>
          <w:tcPr>
            <w:tcW w:w="194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2004</w:t>
            </w:r>
          </w:p>
        </w:tc>
        <w:tc>
          <w:tcPr>
            <w:tcW w:w="13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2003</w:t>
            </w:r>
          </w:p>
        </w:tc>
        <w:tc>
          <w:tcPr>
            <w:tcW w:w="0" w:type="dxa"/>
            <w:vAlign w:val="bottom"/>
          </w:tcPr>
          <w:p>
            <w:pPr>
              <w:spacing w:after="0"/>
              <w:rPr>
                <w:sz w:val="1"/>
                <w:szCs w:val="1"/>
                <w:color w:val="auto"/>
              </w:rPr>
            </w:pP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380" w:type="dxa"/>
            <w:vAlign w:val="bottom"/>
          </w:tcPr>
          <w:p>
            <w:pPr>
              <w:ind w:left="220"/>
              <w:spacing w:after="0"/>
              <w:rPr>
                <w:sz w:val="20"/>
                <w:szCs w:val="20"/>
                <w:color w:val="auto"/>
              </w:rPr>
            </w:pPr>
            <w:r>
              <w:rPr>
                <w:rFonts w:ascii="Courier New" w:cs="Courier New" w:eastAsia="Courier New" w:hAnsi="Courier New"/>
                <w:sz w:val="18"/>
                <w:szCs w:val="18"/>
                <w:color w:val="auto"/>
              </w:rPr>
              <w:t>CURRENT ASSETS</w:t>
            </w:r>
          </w:p>
        </w:tc>
        <w:tc>
          <w:tcPr>
            <w:tcW w:w="1940" w:type="dxa"/>
            <w:vAlign w:val="bottom"/>
            <w:vMerge w:val="restart"/>
          </w:tcPr>
          <w:p>
            <w:pPr>
              <w:jc w:val="right"/>
              <w:ind w:right="532"/>
              <w:spacing w:after="0"/>
              <w:rPr>
                <w:sz w:val="20"/>
                <w:szCs w:val="20"/>
                <w:color w:val="auto"/>
              </w:rPr>
            </w:pPr>
            <w:r>
              <w:rPr>
                <w:rFonts w:ascii="Courier New" w:cs="Courier New" w:eastAsia="Courier New" w:hAnsi="Courier New"/>
                <w:sz w:val="18"/>
                <w:szCs w:val="18"/>
                <w:color w:val="auto"/>
              </w:rPr>
              <w:t>$717</w:t>
            </w:r>
          </w:p>
        </w:tc>
        <w:tc>
          <w:tcPr>
            <w:tcW w:w="13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$1,550</w:t>
            </w:r>
          </w:p>
        </w:tc>
        <w:tc>
          <w:tcPr>
            <w:tcW w:w="0" w:type="dxa"/>
            <w:vAlign w:val="bottom"/>
          </w:tcPr>
          <w:p>
            <w:pPr>
              <w:spacing w:after="0"/>
              <w:rPr>
                <w:sz w:val="1"/>
                <w:szCs w:val="1"/>
                <w:color w:val="auto"/>
              </w:rPr>
            </w:pPr>
          </w:p>
        </w:tc>
      </w:tr>
      <w:tr>
        <w:trPr>
          <w:trHeight w:val="203"/>
        </w:trPr>
        <w:tc>
          <w:tcPr>
            <w:tcW w:w="4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94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Investments</w:t>
            </w:r>
          </w:p>
        </w:tc>
        <w:tc>
          <w:tcPr>
            <w:tcW w:w="19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2,256</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2,493</w:t>
            </w:r>
          </w:p>
        </w:tc>
        <w:tc>
          <w:tcPr>
            <w:tcW w:w="0" w:type="dxa"/>
            <w:vAlign w:val="bottom"/>
          </w:tcPr>
          <w:p>
            <w:pPr>
              <w:spacing w:after="0"/>
              <w:rPr>
                <w:sz w:val="1"/>
                <w:szCs w:val="1"/>
                <w:color w:val="auto"/>
              </w:rPr>
            </w:pPr>
          </w:p>
        </w:tc>
      </w:tr>
      <w:tr>
        <w:trPr>
          <w:trHeight w:val="203"/>
        </w:trPr>
        <w:tc>
          <w:tcPr>
            <w:tcW w:w="4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19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940</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907</w:t>
            </w:r>
          </w:p>
        </w:tc>
        <w:tc>
          <w:tcPr>
            <w:tcW w:w="0" w:type="dxa"/>
            <w:vAlign w:val="bottom"/>
          </w:tcPr>
          <w:p>
            <w:pPr>
              <w:spacing w:after="0"/>
              <w:rPr>
                <w:sz w:val="1"/>
                <w:szCs w:val="1"/>
                <w:color w:val="auto"/>
              </w:rPr>
            </w:pPr>
          </w:p>
        </w:tc>
      </w:tr>
      <w:tr>
        <w:trPr>
          <w:trHeight w:val="203"/>
        </w:trPr>
        <w:tc>
          <w:tcPr>
            <w:tcW w:w="4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19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469</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453</w:t>
            </w:r>
          </w:p>
        </w:tc>
        <w:tc>
          <w:tcPr>
            <w:tcW w:w="0" w:type="dxa"/>
            <w:vAlign w:val="bottom"/>
          </w:tcPr>
          <w:p>
            <w:pPr>
              <w:spacing w:after="0"/>
              <w:rPr>
                <w:sz w:val="1"/>
                <w:szCs w:val="1"/>
                <w:color w:val="auto"/>
              </w:rPr>
            </w:pPr>
          </w:p>
        </w:tc>
      </w:tr>
      <w:tr>
        <w:trPr>
          <w:trHeight w:val="296"/>
        </w:trPr>
        <w:tc>
          <w:tcPr>
            <w:tcW w:w="4380" w:type="dxa"/>
            <w:vAlign w:val="bottom"/>
          </w:tcPr>
          <w:p>
            <w:pPr>
              <w:ind w:left="1280"/>
              <w:spacing w:after="0"/>
              <w:rPr>
                <w:sz w:val="20"/>
                <w:szCs w:val="20"/>
                <w:color w:val="auto"/>
              </w:rPr>
            </w:pPr>
            <w:r>
              <w:rPr>
                <w:rFonts w:ascii="Courier New" w:cs="Courier New" w:eastAsia="Courier New" w:hAnsi="Courier New"/>
                <w:sz w:val="18"/>
                <w:szCs w:val="18"/>
                <w:color w:val="auto"/>
              </w:rPr>
              <w:t>Total current assets</w:t>
            </w:r>
          </w:p>
        </w:tc>
        <w:tc>
          <w:tcPr>
            <w:tcW w:w="194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4,382</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5,403</w:t>
            </w:r>
          </w:p>
        </w:tc>
        <w:tc>
          <w:tcPr>
            <w:tcW w:w="0" w:type="dxa"/>
            <w:vAlign w:val="bottom"/>
          </w:tcPr>
          <w:p>
            <w:pPr>
              <w:spacing w:after="0"/>
              <w:rPr>
                <w:sz w:val="1"/>
                <w:szCs w:val="1"/>
                <w:color w:val="auto"/>
              </w:rPr>
            </w:pPr>
          </w:p>
        </w:tc>
      </w:tr>
      <w:tr>
        <w:trPr>
          <w:trHeight w:val="405"/>
        </w:trPr>
        <w:tc>
          <w:tcPr>
            <w:tcW w:w="4380" w:type="dxa"/>
            <w:vAlign w:val="bottom"/>
          </w:tcPr>
          <w:p>
            <w:pPr>
              <w:ind w:left="220"/>
              <w:spacing w:after="0"/>
              <w:rPr>
                <w:sz w:val="20"/>
                <w:szCs w:val="20"/>
                <w:color w:val="auto"/>
              </w:rPr>
            </w:pPr>
            <w:r>
              <w:rPr>
                <w:rFonts w:ascii="Courier New" w:cs="Courier New" w:eastAsia="Courier New" w:hAnsi="Courier New"/>
                <w:sz w:val="18"/>
                <w:szCs w:val="18"/>
                <w:color w:val="auto"/>
              </w:rPr>
              <w:t>INVESTMENTS</w:t>
            </w:r>
          </w:p>
        </w:tc>
        <w:tc>
          <w:tcPr>
            <w:tcW w:w="194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13,096</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14,818</w:t>
            </w:r>
          </w:p>
        </w:tc>
        <w:tc>
          <w:tcPr>
            <w:tcW w:w="0" w:type="dxa"/>
            <w:vAlign w:val="bottom"/>
          </w:tcPr>
          <w:p>
            <w:pPr>
              <w:spacing w:after="0"/>
              <w:rPr>
                <w:sz w:val="1"/>
                <w:szCs w:val="1"/>
                <w:color w:val="auto"/>
              </w:rPr>
            </w:pPr>
          </w:p>
        </w:tc>
      </w:tr>
      <w:tr>
        <w:trPr>
          <w:trHeight w:val="405"/>
        </w:trPr>
        <w:tc>
          <w:tcPr>
            <w:tcW w:w="4380" w:type="dxa"/>
            <w:vAlign w:val="bottom"/>
          </w:tcPr>
          <w:p>
            <w:pPr>
              <w:ind w:left="220"/>
              <w:spacing w:after="0"/>
              <w:rPr>
                <w:sz w:val="20"/>
                <w:szCs w:val="20"/>
                <w:color w:val="auto"/>
              </w:rPr>
            </w:pPr>
            <w:r>
              <w:rPr>
                <w:rFonts w:ascii="Courier New" w:cs="Courier New" w:eastAsia="Courier New" w:hAnsi="Courier New"/>
                <w:sz w:val="18"/>
                <w:szCs w:val="18"/>
                <w:color w:val="auto"/>
              </w:rPr>
              <w:t>PROPERTY AND EQUIPMENT, NET</w:t>
            </w:r>
          </w:p>
        </w:tc>
        <w:tc>
          <w:tcPr>
            <w:tcW w:w="194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18,656</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18,473</w:t>
            </w:r>
          </w:p>
        </w:tc>
        <w:tc>
          <w:tcPr>
            <w:tcW w:w="0" w:type="dxa"/>
            <w:vAlign w:val="bottom"/>
          </w:tcPr>
          <w:p>
            <w:pPr>
              <w:spacing w:after="0"/>
              <w:rPr>
                <w:sz w:val="1"/>
                <w:szCs w:val="1"/>
                <w:color w:val="auto"/>
              </w:rPr>
            </w:pPr>
          </w:p>
        </w:tc>
      </w:tr>
      <w:tr>
        <w:trPr>
          <w:trHeight w:val="405"/>
        </w:trPr>
        <w:tc>
          <w:tcPr>
            <w:tcW w:w="4380" w:type="dxa"/>
            <w:vAlign w:val="bottom"/>
          </w:tcPr>
          <w:p>
            <w:pPr>
              <w:ind w:left="220"/>
              <w:spacing w:after="0"/>
              <w:rPr>
                <w:sz w:val="20"/>
                <w:szCs w:val="20"/>
                <w:color w:val="auto"/>
              </w:rPr>
            </w:pPr>
            <w:r>
              <w:rPr>
                <w:rFonts w:ascii="Courier New" w:cs="Courier New" w:eastAsia="Courier New" w:hAnsi="Courier New"/>
                <w:sz w:val="18"/>
                <w:szCs w:val="18"/>
                <w:color w:val="auto"/>
              </w:rPr>
              <w:t>FRANCHISE RIGHTS</w:t>
            </w:r>
          </w:p>
        </w:tc>
        <w:tc>
          <w:tcPr>
            <w:tcW w:w="194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51,071</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51,050</w:t>
            </w:r>
          </w:p>
        </w:tc>
        <w:tc>
          <w:tcPr>
            <w:tcW w:w="0" w:type="dxa"/>
            <w:vAlign w:val="bottom"/>
          </w:tcPr>
          <w:p>
            <w:pPr>
              <w:spacing w:after="0"/>
              <w:rPr>
                <w:sz w:val="1"/>
                <w:szCs w:val="1"/>
                <w:color w:val="auto"/>
              </w:rPr>
            </w:pPr>
          </w:p>
        </w:tc>
      </w:tr>
      <w:tr>
        <w:trPr>
          <w:trHeight w:val="405"/>
        </w:trPr>
        <w:tc>
          <w:tcPr>
            <w:tcW w:w="4380" w:type="dxa"/>
            <w:vAlign w:val="bottom"/>
          </w:tcPr>
          <w:p>
            <w:pPr>
              <w:ind w:left="220"/>
              <w:spacing w:after="0"/>
              <w:rPr>
                <w:sz w:val="20"/>
                <w:szCs w:val="20"/>
                <w:color w:val="auto"/>
              </w:rPr>
            </w:pPr>
            <w:r>
              <w:rPr>
                <w:rFonts w:ascii="Courier New" w:cs="Courier New" w:eastAsia="Courier New" w:hAnsi="Courier New"/>
                <w:sz w:val="18"/>
                <w:szCs w:val="18"/>
                <w:color w:val="auto"/>
              </w:rPr>
              <w:t>GOODWILL</w:t>
            </w:r>
          </w:p>
        </w:tc>
        <w:tc>
          <w:tcPr>
            <w:tcW w:w="194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14,334</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14,841</w:t>
            </w:r>
          </w:p>
        </w:tc>
        <w:tc>
          <w:tcPr>
            <w:tcW w:w="0" w:type="dxa"/>
            <w:vAlign w:val="bottom"/>
          </w:tcPr>
          <w:p>
            <w:pPr>
              <w:spacing w:after="0"/>
              <w:rPr>
                <w:sz w:val="1"/>
                <w:szCs w:val="1"/>
                <w:color w:val="auto"/>
              </w:rPr>
            </w:pPr>
          </w:p>
        </w:tc>
      </w:tr>
      <w:tr>
        <w:trPr>
          <w:trHeight w:val="405"/>
        </w:trPr>
        <w:tc>
          <w:tcPr>
            <w:tcW w:w="4380" w:type="dxa"/>
            <w:vAlign w:val="bottom"/>
          </w:tcPr>
          <w:p>
            <w:pPr>
              <w:ind w:left="220"/>
              <w:spacing w:after="0"/>
              <w:rPr>
                <w:sz w:val="20"/>
                <w:szCs w:val="20"/>
                <w:color w:val="auto"/>
              </w:rPr>
            </w:pPr>
            <w:r>
              <w:rPr>
                <w:rFonts w:ascii="Courier New" w:cs="Courier New" w:eastAsia="Courier New" w:hAnsi="Courier New"/>
                <w:sz w:val="18"/>
                <w:szCs w:val="18"/>
                <w:color w:val="auto"/>
              </w:rPr>
              <w:t>OTHER INTANGIBLE ASSETS, net</w:t>
            </w:r>
          </w:p>
        </w:tc>
        <w:tc>
          <w:tcPr>
            <w:tcW w:w="194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4,196</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3,859</w:t>
            </w:r>
          </w:p>
        </w:tc>
        <w:tc>
          <w:tcPr>
            <w:tcW w:w="0" w:type="dxa"/>
            <w:vAlign w:val="bottom"/>
          </w:tcPr>
          <w:p>
            <w:pPr>
              <w:spacing w:after="0"/>
              <w:rPr>
                <w:sz w:val="1"/>
                <w:szCs w:val="1"/>
                <w:color w:val="auto"/>
              </w:rPr>
            </w:pPr>
          </w:p>
        </w:tc>
      </w:tr>
      <w:tr>
        <w:trPr>
          <w:trHeight w:val="311"/>
        </w:trPr>
        <w:tc>
          <w:tcPr>
            <w:tcW w:w="4380" w:type="dxa"/>
            <w:vAlign w:val="bottom"/>
          </w:tcPr>
          <w:p>
            <w:pPr>
              <w:ind w:left="220"/>
              <w:spacing w:after="0"/>
              <w:rPr>
                <w:sz w:val="20"/>
                <w:szCs w:val="20"/>
                <w:color w:val="auto"/>
              </w:rPr>
            </w:pPr>
            <w:r>
              <w:rPr>
                <w:rFonts w:ascii="Courier New" w:cs="Courier New" w:eastAsia="Courier New" w:hAnsi="Courier New"/>
                <w:sz w:val="18"/>
                <w:szCs w:val="18"/>
                <w:color w:val="auto"/>
              </w:rPr>
              <w:t>OTHER NONCURRENT ASSETS, net</w:t>
            </w:r>
          </w:p>
        </w:tc>
        <w:tc>
          <w:tcPr>
            <w:tcW w:w="194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709</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715</w:t>
            </w:r>
          </w:p>
        </w:tc>
        <w:tc>
          <w:tcPr>
            <w:tcW w:w="0" w:type="dxa"/>
            <w:vAlign w:val="bottom"/>
          </w:tcPr>
          <w:p>
            <w:pPr>
              <w:spacing w:after="0"/>
              <w:rPr>
                <w:sz w:val="1"/>
                <w:szCs w:val="1"/>
                <w:color w:val="auto"/>
              </w:rPr>
            </w:pPr>
          </w:p>
        </w:tc>
      </w:tr>
      <w:tr>
        <w:trPr>
          <w:trHeight w:val="296"/>
        </w:trPr>
        <w:tc>
          <w:tcPr>
            <w:tcW w:w="4380" w:type="dxa"/>
            <w:vAlign w:val="bottom"/>
          </w:tcPr>
          <w:p>
            <w:pPr>
              <w:spacing w:after="0"/>
              <w:rPr>
                <w:sz w:val="24"/>
                <w:szCs w:val="24"/>
                <w:color w:val="auto"/>
              </w:rPr>
            </w:pPr>
          </w:p>
        </w:tc>
        <w:tc>
          <w:tcPr>
            <w:tcW w:w="194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$106,444</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$109,159</w:t>
            </w:r>
          </w:p>
        </w:tc>
        <w:tc>
          <w:tcPr>
            <w:tcW w:w="0" w:type="dxa"/>
            <w:vAlign w:val="bottom"/>
          </w:tcPr>
          <w:p>
            <w:pPr>
              <w:spacing w:after="0"/>
              <w:rPr>
                <w:sz w:val="1"/>
                <w:szCs w:val="1"/>
                <w:color w:val="auto"/>
              </w:rPr>
            </w:pP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1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380" w:type="dxa"/>
            <w:vAlign w:val="bottom"/>
          </w:tcPr>
          <w:p>
            <w:pPr>
              <w:ind w:left="220"/>
              <w:spacing w:after="0"/>
              <w:rPr>
                <w:sz w:val="20"/>
                <w:szCs w:val="20"/>
                <w:color w:val="auto"/>
              </w:rPr>
            </w:pPr>
            <w:r>
              <w:rPr>
                <w:rFonts w:ascii="Courier New" w:cs="Courier New" w:eastAsia="Courier New" w:hAnsi="Courier New"/>
                <w:sz w:val="18"/>
                <w:szCs w:val="18"/>
                <w:color w:val="auto"/>
              </w:rPr>
              <w:t>CURRENT LIABILITIES</w:t>
            </w:r>
          </w:p>
        </w:tc>
        <w:tc>
          <w:tcPr>
            <w:tcW w:w="1940" w:type="dxa"/>
            <w:vAlign w:val="bottom"/>
            <w:vMerge w:val="restart"/>
          </w:tcPr>
          <w:p>
            <w:pPr>
              <w:jc w:val="right"/>
              <w:ind w:right="532"/>
              <w:spacing w:after="0"/>
              <w:rPr>
                <w:sz w:val="20"/>
                <w:szCs w:val="20"/>
                <w:color w:val="auto"/>
              </w:rPr>
            </w:pPr>
            <w:r>
              <w:rPr>
                <w:rFonts w:ascii="Courier New" w:cs="Courier New" w:eastAsia="Courier New" w:hAnsi="Courier New"/>
                <w:sz w:val="18"/>
                <w:szCs w:val="18"/>
                <w:color w:val="auto"/>
              </w:rPr>
              <w:t>$1,023</w:t>
            </w:r>
          </w:p>
        </w:tc>
        <w:tc>
          <w:tcPr>
            <w:tcW w:w="13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$1,251</w:t>
            </w:r>
          </w:p>
        </w:tc>
        <w:tc>
          <w:tcPr>
            <w:tcW w:w="0" w:type="dxa"/>
            <w:vAlign w:val="bottom"/>
          </w:tcPr>
          <w:p>
            <w:pPr>
              <w:spacing w:after="0"/>
              <w:rPr>
                <w:sz w:val="1"/>
                <w:szCs w:val="1"/>
                <w:color w:val="auto"/>
              </w:rPr>
            </w:pPr>
          </w:p>
        </w:tc>
      </w:tr>
      <w:tr>
        <w:trPr>
          <w:trHeight w:val="203"/>
        </w:trPr>
        <w:tc>
          <w:tcPr>
            <w:tcW w:w="4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94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Accrued expenses and other</w:t>
            </w:r>
          </w:p>
        </w:tc>
        <w:tc>
          <w:tcPr>
            <w:tcW w:w="1940" w:type="dxa"/>
            <w:vAlign w:val="bottom"/>
            <w:vMerge w:val="restart"/>
          </w:tcPr>
          <w:p>
            <w:pPr>
              <w:jc w:val="right"/>
              <w:ind w:right="532"/>
              <w:spacing w:after="0"/>
              <w:rPr>
                <w:sz w:val="20"/>
                <w:szCs w:val="20"/>
                <w:color w:val="auto"/>
              </w:rPr>
            </w:pPr>
            <w:r>
              <w:rPr>
                <w:rFonts w:ascii="Courier New" w:cs="Courier New" w:eastAsia="Courier New" w:hAnsi="Courier New"/>
                <w:sz w:val="18"/>
                <w:szCs w:val="18"/>
                <w:color w:val="auto"/>
              </w:rPr>
              <w:t>4,152</w:t>
            </w:r>
          </w:p>
        </w:tc>
        <w:tc>
          <w:tcPr>
            <w:tcW w:w="13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4,563</w:t>
            </w:r>
          </w:p>
        </w:tc>
        <w:tc>
          <w:tcPr>
            <w:tcW w:w="0" w:type="dxa"/>
            <w:vAlign w:val="bottom"/>
          </w:tcPr>
          <w:p>
            <w:pPr>
              <w:spacing w:after="0"/>
              <w:rPr>
                <w:sz w:val="1"/>
                <w:szCs w:val="1"/>
                <w:color w:val="auto"/>
              </w:rPr>
            </w:pPr>
          </w:p>
        </w:tc>
      </w:tr>
      <w:tr>
        <w:trPr>
          <w:trHeight w:val="203"/>
        </w:trPr>
        <w:tc>
          <w:tcPr>
            <w:tcW w:w="43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94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9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614</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679</w:t>
            </w:r>
          </w:p>
        </w:tc>
        <w:tc>
          <w:tcPr>
            <w:tcW w:w="0" w:type="dxa"/>
            <w:vAlign w:val="bottom"/>
          </w:tcPr>
          <w:p>
            <w:pPr>
              <w:spacing w:after="0"/>
              <w:rPr>
                <w:sz w:val="1"/>
                <w:szCs w:val="1"/>
                <w:color w:val="auto"/>
              </w:rPr>
            </w:pPr>
          </w:p>
        </w:tc>
      </w:tr>
      <w:tr>
        <w:trPr>
          <w:trHeight w:val="203"/>
        </w:trPr>
        <w:tc>
          <w:tcPr>
            <w:tcW w:w="4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Current portion of long-term</w:t>
            </w:r>
          </w:p>
        </w:tc>
        <w:tc>
          <w:tcPr>
            <w:tcW w:w="1940" w:type="dxa"/>
            <w:vAlign w:val="bottom"/>
            <w:vMerge w:val="restart"/>
          </w:tcPr>
          <w:p>
            <w:pPr>
              <w:jc w:val="right"/>
              <w:ind w:right="532"/>
              <w:spacing w:after="0"/>
              <w:rPr>
                <w:sz w:val="20"/>
                <w:szCs w:val="20"/>
                <w:color w:val="auto"/>
              </w:rPr>
            </w:pPr>
            <w:r>
              <w:rPr>
                <w:rFonts w:ascii="Courier New" w:cs="Courier New" w:eastAsia="Courier New" w:hAnsi="Courier New"/>
                <w:sz w:val="18"/>
                <w:szCs w:val="18"/>
                <w:color w:val="auto"/>
              </w:rPr>
              <w:t>1,116</w:t>
            </w:r>
          </w:p>
        </w:tc>
        <w:tc>
          <w:tcPr>
            <w:tcW w:w="13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734</w:t>
            </w:r>
          </w:p>
        </w:tc>
        <w:tc>
          <w:tcPr>
            <w:tcW w:w="0" w:type="dxa"/>
            <w:vAlign w:val="bottom"/>
          </w:tcPr>
          <w:p>
            <w:pPr>
              <w:spacing w:after="0"/>
              <w:rPr>
                <w:sz w:val="1"/>
                <w:szCs w:val="1"/>
                <w:color w:val="auto"/>
              </w:rPr>
            </w:pPr>
          </w:p>
        </w:tc>
      </w:tr>
      <w:tr>
        <w:trPr>
          <w:trHeight w:val="203"/>
        </w:trPr>
        <w:tc>
          <w:tcPr>
            <w:tcW w:w="43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debt</w:t>
            </w:r>
          </w:p>
        </w:tc>
        <w:tc>
          <w:tcPr>
            <w:tcW w:w="194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Current portion of</w:t>
            </w:r>
          </w:p>
        </w:tc>
        <w:tc>
          <w:tcPr>
            <w:tcW w:w="1940" w:type="dxa"/>
            <w:vAlign w:val="bottom"/>
            <w:vMerge w:val="restart"/>
          </w:tcPr>
          <w:p>
            <w:pPr>
              <w:jc w:val="right"/>
              <w:ind w:right="532"/>
              <w:spacing w:after="0"/>
              <w:rPr>
                <w:sz w:val="20"/>
                <w:szCs w:val="20"/>
                <w:color w:val="auto"/>
              </w:rPr>
            </w:pPr>
            <w:r>
              <w:rPr>
                <w:rFonts w:ascii="Courier New" w:cs="Courier New" w:eastAsia="Courier New" w:hAnsi="Courier New"/>
                <w:sz w:val="18"/>
                <w:szCs w:val="18"/>
                <w:color w:val="auto"/>
              </w:rPr>
              <w:t>2,012</w:t>
            </w:r>
          </w:p>
        </w:tc>
        <w:tc>
          <w:tcPr>
            <w:tcW w:w="13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2,427</w:t>
            </w:r>
          </w:p>
        </w:tc>
        <w:tc>
          <w:tcPr>
            <w:tcW w:w="0" w:type="dxa"/>
            <w:vAlign w:val="bottom"/>
          </w:tcPr>
          <w:p>
            <w:pPr>
              <w:spacing w:after="0"/>
              <w:rPr>
                <w:sz w:val="1"/>
                <w:szCs w:val="1"/>
                <w:color w:val="auto"/>
              </w:rPr>
            </w:pPr>
          </w:p>
        </w:tc>
      </w:tr>
      <w:tr>
        <w:trPr>
          <w:trHeight w:val="203"/>
        </w:trPr>
        <w:tc>
          <w:tcPr>
            <w:tcW w:w="43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exchangeable debt</w:t>
            </w:r>
          </w:p>
        </w:tc>
        <w:tc>
          <w:tcPr>
            <w:tcW w:w="194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380" w:type="dxa"/>
            <w:vAlign w:val="bottom"/>
          </w:tcPr>
          <w:p>
            <w:pPr>
              <w:ind w:left="1280"/>
              <w:spacing w:after="0"/>
              <w:rPr>
                <w:sz w:val="20"/>
                <w:szCs w:val="20"/>
                <w:color w:val="auto"/>
              </w:rPr>
            </w:pPr>
            <w:r>
              <w:rPr>
                <w:rFonts w:ascii="Courier New" w:cs="Courier New" w:eastAsia="Courier New" w:hAnsi="Courier New"/>
                <w:sz w:val="18"/>
                <w:szCs w:val="18"/>
                <w:color w:val="auto"/>
              </w:rPr>
              <w:t>Total current liabilities</w:t>
            </w:r>
          </w:p>
        </w:tc>
        <w:tc>
          <w:tcPr>
            <w:tcW w:w="194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8,917</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9,654</w:t>
            </w:r>
          </w:p>
        </w:tc>
        <w:tc>
          <w:tcPr>
            <w:tcW w:w="0" w:type="dxa"/>
            <w:vAlign w:val="bottom"/>
          </w:tcPr>
          <w:p>
            <w:pPr>
              <w:spacing w:after="0"/>
              <w:rPr>
                <w:sz w:val="1"/>
                <w:szCs w:val="1"/>
                <w:color w:val="auto"/>
              </w:rPr>
            </w:pPr>
          </w:p>
        </w:tc>
      </w:tr>
      <w:tr>
        <w:trPr>
          <w:trHeight w:val="311"/>
        </w:trPr>
        <w:tc>
          <w:tcPr>
            <w:tcW w:w="4380" w:type="dxa"/>
            <w:vAlign w:val="bottom"/>
          </w:tcPr>
          <w:p>
            <w:pPr>
              <w:ind w:left="220"/>
              <w:spacing w:after="0"/>
              <w:rPr>
                <w:sz w:val="20"/>
                <w:szCs w:val="20"/>
                <w:color w:val="auto"/>
              </w:rPr>
            </w:pPr>
            <w:r>
              <w:rPr>
                <w:rFonts w:ascii="Courier New" w:cs="Courier New" w:eastAsia="Courier New" w:hAnsi="Courier New"/>
                <w:sz w:val="18"/>
                <w:szCs w:val="18"/>
                <w:color w:val="auto"/>
              </w:rPr>
              <w:t>LONG-TERM DEBT, less current</w:t>
            </w:r>
          </w:p>
        </w:tc>
        <w:tc>
          <w:tcPr>
            <w:tcW w:w="1940" w:type="dxa"/>
            <w:vAlign w:val="bottom"/>
            <w:vMerge w:val="restart"/>
          </w:tcPr>
          <w:p>
            <w:pPr>
              <w:jc w:val="right"/>
              <w:ind w:right="532"/>
              <w:spacing w:after="0"/>
              <w:rPr>
                <w:sz w:val="20"/>
                <w:szCs w:val="20"/>
                <w:color w:val="auto"/>
              </w:rPr>
            </w:pPr>
            <w:r>
              <w:rPr>
                <w:rFonts w:ascii="Courier New" w:cs="Courier New" w:eastAsia="Courier New" w:hAnsi="Courier New"/>
                <w:sz w:val="18"/>
                <w:szCs w:val="18"/>
                <w:color w:val="auto"/>
              </w:rPr>
              <w:t>21,124</w:t>
            </w:r>
          </w:p>
        </w:tc>
        <w:tc>
          <w:tcPr>
            <w:tcW w:w="13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21,944</w:t>
            </w:r>
          </w:p>
        </w:tc>
        <w:tc>
          <w:tcPr>
            <w:tcW w:w="0" w:type="dxa"/>
            <w:vAlign w:val="bottom"/>
          </w:tcPr>
          <w:p>
            <w:pPr>
              <w:spacing w:after="0"/>
              <w:rPr>
                <w:sz w:val="1"/>
                <w:szCs w:val="1"/>
                <w:color w:val="auto"/>
              </w:rPr>
            </w:pPr>
          </w:p>
        </w:tc>
      </w:tr>
      <w:tr>
        <w:trPr>
          <w:trHeight w:val="203"/>
        </w:trPr>
        <w:tc>
          <w:tcPr>
            <w:tcW w:w="4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portion</w:t>
            </w:r>
          </w:p>
        </w:tc>
        <w:tc>
          <w:tcPr>
            <w:tcW w:w="194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LONG-TERM EXCHANGEABLE DEBT, less</w:t>
            </w:r>
          </w:p>
        </w:tc>
        <w:tc>
          <w:tcPr>
            <w:tcW w:w="1940" w:type="dxa"/>
            <w:vAlign w:val="bottom"/>
            <w:vMerge w:val="restart"/>
          </w:tcPr>
          <w:p>
            <w:pPr>
              <w:jc w:val="right"/>
              <w:ind w:right="532"/>
              <w:spacing w:after="0"/>
              <w:rPr>
                <w:sz w:val="20"/>
                <w:szCs w:val="20"/>
                <w:color w:val="auto"/>
              </w:rPr>
            </w:pPr>
            <w:r>
              <w:rPr>
                <w:rFonts w:ascii="Courier New" w:cs="Courier New" w:eastAsia="Courier New" w:hAnsi="Courier New"/>
                <w:sz w:val="18"/>
                <w:szCs w:val="18"/>
                <w:color w:val="auto"/>
              </w:rPr>
              <w:t>979</w:t>
            </w:r>
          </w:p>
        </w:tc>
        <w:tc>
          <w:tcPr>
            <w:tcW w:w="13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1,891</w:t>
            </w:r>
          </w:p>
        </w:tc>
        <w:tc>
          <w:tcPr>
            <w:tcW w:w="0" w:type="dxa"/>
            <w:vAlign w:val="bottom"/>
          </w:tcPr>
          <w:p>
            <w:pPr>
              <w:spacing w:after="0"/>
              <w:rPr>
                <w:sz w:val="1"/>
                <w:szCs w:val="1"/>
                <w:color w:val="auto"/>
              </w:rPr>
            </w:pPr>
          </w:p>
        </w:tc>
      </w:tr>
      <w:tr>
        <w:trPr>
          <w:trHeight w:val="296"/>
        </w:trPr>
        <w:tc>
          <w:tcPr>
            <w:tcW w:w="4380" w:type="dxa"/>
            <w:vAlign w:val="bottom"/>
          </w:tcPr>
          <w:p>
            <w:pPr>
              <w:ind w:left="320"/>
              <w:spacing w:after="0"/>
              <w:rPr>
                <w:sz w:val="20"/>
                <w:szCs w:val="20"/>
                <w:color w:val="auto"/>
              </w:rPr>
            </w:pPr>
            <w:r>
              <w:rPr>
                <w:rFonts w:ascii="Courier New" w:cs="Courier New" w:eastAsia="Courier New" w:hAnsi="Courier New"/>
                <w:sz w:val="18"/>
                <w:szCs w:val="18"/>
                <w:color w:val="auto"/>
              </w:rPr>
              <w:t>current portion</w:t>
            </w:r>
          </w:p>
        </w:tc>
        <w:tc>
          <w:tcPr>
            <w:tcW w:w="1940" w:type="dxa"/>
            <w:vAlign w:val="bottom"/>
            <w:vMerge w:val="continue"/>
          </w:tcPr>
          <w:p>
            <w:pPr>
              <w:spacing w:after="0"/>
              <w:rPr>
                <w:sz w:val="24"/>
                <w:szCs w:val="24"/>
                <w:color w:val="auto"/>
              </w:rPr>
            </w:pPr>
          </w:p>
        </w:tc>
        <w:tc>
          <w:tcPr>
            <w:tcW w:w="1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380" w:type="dxa"/>
            <w:vAlign w:val="bottom"/>
          </w:tcPr>
          <w:p>
            <w:pPr>
              <w:ind w:left="220"/>
              <w:spacing w:after="0"/>
              <w:rPr>
                <w:sz w:val="20"/>
                <w:szCs w:val="20"/>
                <w:color w:val="auto"/>
              </w:rPr>
            </w:pPr>
            <w:r>
              <w:rPr>
                <w:rFonts w:ascii="Courier New" w:cs="Courier New" w:eastAsia="Courier New" w:hAnsi="Courier New"/>
                <w:sz w:val="18"/>
                <w:szCs w:val="18"/>
                <w:color w:val="auto"/>
              </w:rPr>
              <w:t>DEFERRED INCOME TAXES</w:t>
            </w:r>
          </w:p>
        </w:tc>
        <w:tc>
          <w:tcPr>
            <w:tcW w:w="194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26,414</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25,900</w:t>
            </w:r>
          </w:p>
        </w:tc>
        <w:tc>
          <w:tcPr>
            <w:tcW w:w="0" w:type="dxa"/>
            <w:vAlign w:val="bottom"/>
          </w:tcPr>
          <w:p>
            <w:pPr>
              <w:spacing w:after="0"/>
              <w:rPr>
                <w:sz w:val="1"/>
                <w:szCs w:val="1"/>
                <w:color w:val="auto"/>
              </w:rPr>
            </w:pPr>
          </w:p>
        </w:tc>
      </w:tr>
      <w:tr>
        <w:trPr>
          <w:trHeight w:val="405"/>
        </w:trPr>
        <w:tc>
          <w:tcPr>
            <w:tcW w:w="4380" w:type="dxa"/>
            <w:vAlign w:val="bottom"/>
          </w:tcPr>
          <w:p>
            <w:pPr>
              <w:ind w:left="220"/>
              <w:spacing w:after="0"/>
              <w:rPr>
                <w:sz w:val="20"/>
                <w:szCs w:val="20"/>
                <w:color w:val="auto"/>
              </w:rPr>
            </w:pPr>
            <w:r>
              <w:rPr>
                <w:rFonts w:ascii="Courier New" w:cs="Courier New" w:eastAsia="Courier New" w:hAnsi="Courier New"/>
                <w:sz w:val="18"/>
                <w:szCs w:val="18"/>
                <w:color w:val="auto"/>
              </w:rPr>
              <w:t>OTHER NONCURRENT LIABILITIES</w:t>
            </w:r>
          </w:p>
        </w:tc>
        <w:tc>
          <w:tcPr>
            <w:tcW w:w="194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7,354</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7,716</w:t>
            </w:r>
          </w:p>
        </w:tc>
        <w:tc>
          <w:tcPr>
            <w:tcW w:w="0" w:type="dxa"/>
            <w:vAlign w:val="bottom"/>
          </w:tcPr>
          <w:p>
            <w:pPr>
              <w:spacing w:after="0"/>
              <w:rPr>
                <w:sz w:val="1"/>
                <w:szCs w:val="1"/>
                <w:color w:val="auto"/>
              </w:rPr>
            </w:pPr>
          </w:p>
        </w:tc>
      </w:tr>
      <w:tr>
        <w:trPr>
          <w:trHeight w:val="405"/>
        </w:trPr>
        <w:tc>
          <w:tcPr>
            <w:tcW w:w="4380" w:type="dxa"/>
            <w:vAlign w:val="bottom"/>
          </w:tcPr>
          <w:p>
            <w:pPr>
              <w:ind w:left="220"/>
              <w:spacing w:after="0"/>
              <w:rPr>
                <w:sz w:val="20"/>
                <w:szCs w:val="20"/>
                <w:color w:val="auto"/>
              </w:rPr>
            </w:pPr>
            <w:r>
              <w:rPr>
                <w:rFonts w:ascii="Courier New" w:cs="Courier New" w:eastAsia="Courier New" w:hAnsi="Courier New"/>
                <w:sz w:val="18"/>
                <w:szCs w:val="18"/>
                <w:color w:val="auto"/>
              </w:rPr>
              <w:t>MINORITY INTEREST</w:t>
            </w:r>
          </w:p>
        </w:tc>
        <w:tc>
          <w:tcPr>
            <w:tcW w:w="194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458</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392</w:t>
            </w:r>
          </w:p>
        </w:tc>
        <w:tc>
          <w:tcPr>
            <w:tcW w:w="0" w:type="dxa"/>
            <w:vAlign w:val="bottom"/>
          </w:tcPr>
          <w:p>
            <w:pPr>
              <w:spacing w:after="0"/>
              <w:rPr>
                <w:sz w:val="1"/>
                <w:szCs w:val="1"/>
                <w:color w:val="auto"/>
              </w:rPr>
            </w:pPr>
          </w:p>
        </w:tc>
      </w:tr>
      <w:tr>
        <w:trPr>
          <w:trHeight w:val="311"/>
        </w:trPr>
        <w:tc>
          <w:tcPr>
            <w:tcW w:w="4380" w:type="dxa"/>
            <w:vAlign w:val="bottom"/>
          </w:tcPr>
          <w:p>
            <w:pPr>
              <w:ind w:left="220"/>
              <w:spacing w:after="0"/>
              <w:rPr>
                <w:sz w:val="20"/>
                <w:szCs w:val="20"/>
                <w:color w:val="auto"/>
              </w:rPr>
            </w:pPr>
            <w:r>
              <w:rPr>
                <w:rFonts w:ascii="Courier New" w:cs="Courier New" w:eastAsia="Courier New" w:hAnsi="Courier New"/>
                <w:sz w:val="18"/>
                <w:szCs w:val="18"/>
                <w:color w:val="auto"/>
              </w:rPr>
              <w:t>STOCKHOLDERS' EQUITY</w:t>
            </w:r>
          </w:p>
        </w:tc>
        <w:tc>
          <w:tcPr>
            <w:tcW w:w="194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41,198</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41,662</w:t>
            </w:r>
          </w:p>
        </w:tc>
        <w:tc>
          <w:tcPr>
            <w:tcW w:w="0" w:type="dxa"/>
            <w:vAlign w:val="bottom"/>
          </w:tcPr>
          <w:p>
            <w:pPr>
              <w:spacing w:after="0"/>
              <w:rPr>
                <w:sz w:val="1"/>
                <w:szCs w:val="1"/>
                <w:color w:val="auto"/>
              </w:rPr>
            </w:pPr>
          </w:p>
        </w:tc>
      </w:tr>
      <w:tr>
        <w:trPr>
          <w:trHeight w:val="296"/>
        </w:trPr>
        <w:tc>
          <w:tcPr>
            <w:tcW w:w="4380" w:type="dxa"/>
            <w:vAlign w:val="bottom"/>
          </w:tcPr>
          <w:p>
            <w:pPr>
              <w:spacing w:after="0"/>
              <w:rPr>
                <w:sz w:val="24"/>
                <w:szCs w:val="24"/>
                <w:color w:val="auto"/>
              </w:rPr>
            </w:pPr>
          </w:p>
        </w:tc>
        <w:tc>
          <w:tcPr>
            <w:tcW w:w="194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$106,444</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$109,159</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COMCAST CORPORATION</w:t>
      </w:r>
    </w:p>
    <w:p>
      <w:pPr>
        <w:spacing w:after="0" w:line="2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TABLE 3</w:t>
      </w:r>
    </w:p>
    <w:p>
      <w:pPr>
        <w:jc w:val="center"/>
        <w:ind w:right="1979"/>
        <w:spacing w:after="0" w:line="238" w:lineRule="auto"/>
        <w:rPr>
          <w:sz w:val="20"/>
          <w:szCs w:val="20"/>
          <w:color w:val="auto"/>
        </w:rPr>
      </w:pPr>
      <w:r>
        <w:rPr>
          <w:rFonts w:ascii="Courier New" w:cs="Courier New" w:eastAsia="Courier New" w:hAnsi="Courier New"/>
          <w:sz w:val="18"/>
          <w:szCs w:val="18"/>
          <w:color w:val="auto"/>
        </w:rPr>
        <w:t>Condensed Consolidated Statement of Cash Flows (Unaudited)</w:t>
      </w:r>
    </w:p>
    <w:p>
      <w:pPr>
        <w:jc w:val="center"/>
        <w:ind w:right="2099"/>
        <w:spacing w:after="0"/>
        <w:rPr>
          <w:sz w:val="20"/>
          <w:szCs w:val="20"/>
          <w:color w:val="auto"/>
        </w:rPr>
      </w:pPr>
      <w:r>
        <w:rPr>
          <w:rFonts w:ascii="Courier New" w:cs="Courier New" w:eastAsia="Courier New" w:hAnsi="Courier New"/>
          <w:sz w:val="18"/>
          <w:szCs w:val="18"/>
          <w:color w:val="auto"/>
        </w:rPr>
        <w:t>(dollars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17"/>
                <w:szCs w:val="17"/>
                <w:color w:val="auto"/>
              </w:rPr>
            </w:pPr>
          </w:p>
        </w:tc>
        <w:tc>
          <w:tcPr>
            <w:tcW w:w="3160" w:type="dxa"/>
            <w:vAlign w:val="bottom"/>
            <w:gridSpan w:val="2"/>
          </w:tcPr>
          <w:p>
            <w:pPr>
              <w:jc w:val="right"/>
              <w:ind w:right="532"/>
              <w:spacing w:after="0"/>
              <w:rPr>
                <w:sz w:val="20"/>
                <w:szCs w:val="20"/>
                <w:color w:val="auto"/>
              </w:rPr>
            </w:pPr>
            <w:r>
              <w:rPr>
                <w:rFonts w:ascii="Courier New" w:cs="Courier New" w:eastAsia="Courier New" w:hAnsi="Courier New"/>
                <w:sz w:val="18"/>
                <w:szCs w:val="18"/>
                <w:color w:val="auto"/>
              </w:rPr>
              <w:t>Nine Months Ended</w:t>
            </w:r>
          </w:p>
        </w:tc>
        <w:tc>
          <w:tcPr>
            <w:tcW w:w="0" w:type="dxa"/>
            <w:vAlign w:val="bottom"/>
          </w:tcPr>
          <w:p>
            <w:pPr>
              <w:spacing w:after="0"/>
              <w:rPr>
                <w:sz w:val="1"/>
                <w:szCs w:val="1"/>
                <w:color w:val="auto"/>
              </w:rPr>
            </w:pPr>
          </w:p>
        </w:tc>
      </w:tr>
      <w:tr>
        <w:trPr>
          <w:trHeight w:val="203"/>
        </w:trPr>
        <w:tc>
          <w:tcPr>
            <w:tcW w:w="4640" w:type="dxa"/>
            <w:vAlign w:val="bottom"/>
          </w:tcPr>
          <w:p>
            <w:pPr>
              <w:spacing w:after="0"/>
              <w:rPr>
                <w:sz w:val="17"/>
                <w:szCs w:val="17"/>
                <w:color w:val="auto"/>
              </w:rPr>
            </w:pP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September 30,</w:t>
            </w:r>
          </w:p>
        </w:tc>
        <w:tc>
          <w:tcPr>
            <w:tcW w:w="8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2003</w:t>
            </w:r>
          </w:p>
        </w:tc>
        <w:tc>
          <w:tcPr>
            <w:tcW w:w="0" w:type="dxa"/>
            <w:vAlign w:val="bottom"/>
          </w:tcPr>
          <w:p>
            <w:pPr>
              <w:spacing w:after="0"/>
              <w:rPr>
                <w:sz w:val="1"/>
                <w:szCs w:val="1"/>
                <w:color w:val="auto"/>
              </w:rPr>
            </w:pPr>
          </w:p>
        </w:tc>
      </w:tr>
      <w:tr>
        <w:trPr>
          <w:trHeight w:val="296"/>
        </w:trPr>
        <w:tc>
          <w:tcPr>
            <w:tcW w:w="4640" w:type="dxa"/>
            <w:vAlign w:val="bottom"/>
          </w:tcPr>
          <w:p>
            <w:pPr>
              <w:spacing w:after="0"/>
              <w:rPr>
                <w:sz w:val="24"/>
                <w:szCs w:val="24"/>
                <w:color w:val="auto"/>
              </w:rPr>
            </w:pPr>
          </w:p>
        </w:tc>
        <w:tc>
          <w:tcPr>
            <w:tcW w:w="2320" w:type="dxa"/>
            <w:vAlign w:val="bottom"/>
          </w:tcPr>
          <w:p>
            <w:pPr>
              <w:jc w:val="right"/>
              <w:ind w:right="1272"/>
              <w:spacing w:after="0"/>
              <w:rPr>
                <w:sz w:val="20"/>
                <w:szCs w:val="20"/>
                <w:color w:val="auto"/>
              </w:rPr>
            </w:pPr>
            <w:r>
              <w:rPr>
                <w:rFonts w:ascii="Courier New" w:cs="Courier New" w:eastAsia="Courier New" w:hAnsi="Courier New"/>
                <w:sz w:val="18"/>
                <w:szCs w:val="18"/>
                <w:color w:val="auto"/>
              </w:rPr>
              <w:t>2004</w:t>
            </w:r>
          </w:p>
        </w:tc>
        <w:tc>
          <w:tcPr>
            <w:tcW w:w="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640" w:type="dxa"/>
            <w:vAlign w:val="bottom"/>
          </w:tcPr>
          <w:p>
            <w:pPr>
              <w:spacing w:after="0"/>
              <w:rPr>
                <w:sz w:val="20"/>
                <w:szCs w:val="20"/>
                <w:color w:val="auto"/>
              </w:rPr>
            </w:pPr>
            <w:r>
              <w:rPr>
                <w:rFonts w:ascii="Courier New" w:cs="Courier New" w:eastAsia="Courier New" w:hAnsi="Courier New"/>
                <w:sz w:val="18"/>
                <w:szCs w:val="18"/>
                <w:color w:val="auto"/>
              </w:rPr>
              <w:t>OPERATING ACTIVITIES</w:t>
            </w:r>
          </w:p>
        </w:tc>
        <w:tc>
          <w:tcPr>
            <w:tcW w:w="2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cash provided by operating</w:t>
            </w:r>
          </w:p>
        </w:tc>
        <w:tc>
          <w:tcPr>
            <w:tcW w:w="2320" w:type="dxa"/>
            <w:vAlign w:val="bottom"/>
            <w:vMerge w:val="restart"/>
          </w:tcPr>
          <w:p>
            <w:pPr>
              <w:jc w:val="right"/>
              <w:ind w:right="1172"/>
              <w:spacing w:after="0"/>
              <w:rPr>
                <w:sz w:val="20"/>
                <w:szCs w:val="20"/>
                <w:color w:val="auto"/>
              </w:rPr>
            </w:pPr>
            <w:r>
              <w:rPr>
                <w:rFonts w:ascii="Courier New" w:cs="Courier New" w:eastAsia="Courier New" w:hAnsi="Courier New"/>
                <w:sz w:val="18"/>
                <w:szCs w:val="18"/>
                <w:color w:val="auto"/>
              </w:rPr>
              <w:t>$4,435</w:t>
            </w: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$2,519</w:t>
            </w:r>
          </w:p>
        </w:tc>
        <w:tc>
          <w:tcPr>
            <w:tcW w:w="0" w:type="dxa"/>
            <w:vAlign w:val="bottom"/>
          </w:tcPr>
          <w:p>
            <w:pPr>
              <w:spacing w:after="0"/>
              <w:rPr>
                <w:sz w:val="1"/>
                <w:szCs w:val="1"/>
                <w:color w:val="auto"/>
              </w:rPr>
            </w:pPr>
          </w:p>
        </w:tc>
      </w:tr>
      <w:tr>
        <w:trPr>
          <w:trHeight w:val="296"/>
        </w:trPr>
        <w:tc>
          <w:tcPr>
            <w:tcW w:w="4640" w:type="dxa"/>
            <w:vAlign w:val="bottom"/>
          </w:tcPr>
          <w:p>
            <w:pPr>
              <w:ind w:left="320"/>
              <w:spacing w:after="0"/>
              <w:rPr>
                <w:sz w:val="20"/>
                <w:szCs w:val="20"/>
                <w:color w:val="auto"/>
              </w:rPr>
            </w:pPr>
            <w:r>
              <w:rPr>
                <w:rFonts w:ascii="Courier New" w:cs="Courier New" w:eastAsia="Courier New" w:hAnsi="Courier New"/>
                <w:sz w:val="18"/>
                <w:szCs w:val="18"/>
                <w:color w:val="auto"/>
              </w:rPr>
              <w:t>activities from continuing operations</w:t>
            </w:r>
          </w:p>
        </w:tc>
        <w:tc>
          <w:tcPr>
            <w:tcW w:w="2320" w:type="dxa"/>
            <w:vAlign w:val="bottom"/>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640" w:type="dxa"/>
            <w:vAlign w:val="bottom"/>
          </w:tcPr>
          <w:p>
            <w:pPr>
              <w:spacing w:after="0"/>
              <w:rPr>
                <w:sz w:val="20"/>
                <w:szCs w:val="20"/>
                <w:color w:val="auto"/>
              </w:rPr>
            </w:pPr>
            <w:r>
              <w:rPr>
                <w:rFonts w:ascii="Courier New" w:cs="Courier New" w:eastAsia="Courier New" w:hAnsi="Courier New"/>
                <w:sz w:val="18"/>
                <w:szCs w:val="18"/>
                <w:color w:val="auto"/>
              </w:rPr>
              <w:t>FINANCING ACTIVITIES</w:t>
            </w:r>
          </w:p>
        </w:tc>
        <w:tc>
          <w:tcPr>
            <w:tcW w:w="2320" w:type="dxa"/>
            <w:vAlign w:val="bottom"/>
            <w:vMerge w:val="restart"/>
          </w:tcPr>
          <w:p>
            <w:pPr>
              <w:jc w:val="right"/>
              <w:ind w:right="1172"/>
              <w:spacing w:after="0"/>
              <w:rPr>
                <w:sz w:val="20"/>
                <w:szCs w:val="20"/>
                <w:color w:val="auto"/>
              </w:rPr>
            </w:pPr>
            <w:r>
              <w:rPr>
                <w:rFonts w:ascii="Courier New" w:cs="Courier New" w:eastAsia="Courier New" w:hAnsi="Courier New"/>
                <w:sz w:val="18"/>
                <w:szCs w:val="18"/>
                <w:color w:val="auto"/>
              </w:rPr>
              <w:t>1,354</w:t>
            </w: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9,377</w:t>
            </w:r>
          </w:p>
        </w:tc>
        <w:tc>
          <w:tcPr>
            <w:tcW w:w="0" w:type="dxa"/>
            <w:vAlign w:val="bottom"/>
          </w:tcPr>
          <w:p>
            <w:pPr>
              <w:spacing w:after="0"/>
              <w:rPr>
                <w:sz w:val="1"/>
                <w:szCs w:val="1"/>
                <w:color w:val="auto"/>
              </w:rPr>
            </w:pP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borrowings</w:t>
            </w:r>
          </w:p>
        </w:tc>
        <w:tc>
          <w:tcPr>
            <w:tcW w:w="232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640" w:type="dxa"/>
            <w:vAlign w:val="bottom"/>
          </w:tcPr>
          <w:p>
            <w:pPr>
              <w:ind w:left="220"/>
              <w:spacing w:after="0"/>
              <w:rPr>
                <w:sz w:val="20"/>
                <w:szCs w:val="20"/>
                <w:color w:val="auto"/>
              </w:rPr>
            </w:pPr>
            <w:r>
              <w:rPr>
                <w:rFonts w:ascii="Courier New" w:cs="Courier New" w:eastAsia="Courier New" w:hAnsi="Courier New"/>
                <w:sz w:val="18"/>
                <w:szCs w:val="18"/>
                <w:color w:val="auto"/>
              </w:rPr>
              <w:t>Retirements and repayments of debt</w:t>
            </w:r>
          </w:p>
        </w:tc>
        <w:tc>
          <w:tcPr>
            <w:tcW w:w="232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(2,289)</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w w:val="94"/>
              </w:rPr>
              <w:t>(13,675)</w:t>
            </w:r>
          </w:p>
        </w:tc>
        <w:tc>
          <w:tcPr>
            <w:tcW w:w="0" w:type="dxa"/>
            <w:vAlign w:val="bottom"/>
          </w:tcPr>
          <w:p>
            <w:pPr>
              <w:spacing w:after="0"/>
              <w:rPr>
                <w:sz w:val="1"/>
                <w:szCs w:val="1"/>
                <w:color w:val="auto"/>
              </w:rPr>
            </w:pPr>
          </w:p>
        </w:tc>
      </w:tr>
    </w:tbl>
    <w:p>
      <w:pPr>
        <w:sectPr>
          <w:pgSz w:w="11900" w:h="16838" w:orient="portrait"/>
          <w:cols w:equalWidth="0" w:num="1">
            <w:col w:w="9799"/>
          </w:cols>
          <w:pgMar w:left="660" w:top="311" w:right="1440"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60" w:type="dxa"/>
            <w:vAlign w:val="bottom"/>
          </w:tcPr>
          <w:p>
            <w:pPr>
              <w:ind w:left="220"/>
              <w:spacing w:after="0"/>
              <w:rPr>
                <w:sz w:val="20"/>
                <w:szCs w:val="20"/>
                <w:color w:val="auto"/>
              </w:rPr>
            </w:pPr>
            <w:r>
              <w:rPr>
                <w:rFonts w:ascii="Courier New" w:cs="Courier New" w:eastAsia="Courier New" w:hAnsi="Courier New"/>
                <w:sz w:val="18"/>
                <w:szCs w:val="18"/>
                <w:color w:val="auto"/>
              </w:rPr>
              <w:t>Repurchases of common stock</w:t>
            </w:r>
          </w:p>
        </w:tc>
        <w:tc>
          <w:tcPr>
            <w:tcW w:w="1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(1,007)</w:t>
            </w:r>
          </w:p>
        </w:tc>
        <w:tc>
          <w:tcPr>
            <w:tcW w:w="90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w:t>
            </w:r>
          </w:p>
        </w:tc>
        <w:tc>
          <w:tcPr>
            <w:tcW w:w="0" w:type="dxa"/>
            <w:vAlign w:val="bottom"/>
          </w:tcPr>
          <w:p>
            <w:pPr>
              <w:spacing w:after="0"/>
              <w:rPr>
                <w:sz w:val="1"/>
                <w:szCs w:val="1"/>
                <w:color w:val="auto"/>
              </w:rPr>
            </w:pPr>
          </w:p>
        </w:tc>
      </w:tr>
      <w:tr>
        <w:trPr>
          <w:trHeight w:val="296"/>
        </w:trPr>
        <w:tc>
          <w:tcPr>
            <w:tcW w:w="3860" w:type="dxa"/>
            <w:vAlign w:val="bottom"/>
          </w:tcPr>
          <w:p>
            <w:pPr>
              <w:ind w:left="220"/>
              <w:spacing w:after="0"/>
              <w:rPr>
                <w:sz w:val="20"/>
                <w:szCs w:val="20"/>
                <w:color w:val="auto"/>
              </w:rPr>
            </w:pPr>
            <w:r>
              <w:rPr>
                <w:rFonts w:ascii="Courier New" w:cs="Courier New" w:eastAsia="Courier New" w:hAnsi="Courier New"/>
                <w:sz w:val="18"/>
                <w:szCs w:val="18"/>
                <w:color w:val="auto"/>
              </w:rPr>
              <w:t>Other, net</w:t>
            </w:r>
          </w:p>
        </w:tc>
        <w:tc>
          <w:tcPr>
            <w:tcW w:w="110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64</w:t>
            </w:r>
          </w:p>
        </w:tc>
        <w:tc>
          <w:tcPr>
            <w:tcW w:w="90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96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Net cash used in financing activities</w:t>
            </w: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(1,878)</w:t>
            </w:r>
          </w:p>
        </w:tc>
        <w:tc>
          <w:tcPr>
            <w:tcW w:w="90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(4,301)</w:t>
            </w:r>
          </w:p>
        </w:tc>
        <w:tc>
          <w:tcPr>
            <w:tcW w:w="0" w:type="dxa"/>
            <w:vAlign w:val="bottom"/>
          </w:tcPr>
          <w:p>
            <w:pPr>
              <w:spacing w:after="0"/>
              <w:rPr>
                <w:sz w:val="1"/>
                <w:szCs w:val="1"/>
                <w:color w:val="auto"/>
              </w:rPr>
            </w:pPr>
          </w:p>
        </w:tc>
      </w:tr>
      <w:tr>
        <w:trPr>
          <w:trHeight w:val="296"/>
        </w:trPr>
        <w:tc>
          <w:tcPr>
            <w:tcW w:w="3860" w:type="dxa"/>
            <w:vAlign w:val="bottom"/>
          </w:tcPr>
          <w:p>
            <w:pPr>
              <w:ind w:left="320"/>
              <w:spacing w:after="0"/>
              <w:rPr>
                <w:sz w:val="20"/>
                <w:szCs w:val="20"/>
                <w:color w:val="auto"/>
              </w:rPr>
            </w:pPr>
            <w:r>
              <w:rPr>
                <w:rFonts w:ascii="Courier New" w:cs="Courier New" w:eastAsia="Courier New" w:hAnsi="Courier New"/>
                <w:sz w:val="18"/>
                <w:szCs w:val="18"/>
                <w:color w:val="auto"/>
              </w:rPr>
              <w:t>from continuing operations</w:t>
            </w:r>
          </w:p>
        </w:tc>
        <w:tc>
          <w:tcPr>
            <w:tcW w:w="110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860" w:type="dxa"/>
            <w:vAlign w:val="bottom"/>
          </w:tcPr>
          <w:p>
            <w:pPr>
              <w:spacing w:after="0"/>
              <w:rPr>
                <w:sz w:val="20"/>
                <w:szCs w:val="20"/>
                <w:color w:val="auto"/>
              </w:rPr>
            </w:pPr>
            <w:r>
              <w:rPr>
                <w:rFonts w:ascii="Courier New" w:cs="Courier New" w:eastAsia="Courier New" w:hAnsi="Courier New"/>
                <w:sz w:val="18"/>
                <w:szCs w:val="18"/>
                <w:color w:val="auto"/>
              </w:rPr>
              <w:t>INVESTING ACTIVITIES</w:t>
            </w:r>
          </w:p>
        </w:tc>
        <w:tc>
          <w:tcPr>
            <w:tcW w:w="110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(2,610)</w:t>
            </w:r>
          </w:p>
        </w:tc>
        <w:tc>
          <w:tcPr>
            <w:tcW w:w="90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(3,093)</w:t>
            </w:r>
          </w:p>
        </w:tc>
        <w:tc>
          <w:tcPr>
            <w:tcW w:w="0" w:type="dxa"/>
            <w:vAlign w:val="bottom"/>
          </w:tcPr>
          <w:p>
            <w:pPr>
              <w:spacing w:after="0"/>
              <w:rPr>
                <w:sz w:val="1"/>
                <w:szCs w:val="1"/>
                <w:color w:val="auto"/>
              </w:rPr>
            </w:pPr>
          </w:p>
        </w:tc>
      </w:tr>
      <w:tr>
        <w:trPr>
          <w:trHeight w:val="203"/>
        </w:trPr>
        <w:tc>
          <w:tcPr>
            <w:tcW w:w="3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 expenditures</w:t>
            </w:r>
          </w:p>
        </w:tc>
        <w:tc>
          <w:tcPr>
            <w:tcW w:w="11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Proceeds from restructuring of TWE</w:t>
            </w: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2,100</w:t>
            </w:r>
          </w:p>
        </w:tc>
        <w:tc>
          <w:tcPr>
            <w:tcW w:w="0" w:type="dxa"/>
            <w:vAlign w:val="bottom"/>
          </w:tcPr>
          <w:p>
            <w:pPr>
              <w:spacing w:after="0"/>
              <w:rPr>
                <w:sz w:val="1"/>
                <w:szCs w:val="1"/>
                <w:color w:val="auto"/>
              </w:rPr>
            </w:pPr>
          </w:p>
        </w:tc>
      </w:tr>
      <w:tr>
        <w:trPr>
          <w:trHeight w:val="203"/>
        </w:trPr>
        <w:tc>
          <w:tcPr>
            <w:tcW w:w="3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w:t>
            </w: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Proceeds from sales of investments</w:t>
            </w:r>
          </w:p>
        </w:tc>
        <w:tc>
          <w:tcPr>
            <w:tcW w:w="1100" w:type="dxa"/>
            <w:vAlign w:val="bottom"/>
          </w:tcPr>
          <w:p>
            <w:pPr>
              <w:spacing w:after="0"/>
              <w:rPr>
                <w:sz w:val="17"/>
                <w:szCs w:val="17"/>
                <w:color w:val="auto"/>
              </w:rPr>
            </w:pP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200</w:t>
            </w:r>
          </w:p>
        </w:tc>
        <w:tc>
          <w:tcPr>
            <w:tcW w:w="900" w:type="dxa"/>
            <w:vAlign w:val="bottom"/>
          </w:tcPr>
          <w:p>
            <w:pPr>
              <w:spacing w:after="0"/>
              <w:rPr>
                <w:sz w:val="17"/>
                <w:szCs w:val="17"/>
                <w:color w:val="auto"/>
              </w:rPr>
            </w:pP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5,852</w:t>
            </w:r>
          </w:p>
        </w:tc>
        <w:tc>
          <w:tcPr>
            <w:tcW w:w="0" w:type="dxa"/>
            <w:vAlign w:val="bottom"/>
          </w:tcPr>
          <w:p>
            <w:pPr>
              <w:spacing w:after="0"/>
              <w:rPr>
                <w:sz w:val="1"/>
                <w:szCs w:val="1"/>
                <w:color w:val="auto"/>
              </w:rPr>
            </w:pPr>
          </w:p>
        </w:tc>
      </w:tr>
      <w:tr>
        <w:trPr>
          <w:trHeight w:val="203"/>
        </w:trPr>
        <w:tc>
          <w:tcPr>
            <w:tcW w:w="3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assets held for sale</w:t>
            </w:r>
          </w:p>
        </w:tc>
        <w:tc>
          <w:tcPr>
            <w:tcW w:w="11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Acquisitions, net of cash acquired</w:t>
            </w:r>
          </w:p>
        </w:tc>
        <w:tc>
          <w:tcPr>
            <w:tcW w:w="11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(296)</w:t>
            </w:r>
          </w:p>
        </w:tc>
        <w:tc>
          <w:tcPr>
            <w:tcW w:w="90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w:t>
            </w:r>
          </w:p>
        </w:tc>
        <w:tc>
          <w:tcPr>
            <w:tcW w:w="0" w:type="dxa"/>
            <w:vAlign w:val="bottom"/>
          </w:tcPr>
          <w:p>
            <w:pPr>
              <w:spacing w:after="0"/>
              <w:rPr>
                <w:sz w:val="1"/>
                <w:szCs w:val="1"/>
                <w:color w:val="auto"/>
              </w:rPr>
            </w:pPr>
          </w:p>
        </w:tc>
      </w:tr>
      <w:tr>
        <w:trPr>
          <w:trHeight w:val="203"/>
        </w:trPr>
        <w:tc>
          <w:tcPr>
            <w:tcW w:w="3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Additions to intangibles and other</w:t>
            </w:r>
          </w:p>
        </w:tc>
        <w:tc>
          <w:tcPr>
            <w:tcW w:w="110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(572)</w:t>
            </w:r>
          </w:p>
        </w:tc>
        <w:tc>
          <w:tcPr>
            <w:tcW w:w="90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(139)</w:t>
            </w:r>
          </w:p>
        </w:tc>
        <w:tc>
          <w:tcPr>
            <w:tcW w:w="0" w:type="dxa"/>
            <w:vAlign w:val="bottom"/>
          </w:tcPr>
          <w:p>
            <w:pPr>
              <w:spacing w:after="0"/>
              <w:rPr>
                <w:sz w:val="1"/>
                <w:szCs w:val="1"/>
                <w:color w:val="auto"/>
              </w:rPr>
            </w:pPr>
          </w:p>
        </w:tc>
      </w:tr>
      <w:tr>
        <w:trPr>
          <w:trHeight w:val="203"/>
        </w:trPr>
        <w:tc>
          <w:tcPr>
            <w:tcW w:w="3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noncurrent assets</w:t>
            </w:r>
          </w:p>
        </w:tc>
        <w:tc>
          <w:tcPr>
            <w:tcW w:w="11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860" w:type="dxa"/>
            <w:vAlign w:val="bottom"/>
          </w:tcPr>
          <w:p>
            <w:pPr>
              <w:ind w:left="220"/>
              <w:spacing w:after="0"/>
              <w:rPr>
                <w:sz w:val="20"/>
                <w:szCs w:val="20"/>
                <w:color w:val="auto"/>
              </w:rPr>
            </w:pPr>
            <w:r>
              <w:rPr>
                <w:rFonts w:ascii="Courier New" w:cs="Courier New" w:eastAsia="Courier New" w:hAnsi="Courier New"/>
                <w:sz w:val="18"/>
                <w:szCs w:val="18"/>
                <w:color w:val="auto"/>
              </w:rPr>
              <w:t>Other, net</w:t>
            </w:r>
          </w:p>
        </w:tc>
        <w:tc>
          <w:tcPr>
            <w:tcW w:w="1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(112)</w:t>
            </w:r>
          </w:p>
        </w:tc>
        <w:tc>
          <w:tcPr>
            <w:tcW w:w="9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(159)</w:t>
            </w:r>
          </w:p>
        </w:tc>
        <w:tc>
          <w:tcPr>
            <w:tcW w:w="0" w:type="dxa"/>
            <w:vAlign w:val="bottom"/>
          </w:tcPr>
          <w:p>
            <w:pPr>
              <w:spacing w:after="0"/>
              <w:rPr>
                <w:sz w:val="1"/>
                <w:szCs w:val="1"/>
                <w:color w:val="auto"/>
              </w:rPr>
            </w:pPr>
          </w:p>
        </w:tc>
      </w:tr>
      <w:tr>
        <w:trPr>
          <w:trHeight w:val="311"/>
        </w:trPr>
        <w:tc>
          <w:tcPr>
            <w:tcW w:w="3860" w:type="dxa"/>
            <w:vAlign w:val="bottom"/>
          </w:tcPr>
          <w:p>
            <w:pPr>
              <w:ind w:left="220"/>
              <w:spacing w:after="0"/>
              <w:rPr>
                <w:sz w:val="20"/>
                <w:szCs w:val="20"/>
                <w:color w:val="auto"/>
              </w:rPr>
            </w:pPr>
            <w:r>
              <w:rPr>
                <w:rFonts w:ascii="Courier New" w:cs="Courier New" w:eastAsia="Courier New" w:hAnsi="Courier New"/>
                <w:sz w:val="18"/>
                <w:szCs w:val="18"/>
                <w:color w:val="auto"/>
              </w:rPr>
              <w:t>Net cash (used in) provided by</w:t>
            </w: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investing activities from</w:t>
            </w:r>
          </w:p>
        </w:tc>
        <w:tc>
          <w:tcPr>
            <w:tcW w:w="110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(3,390)</w:t>
            </w:r>
          </w:p>
        </w:tc>
        <w:tc>
          <w:tcPr>
            <w:tcW w:w="900" w:type="dxa"/>
            <w:vAlign w:val="bottom"/>
          </w:tcPr>
          <w:p>
            <w:pPr>
              <w:spacing w:after="0"/>
              <w:rPr>
                <w:sz w:val="17"/>
                <w:szCs w:val="17"/>
                <w:color w:val="auto"/>
              </w:rPr>
            </w:pP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4,522</w:t>
            </w:r>
          </w:p>
        </w:tc>
        <w:tc>
          <w:tcPr>
            <w:tcW w:w="0" w:type="dxa"/>
            <w:vAlign w:val="bottom"/>
          </w:tcPr>
          <w:p>
            <w:pPr>
              <w:spacing w:after="0"/>
              <w:rPr>
                <w:sz w:val="1"/>
                <w:szCs w:val="1"/>
                <w:color w:val="auto"/>
              </w:rPr>
            </w:pPr>
          </w:p>
        </w:tc>
      </w:tr>
      <w:tr>
        <w:trPr>
          <w:trHeight w:val="296"/>
        </w:trPr>
        <w:tc>
          <w:tcPr>
            <w:tcW w:w="3860" w:type="dxa"/>
            <w:vAlign w:val="bottom"/>
          </w:tcPr>
          <w:p>
            <w:pPr>
              <w:ind w:left="320"/>
              <w:spacing w:after="0"/>
              <w:rPr>
                <w:sz w:val="20"/>
                <w:szCs w:val="20"/>
                <w:color w:val="auto"/>
              </w:rPr>
            </w:pPr>
            <w:r>
              <w:rPr>
                <w:rFonts w:ascii="Courier New" w:cs="Courier New" w:eastAsia="Courier New" w:hAnsi="Courier New"/>
                <w:sz w:val="18"/>
                <w:szCs w:val="18"/>
                <w:color w:val="auto"/>
              </w:rPr>
              <w:t>continuing operations</w:t>
            </w:r>
          </w:p>
        </w:tc>
        <w:tc>
          <w:tcPr>
            <w:tcW w:w="110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860" w:type="dxa"/>
            <w:vAlign w:val="bottom"/>
          </w:tcPr>
          <w:p>
            <w:pPr>
              <w:spacing w:after="0"/>
              <w:rPr>
                <w:sz w:val="20"/>
                <w:szCs w:val="20"/>
                <w:color w:val="auto"/>
              </w:rPr>
            </w:pPr>
            <w:r>
              <w:rPr>
                <w:rFonts w:ascii="Courier New" w:cs="Courier New" w:eastAsia="Courier New" w:hAnsi="Courier New"/>
                <w:sz w:val="18"/>
                <w:szCs w:val="18"/>
                <w:color w:val="auto"/>
                <w:w w:val="98"/>
              </w:rPr>
              <w:t>(DECREASE) INCREASE IN CASH AND CASH</w:t>
            </w:r>
          </w:p>
        </w:tc>
        <w:tc>
          <w:tcPr>
            <w:tcW w:w="110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(833)</w:t>
            </w:r>
          </w:p>
        </w:tc>
        <w:tc>
          <w:tcPr>
            <w:tcW w:w="900" w:type="dxa"/>
            <w:vAlign w:val="bottom"/>
          </w:tcPr>
          <w:p>
            <w:pPr>
              <w:spacing w:after="0"/>
              <w:rPr>
                <w:sz w:val="24"/>
                <w:szCs w:val="24"/>
                <w:color w:val="auto"/>
              </w:rPr>
            </w:pP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2,740</w:t>
            </w:r>
          </w:p>
        </w:tc>
        <w:tc>
          <w:tcPr>
            <w:tcW w:w="0" w:type="dxa"/>
            <w:vAlign w:val="bottom"/>
          </w:tcPr>
          <w:p>
            <w:pPr>
              <w:spacing w:after="0"/>
              <w:rPr>
                <w:sz w:val="1"/>
                <w:szCs w:val="1"/>
                <w:color w:val="auto"/>
              </w:rPr>
            </w:pPr>
          </w:p>
        </w:tc>
      </w:tr>
      <w:tr>
        <w:trPr>
          <w:trHeight w:val="296"/>
        </w:trPr>
        <w:tc>
          <w:tcPr>
            <w:tcW w:w="3860" w:type="dxa"/>
            <w:vAlign w:val="bottom"/>
          </w:tcPr>
          <w:p>
            <w:pPr>
              <w:ind w:left="120"/>
              <w:spacing w:after="0"/>
              <w:rPr>
                <w:sz w:val="20"/>
                <w:szCs w:val="20"/>
                <w:color w:val="auto"/>
              </w:rPr>
            </w:pPr>
            <w:r>
              <w:rPr>
                <w:rFonts w:ascii="Courier New" w:cs="Courier New" w:eastAsia="Courier New" w:hAnsi="Courier New"/>
                <w:sz w:val="18"/>
                <w:szCs w:val="18"/>
                <w:color w:val="auto"/>
              </w:rPr>
              <w:t>EQUIVALENTS</w:t>
            </w:r>
          </w:p>
        </w:tc>
        <w:tc>
          <w:tcPr>
            <w:tcW w:w="110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860" w:type="dxa"/>
            <w:vAlign w:val="bottom"/>
          </w:tcPr>
          <w:p>
            <w:pPr>
              <w:spacing w:after="0"/>
              <w:rPr>
                <w:sz w:val="20"/>
                <w:szCs w:val="20"/>
                <w:color w:val="auto"/>
              </w:rPr>
            </w:pPr>
            <w:r>
              <w:rPr>
                <w:rFonts w:ascii="Courier New" w:cs="Courier New" w:eastAsia="Courier New" w:hAnsi="Courier New"/>
                <w:sz w:val="18"/>
                <w:szCs w:val="18"/>
                <w:color w:val="auto"/>
                <w:w w:val="98"/>
              </w:rPr>
              <w:t>CASH AND CASH EQUIVALENTS, beginning</w:t>
            </w:r>
          </w:p>
        </w:tc>
        <w:tc>
          <w:tcPr>
            <w:tcW w:w="1100" w:type="dxa"/>
            <w:vAlign w:val="bottom"/>
          </w:tcPr>
          <w:p>
            <w:pPr>
              <w:spacing w:after="0"/>
              <w:rPr>
                <w:sz w:val="24"/>
                <w:szCs w:val="24"/>
                <w:color w:val="auto"/>
              </w:rPr>
            </w:pP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1,550</w:t>
            </w:r>
          </w:p>
        </w:tc>
        <w:tc>
          <w:tcPr>
            <w:tcW w:w="900" w:type="dxa"/>
            <w:vAlign w:val="bottom"/>
          </w:tcPr>
          <w:p>
            <w:pPr>
              <w:spacing w:after="0"/>
              <w:rPr>
                <w:sz w:val="24"/>
                <w:szCs w:val="24"/>
                <w:color w:val="auto"/>
              </w:rPr>
            </w:pP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505</w:t>
            </w:r>
          </w:p>
        </w:tc>
        <w:tc>
          <w:tcPr>
            <w:tcW w:w="0" w:type="dxa"/>
            <w:vAlign w:val="bottom"/>
          </w:tcPr>
          <w:p>
            <w:pPr>
              <w:spacing w:after="0"/>
              <w:rPr>
                <w:sz w:val="1"/>
                <w:szCs w:val="1"/>
                <w:color w:val="auto"/>
              </w:rPr>
            </w:pPr>
          </w:p>
        </w:tc>
      </w:tr>
      <w:tr>
        <w:trPr>
          <w:trHeight w:val="296"/>
        </w:trPr>
        <w:tc>
          <w:tcPr>
            <w:tcW w:w="3860" w:type="dxa"/>
            <w:vAlign w:val="bottom"/>
          </w:tcPr>
          <w:p>
            <w:pPr>
              <w:ind w:left="120"/>
              <w:spacing w:after="0"/>
              <w:rPr>
                <w:sz w:val="20"/>
                <w:szCs w:val="20"/>
                <w:color w:val="auto"/>
              </w:rPr>
            </w:pPr>
            <w:r>
              <w:rPr>
                <w:rFonts w:ascii="Courier New" w:cs="Courier New" w:eastAsia="Courier New" w:hAnsi="Courier New"/>
                <w:sz w:val="18"/>
                <w:szCs w:val="18"/>
                <w:color w:val="auto"/>
              </w:rPr>
              <w:t>of period</w:t>
            </w:r>
          </w:p>
        </w:tc>
        <w:tc>
          <w:tcPr>
            <w:tcW w:w="110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860" w:type="dxa"/>
            <w:vAlign w:val="bottom"/>
          </w:tcPr>
          <w:p>
            <w:pPr>
              <w:spacing w:after="0"/>
              <w:rPr>
                <w:sz w:val="20"/>
                <w:szCs w:val="20"/>
                <w:color w:val="auto"/>
              </w:rPr>
            </w:pPr>
            <w:r>
              <w:rPr>
                <w:rFonts w:ascii="Courier New" w:cs="Courier New" w:eastAsia="Courier New" w:hAnsi="Courier New"/>
                <w:sz w:val="18"/>
                <w:szCs w:val="18"/>
                <w:color w:val="auto"/>
              </w:rPr>
              <w:t>CASH AND CASH EQUIVALENTS, end of</w:t>
            </w:r>
          </w:p>
        </w:tc>
        <w:tc>
          <w:tcPr>
            <w:tcW w:w="1100" w:type="dxa"/>
            <w:vAlign w:val="bottom"/>
          </w:tcPr>
          <w:p>
            <w:pPr>
              <w:spacing w:after="0"/>
              <w:rPr>
                <w:sz w:val="24"/>
                <w:szCs w:val="24"/>
                <w:color w:val="auto"/>
              </w:rPr>
            </w:pP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$717</w:t>
            </w:r>
          </w:p>
        </w:tc>
        <w:tc>
          <w:tcPr>
            <w:tcW w:w="900" w:type="dxa"/>
            <w:vAlign w:val="bottom"/>
          </w:tcPr>
          <w:p>
            <w:pPr>
              <w:spacing w:after="0"/>
              <w:rPr>
                <w:sz w:val="24"/>
                <w:szCs w:val="24"/>
                <w:color w:val="auto"/>
              </w:rPr>
            </w:pP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$3,245</w:t>
            </w:r>
          </w:p>
        </w:tc>
        <w:tc>
          <w:tcPr>
            <w:tcW w:w="0" w:type="dxa"/>
            <w:vAlign w:val="bottom"/>
          </w:tcPr>
          <w:p>
            <w:pPr>
              <w:spacing w:after="0"/>
              <w:rPr>
                <w:sz w:val="1"/>
                <w:szCs w:val="1"/>
                <w:color w:val="auto"/>
              </w:rPr>
            </w:pPr>
          </w:p>
        </w:tc>
      </w:tr>
      <w:tr>
        <w:trPr>
          <w:trHeight w:val="296"/>
        </w:trPr>
        <w:tc>
          <w:tcPr>
            <w:tcW w:w="3860" w:type="dxa"/>
            <w:vAlign w:val="bottom"/>
          </w:tcPr>
          <w:p>
            <w:pPr>
              <w:ind w:left="120"/>
              <w:spacing w:after="0"/>
              <w:rPr>
                <w:sz w:val="20"/>
                <w:szCs w:val="20"/>
                <w:color w:val="auto"/>
              </w:rPr>
            </w:pPr>
            <w:r>
              <w:rPr>
                <w:rFonts w:ascii="Courier New" w:cs="Courier New" w:eastAsia="Courier New" w:hAnsi="Courier New"/>
                <w:sz w:val="18"/>
                <w:szCs w:val="18"/>
                <w:color w:val="auto"/>
              </w:rPr>
              <w:t>period</w:t>
            </w:r>
          </w:p>
        </w:tc>
        <w:tc>
          <w:tcPr>
            <w:tcW w:w="110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960" w:type="dxa"/>
            <w:vAlign w:val="bottom"/>
            <w:gridSpan w:val="2"/>
          </w:tcPr>
          <w:p>
            <w:pPr>
              <w:jc w:val="center"/>
              <w:ind w:left="2652"/>
              <w:spacing w:after="0"/>
              <w:rPr>
                <w:sz w:val="20"/>
                <w:szCs w:val="20"/>
                <w:color w:val="auto"/>
              </w:rPr>
            </w:pPr>
            <w:r>
              <w:rPr>
                <w:rFonts w:ascii="Courier New" w:cs="Courier New" w:eastAsia="Courier New" w:hAnsi="Courier New"/>
                <w:sz w:val="18"/>
                <w:szCs w:val="18"/>
                <w:color w:val="auto"/>
                <w:w w:val="97"/>
              </w:rPr>
              <w:t>TABLE 4</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760" w:type="dxa"/>
            <w:vAlign w:val="bottom"/>
            <w:gridSpan w:val="4"/>
          </w:tcPr>
          <w:p>
            <w:pPr>
              <w:jc w:val="center"/>
              <w:ind w:left="872"/>
              <w:spacing w:after="0" w:line="203" w:lineRule="exact"/>
              <w:rPr>
                <w:sz w:val="20"/>
                <w:szCs w:val="20"/>
                <w:color w:val="auto"/>
              </w:rPr>
            </w:pPr>
            <w:r>
              <w:rPr>
                <w:rFonts w:ascii="Courier New" w:cs="Courier New" w:eastAsia="Courier New" w:hAnsi="Courier New"/>
                <w:sz w:val="18"/>
                <w:szCs w:val="18"/>
                <w:color w:val="auto"/>
                <w:w w:val="97"/>
              </w:rPr>
              <w:t>Calculation of Free Cash Flow (Unaudited)</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960" w:type="dxa"/>
            <w:vAlign w:val="bottom"/>
            <w:gridSpan w:val="2"/>
          </w:tcPr>
          <w:p>
            <w:pPr>
              <w:jc w:val="center"/>
              <w:ind w:left="2652"/>
              <w:spacing w:after="0"/>
              <w:rPr>
                <w:sz w:val="20"/>
                <w:szCs w:val="20"/>
                <w:color w:val="auto"/>
              </w:rPr>
            </w:pPr>
            <w:r>
              <w:rPr>
                <w:rFonts w:ascii="Courier New" w:cs="Courier New" w:eastAsia="Courier New" w:hAnsi="Courier New"/>
                <w:sz w:val="18"/>
                <w:szCs w:val="18"/>
                <w:color w:val="auto"/>
                <w:w w:val="97"/>
              </w:rPr>
              <w:t>(dollars in millions)</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860" w:type="dxa"/>
            <w:vAlign w:val="bottom"/>
          </w:tcPr>
          <w:p>
            <w:pPr>
              <w:spacing w:after="0"/>
              <w:rPr>
                <w:sz w:val="24"/>
                <w:szCs w:val="24"/>
                <w:color w:val="auto"/>
              </w:rPr>
            </w:pPr>
          </w:p>
        </w:tc>
        <w:tc>
          <w:tcPr>
            <w:tcW w:w="3940" w:type="dxa"/>
            <w:vAlign w:val="bottom"/>
            <w:gridSpan w:val="4"/>
          </w:tcPr>
          <w:p>
            <w:pPr>
              <w:jc w:val="right"/>
              <w:ind w:right="12"/>
              <w:spacing w:after="0"/>
              <w:rPr>
                <w:sz w:val="20"/>
                <w:szCs w:val="20"/>
                <w:color w:val="auto"/>
              </w:rPr>
            </w:pPr>
            <w:r>
              <w:rPr>
                <w:rFonts w:ascii="Courier New" w:cs="Courier New" w:eastAsia="Courier New" w:hAnsi="Courier New"/>
                <w:sz w:val="18"/>
                <w:szCs w:val="18"/>
                <w:color w:val="auto"/>
                <w:w w:val="98"/>
              </w:rPr>
              <w:t>Three Months Ended Nine Months Ended</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17"/>
                <w:szCs w:val="17"/>
                <w:color w:val="auto"/>
              </w:rPr>
            </w:pPr>
          </w:p>
        </w:tc>
        <w:tc>
          <w:tcPr>
            <w:tcW w:w="200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September 30,</w:t>
            </w:r>
          </w:p>
        </w:tc>
        <w:tc>
          <w:tcPr>
            <w:tcW w:w="19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September 30,</w:t>
            </w:r>
          </w:p>
        </w:tc>
        <w:tc>
          <w:tcPr>
            <w:tcW w:w="0" w:type="dxa"/>
            <w:vAlign w:val="bottom"/>
          </w:tcPr>
          <w:p>
            <w:pPr>
              <w:spacing w:after="0"/>
              <w:rPr>
                <w:sz w:val="1"/>
                <w:szCs w:val="1"/>
                <w:color w:val="auto"/>
              </w:rPr>
            </w:pPr>
          </w:p>
        </w:tc>
      </w:tr>
      <w:tr>
        <w:trPr>
          <w:trHeight w:val="203"/>
        </w:trPr>
        <w:tc>
          <w:tcPr>
            <w:tcW w:w="3860" w:type="dxa"/>
            <w:vAlign w:val="bottom"/>
            <w:vMerge w:val="restart"/>
          </w:tcPr>
          <w:p>
            <w:pPr>
              <w:spacing w:after="0"/>
              <w:rPr>
                <w:sz w:val="20"/>
                <w:szCs w:val="20"/>
                <w:color w:val="auto"/>
              </w:rPr>
            </w:pPr>
            <w:r>
              <w:rPr>
                <w:rFonts w:ascii="Courier New" w:cs="Courier New" w:eastAsia="Courier New" w:hAnsi="Courier New"/>
                <w:sz w:val="18"/>
                <w:szCs w:val="18"/>
                <w:color w:val="auto"/>
              </w:rPr>
              <w:t>Operating Cash Flow</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2004</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2003</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2004</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2003</w:t>
            </w:r>
          </w:p>
        </w:tc>
        <w:tc>
          <w:tcPr>
            <w:tcW w:w="0" w:type="dxa"/>
            <w:vAlign w:val="bottom"/>
          </w:tcPr>
          <w:p>
            <w:pPr>
              <w:spacing w:after="0"/>
              <w:rPr>
                <w:sz w:val="1"/>
                <w:szCs w:val="1"/>
                <w:color w:val="auto"/>
              </w:rPr>
            </w:pPr>
          </w:p>
        </w:tc>
      </w:tr>
      <w:tr>
        <w:trPr>
          <w:trHeight w:val="203"/>
        </w:trPr>
        <w:tc>
          <w:tcPr>
            <w:tcW w:w="3860" w:type="dxa"/>
            <w:vAlign w:val="bottom"/>
            <w:vMerge w:val="continue"/>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1,860</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2"/>
              </w:rPr>
              <w:t>1,632</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5,545</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4,672</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Net (1)</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403</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559</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1,309</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1,627</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paid for Income Taxes</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39</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14</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189</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67</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Expenditures</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878</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2"/>
              </w:rPr>
              <w:t>1,081</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2,610</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3,093</w:t>
            </w:r>
          </w:p>
        </w:tc>
        <w:tc>
          <w:tcPr>
            <w:tcW w:w="0" w:type="dxa"/>
            <w:vAlign w:val="bottom"/>
          </w:tcPr>
          <w:p>
            <w:pPr>
              <w:spacing w:after="0"/>
              <w:rPr>
                <w:sz w:val="1"/>
                <w:szCs w:val="1"/>
                <w:color w:val="auto"/>
              </w:rPr>
            </w:pPr>
          </w:p>
        </w:tc>
      </w:tr>
      <w:tr>
        <w:trPr>
          <w:trHeight w:val="296"/>
        </w:trPr>
        <w:tc>
          <w:tcPr>
            <w:tcW w:w="3860" w:type="dxa"/>
            <w:vAlign w:val="bottom"/>
          </w:tcPr>
          <w:p>
            <w:pPr>
              <w:spacing w:after="0"/>
              <w:rPr>
                <w:sz w:val="20"/>
                <w:szCs w:val="20"/>
                <w:color w:val="auto"/>
              </w:rPr>
            </w:pPr>
            <w:r>
              <w:rPr>
                <w:rFonts w:ascii="Courier New" w:cs="Courier New" w:eastAsia="Courier New" w:hAnsi="Courier New"/>
                <w:sz w:val="18"/>
                <w:szCs w:val="18"/>
                <w:color w:val="auto"/>
              </w:rPr>
              <w:t>Free Cash Flow (2)</w:t>
            </w:r>
          </w:p>
        </w:tc>
        <w:tc>
          <w:tcPr>
            <w:tcW w:w="1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$540</w:t>
            </w:r>
          </w:p>
        </w:tc>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($22)</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$1,437</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($115)</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540" w:right="2319" w:hanging="531"/>
        <w:spacing w:after="0" w:line="347"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interest expense net of interest income and excludes non-cash interest and subsidiary preferred dividends.</w:t>
      </w:r>
    </w:p>
    <w:p>
      <w:pPr>
        <w:spacing w:after="0" w:line="18" w:lineRule="exact"/>
        <w:rPr>
          <w:rFonts w:ascii="Courier New" w:cs="Courier New" w:eastAsia="Courier New" w:hAnsi="Courier New"/>
          <w:sz w:val="18"/>
          <w:szCs w:val="18"/>
          <w:color w:val="auto"/>
        </w:rPr>
      </w:pPr>
    </w:p>
    <w:p>
      <w:pPr>
        <w:ind w:left="540" w:right="2099" w:hanging="531"/>
        <w:spacing w:after="0" w:line="276" w:lineRule="auto"/>
        <w:tabs>
          <w:tab w:leader="none" w:pos="5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Excludes items necessary to reconcile Free Cash Flow to Net Cash Provided By Operating Activities less capital expenditures. These items amounted to $384 million and ($251) million for the three months ended September 30, 2004 and 2003 and $388 million and ($459) million for the nine months ended September 30, 2004 and 2003.</w:t>
      </w:r>
    </w:p>
    <w:p>
      <w:pPr>
        <w:spacing w:after="0" w:line="2"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These items are highlighted in footnotes 4 and 5 on Table 7-B.</w:t>
      </w:r>
    </w:p>
    <w:p>
      <w:pPr>
        <w:spacing w:after="0" w:line="169"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COMCAST CORPORATION</w:t>
      </w:r>
    </w:p>
    <w:p>
      <w:pPr>
        <w:spacing w:after="0" w:line="29"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TABLE 5</w:t>
      </w:r>
    </w:p>
    <w:p>
      <w:pPr>
        <w:jc w:val="center"/>
        <w:ind w:right="2199"/>
        <w:spacing w:after="0" w:line="238" w:lineRule="auto"/>
        <w:rPr>
          <w:sz w:val="20"/>
          <w:szCs w:val="20"/>
          <w:color w:val="auto"/>
        </w:rPr>
      </w:pPr>
      <w:r>
        <w:rPr>
          <w:rFonts w:ascii="Courier New" w:cs="Courier New" w:eastAsia="Courier New" w:hAnsi="Courier New"/>
          <w:sz w:val="18"/>
          <w:szCs w:val="18"/>
          <w:color w:val="auto"/>
        </w:rPr>
        <w:t>Pro Forma Financial Data by Business Segment (Unaudited) (1)</w:t>
      </w:r>
    </w:p>
    <w:p>
      <w:pPr>
        <w:jc w:val="center"/>
        <w:ind w:right="2099"/>
        <w:spacing w:after="0"/>
        <w:rPr>
          <w:sz w:val="20"/>
          <w:szCs w:val="20"/>
          <w:color w:val="auto"/>
        </w:rPr>
      </w:pPr>
      <w:r>
        <w:rPr>
          <w:rFonts w:ascii="Courier New" w:cs="Courier New" w:eastAsia="Courier New" w:hAnsi="Courier New"/>
          <w:sz w:val="18"/>
          <w:szCs w:val="18"/>
          <w:color w:val="auto"/>
        </w:rPr>
        <w:t>(dollars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4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rPr>
              <w:t>Corporate</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Content</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and</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Cable (2)</w:t>
            </w:r>
          </w:p>
        </w:tc>
        <w:tc>
          <w:tcPr>
            <w:tcW w:w="840" w:type="dxa"/>
            <w:vAlign w:val="bottom"/>
            <w:vMerge w:val="continue"/>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Other</w:t>
            </w:r>
          </w:p>
        </w:tc>
        <w:tc>
          <w:tcPr>
            <w:tcW w:w="8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Total</w:t>
            </w:r>
          </w:p>
        </w:tc>
        <w:tc>
          <w:tcPr>
            <w:tcW w:w="0" w:type="dxa"/>
            <w:vAlign w:val="bottom"/>
          </w:tcPr>
          <w:p>
            <w:pPr>
              <w:spacing w:after="0"/>
              <w:rPr>
                <w:sz w:val="1"/>
                <w:szCs w:val="1"/>
                <w:color w:val="auto"/>
              </w:rPr>
            </w:pPr>
          </w:p>
        </w:tc>
      </w:tr>
      <w:tr>
        <w:trPr>
          <w:trHeight w:val="296"/>
        </w:trPr>
        <w:tc>
          <w:tcPr>
            <w:tcW w:w="4020" w:type="dxa"/>
            <w:vAlign w:val="bottom"/>
            <w:vMerge w:val="restart"/>
          </w:tcPr>
          <w:p>
            <w:pPr>
              <w:spacing w:after="0"/>
              <w:rPr>
                <w:sz w:val="20"/>
                <w:szCs w:val="20"/>
                <w:color w:val="auto"/>
              </w:rPr>
            </w:pPr>
            <w:r>
              <w:rPr>
                <w:rFonts w:ascii="Courier New" w:cs="Courier New" w:eastAsia="Courier New" w:hAnsi="Courier New"/>
                <w:sz w:val="18"/>
                <w:szCs w:val="18"/>
                <w:color w:val="auto"/>
              </w:rPr>
              <w:t>Three Months Ended September 30, 2004</w:t>
            </w:r>
          </w:p>
        </w:tc>
        <w:tc>
          <w:tcPr>
            <w:tcW w:w="1100" w:type="dxa"/>
            <w:vAlign w:val="bottom"/>
            <w:vMerge w:val="continue"/>
          </w:tcPr>
          <w:p>
            <w:pPr>
              <w:spacing w:after="0"/>
              <w:rPr>
                <w:sz w:val="24"/>
                <w:szCs w:val="24"/>
                <w:color w:val="auto"/>
              </w:rPr>
            </w:pPr>
          </w:p>
        </w:tc>
        <w:tc>
          <w:tcPr>
            <w:tcW w:w="8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w:t>
            </w:r>
          </w:p>
        </w:tc>
        <w:tc>
          <w:tcPr>
            <w:tcW w:w="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w:t>
            </w:r>
          </w:p>
        </w:tc>
        <w:tc>
          <w:tcPr>
            <w:tcW w:w="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020" w:type="dxa"/>
            <w:vAlign w:val="bottom"/>
            <w:vMerge w:val="continue"/>
          </w:tcPr>
          <w:p>
            <w:pPr>
              <w:spacing w:after="0"/>
              <w:rPr>
                <w:sz w:val="9"/>
                <w:szCs w:val="9"/>
                <w:color w:val="auto"/>
              </w:rPr>
            </w:pPr>
          </w:p>
        </w:tc>
        <w:tc>
          <w:tcPr>
            <w:tcW w:w="11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$4,844</w:t>
            </w:r>
          </w:p>
        </w:tc>
        <w:tc>
          <w:tcPr>
            <w:tcW w:w="84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$207</w:t>
            </w:r>
          </w:p>
        </w:tc>
        <w:tc>
          <w:tcPr>
            <w:tcW w:w="8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$47</w:t>
            </w: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$5,098</w:t>
            </w:r>
          </w:p>
        </w:tc>
        <w:tc>
          <w:tcPr>
            <w:tcW w:w="0" w:type="dxa"/>
            <w:vAlign w:val="bottom"/>
          </w:tcPr>
          <w:p>
            <w:pPr>
              <w:spacing w:after="0"/>
              <w:rPr>
                <w:sz w:val="1"/>
                <w:szCs w:val="1"/>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110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Cash Flow</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$1,858</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$62</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$1,860</w:t>
            </w:r>
          </w:p>
        </w:tc>
        <w:tc>
          <w:tcPr>
            <w:tcW w:w="0" w:type="dxa"/>
            <w:vAlign w:val="bottom"/>
          </w:tcPr>
          <w:p>
            <w:pPr>
              <w:spacing w:after="0"/>
              <w:rPr>
                <w:sz w:val="1"/>
                <w:szCs w:val="1"/>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 (Loss)</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$746</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$686</w:t>
            </w:r>
          </w:p>
        </w:tc>
        <w:tc>
          <w:tcPr>
            <w:tcW w:w="0" w:type="dxa"/>
            <w:vAlign w:val="bottom"/>
          </w:tcPr>
          <w:p>
            <w:pPr>
              <w:spacing w:after="0"/>
              <w:rPr>
                <w:sz w:val="1"/>
                <w:szCs w:val="1"/>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Cash Flow Margin</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38.4%</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30.2%</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NM</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36.5%</w:t>
            </w:r>
          </w:p>
        </w:tc>
        <w:tc>
          <w:tcPr>
            <w:tcW w:w="0" w:type="dxa"/>
            <w:vAlign w:val="bottom"/>
          </w:tcPr>
          <w:p>
            <w:pPr>
              <w:spacing w:after="0"/>
              <w:rPr>
                <w:sz w:val="1"/>
                <w:szCs w:val="1"/>
                <w:color w:val="auto"/>
              </w:rPr>
            </w:pPr>
          </w:p>
        </w:tc>
      </w:tr>
      <w:tr>
        <w:trPr>
          <w:trHeight w:val="296"/>
        </w:trPr>
        <w:tc>
          <w:tcPr>
            <w:tcW w:w="4020" w:type="dxa"/>
            <w:vAlign w:val="bottom"/>
          </w:tcPr>
          <w:p>
            <w:pPr>
              <w:spacing w:after="0"/>
              <w:rPr>
                <w:sz w:val="20"/>
                <w:szCs w:val="20"/>
                <w:color w:val="auto"/>
              </w:rPr>
            </w:pPr>
            <w:r>
              <w:rPr>
                <w:rFonts w:ascii="Courier New" w:cs="Courier New" w:eastAsia="Courier New" w:hAnsi="Courier New"/>
                <w:sz w:val="18"/>
                <w:szCs w:val="18"/>
                <w:color w:val="auto"/>
              </w:rPr>
              <w:t>Capital Expenditures (5)</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$871</w:t>
            </w:r>
          </w:p>
        </w:tc>
        <w:tc>
          <w:tcPr>
            <w:tcW w:w="8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w:t>
            </w:r>
          </w:p>
        </w:tc>
        <w:tc>
          <w:tcPr>
            <w:tcW w:w="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$878</w:t>
            </w:r>
          </w:p>
        </w:tc>
        <w:tc>
          <w:tcPr>
            <w:tcW w:w="0" w:type="dxa"/>
            <w:vAlign w:val="bottom"/>
          </w:tcPr>
          <w:p>
            <w:pPr>
              <w:spacing w:after="0"/>
              <w:rPr>
                <w:sz w:val="1"/>
                <w:szCs w:val="1"/>
                <w:color w:val="auto"/>
              </w:rPr>
            </w:pPr>
          </w:p>
        </w:tc>
      </w:tr>
      <w:tr>
        <w:trPr>
          <w:trHeight w:val="311"/>
        </w:trPr>
        <w:tc>
          <w:tcPr>
            <w:tcW w:w="4020" w:type="dxa"/>
            <w:vAlign w:val="bottom"/>
          </w:tcPr>
          <w:p>
            <w:pPr>
              <w:spacing w:after="0"/>
              <w:rPr>
                <w:sz w:val="20"/>
                <w:szCs w:val="20"/>
                <w:color w:val="auto"/>
              </w:rPr>
            </w:pPr>
            <w:r>
              <w:rPr>
                <w:rFonts w:ascii="Courier New" w:cs="Courier New" w:eastAsia="Courier New" w:hAnsi="Courier New"/>
                <w:sz w:val="18"/>
                <w:szCs w:val="18"/>
                <w:color w:val="auto"/>
              </w:rPr>
              <w:t>Three Months Ended September 30, 2003</w:t>
            </w:r>
          </w:p>
        </w:tc>
        <w:tc>
          <w:tcPr>
            <w:tcW w:w="11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$4,378</w:t>
            </w:r>
          </w:p>
        </w:tc>
        <w:tc>
          <w:tcPr>
            <w:tcW w:w="84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$158</w:t>
            </w:r>
          </w:p>
        </w:tc>
        <w:tc>
          <w:tcPr>
            <w:tcW w:w="8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$14</w:t>
            </w: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$4,550</w:t>
            </w:r>
          </w:p>
        </w:tc>
        <w:tc>
          <w:tcPr>
            <w:tcW w:w="0" w:type="dxa"/>
            <w:vAlign w:val="bottom"/>
          </w:tcPr>
          <w:p>
            <w:pPr>
              <w:spacing w:after="0"/>
              <w:rPr>
                <w:sz w:val="1"/>
                <w:szCs w:val="1"/>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110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Cash Flow</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$1,622</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$58</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($46)</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$1,634</w:t>
            </w:r>
          </w:p>
        </w:tc>
        <w:tc>
          <w:tcPr>
            <w:tcW w:w="0" w:type="dxa"/>
            <w:vAlign w:val="bottom"/>
          </w:tcPr>
          <w:p>
            <w:pPr>
              <w:spacing w:after="0"/>
              <w:rPr>
                <w:sz w:val="1"/>
                <w:szCs w:val="1"/>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 (Loss)</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$536</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($67)</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$495</w:t>
            </w:r>
          </w:p>
        </w:tc>
        <w:tc>
          <w:tcPr>
            <w:tcW w:w="0" w:type="dxa"/>
            <w:vAlign w:val="bottom"/>
          </w:tcPr>
          <w:p>
            <w:pPr>
              <w:spacing w:after="0"/>
              <w:rPr>
                <w:sz w:val="1"/>
                <w:szCs w:val="1"/>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Cash Flow Margin</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37.1%</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36.9%</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NM</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35.9%</w:t>
            </w:r>
          </w:p>
        </w:tc>
        <w:tc>
          <w:tcPr>
            <w:tcW w:w="0" w:type="dxa"/>
            <w:vAlign w:val="bottom"/>
          </w:tcPr>
          <w:p>
            <w:pPr>
              <w:spacing w:after="0"/>
              <w:rPr>
                <w:sz w:val="1"/>
                <w:szCs w:val="1"/>
                <w:color w:val="auto"/>
              </w:rPr>
            </w:pPr>
          </w:p>
        </w:tc>
      </w:tr>
      <w:tr>
        <w:trPr>
          <w:trHeight w:val="296"/>
        </w:trPr>
        <w:tc>
          <w:tcPr>
            <w:tcW w:w="4020" w:type="dxa"/>
            <w:vAlign w:val="bottom"/>
          </w:tcPr>
          <w:p>
            <w:pPr>
              <w:spacing w:after="0"/>
              <w:rPr>
                <w:sz w:val="20"/>
                <w:szCs w:val="20"/>
                <w:color w:val="auto"/>
              </w:rPr>
            </w:pPr>
            <w:r>
              <w:rPr>
                <w:rFonts w:ascii="Courier New" w:cs="Courier New" w:eastAsia="Courier New" w:hAnsi="Courier New"/>
                <w:sz w:val="18"/>
                <w:szCs w:val="18"/>
                <w:color w:val="auto"/>
              </w:rPr>
              <w:t>Capital Expenditures (5)</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$1,045</w:t>
            </w:r>
          </w:p>
        </w:tc>
        <w:tc>
          <w:tcPr>
            <w:tcW w:w="8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w:t>
            </w:r>
          </w:p>
        </w:tc>
        <w:tc>
          <w:tcPr>
            <w:tcW w:w="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$33</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$1,081</w:t>
            </w:r>
          </w:p>
        </w:tc>
        <w:tc>
          <w:tcPr>
            <w:tcW w:w="0" w:type="dxa"/>
            <w:vAlign w:val="bottom"/>
          </w:tcPr>
          <w:p>
            <w:pPr>
              <w:spacing w:after="0"/>
              <w:rPr>
                <w:sz w:val="1"/>
                <w:szCs w:val="1"/>
                <w:color w:val="auto"/>
              </w:rPr>
            </w:pPr>
          </w:p>
        </w:tc>
      </w:tr>
      <w:tr>
        <w:trPr>
          <w:trHeight w:val="311"/>
        </w:trPr>
        <w:tc>
          <w:tcPr>
            <w:tcW w:w="4020" w:type="dxa"/>
            <w:vAlign w:val="bottom"/>
          </w:tcPr>
          <w:p>
            <w:pPr>
              <w:spacing w:after="0"/>
              <w:rPr>
                <w:sz w:val="20"/>
                <w:szCs w:val="20"/>
                <w:color w:val="auto"/>
              </w:rPr>
            </w:pPr>
            <w:r>
              <w:rPr>
                <w:rFonts w:ascii="Courier New" w:cs="Courier New" w:eastAsia="Courier New" w:hAnsi="Courier New"/>
                <w:sz w:val="18"/>
                <w:szCs w:val="18"/>
                <w:color w:val="auto"/>
              </w:rPr>
              <w:t>Nine Months Ended September 30, 2004</w:t>
            </w:r>
          </w:p>
        </w:tc>
        <w:tc>
          <w:tcPr>
            <w:tcW w:w="11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$14,334</w:t>
            </w:r>
          </w:p>
        </w:tc>
        <w:tc>
          <w:tcPr>
            <w:tcW w:w="84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$582</w:t>
            </w:r>
          </w:p>
        </w:tc>
        <w:tc>
          <w:tcPr>
            <w:tcW w:w="8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$161</w:t>
            </w: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$15,077</w:t>
            </w:r>
          </w:p>
        </w:tc>
        <w:tc>
          <w:tcPr>
            <w:tcW w:w="0" w:type="dxa"/>
            <w:vAlign w:val="bottom"/>
          </w:tcPr>
          <w:p>
            <w:pPr>
              <w:spacing w:after="0"/>
              <w:rPr>
                <w:sz w:val="1"/>
                <w:szCs w:val="1"/>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110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Cash Flow</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$5,499</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$208</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$5,547</w:t>
            </w:r>
          </w:p>
        </w:tc>
        <w:tc>
          <w:tcPr>
            <w:tcW w:w="0" w:type="dxa"/>
            <w:vAlign w:val="bottom"/>
          </w:tcPr>
          <w:p>
            <w:pPr>
              <w:spacing w:after="0"/>
              <w:rPr>
                <w:sz w:val="1"/>
                <w:szCs w:val="1"/>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 (Loss)</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$2,327</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$92</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$2,199</w:t>
            </w:r>
          </w:p>
        </w:tc>
        <w:tc>
          <w:tcPr>
            <w:tcW w:w="0" w:type="dxa"/>
            <w:vAlign w:val="bottom"/>
          </w:tcPr>
          <w:p>
            <w:pPr>
              <w:spacing w:after="0"/>
              <w:rPr>
                <w:sz w:val="1"/>
                <w:szCs w:val="1"/>
                <w:color w:val="auto"/>
              </w:rPr>
            </w:pPr>
          </w:p>
        </w:tc>
      </w:tr>
      <w:tr>
        <w:trPr>
          <w:trHeight w:val="296"/>
        </w:trPr>
        <w:tc>
          <w:tcPr>
            <w:tcW w:w="4020" w:type="dxa"/>
            <w:vAlign w:val="bottom"/>
          </w:tcPr>
          <w:p>
            <w:pPr>
              <w:spacing w:after="0"/>
              <w:rPr>
                <w:sz w:val="20"/>
                <w:szCs w:val="20"/>
                <w:color w:val="auto"/>
              </w:rPr>
            </w:pPr>
            <w:r>
              <w:rPr>
                <w:rFonts w:ascii="Courier New" w:cs="Courier New" w:eastAsia="Courier New" w:hAnsi="Courier New"/>
                <w:sz w:val="18"/>
                <w:szCs w:val="18"/>
                <w:color w:val="auto"/>
              </w:rPr>
              <w:t>Operating Cash Flow Margin</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38.4%</w:t>
            </w:r>
          </w:p>
        </w:tc>
        <w:tc>
          <w:tcPr>
            <w:tcW w:w="8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35.8%</w:t>
            </w:r>
          </w:p>
        </w:tc>
        <w:tc>
          <w:tcPr>
            <w:tcW w:w="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NM</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36.8%</w:t>
            </w:r>
          </w:p>
        </w:tc>
        <w:tc>
          <w:tcPr>
            <w:tcW w:w="0" w:type="dxa"/>
            <w:vAlign w:val="bottom"/>
          </w:tcPr>
          <w:p>
            <w:pPr>
              <w:spacing w:after="0"/>
              <w:rPr>
                <w:sz w:val="1"/>
                <w:szCs w:val="1"/>
                <w:color w:val="auto"/>
              </w:rPr>
            </w:pPr>
          </w:p>
        </w:tc>
      </w:tr>
    </w:tbl>
    <w:p>
      <w:pPr>
        <w:sectPr>
          <w:pgSz w:w="11900" w:h="16838" w:orient="portrait"/>
          <w:cols w:equalWidth="0" w:num="1">
            <w:col w:w="9799"/>
          </w:cols>
          <w:pgMar w:left="660" w:top="108" w:right="1440" w:bottom="0" w:gutter="0" w:footer="0" w:header="0"/>
        </w:sectPr>
      </w:pPr>
    </w:p>
    <w:bookmarkStart w:id="8" w:name="page9"/>
    <w:bookmarkEnd w:id="8"/>
    <w:p>
      <w:pPr>
        <w:spacing w:after="0" w:line="1" w:lineRule="exact"/>
        <w:rPr>
          <w:sz w:val="20"/>
          <w:szCs w:val="20"/>
          <w:color w:val="auto"/>
        </w:rPr>
      </w:pPr>
    </w:p>
    <w:tbl>
      <w:tblPr>
        <w:tblLayout w:type="fixed"/>
        <w:tblInd w:w="420" w:type="dxa"/>
        <w:tblCellMar>
          <w:top w:w="0" w:type="dxa"/>
          <w:left w:w="0" w:type="dxa"/>
          <w:bottom w:w="0" w:type="dxa"/>
          <w:right w:w="0" w:type="dxa"/>
        </w:tblCellMar>
      </w:tblPr>
      <w:tr>
        <w:trPr>
          <w:trHeight w:val="296"/>
        </w:trPr>
        <w:tc>
          <w:tcPr>
            <w:tcW w:w="3960" w:type="dxa"/>
            <w:vAlign w:val="bottom"/>
          </w:tcPr>
          <w:p>
            <w:pPr>
              <w:spacing w:after="0"/>
              <w:rPr>
                <w:sz w:val="20"/>
                <w:szCs w:val="20"/>
                <w:color w:val="auto"/>
              </w:rPr>
            </w:pPr>
            <w:r>
              <w:rPr>
                <w:rFonts w:ascii="Courier New" w:cs="Courier New" w:eastAsia="Courier New" w:hAnsi="Courier New"/>
                <w:sz w:val="18"/>
                <w:szCs w:val="18"/>
                <w:color w:val="auto"/>
              </w:rPr>
              <w:t>Capital Expenditures (5)</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$2,578</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$14</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$18</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$2,610</w:t>
            </w:r>
          </w:p>
        </w:tc>
        <w:tc>
          <w:tcPr>
            <w:tcW w:w="0" w:type="dxa"/>
            <w:vAlign w:val="bottom"/>
          </w:tcPr>
          <w:p>
            <w:pPr>
              <w:spacing w:after="0"/>
              <w:rPr>
                <w:sz w:val="1"/>
                <w:szCs w:val="1"/>
                <w:color w:val="auto"/>
              </w:rPr>
            </w:pPr>
          </w:p>
        </w:tc>
      </w:tr>
      <w:tr>
        <w:trPr>
          <w:trHeight w:val="311"/>
        </w:trPr>
        <w:tc>
          <w:tcPr>
            <w:tcW w:w="3960" w:type="dxa"/>
            <w:vAlign w:val="bottom"/>
          </w:tcPr>
          <w:p>
            <w:pPr>
              <w:spacing w:after="0"/>
              <w:rPr>
                <w:sz w:val="20"/>
                <w:szCs w:val="20"/>
                <w:color w:val="auto"/>
              </w:rPr>
            </w:pPr>
            <w:r>
              <w:rPr>
                <w:rFonts w:ascii="Courier New" w:cs="Courier New" w:eastAsia="Courier New" w:hAnsi="Courier New"/>
                <w:sz w:val="18"/>
                <w:szCs w:val="18"/>
                <w:color w:val="auto"/>
              </w:rPr>
              <w:t>Nine Months Ended September 30, 2003</w:t>
            </w:r>
          </w:p>
        </w:tc>
        <w:tc>
          <w:tcPr>
            <w:tcW w:w="10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$12,995</w:t>
            </w:r>
          </w:p>
        </w:tc>
        <w:tc>
          <w:tcPr>
            <w:tcW w:w="8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$462</w:t>
            </w:r>
          </w:p>
        </w:tc>
        <w:tc>
          <w:tcPr>
            <w:tcW w:w="9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$159</w:t>
            </w: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$13,616</w:t>
            </w:r>
          </w:p>
        </w:tc>
        <w:tc>
          <w:tcPr>
            <w:tcW w:w="0" w:type="dxa"/>
            <w:vAlign w:val="bottom"/>
          </w:tcPr>
          <w:p>
            <w:pPr>
              <w:spacing w:after="0"/>
              <w:rPr>
                <w:sz w:val="1"/>
                <w:szCs w:val="1"/>
                <w:color w:val="auto"/>
              </w:rPr>
            </w:pP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106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Cash Flow</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$4,643</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$155</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($121)</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$4,677</w:t>
            </w:r>
          </w:p>
        </w:tc>
        <w:tc>
          <w:tcPr>
            <w:tcW w:w="0" w:type="dxa"/>
            <w:vAlign w:val="bottom"/>
          </w:tcPr>
          <w:p>
            <w:pPr>
              <w:spacing w:after="0"/>
              <w:rPr>
                <w:sz w:val="1"/>
                <w:szCs w:val="1"/>
                <w:color w:val="auto"/>
              </w:rPr>
            </w:pP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 (Loss)</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$1,344</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$59</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($186)</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$1,217</w:t>
            </w:r>
          </w:p>
        </w:tc>
        <w:tc>
          <w:tcPr>
            <w:tcW w:w="0" w:type="dxa"/>
            <w:vAlign w:val="bottom"/>
          </w:tcPr>
          <w:p>
            <w:pPr>
              <w:spacing w:after="0"/>
              <w:rPr>
                <w:sz w:val="1"/>
                <w:szCs w:val="1"/>
                <w:color w:val="auto"/>
              </w:rPr>
            </w:pP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Cash Flow Margin</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35.7%</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33.6%</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NM</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34.3%</w:t>
            </w:r>
          </w:p>
        </w:tc>
        <w:tc>
          <w:tcPr>
            <w:tcW w:w="0" w:type="dxa"/>
            <w:vAlign w:val="bottom"/>
          </w:tcPr>
          <w:p>
            <w:pPr>
              <w:spacing w:after="0"/>
              <w:rPr>
                <w:sz w:val="1"/>
                <w:szCs w:val="1"/>
                <w:color w:val="auto"/>
              </w:rPr>
            </w:pPr>
          </w:p>
        </w:tc>
      </w:tr>
      <w:tr>
        <w:trPr>
          <w:trHeight w:val="296"/>
        </w:trPr>
        <w:tc>
          <w:tcPr>
            <w:tcW w:w="3960" w:type="dxa"/>
            <w:vAlign w:val="bottom"/>
          </w:tcPr>
          <w:p>
            <w:pPr>
              <w:spacing w:after="0"/>
              <w:rPr>
                <w:sz w:val="20"/>
                <w:szCs w:val="20"/>
                <w:color w:val="auto"/>
              </w:rPr>
            </w:pPr>
            <w:r>
              <w:rPr>
                <w:rFonts w:ascii="Courier New" w:cs="Courier New" w:eastAsia="Courier New" w:hAnsi="Courier New"/>
                <w:sz w:val="18"/>
                <w:szCs w:val="18"/>
                <w:color w:val="auto"/>
              </w:rPr>
              <w:t>Capital Expenditures (5)</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$3,045</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$38</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$3,093</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960" w:right="2199" w:hanging="531"/>
        <w:spacing w:after="0" w:line="306" w:lineRule="auto"/>
        <w:tabs>
          <w:tab w:leader="none" w:pos="9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Non-GAAP and Other Financial Measures in Table 7. Historical financial data by business segment, as required under generally accepted accounting principles, is available in the Company's quarterly report on Form 10-Q. All percentages are calculated based on actual amounts. Minor differences may exist due to rounding.</w:t>
      </w:r>
    </w:p>
    <w:p>
      <w:pPr>
        <w:spacing w:after="0" w:line="60" w:lineRule="exact"/>
        <w:rPr>
          <w:rFonts w:ascii="Courier New" w:cs="Courier New" w:eastAsia="Courier New" w:hAnsi="Courier New"/>
          <w:sz w:val="16"/>
          <w:szCs w:val="16"/>
          <w:color w:val="auto"/>
        </w:rPr>
      </w:pPr>
    </w:p>
    <w:p>
      <w:pPr>
        <w:ind w:left="960" w:right="1999" w:hanging="531"/>
        <w:spacing w:after="0" w:line="256"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financial data excludes the results of the 314,000 cable subscribers sold to Bresnan Communications in March 2003 and excludes the results of the net reduction of 16,000 subscribers associated with the cable system exchange with Insight Communications in February 2003. Pro forma financial data includes the results of the 30,000 cable subscribers acquired from US Coastal Cable in April 2004.</w:t>
      </w:r>
    </w:p>
    <w:p>
      <w:pPr>
        <w:spacing w:after="0" w:line="98" w:lineRule="exact"/>
        <w:rPr>
          <w:rFonts w:ascii="Courier New" w:cs="Courier New" w:eastAsia="Courier New" w:hAnsi="Courier New"/>
          <w:sz w:val="18"/>
          <w:szCs w:val="18"/>
          <w:color w:val="auto"/>
        </w:rPr>
      </w:pPr>
    </w:p>
    <w:p>
      <w:pPr>
        <w:ind w:left="960" w:right="2319" w:hanging="531"/>
        <w:spacing w:after="0" w:line="344" w:lineRule="auto"/>
        <w:tabs>
          <w:tab w:leader="none" w:pos="9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Content includes our national networks E! Entertainment Television and Style Network (E! Networks), The Golf Channel, Outdoor Life Network, G4techTV and International Channel Networks.</w:t>
      </w:r>
    </w:p>
    <w:p>
      <w:pPr>
        <w:spacing w:after="0" w:line="30" w:lineRule="exact"/>
        <w:rPr>
          <w:rFonts w:ascii="Courier New" w:cs="Courier New" w:eastAsia="Courier New" w:hAnsi="Courier New"/>
          <w:sz w:val="16"/>
          <w:szCs w:val="16"/>
          <w:color w:val="auto"/>
        </w:rPr>
      </w:pPr>
    </w:p>
    <w:p>
      <w:pPr>
        <w:ind w:left="960" w:right="1999" w:hanging="531"/>
        <w:spacing w:after="0" w:line="252"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and Other includes Comcast-Spectacor, the Company's domestic wireline telecommunications business, international wireless operations, Corporate and elimination entries. Prior to the first quarter of 2004, Comcast-Spectacor was included in Content, which now only consists of our national networks. For all periods presented, Comcast-Spectacor is included in Corporate and Other. In addition, beginning in the third quarter of 2004, Comcast-Spectacor includes the operating results of its investment in a sports-event related business.</w:t>
      </w:r>
    </w:p>
    <w:p>
      <w:pPr>
        <w:spacing w:after="0" w:line="98" w:lineRule="exact"/>
        <w:rPr>
          <w:rFonts w:ascii="Courier New" w:cs="Courier New" w:eastAsia="Courier New" w:hAnsi="Courier New"/>
          <w:sz w:val="18"/>
          <w:szCs w:val="18"/>
          <w:color w:val="auto"/>
        </w:rPr>
      </w:pPr>
    </w:p>
    <w:p>
      <w:pPr>
        <w:ind w:left="960" w:right="2839" w:hanging="531"/>
        <w:spacing w:after="0" w:line="347"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Cable segment's capital expenditures are comprised of the following categories:</w:t>
      </w:r>
    </w:p>
    <w:p>
      <w:pPr>
        <w:spacing w:after="0" w:line="17"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3460" w:type="dxa"/>
            <w:vAlign w:val="bottom"/>
          </w:tcPr>
          <w:p>
            <w:pPr>
              <w:spacing w:after="0"/>
              <w:rPr>
                <w:sz w:val="17"/>
                <w:szCs w:val="17"/>
                <w:color w:val="auto"/>
              </w:rPr>
            </w:pPr>
          </w:p>
        </w:tc>
        <w:tc>
          <w:tcPr>
            <w:tcW w:w="6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3Q04</w:t>
            </w:r>
          </w:p>
        </w:tc>
        <w:tc>
          <w:tcPr>
            <w:tcW w:w="94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3Q03</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YTD</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YTD</w:t>
            </w:r>
          </w:p>
        </w:tc>
        <w:tc>
          <w:tcPr>
            <w:tcW w:w="0" w:type="dxa"/>
            <w:vAlign w:val="bottom"/>
          </w:tcPr>
          <w:p>
            <w:pPr>
              <w:spacing w:after="0"/>
              <w:rPr>
                <w:sz w:val="1"/>
                <w:szCs w:val="1"/>
                <w:color w:val="auto"/>
              </w:rPr>
            </w:pPr>
          </w:p>
        </w:tc>
      </w:tr>
      <w:tr>
        <w:trPr>
          <w:trHeight w:val="203"/>
        </w:trPr>
        <w:tc>
          <w:tcPr>
            <w:tcW w:w="3460" w:type="dxa"/>
            <w:vAlign w:val="bottom"/>
            <w:vMerge w:val="restart"/>
          </w:tcPr>
          <w:p>
            <w:pPr>
              <w:spacing w:after="0"/>
              <w:rPr>
                <w:sz w:val="20"/>
                <w:szCs w:val="20"/>
                <w:color w:val="auto"/>
              </w:rPr>
            </w:pPr>
            <w:r>
              <w:rPr>
                <w:rFonts w:ascii="Courier New" w:cs="Courier New" w:eastAsia="Courier New" w:hAnsi="Courier New"/>
                <w:sz w:val="18"/>
                <w:szCs w:val="18"/>
                <w:color w:val="auto"/>
                <w:w w:val="99"/>
              </w:rPr>
              <w:t>Customer Premise Equipment (CPE)</w:t>
            </w:r>
          </w:p>
        </w:tc>
        <w:tc>
          <w:tcPr>
            <w:tcW w:w="64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9/30/04</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9/30/03</w:t>
            </w:r>
          </w:p>
        </w:tc>
        <w:tc>
          <w:tcPr>
            <w:tcW w:w="0" w:type="dxa"/>
            <w:vAlign w:val="bottom"/>
          </w:tcPr>
          <w:p>
            <w:pPr>
              <w:spacing w:after="0"/>
              <w:rPr>
                <w:sz w:val="1"/>
                <w:szCs w:val="1"/>
                <w:color w:val="auto"/>
              </w:rPr>
            </w:pPr>
          </w:p>
        </w:tc>
      </w:tr>
      <w:tr>
        <w:trPr>
          <w:trHeight w:val="203"/>
        </w:trPr>
        <w:tc>
          <w:tcPr>
            <w:tcW w:w="3460" w:type="dxa"/>
            <w:vAlign w:val="bottom"/>
            <w:vMerge w:val="continue"/>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$392</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$381</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$1,022</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$1,148</w:t>
            </w:r>
          </w:p>
        </w:tc>
        <w:tc>
          <w:tcPr>
            <w:tcW w:w="0" w:type="dxa"/>
            <w:vAlign w:val="bottom"/>
          </w:tcPr>
          <w:p>
            <w:pPr>
              <w:spacing w:after="0"/>
              <w:rPr>
                <w:sz w:val="1"/>
                <w:szCs w:val="1"/>
                <w:color w:val="auto"/>
              </w:rPr>
            </w:pPr>
          </w:p>
        </w:tc>
      </w:tr>
      <w:tr>
        <w:trPr>
          <w:trHeight w:val="203"/>
        </w:trPr>
        <w:tc>
          <w:tcPr>
            <w:tcW w:w="3460" w:type="dxa"/>
            <w:vAlign w:val="bottom"/>
          </w:tcPr>
          <w:p>
            <w:pPr>
              <w:spacing w:after="0" w:line="203" w:lineRule="exact"/>
              <w:rPr>
                <w:sz w:val="20"/>
                <w:szCs w:val="20"/>
                <w:color w:val="auto"/>
              </w:rPr>
            </w:pPr>
            <w:r>
              <w:rPr>
                <w:rFonts w:ascii="Courier New" w:cs="Courier New" w:eastAsia="Courier New" w:hAnsi="Courier New"/>
                <w:sz w:val="18"/>
                <w:szCs w:val="18"/>
                <w:color w:val="auto"/>
              </w:rPr>
              <w:t>Scalable Infrastructure</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152</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92</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383</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227</w:t>
            </w:r>
          </w:p>
        </w:tc>
        <w:tc>
          <w:tcPr>
            <w:tcW w:w="0" w:type="dxa"/>
            <w:vAlign w:val="bottom"/>
          </w:tcPr>
          <w:p>
            <w:pPr>
              <w:spacing w:after="0"/>
              <w:rPr>
                <w:sz w:val="1"/>
                <w:szCs w:val="1"/>
                <w:color w:val="auto"/>
              </w:rPr>
            </w:pPr>
          </w:p>
        </w:tc>
      </w:tr>
      <w:tr>
        <w:trPr>
          <w:trHeight w:val="203"/>
        </w:trPr>
        <w:tc>
          <w:tcPr>
            <w:tcW w:w="3460" w:type="dxa"/>
            <w:vAlign w:val="bottom"/>
          </w:tcPr>
          <w:p>
            <w:pPr>
              <w:spacing w:after="0" w:line="203" w:lineRule="exact"/>
              <w:rPr>
                <w:sz w:val="20"/>
                <w:szCs w:val="20"/>
                <w:color w:val="auto"/>
              </w:rPr>
            </w:pPr>
            <w:r>
              <w:rPr>
                <w:rFonts w:ascii="Courier New" w:cs="Courier New" w:eastAsia="Courier New" w:hAnsi="Courier New"/>
                <w:sz w:val="18"/>
                <w:szCs w:val="18"/>
                <w:color w:val="auto"/>
              </w:rPr>
              <w:t>Line Extensions</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62</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225</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173</w:t>
            </w:r>
          </w:p>
        </w:tc>
        <w:tc>
          <w:tcPr>
            <w:tcW w:w="0" w:type="dxa"/>
            <w:vAlign w:val="bottom"/>
          </w:tcPr>
          <w:p>
            <w:pPr>
              <w:spacing w:after="0"/>
              <w:rPr>
                <w:sz w:val="1"/>
                <w:szCs w:val="1"/>
                <w:color w:val="auto"/>
              </w:rPr>
            </w:pPr>
          </w:p>
        </w:tc>
      </w:tr>
      <w:tr>
        <w:trPr>
          <w:trHeight w:val="203"/>
        </w:trPr>
        <w:tc>
          <w:tcPr>
            <w:tcW w:w="3460" w:type="dxa"/>
            <w:vAlign w:val="bottom"/>
          </w:tcPr>
          <w:p>
            <w:pPr>
              <w:spacing w:after="0" w:line="203" w:lineRule="exact"/>
              <w:rPr>
                <w:sz w:val="20"/>
                <w:szCs w:val="20"/>
                <w:color w:val="auto"/>
              </w:rPr>
            </w:pPr>
            <w:r>
              <w:rPr>
                <w:rFonts w:ascii="Courier New" w:cs="Courier New" w:eastAsia="Courier New" w:hAnsi="Courier New"/>
                <w:sz w:val="18"/>
                <w:szCs w:val="18"/>
                <w:color w:val="auto"/>
              </w:rPr>
              <w:t>Upgrades</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198</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376</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738</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1,135</w:t>
            </w:r>
          </w:p>
        </w:tc>
        <w:tc>
          <w:tcPr>
            <w:tcW w:w="0" w:type="dxa"/>
            <w:vAlign w:val="bottom"/>
          </w:tcPr>
          <w:p>
            <w:pPr>
              <w:spacing w:after="0"/>
              <w:rPr>
                <w:sz w:val="1"/>
                <w:szCs w:val="1"/>
                <w:color w:val="auto"/>
              </w:rPr>
            </w:pPr>
          </w:p>
        </w:tc>
      </w:tr>
      <w:tr>
        <w:trPr>
          <w:trHeight w:val="203"/>
        </w:trPr>
        <w:tc>
          <w:tcPr>
            <w:tcW w:w="3460" w:type="dxa"/>
            <w:vAlign w:val="bottom"/>
          </w:tcPr>
          <w:p>
            <w:pPr>
              <w:spacing w:after="0" w:line="203" w:lineRule="exact"/>
              <w:rPr>
                <w:sz w:val="20"/>
                <w:szCs w:val="20"/>
                <w:color w:val="auto"/>
              </w:rPr>
            </w:pPr>
            <w:r>
              <w:rPr>
                <w:rFonts w:ascii="Courier New" w:cs="Courier New" w:eastAsia="Courier New" w:hAnsi="Courier New"/>
                <w:sz w:val="18"/>
                <w:szCs w:val="18"/>
                <w:color w:val="auto"/>
              </w:rPr>
              <w:t>Support Capital</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134</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210</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362</w:t>
            </w:r>
          </w:p>
        </w:tc>
        <w:tc>
          <w:tcPr>
            <w:tcW w:w="0" w:type="dxa"/>
            <w:vAlign w:val="bottom"/>
          </w:tcPr>
          <w:p>
            <w:pPr>
              <w:spacing w:after="0"/>
              <w:rPr>
                <w:sz w:val="1"/>
                <w:szCs w:val="1"/>
                <w:color w:val="auto"/>
              </w:rPr>
            </w:pPr>
          </w:p>
        </w:tc>
      </w:tr>
      <w:tr>
        <w:trPr>
          <w:trHeight w:val="296"/>
        </w:trPr>
        <w:tc>
          <w:tcPr>
            <w:tcW w:w="346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$871</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$1,045</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$2,578</w:t>
            </w: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$3,045</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right="2199" w:firstLine="421"/>
        <w:spacing w:after="0" w:line="249" w:lineRule="auto"/>
        <w:rPr>
          <w:sz w:val="20"/>
          <w:szCs w:val="20"/>
          <w:color w:val="auto"/>
        </w:rPr>
      </w:pPr>
      <w:r>
        <w:rPr>
          <w:rFonts w:ascii="Courier New" w:cs="Courier New" w:eastAsia="Courier New" w:hAnsi="Courier New"/>
          <w:sz w:val="18"/>
          <w:szCs w:val="18"/>
          <w:color w:val="auto"/>
        </w:rPr>
        <w:t>CPE includes costs incurred at the customer residence to secure new customers, revenue units and additional bandwidth revenues (e.g. digital converters). Scalable infrastructure includes costs, not CPE or network related, to secure growth of new customers, revenue units and additional bandwidth revenues or provide service enhancements (e.g. headend equipment). Line extensions include network costs associated with entering new service areas (e.g. fiber/coaxial cable). Upgrades include costs to enhance or replace existing fiber/coaxial cable networks, including recurring betterments. Support capital includes costs associated with the replacement or enhancement of non-network assets due to obsolescence and wear out (e.g. non-network equipment, land, buildings and vehicles).</w:t>
      </w:r>
    </w:p>
    <w:p>
      <w:pPr>
        <w:spacing w:after="0" w:line="1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COMCAST CORPORATION</w:t>
      </w:r>
    </w:p>
    <w:p>
      <w:pPr>
        <w:spacing w:after="0" w:line="2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TABLE 6</w:t>
      </w:r>
    </w:p>
    <w:p>
      <w:pPr>
        <w:jc w:val="center"/>
        <w:ind w:right="1879"/>
        <w:spacing w:after="0" w:line="238" w:lineRule="auto"/>
        <w:rPr>
          <w:sz w:val="20"/>
          <w:szCs w:val="20"/>
          <w:color w:val="auto"/>
        </w:rPr>
      </w:pPr>
      <w:r>
        <w:rPr>
          <w:rFonts w:ascii="Courier New" w:cs="Courier New" w:eastAsia="Courier New" w:hAnsi="Courier New"/>
          <w:sz w:val="18"/>
          <w:szCs w:val="18"/>
          <w:color w:val="auto"/>
        </w:rPr>
        <w:t>Pro Forma Data - Cable Segment Components (Unaudited) (1) (2)</w:t>
      </w:r>
    </w:p>
    <w:tbl>
      <w:tblPr>
        <w:tblLayout w:type="fixed"/>
        <w:tblInd w:w="420" w:type="dxa"/>
        <w:tblCellMar>
          <w:top w:w="0" w:type="dxa"/>
          <w:left w:w="0" w:type="dxa"/>
          <w:bottom w:w="0" w:type="dxa"/>
          <w:right w:w="0" w:type="dxa"/>
        </w:tblCellMar>
      </w:tblPr>
      <w:tr>
        <w:trPr>
          <w:trHeight w:val="171"/>
        </w:trPr>
        <w:tc>
          <w:tcPr>
            <w:tcW w:w="5120" w:type="dxa"/>
            <w:vAlign w:val="bottom"/>
            <w:gridSpan w:val="3"/>
          </w:tcPr>
          <w:p>
            <w:pPr>
              <w:jc w:val="right"/>
              <w:spacing w:after="0" w:line="171" w:lineRule="exact"/>
              <w:rPr>
                <w:sz w:val="20"/>
                <w:szCs w:val="20"/>
                <w:color w:val="auto"/>
              </w:rPr>
            </w:pPr>
            <w:r>
              <w:rPr>
                <w:rFonts w:ascii="Courier New" w:cs="Courier New" w:eastAsia="Courier New" w:hAnsi="Courier New"/>
                <w:sz w:val="18"/>
                <w:szCs w:val="18"/>
                <w:color w:val="auto"/>
              </w:rPr>
              <w:t>(dollars in millions, except average monthly</w:t>
            </w:r>
          </w:p>
        </w:tc>
        <w:tc>
          <w:tcPr>
            <w:tcW w:w="1420" w:type="dxa"/>
            <w:vAlign w:val="bottom"/>
            <w:gridSpan w:val="2"/>
          </w:tcPr>
          <w:p>
            <w:pPr>
              <w:jc w:val="right"/>
              <w:ind w:right="132"/>
              <w:spacing w:after="0" w:line="171" w:lineRule="exact"/>
              <w:rPr>
                <w:sz w:val="20"/>
                <w:szCs w:val="20"/>
                <w:color w:val="auto"/>
              </w:rPr>
            </w:pPr>
            <w:r>
              <w:rPr>
                <w:rFonts w:ascii="Courier New" w:cs="Courier New" w:eastAsia="Courier New" w:hAnsi="Courier New"/>
                <w:sz w:val="18"/>
                <w:szCs w:val="18"/>
                <w:color w:val="auto"/>
                <w:w w:val="99"/>
              </w:rPr>
              <w:t>revenue per</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440" w:type="dxa"/>
            <w:vAlign w:val="bottom"/>
          </w:tcPr>
          <w:p>
            <w:pPr>
              <w:spacing w:after="0"/>
              <w:rPr>
                <w:sz w:val="24"/>
                <w:szCs w:val="24"/>
                <w:color w:val="auto"/>
              </w:rPr>
            </w:pPr>
          </w:p>
        </w:tc>
        <w:tc>
          <w:tcPr>
            <w:tcW w:w="23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subscriber data)</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440" w:type="dxa"/>
            <w:vAlign w:val="bottom"/>
          </w:tcPr>
          <w:p>
            <w:pPr>
              <w:spacing w:after="0"/>
              <w:rPr>
                <w:sz w:val="24"/>
                <w:szCs w:val="24"/>
                <w:color w:val="auto"/>
              </w:rPr>
            </w:pPr>
          </w:p>
        </w:tc>
        <w:tc>
          <w:tcPr>
            <w:tcW w:w="3160" w:type="dxa"/>
            <w:vAlign w:val="bottom"/>
            <w:gridSpan w:val="3"/>
          </w:tcPr>
          <w:p>
            <w:pPr>
              <w:jc w:val="right"/>
              <w:ind w:right="32"/>
              <w:spacing w:after="0"/>
              <w:rPr>
                <w:sz w:val="20"/>
                <w:szCs w:val="20"/>
                <w:color w:val="auto"/>
              </w:rPr>
            </w:pPr>
            <w:r>
              <w:rPr>
                <w:rFonts w:ascii="Courier New" w:cs="Courier New" w:eastAsia="Courier New" w:hAnsi="Courier New"/>
                <w:sz w:val="18"/>
                <w:szCs w:val="18"/>
                <w:color w:val="auto"/>
              </w:rPr>
              <w:t>Three Months</w:t>
            </w:r>
          </w:p>
        </w:tc>
        <w:tc>
          <w:tcPr>
            <w:tcW w:w="17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Nine Months</w:t>
            </w: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2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Ended</w:t>
            </w:r>
          </w:p>
        </w:tc>
        <w:tc>
          <w:tcPr>
            <w:tcW w:w="4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30,</w:t>
            </w:r>
          </w:p>
        </w:tc>
        <w:tc>
          <w:tcPr>
            <w:tcW w:w="17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Ended</w:t>
            </w: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2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September</w:t>
            </w:r>
          </w:p>
        </w:tc>
        <w:tc>
          <w:tcPr>
            <w:tcW w:w="480" w:type="dxa"/>
            <w:vAlign w:val="bottom"/>
            <w:vMerge w:val="continue"/>
          </w:tcPr>
          <w:p>
            <w:pPr>
              <w:spacing w:after="0"/>
              <w:rPr>
                <w:sz w:val="17"/>
                <w:szCs w:val="17"/>
                <w:color w:val="auto"/>
              </w:rPr>
            </w:pP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September 30,</w:t>
            </w:r>
          </w:p>
        </w:tc>
        <w:tc>
          <w:tcPr>
            <w:tcW w:w="0" w:type="dxa"/>
            <w:vAlign w:val="bottom"/>
          </w:tcPr>
          <w:p>
            <w:pPr>
              <w:spacing w:after="0"/>
              <w:rPr>
                <w:sz w:val="1"/>
                <w:szCs w:val="1"/>
                <w:color w:val="auto"/>
              </w:rPr>
            </w:pPr>
          </w:p>
        </w:tc>
      </w:tr>
      <w:tr>
        <w:trPr>
          <w:trHeight w:val="296"/>
        </w:trPr>
        <w:tc>
          <w:tcPr>
            <w:tcW w:w="2440" w:type="dxa"/>
            <w:vAlign w:val="bottom"/>
          </w:tcPr>
          <w:p>
            <w:pPr>
              <w:spacing w:after="0"/>
              <w:rPr>
                <w:sz w:val="24"/>
                <w:szCs w:val="24"/>
                <w:color w:val="auto"/>
              </w:rPr>
            </w:pPr>
          </w:p>
        </w:tc>
        <w:tc>
          <w:tcPr>
            <w:tcW w:w="23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2004</w:t>
            </w:r>
          </w:p>
        </w:tc>
        <w:tc>
          <w:tcPr>
            <w:tcW w:w="86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2003</w:t>
            </w: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2004</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2003</w:t>
            </w:r>
          </w:p>
        </w:tc>
        <w:tc>
          <w:tcPr>
            <w:tcW w:w="0" w:type="dxa"/>
            <w:vAlign w:val="bottom"/>
          </w:tcPr>
          <w:p>
            <w:pPr>
              <w:spacing w:after="0"/>
              <w:rPr>
                <w:sz w:val="1"/>
                <w:szCs w:val="1"/>
                <w:color w:val="auto"/>
              </w:rPr>
            </w:pPr>
          </w:p>
        </w:tc>
      </w:tr>
      <w:tr>
        <w:trPr>
          <w:trHeight w:val="311"/>
        </w:trPr>
        <w:tc>
          <w:tcPr>
            <w:tcW w:w="244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23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$3,222</w:t>
            </w:r>
          </w:p>
        </w:tc>
        <w:tc>
          <w:tcPr>
            <w:tcW w:w="860" w:type="dxa"/>
            <w:vAlign w:val="bottom"/>
            <w:gridSpan w:val="2"/>
            <w:vMerge w:val="restart"/>
          </w:tcPr>
          <w:p>
            <w:pPr>
              <w:jc w:val="right"/>
              <w:ind w:right="32"/>
              <w:spacing w:after="0"/>
              <w:rPr>
                <w:sz w:val="20"/>
                <w:szCs w:val="20"/>
                <w:color w:val="auto"/>
              </w:rPr>
            </w:pPr>
            <w:r>
              <w:rPr>
                <w:rFonts w:ascii="Courier New" w:cs="Courier New" w:eastAsia="Courier New" w:hAnsi="Courier New"/>
                <w:sz w:val="18"/>
                <w:szCs w:val="18"/>
                <w:color w:val="auto"/>
              </w:rPr>
              <w:t>$3,025</w:t>
            </w:r>
          </w:p>
        </w:tc>
        <w:tc>
          <w:tcPr>
            <w:tcW w:w="9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$9,655</w:t>
            </w: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$9,051</w:t>
            </w:r>
          </w:p>
        </w:tc>
        <w:tc>
          <w:tcPr>
            <w:tcW w:w="0" w:type="dxa"/>
            <w:vAlign w:val="bottom"/>
          </w:tcPr>
          <w:p>
            <w:pPr>
              <w:spacing w:after="0"/>
              <w:rPr>
                <w:sz w:val="1"/>
                <w:szCs w:val="1"/>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Video (3)</w:t>
            </w:r>
          </w:p>
        </w:tc>
        <w:tc>
          <w:tcPr>
            <w:tcW w:w="2300" w:type="dxa"/>
            <w:vAlign w:val="bottom"/>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High-Speed Internet</w:t>
            </w:r>
          </w:p>
        </w:tc>
        <w:tc>
          <w:tcPr>
            <w:tcW w:w="2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808</w:t>
            </w:r>
          </w:p>
        </w:tc>
        <w:tc>
          <w:tcPr>
            <w:tcW w:w="380" w:type="dxa"/>
            <w:vAlign w:val="bottom"/>
          </w:tcPr>
          <w:p>
            <w:pPr>
              <w:spacing w:after="0"/>
              <w:rPr>
                <w:sz w:val="17"/>
                <w:szCs w:val="17"/>
                <w:color w:val="auto"/>
              </w:rPr>
            </w:pP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586</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2,269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1,626</w:t>
            </w:r>
          </w:p>
        </w:tc>
        <w:tc>
          <w:tcPr>
            <w:tcW w:w="0" w:type="dxa"/>
            <w:vAlign w:val="bottom"/>
          </w:tcPr>
          <w:p>
            <w:pPr>
              <w:spacing w:after="0"/>
              <w:rPr>
                <w:sz w:val="1"/>
                <w:szCs w:val="1"/>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Phone</w:t>
            </w:r>
          </w:p>
        </w:tc>
        <w:tc>
          <w:tcPr>
            <w:tcW w:w="2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173</w:t>
            </w:r>
          </w:p>
        </w:tc>
        <w:tc>
          <w:tcPr>
            <w:tcW w:w="380" w:type="dxa"/>
            <w:vAlign w:val="bottom"/>
          </w:tcPr>
          <w:p>
            <w:pPr>
              <w:spacing w:after="0"/>
              <w:rPr>
                <w:sz w:val="17"/>
                <w:szCs w:val="17"/>
                <w:color w:val="auto"/>
              </w:rPr>
            </w:pP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188</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618</w:t>
            </w:r>
          </w:p>
        </w:tc>
        <w:tc>
          <w:tcPr>
            <w:tcW w:w="0" w:type="dxa"/>
            <w:vAlign w:val="bottom"/>
          </w:tcPr>
          <w:p>
            <w:pPr>
              <w:spacing w:after="0"/>
              <w:rPr>
                <w:sz w:val="1"/>
                <w:szCs w:val="1"/>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Advertising</w:t>
            </w:r>
          </w:p>
        </w:tc>
        <w:tc>
          <w:tcPr>
            <w:tcW w:w="2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319</w:t>
            </w:r>
          </w:p>
        </w:tc>
        <w:tc>
          <w:tcPr>
            <w:tcW w:w="380" w:type="dxa"/>
            <w:vAlign w:val="bottom"/>
          </w:tcPr>
          <w:p>
            <w:pPr>
              <w:spacing w:after="0"/>
              <w:rPr>
                <w:sz w:val="17"/>
                <w:szCs w:val="17"/>
                <w:color w:val="auto"/>
              </w:rPr>
            </w:pP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276</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797</w:t>
            </w:r>
          </w:p>
        </w:tc>
        <w:tc>
          <w:tcPr>
            <w:tcW w:w="0" w:type="dxa"/>
            <w:vAlign w:val="bottom"/>
          </w:tcPr>
          <w:p>
            <w:pPr>
              <w:spacing w:after="0"/>
              <w:rPr>
                <w:sz w:val="1"/>
                <w:szCs w:val="1"/>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(4)</w:t>
            </w:r>
          </w:p>
        </w:tc>
        <w:tc>
          <w:tcPr>
            <w:tcW w:w="2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161</w:t>
            </w:r>
          </w:p>
        </w:tc>
        <w:tc>
          <w:tcPr>
            <w:tcW w:w="380" w:type="dxa"/>
            <w:vAlign w:val="bottom"/>
          </w:tcPr>
          <w:p>
            <w:pPr>
              <w:spacing w:after="0"/>
              <w:rPr>
                <w:sz w:val="17"/>
                <w:szCs w:val="17"/>
                <w:color w:val="auto"/>
              </w:rPr>
            </w:pP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152</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481</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450</w:t>
            </w:r>
          </w:p>
        </w:tc>
        <w:tc>
          <w:tcPr>
            <w:tcW w:w="0" w:type="dxa"/>
            <w:vAlign w:val="bottom"/>
          </w:tcPr>
          <w:p>
            <w:pPr>
              <w:spacing w:after="0"/>
              <w:rPr>
                <w:sz w:val="1"/>
                <w:szCs w:val="1"/>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Franchise Fees</w:t>
            </w:r>
          </w:p>
        </w:tc>
        <w:tc>
          <w:tcPr>
            <w:tcW w:w="2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161</w:t>
            </w:r>
          </w:p>
        </w:tc>
        <w:tc>
          <w:tcPr>
            <w:tcW w:w="380" w:type="dxa"/>
            <w:vAlign w:val="bottom"/>
          </w:tcPr>
          <w:p>
            <w:pPr>
              <w:spacing w:after="0"/>
              <w:rPr>
                <w:sz w:val="17"/>
                <w:szCs w:val="17"/>
                <w:color w:val="auto"/>
              </w:rPr>
            </w:pP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151</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483</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453</w:t>
            </w:r>
          </w:p>
        </w:tc>
        <w:tc>
          <w:tcPr>
            <w:tcW w:w="0" w:type="dxa"/>
            <w:vAlign w:val="bottom"/>
          </w:tcPr>
          <w:p>
            <w:pPr>
              <w:spacing w:after="0"/>
              <w:rPr>
                <w:sz w:val="1"/>
                <w:szCs w:val="1"/>
                <w:color w:val="auto"/>
              </w:rPr>
            </w:pPr>
          </w:p>
        </w:tc>
      </w:tr>
      <w:tr>
        <w:trPr>
          <w:trHeight w:val="296"/>
        </w:trPr>
        <w:tc>
          <w:tcPr>
            <w:tcW w:w="2440" w:type="dxa"/>
            <w:vAlign w:val="bottom"/>
          </w:tcPr>
          <w:p>
            <w:pPr>
              <w:spacing w:after="0"/>
              <w:rPr>
                <w:sz w:val="20"/>
                <w:szCs w:val="20"/>
                <w:color w:val="auto"/>
              </w:rPr>
            </w:pPr>
            <w:r>
              <w:rPr>
                <w:rFonts w:ascii="Courier New" w:cs="Courier New" w:eastAsia="Courier New" w:hAnsi="Courier New"/>
                <w:sz w:val="18"/>
                <w:szCs w:val="18"/>
                <w:color w:val="auto"/>
              </w:rPr>
              <w:t>Total Revenues</w:t>
            </w:r>
          </w:p>
        </w:tc>
        <w:tc>
          <w:tcPr>
            <w:tcW w:w="23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$4,844</w:t>
            </w:r>
          </w:p>
        </w:tc>
        <w:tc>
          <w:tcPr>
            <w:tcW w:w="86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$4,378</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$14,334</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$12,995</w:t>
            </w:r>
          </w:p>
        </w:tc>
        <w:tc>
          <w:tcPr>
            <w:tcW w:w="0" w:type="dxa"/>
            <w:vAlign w:val="bottom"/>
          </w:tcPr>
          <w:p>
            <w:pPr>
              <w:spacing w:after="0"/>
              <w:rPr>
                <w:sz w:val="1"/>
                <w:szCs w:val="1"/>
                <w:color w:val="auto"/>
              </w:rPr>
            </w:pPr>
          </w:p>
        </w:tc>
      </w:tr>
    </w:tbl>
    <w:p>
      <w:pPr>
        <w:sectPr>
          <w:pgSz w:w="11900" w:h="16838" w:orient="portrait"/>
          <w:cols w:equalWidth="0" w:num="1">
            <w:col w:w="10219"/>
          </w:cols>
          <w:pgMar w:left="240" w:top="110" w:right="1440" w:bottom="0" w:gutter="0" w:footer="0" w:header="0"/>
        </w:sectPr>
      </w:pPr>
    </w:p>
    <w:bookmarkStart w:id="9" w:name="page10"/>
    <w:bookmarkEnd w:id="9"/>
    <w:p>
      <w:pPr>
        <w:spacing w:after="0" w:line="52"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Operating Cash Flow</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$1,858</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$1,622</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$5,499</w:t>
            </w:r>
          </w:p>
        </w:tc>
        <w:tc>
          <w:tcPr>
            <w:tcW w:w="126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$4,643</w:t>
            </w:r>
          </w:p>
        </w:tc>
        <w:tc>
          <w:tcPr>
            <w:tcW w:w="0" w:type="dxa"/>
            <w:vAlign w:val="bottom"/>
          </w:tcPr>
          <w:p>
            <w:pPr>
              <w:spacing w:after="0"/>
              <w:rPr>
                <w:sz w:val="1"/>
                <w:szCs w:val="1"/>
                <w:color w:val="auto"/>
              </w:rPr>
            </w:pP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$746</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$536</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$2,327</w:t>
            </w:r>
          </w:p>
        </w:tc>
        <w:tc>
          <w:tcPr>
            <w:tcW w:w="12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$1,344</w:t>
            </w:r>
          </w:p>
        </w:tc>
        <w:tc>
          <w:tcPr>
            <w:tcW w:w="0" w:type="dxa"/>
            <w:vAlign w:val="bottom"/>
          </w:tcPr>
          <w:p>
            <w:pPr>
              <w:spacing w:after="0"/>
              <w:rPr>
                <w:sz w:val="1"/>
                <w:szCs w:val="1"/>
                <w:color w:val="auto"/>
              </w:rPr>
            </w:pP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Operating Cash Flow Margin</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38.4%</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37.1%</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38.4%</w:t>
            </w:r>
          </w:p>
        </w:tc>
        <w:tc>
          <w:tcPr>
            <w:tcW w:w="12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35.7%</w:t>
            </w:r>
          </w:p>
        </w:tc>
        <w:tc>
          <w:tcPr>
            <w:tcW w:w="0" w:type="dxa"/>
            <w:vAlign w:val="bottom"/>
          </w:tcPr>
          <w:p>
            <w:pPr>
              <w:spacing w:after="0"/>
              <w:rPr>
                <w:sz w:val="1"/>
                <w:szCs w:val="1"/>
                <w:color w:val="auto"/>
              </w:rPr>
            </w:pP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Capital Expenditures</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$871</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$2,578</w:t>
            </w:r>
          </w:p>
        </w:tc>
        <w:tc>
          <w:tcPr>
            <w:tcW w:w="12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$3,045</w:t>
            </w:r>
          </w:p>
        </w:tc>
        <w:tc>
          <w:tcPr>
            <w:tcW w:w="0" w:type="dxa"/>
            <w:vAlign w:val="bottom"/>
          </w:tcPr>
          <w:p>
            <w:pPr>
              <w:spacing w:after="0"/>
              <w:rPr>
                <w:sz w:val="1"/>
                <w:szCs w:val="1"/>
                <w:color w:val="auto"/>
              </w:rPr>
            </w:pP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Operating Cash Flow, Net of Capital</w:t>
            </w: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$987</w:t>
            </w: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$577</w:t>
            </w: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$2,921</w:t>
            </w:r>
          </w:p>
        </w:tc>
        <w:tc>
          <w:tcPr>
            <w:tcW w:w="1260" w:type="dxa"/>
            <w:vAlign w:val="bottom"/>
            <w:gridSpan w:val="2"/>
            <w:vMerge w:val="restart"/>
          </w:tcPr>
          <w:p>
            <w:pPr>
              <w:jc w:val="right"/>
              <w:ind w:right="232"/>
              <w:spacing w:after="0"/>
              <w:rPr>
                <w:sz w:val="20"/>
                <w:szCs w:val="20"/>
                <w:color w:val="auto"/>
              </w:rPr>
            </w:pPr>
            <w:r>
              <w:rPr>
                <w:rFonts w:ascii="Courier New" w:cs="Courier New" w:eastAsia="Courier New" w:hAnsi="Courier New"/>
                <w:sz w:val="18"/>
                <w:szCs w:val="18"/>
                <w:color w:val="auto"/>
              </w:rPr>
              <w:t>$1,598</w:t>
            </w:r>
          </w:p>
        </w:tc>
        <w:tc>
          <w:tcPr>
            <w:tcW w:w="0" w:type="dxa"/>
            <w:vAlign w:val="bottom"/>
          </w:tcPr>
          <w:p>
            <w:pPr>
              <w:spacing w:after="0"/>
              <w:rPr>
                <w:sz w:val="1"/>
                <w:szCs w:val="1"/>
                <w:color w:val="auto"/>
              </w:rPr>
            </w:pPr>
          </w:p>
        </w:tc>
      </w:tr>
      <w:tr>
        <w:trPr>
          <w:trHeight w:val="296"/>
        </w:trPr>
        <w:tc>
          <w:tcPr>
            <w:tcW w:w="38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Expenditures</w:t>
            </w:r>
          </w:p>
        </w:tc>
        <w:tc>
          <w:tcPr>
            <w:tcW w:w="900" w:type="dxa"/>
            <w:vAlign w:val="bottom"/>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900" w:type="dxa"/>
            <w:vAlign w:val="bottom"/>
            <w:vMerge w:val="continue"/>
          </w:tcPr>
          <w:p>
            <w:pPr>
              <w:spacing w:after="0"/>
              <w:rPr>
                <w:sz w:val="24"/>
                <w:szCs w:val="24"/>
                <w:color w:val="auto"/>
              </w:rPr>
            </w:pPr>
          </w:p>
        </w:tc>
        <w:tc>
          <w:tcPr>
            <w:tcW w:w="12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16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Growth Growth</w:t>
            </w: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9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3Q04</w:t>
            </w:r>
          </w:p>
        </w:tc>
        <w:tc>
          <w:tcPr>
            <w:tcW w:w="84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2Q04</w:t>
            </w:r>
          </w:p>
        </w:tc>
        <w:tc>
          <w:tcPr>
            <w:tcW w:w="9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3Q03</w:t>
            </w: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vs.</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vs.</w:t>
            </w:r>
          </w:p>
        </w:tc>
        <w:tc>
          <w:tcPr>
            <w:tcW w:w="0" w:type="dxa"/>
            <w:vAlign w:val="bottom"/>
          </w:tcPr>
          <w:p>
            <w:pPr>
              <w:spacing w:after="0"/>
              <w:rPr>
                <w:sz w:val="1"/>
                <w:szCs w:val="1"/>
                <w:color w:val="auto"/>
              </w:rPr>
            </w:pPr>
          </w:p>
        </w:tc>
      </w:tr>
      <w:tr>
        <w:trPr>
          <w:trHeight w:val="296"/>
        </w:trPr>
        <w:tc>
          <w:tcPr>
            <w:tcW w:w="1060" w:type="dxa"/>
            <w:vAlign w:val="bottom"/>
            <w:vMerge w:val="restart"/>
          </w:tcPr>
          <w:p>
            <w:pPr>
              <w:spacing w:after="0"/>
              <w:rPr>
                <w:sz w:val="20"/>
                <w:szCs w:val="20"/>
                <w:color w:val="auto"/>
              </w:rPr>
            </w:pPr>
            <w:r>
              <w:rPr>
                <w:rFonts w:ascii="Courier New" w:cs="Courier New" w:eastAsia="Courier New" w:hAnsi="Courier New"/>
                <w:sz w:val="18"/>
                <w:szCs w:val="18"/>
                <w:color w:val="auto"/>
              </w:rPr>
              <w:t>Video</w:t>
            </w:r>
          </w:p>
        </w:tc>
        <w:tc>
          <w:tcPr>
            <w:tcW w:w="274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900" w:type="dxa"/>
            <w:vAlign w:val="bottom"/>
            <w:vMerge w:val="continue"/>
          </w:tcPr>
          <w:p>
            <w:pPr>
              <w:spacing w:after="0"/>
              <w:rPr>
                <w:sz w:val="24"/>
                <w:szCs w:val="24"/>
                <w:color w:val="auto"/>
              </w:rPr>
            </w:pPr>
          </w:p>
        </w:tc>
        <w:tc>
          <w:tcPr>
            <w:tcW w:w="6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2Q04</w:t>
            </w:r>
          </w:p>
        </w:tc>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3Q03</w:t>
            </w:r>
          </w:p>
        </w:tc>
        <w:tc>
          <w:tcPr>
            <w:tcW w:w="0" w:type="dxa"/>
            <w:vAlign w:val="bottom"/>
          </w:tcPr>
          <w:p>
            <w:pPr>
              <w:spacing w:after="0"/>
              <w:rPr>
                <w:sz w:val="1"/>
                <w:szCs w:val="1"/>
                <w:color w:val="auto"/>
              </w:rPr>
            </w:pPr>
          </w:p>
        </w:tc>
      </w:tr>
      <w:tr>
        <w:trPr>
          <w:trHeight w:val="109"/>
        </w:trPr>
        <w:tc>
          <w:tcPr>
            <w:tcW w:w="106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40,500</w:t>
            </w:r>
          </w:p>
        </w:tc>
        <w:tc>
          <w:tcPr>
            <w:tcW w:w="8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40,300</w:t>
            </w:r>
          </w:p>
        </w:tc>
        <w:tc>
          <w:tcPr>
            <w:tcW w:w="9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39,900</w:t>
            </w:r>
          </w:p>
        </w:tc>
        <w:tc>
          <w:tcPr>
            <w:tcW w:w="6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0.5%</w:t>
            </w:r>
          </w:p>
        </w:tc>
        <w:tc>
          <w:tcPr>
            <w:tcW w:w="6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1.5%</w:t>
            </w:r>
          </w:p>
        </w:tc>
        <w:tc>
          <w:tcPr>
            <w:tcW w:w="0" w:type="dxa"/>
            <w:vAlign w:val="bottom"/>
          </w:tcPr>
          <w:p>
            <w:pPr>
              <w:spacing w:after="0"/>
              <w:rPr>
                <w:sz w:val="1"/>
                <w:szCs w:val="1"/>
                <w:color w:val="auto"/>
              </w:rPr>
            </w:pP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Homes Passed (000's)</w:t>
            </w:r>
          </w:p>
        </w:tc>
        <w:tc>
          <w:tcPr>
            <w:tcW w:w="90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Basic Subscribers (000's)</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21,487</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21,479</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21,470</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w:t>
            </w:r>
          </w:p>
        </w:tc>
        <w:tc>
          <w:tcPr>
            <w:tcW w:w="0" w:type="dxa"/>
            <w:vAlign w:val="bottom"/>
          </w:tcPr>
          <w:p>
            <w:pPr>
              <w:spacing w:after="0"/>
              <w:rPr>
                <w:sz w:val="1"/>
                <w:szCs w:val="1"/>
                <w:color w:val="auto"/>
              </w:rPr>
            </w:pP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Basic Penetration</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53.0%</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53.3%</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53.9%</w:t>
            </w: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Quarterly Net Basic Subscriber</w:t>
            </w: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9</w:t>
            </w:r>
          </w:p>
        </w:tc>
        <w:tc>
          <w:tcPr>
            <w:tcW w:w="8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-96</w:t>
            </w:r>
          </w:p>
        </w:tc>
        <w:tc>
          <w:tcPr>
            <w:tcW w:w="9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w:t>
            </w:r>
          </w:p>
        </w:tc>
        <w:tc>
          <w:tcPr>
            <w:tcW w:w="6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NM</w:t>
            </w:r>
          </w:p>
        </w:tc>
        <w:tc>
          <w:tcPr>
            <w:tcW w:w="6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NM</w:t>
            </w:r>
          </w:p>
        </w:tc>
        <w:tc>
          <w:tcPr>
            <w:tcW w:w="0" w:type="dxa"/>
            <w:vAlign w:val="bottom"/>
          </w:tcPr>
          <w:p>
            <w:pPr>
              <w:spacing w:after="0"/>
              <w:rPr>
                <w:sz w:val="1"/>
                <w:szCs w:val="1"/>
                <w:color w:val="auto"/>
              </w:rPr>
            </w:pPr>
          </w:p>
        </w:tc>
      </w:tr>
      <w:tr>
        <w:trPr>
          <w:trHeight w:val="296"/>
        </w:trPr>
        <w:tc>
          <w:tcPr>
            <w:tcW w:w="38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Additions (000's)</w:t>
            </w:r>
          </w:p>
        </w:tc>
        <w:tc>
          <w:tcPr>
            <w:tcW w:w="900" w:type="dxa"/>
            <w:vAlign w:val="bottom"/>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900" w:type="dxa"/>
            <w:vAlign w:val="bottom"/>
            <w:vMerge w:val="continue"/>
          </w:tcPr>
          <w:p>
            <w:pPr>
              <w:spacing w:after="0"/>
              <w:rPr>
                <w:sz w:val="24"/>
                <w:szCs w:val="24"/>
                <w:color w:val="auto"/>
              </w:rPr>
            </w:pPr>
          </w:p>
        </w:tc>
        <w:tc>
          <w:tcPr>
            <w:tcW w:w="62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Digital Subscribers (000's)</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8,405</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8,064</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7,281</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4.2%</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15.4%</w:t>
            </w:r>
          </w:p>
        </w:tc>
        <w:tc>
          <w:tcPr>
            <w:tcW w:w="0" w:type="dxa"/>
            <w:vAlign w:val="bottom"/>
          </w:tcPr>
          <w:p>
            <w:pPr>
              <w:spacing w:after="0"/>
              <w:rPr>
                <w:sz w:val="1"/>
                <w:szCs w:val="1"/>
                <w:color w:val="auto"/>
              </w:rPr>
            </w:pP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Digital Penetration</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39.1%</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37.5%</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33.9%</w:t>
            </w: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Quarterly Net Digital Subscriber</w:t>
            </w: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341</w:t>
            </w:r>
          </w:p>
        </w:tc>
        <w:tc>
          <w:tcPr>
            <w:tcW w:w="8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206</w:t>
            </w:r>
          </w:p>
        </w:tc>
        <w:tc>
          <w:tcPr>
            <w:tcW w:w="9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319</w:t>
            </w:r>
          </w:p>
        </w:tc>
        <w:tc>
          <w:tcPr>
            <w:tcW w:w="6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2"/>
              </w:rPr>
              <w:t>65.5%</w:t>
            </w:r>
          </w:p>
        </w:tc>
        <w:tc>
          <w:tcPr>
            <w:tcW w:w="6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6.9%</w:t>
            </w:r>
          </w:p>
        </w:tc>
        <w:tc>
          <w:tcPr>
            <w:tcW w:w="0" w:type="dxa"/>
            <w:vAlign w:val="bottom"/>
          </w:tcPr>
          <w:p>
            <w:pPr>
              <w:spacing w:after="0"/>
              <w:rPr>
                <w:sz w:val="1"/>
                <w:szCs w:val="1"/>
                <w:color w:val="auto"/>
              </w:rPr>
            </w:pPr>
          </w:p>
        </w:tc>
      </w:tr>
      <w:tr>
        <w:trPr>
          <w:trHeight w:val="296"/>
        </w:trPr>
        <w:tc>
          <w:tcPr>
            <w:tcW w:w="1060" w:type="dxa"/>
            <w:vAlign w:val="bottom"/>
          </w:tcPr>
          <w:p>
            <w:pPr>
              <w:ind w:left="120"/>
              <w:spacing w:after="0"/>
              <w:rPr>
                <w:sz w:val="20"/>
                <w:szCs w:val="20"/>
                <w:color w:val="auto"/>
              </w:rPr>
            </w:pPr>
            <w:r>
              <w:rPr>
                <w:rFonts w:ascii="Courier New" w:cs="Courier New" w:eastAsia="Courier New" w:hAnsi="Courier New"/>
                <w:sz w:val="18"/>
                <w:szCs w:val="18"/>
                <w:color w:val="auto"/>
                <w:w w:val="94"/>
              </w:rPr>
              <w:t>Additions</w:t>
            </w:r>
          </w:p>
        </w:tc>
        <w:tc>
          <w:tcPr>
            <w:tcW w:w="2740" w:type="dxa"/>
            <w:vAlign w:val="bottom"/>
          </w:tcPr>
          <w:p>
            <w:pPr>
              <w:jc w:val="right"/>
              <w:ind w:right="1812"/>
              <w:spacing w:after="0"/>
              <w:rPr>
                <w:sz w:val="20"/>
                <w:szCs w:val="20"/>
                <w:color w:val="auto"/>
              </w:rPr>
            </w:pPr>
            <w:r>
              <w:rPr>
                <w:rFonts w:ascii="Courier New" w:cs="Courier New" w:eastAsia="Courier New" w:hAnsi="Courier New"/>
                <w:sz w:val="18"/>
                <w:szCs w:val="18"/>
                <w:color w:val="auto"/>
              </w:rPr>
              <w:t>(000's)</w:t>
            </w:r>
          </w:p>
        </w:tc>
        <w:tc>
          <w:tcPr>
            <w:tcW w:w="900" w:type="dxa"/>
            <w:vAlign w:val="bottom"/>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900" w:type="dxa"/>
            <w:vAlign w:val="bottom"/>
            <w:vMerge w:val="continue"/>
          </w:tcPr>
          <w:p>
            <w:pPr>
              <w:spacing w:after="0"/>
              <w:rPr>
                <w:sz w:val="24"/>
                <w:szCs w:val="24"/>
                <w:color w:val="auto"/>
              </w:rPr>
            </w:pPr>
          </w:p>
        </w:tc>
        <w:tc>
          <w:tcPr>
            <w:tcW w:w="62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Monthly Average Video Revenue per</w:t>
            </w: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$50.00</w:t>
            </w:r>
          </w:p>
        </w:tc>
        <w:tc>
          <w:tcPr>
            <w:tcW w:w="8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$50.30</w:t>
            </w:r>
          </w:p>
        </w:tc>
        <w:tc>
          <w:tcPr>
            <w:tcW w:w="9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$46.95</w:t>
            </w:r>
          </w:p>
        </w:tc>
        <w:tc>
          <w:tcPr>
            <w:tcW w:w="6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2"/>
              </w:rPr>
              <w:t>-0.6%</w:t>
            </w:r>
          </w:p>
        </w:tc>
        <w:tc>
          <w:tcPr>
            <w:tcW w:w="6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6.5%</w:t>
            </w:r>
          </w:p>
        </w:tc>
        <w:tc>
          <w:tcPr>
            <w:tcW w:w="0" w:type="dxa"/>
            <w:vAlign w:val="bottom"/>
          </w:tcPr>
          <w:p>
            <w:pPr>
              <w:spacing w:after="0"/>
              <w:rPr>
                <w:sz w:val="1"/>
                <w:szCs w:val="1"/>
                <w:color w:val="auto"/>
              </w:rPr>
            </w:pPr>
          </w:p>
        </w:tc>
      </w:tr>
      <w:tr>
        <w:trPr>
          <w:trHeight w:val="203"/>
        </w:trPr>
        <w:tc>
          <w:tcPr>
            <w:tcW w:w="3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Basic Subscriber</w:t>
            </w:r>
          </w:p>
        </w:tc>
        <w:tc>
          <w:tcPr>
            <w:tcW w:w="90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Monthly Average Total Revenue per</w:t>
            </w: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$75.15</w:t>
            </w:r>
          </w:p>
        </w:tc>
        <w:tc>
          <w:tcPr>
            <w:tcW w:w="8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$74.94</w:t>
            </w:r>
          </w:p>
        </w:tc>
        <w:tc>
          <w:tcPr>
            <w:tcW w:w="9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$67.97</w:t>
            </w:r>
          </w:p>
        </w:tc>
        <w:tc>
          <w:tcPr>
            <w:tcW w:w="6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0.3%</w:t>
            </w:r>
          </w:p>
        </w:tc>
        <w:tc>
          <w:tcPr>
            <w:tcW w:w="6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10.6%</w:t>
            </w:r>
          </w:p>
        </w:tc>
        <w:tc>
          <w:tcPr>
            <w:tcW w:w="0" w:type="dxa"/>
            <w:vAlign w:val="bottom"/>
          </w:tcPr>
          <w:p>
            <w:pPr>
              <w:spacing w:after="0"/>
              <w:rPr>
                <w:sz w:val="1"/>
                <w:szCs w:val="1"/>
                <w:color w:val="auto"/>
              </w:rPr>
            </w:pPr>
          </w:p>
        </w:tc>
      </w:tr>
      <w:tr>
        <w:trPr>
          <w:trHeight w:val="296"/>
        </w:trPr>
        <w:tc>
          <w:tcPr>
            <w:tcW w:w="38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Basic Subscriber</w:t>
            </w:r>
          </w:p>
        </w:tc>
        <w:tc>
          <w:tcPr>
            <w:tcW w:w="900" w:type="dxa"/>
            <w:vAlign w:val="bottom"/>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900" w:type="dxa"/>
            <w:vAlign w:val="bottom"/>
            <w:vMerge w:val="continue"/>
          </w:tcPr>
          <w:p>
            <w:pPr>
              <w:spacing w:after="0"/>
              <w:rPr>
                <w:sz w:val="24"/>
                <w:szCs w:val="24"/>
                <w:color w:val="auto"/>
              </w:rPr>
            </w:pPr>
          </w:p>
        </w:tc>
        <w:tc>
          <w:tcPr>
            <w:tcW w:w="62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High-Speed Internet</w:t>
            </w: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38,060</w:t>
            </w:r>
          </w:p>
        </w:tc>
        <w:tc>
          <w:tcPr>
            <w:tcW w:w="8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37,323</w:t>
            </w:r>
          </w:p>
        </w:tc>
        <w:tc>
          <w:tcPr>
            <w:tcW w:w="9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33,435</w:t>
            </w:r>
          </w:p>
        </w:tc>
        <w:tc>
          <w:tcPr>
            <w:tcW w:w="6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2.0%</w:t>
            </w:r>
          </w:p>
        </w:tc>
        <w:tc>
          <w:tcPr>
            <w:tcW w:w="6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13.8%</w:t>
            </w:r>
          </w:p>
        </w:tc>
        <w:tc>
          <w:tcPr>
            <w:tcW w:w="0" w:type="dxa"/>
            <w:vAlign w:val="bottom"/>
          </w:tcPr>
          <w:p>
            <w:pPr>
              <w:spacing w:after="0"/>
              <w:rPr>
                <w:sz w:val="1"/>
                <w:szCs w:val="1"/>
                <w:color w:val="auto"/>
              </w:rPr>
            </w:pP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"Available" Homes (000's)</w:t>
            </w:r>
          </w:p>
        </w:tc>
        <w:tc>
          <w:tcPr>
            <w:tcW w:w="90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Subscribers (000's)</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6,554</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6,005</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4,862</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34.8%</w:t>
            </w:r>
          </w:p>
        </w:tc>
        <w:tc>
          <w:tcPr>
            <w:tcW w:w="0" w:type="dxa"/>
            <w:vAlign w:val="bottom"/>
          </w:tcPr>
          <w:p>
            <w:pPr>
              <w:spacing w:after="0"/>
              <w:rPr>
                <w:sz w:val="1"/>
                <w:szCs w:val="1"/>
                <w:color w:val="auto"/>
              </w:rPr>
            </w:pP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Penetration</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17.2%</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16.1%</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14.5%</w:t>
            </w: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Quarterly Net Subscriber Additions</w:t>
            </w: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549</w:t>
            </w:r>
          </w:p>
        </w:tc>
        <w:tc>
          <w:tcPr>
            <w:tcW w:w="8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327</w:t>
            </w:r>
          </w:p>
        </w:tc>
        <w:tc>
          <w:tcPr>
            <w:tcW w:w="9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473</w:t>
            </w:r>
          </w:p>
        </w:tc>
        <w:tc>
          <w:tcPr>
            <w:tcW w:w="6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2"/>
              </w:rPr>
              <w:t>68.2%</w:t>
            </w:r>
          </w:p>
        </w:tc>
        <w:tc>
          <w:tcPr>
            <w:tcW w:w="6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16.2%</w:t>
            </w:r>
          </w:p>
        </w:tc>
        <w:tc>
          <w:tcPr>
            <w:tcW w:w="0" w:type="dxa"/>
            <w:vAlign w:val="bottom"/>
          </w:tcPr>
          <w:p>
            <w:pPr>
              <w:spacing w:after="0"/>
              <w:rPr>
                <w:sz w:val="1"/>
                <w:szCs w:val="1"/>
                <w:color w:val="auto"/>
              </w:rPr>
            </w:pPr>
          </w:p>
        </w:tc>
      </w:tr>
      <w:tr>
        <w:trPr>
          <w:trHeight w:val="203"/>
        </w:trPr>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(000's)</w:t>
            </w:r>
          </w:p>
        </w:tc>
        <w:tc>
          <w:tcPr>
            <w:tcW w:w="27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Monthly Average Revenue per</w:t>
            </w: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$42.91</w:t>
            </w:r>
          </w:p>
        </w:tc>
        <w:tc>
          <w:tcPr>
            <w:tcW w:w="8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$43.52</w:t>
            </w:r>
          </w:p>
        </w:tc>
        <w:tc>
          <w:tcPr>
            <w:tcW w:w="9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$42.25</w:t>
            </w:r>
          </w:p>
        </w:tc>
        <w:tc>
          <w:tcPr>
            <w:tcW w:w="6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2"/>
              </w:rPr>
              <w:t>-1.4%</w:t>
            </w:r>
          </w:p>
        </w:tc>
        <w:tc>
          <w:tcPr>
            <w:tcW w:w="6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1.6%</w:t>
            </w:r>
          </w:p>
        </w:tc>
        <w:tc>
          <w:tcPr>
            <w:tcW w:w="0" w:type="dxa"/>
            <w:vAlign w:val="bottom"/>
          </w:tcPr>
          <w:p>
            <w:pPr>
              <w:spacing w:after="0"/>
              <w:rPr>
                <w:sz w:val="1"/>
                <w:szCs w:val="1"/>
                <w:color w:val="auto"/>
              </w:rPr>
            </w:pPr>
          </w:p>
        </w:tc>
      </w:tr>
      <w:tr>
        <w:trPr>
          <w:trHeight w:val="296"/>
        </w:trPr>
        <w:tc>
          <w:tcPr>
            <w:tcW w:w="38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Subscriber</w:t>
            </w:r>
          </w:p>
        </w:tc>
        <w:tc>
          <w:tcPr>
            <w:tcW w:w="900" w:type="dxa"/>
            <w:vAlign w:val="bottom"/>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900" w:type="dxa"/>
            <w:vAlign w:val="bottom"/>
            <w:vMerge w:val="continue"/>
          </w:tcPr>
          <w:p>
            <w:pPr>
              <w:spacing w:after="0"/>
              <w:rPr>
                <w:sz w:val="24"/>
                <w:szCs w:val="24"/>
                <w:color w:val="auto"/>
              </w:rPr>
            </w:pPr>
          </w:p>
        </w:tc>
        <w:tc>
          <w:tcPr>
            <w:tcW w:w="62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60" w:type="dxa"/>
            <w:vAlign w:val="bottom"/>
          </w:tcPr>
          <w:p>
            <w:pPr>
              <w:spacing w:after="0"/>
              <w:rPr>
                <w:sz w:val="20"/>
                <w:szCs w:val="20"/>
                <w:color w:val="auto"/>
              </w:rPr>
            </w:pPr>
            <w:r>
              <w:rPr>
                <w:rFonts w:ascii="Courier New" w:cs="Courier New" w:eastAsia="Courier New" w:hAnsi="Courier New"/>
                <w:sz w:val="18"/>
                <w:szCs w:val="18"/>
                <w:color w:val="auto"/>
              </w:rPr>
              <w:t>Phone</w:t>
            </w:r>
          </w:p>
        </w:tc>
        <w:tc>
          <w:tcPr>
            <w:tcW w:w="2740" w:type="dxa"/>
            <w:vAlign w:val="bottom"/>
          </w:tcPr>
          <w:p>
            <w:pPr>
              <w:spacing w:after="0"/>
              <w:rPr>
                <w:sz w:val="24"/>
                <w:szCs w:val="24"/>
                <w:color w:val="auto"/>
              </w:rPr>
            </w:pP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9,978</w:t>
            </w:r>
          </w:p>
        </w:tc>
        <w:tc>
          <w:tcPr>
            <w:tcW w:w="8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9,766</w:t>
            </w:r>
          </w:p>
        </w:tc>
        <w:tc>
          <w:tcPr>
            <w:tcW w:w="9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9,382</w:t>
            </w:r>
          </w:p>
        </w:tc>
        <w:tc>
          <w:tcPr>
            <w:tcW w:w="6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2.2%</w:t>
            </w:r>
          </w:p>
        </w:tc>
        <w:tc>
          <w:tcPr>
            <w:tcW w:w="6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6.3%</w:t>
            </w:r>
          </w:p>
        </w:tc>
        <w:tc>
          <w:tcPr>
            <w:tcW w:w="0" w:type="dxa"/>
            <w:vAlign w:val="bottom"/>
          </w:tcPr>
          <w:p>
            <w:pPr>
              <w:spacing w:after="0"/>
              <w:rPr>
                <w:sz w:val="1"/>
                <w:szCs w:val="1"/>
                <w:color w:val="auto"/>
              </w:rPr>
            </w:pP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"Available" Homes (000's)</w:t>
            </w:r>
          </w:p>
        </w:tc>
        <w:tc>
          <w:tcPr>
            <w:tcW w:w="90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Subscribers (000's)</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1,213</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1,225</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1,312</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-1.0%</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w:t>
            </w:r>
          </w:p>
        </w:tc>
        <w:tc>
          <w:tcPr>
            <w:tcW w:w="0" w:type="dxa"/>
            <w:vAlign w:val="bottom"/>
          </w:tcPr>
          <w:p>
            <w:pPr>
              <w:spacing w:after="0"/>
              <w:rPr>
                <w:sz w:val="1"/>
                <w:szCs w:val="1"/>
                <w:color w:val="auto"/>
              </w:rPr>
            </w:pP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Penetration</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12.2%</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12.5%</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14.0%</w:t>
            </w: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Quarterly Net Subscriber Additions</w:t>
            </w: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-12</w:t>
            </w:r>
          </w:p>
        </w:tc>
        <w:tc>
          <w:tcPr>
            <w:tcW w:w="8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-22</w:t>
            </w:r>
          </w:p>
        </w:tc>
        <w:tc>
          <w:tcPr>
            <w:tcW w:w="9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-55</w:t>
            </w:r>
          </w:p>
        </w:tc>
        <w:tc>
          <w:tcPr>
            <w:tcW w:w="6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2"/>
              </w:rPr>
              <w:t>47.1%</w:t>
            </w:r>
          </w:p>
        </w:tc>
        <w:tc>
          <w:tcPr>
            <w:tcW w:w="6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78.4%</w:t>
            </w:r>
          </w:p>
        </w:tc>
        <w:tc>
          <w:tcPr>
            <w:tcW w:w="0" w:type="dxa"/>
            <w:vAlign w:val="bottom"/>
          </w:tcPr>
          <w:p>
            <w:pPr>
              <w:spacing w:after="0"/>
              <w:rPr>
                <w:sz w:val="1"/>
                <w:szCs w:val="1"/>
                <w:color w:val="auto"/>
              </w:rPr>
            </w:pPr>
          </w:p>
        </w:tc>
      </w:tr>
      <w:tr>
        <w:trPr>
          <w:trHeight w:val="203"/>
        </w:trPr>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(000's)</w:t>
            </w:r>
          </w:p>
        </w:tc>
        <w:tc>
          <w:tcPr>
            <w:tcW w:w="27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Monthly Average Revenue per</w:t>
            </w: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$47.18</w:t>
            </w:r>
          </w:p>
        </w:tc>
        <w:tc>
          <w:tcPr>
            <w:tcW w:w="8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$47.71</w:t>
            </w:r>
          </w:p>
        </w:tc>
        <w:tc>
          <w:tcPr>
            <w:tcW w:w="9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$46.99</w:t>
            </w:r>
          </w:p>
        </w:tc>
        <w:tc>
          <w:tcPr>
            <w:tcW w:w="6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2"/>
              </w:rPr>
              <w:t>-1.1%</w:t>
            </w:r>
          </w:p>
        </w:tc>
        <w:tc>
          <w:tcPr>
            <w:tcW w:w="6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0.4%</w:t>
            </w:r>
          </w:p>
        </w:tc>
        <w:tc>
          <w:tcPr>
            <w:tcW w:w="0" w:type="dxa"/>
            <w:vAlign w:val="bottom"/>
          </w:tcPr>
          <w:p>
            <w:pPr>
              <w:spacing w:after="0"/>
              <w:rPr>
                <w:sz w:val="1"/>
                <w:szCs w:val="1"/>
                <w:color w:val="auto"/>
              </w:rPr>
            </w:pPr>
          </w:p>
        </w:tc>
      </w:tr>
      <w:tr>
        <w:trPr>
          <w:trHeight w:val="296"/>
        </w:trPr>
        <w:tc>
          <w:tcPr>
            <w:tcW w:w="38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Subscriber</w:t>
            </w:r>
          </w:p>
        </w:tc>
        <w:tc>
          <w:tcPr>
            <w:tcW w:w="900" w:type="dxa"/>
            <w:vAlign w:val="bottom"/>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900" w:type="dxa"/>
            <w:vAlign w:val="bottom"/>
            <w:vMerge w:val="continue"/>
          </w:tcPr>
          <w:p>
            <w:pPr>
              <w:spacing w:after="0"/>
              <w:rPr>
                <w:sz w:val="24"/>
                <w:szCs w:val="24"/>
                <w:color w:val="auto"/>
              </w:rPr>
            </w:pPr>
          </w:p>
        </w:tc>
        <w:tc>
          <w:tcPr>
            <w:tcW w:w="62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Total Revenue Generating Units</w:t>
            </w: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37,659</w:t>
            </w:r>
          </w:p>
        </w:tc>
        <w:tc>
          <w:tcPr>
            <w:tcW w:w="8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36,773</w:t>
            </w:r>
          </w:p>
        </w:tc>
        <w:tc>
          <w:tcPr>
            <w:tcW w:w="9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34,925</w:t>
            </w:r>
          </w:p>
        </w:tc>
        <w:tc>
          <w:tcPr>
            <w:tcW w:w="6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2.4%</w:t>
            </w:r>
          </w:p>
        </w:tc>
        <w:tc>
          <w:tcPr>
            <w:tcW w:w="6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7.8%</w:t>
            </w:r>
          </w:p>
        </w:tc>
        <w:tc>
          <w:tcPr>
            <w:tcW w:w="0" w:type="dxa"/>
            <w:vAlign w:val="bottom"/>
          </w:tcPr>
          <w:p>
            <w:pPr>
              <w:spacing w:after="0"/>
              <w:rPr>
                <w:sz w:val="1"/>
                <w:szCs w:val="1"/>
                <w:color w:val="auto"/>
              </w:rPr>
            </w:pPr>
          </w:p>
        </w:tc>
      </w:tr>
      <w:tr>
        <w:trPr>
          <w:trHeight w:val="296"/>
        </w:trPr>
        <w:tc>
          <w:tcPr>
            <w:tcW w:w="1060" w:type="dxa"/>
            <w:vAlign w:val="bottom"/>
          </w:tcPr>
          <w:p>
            <w:pPr>
              <w:ind w:left="120"/>
              <w:spacing w:after="0"/>
              <w:rPr>
                <w:sz w:val="20"/>
                <w:szCs w:val="20"/>
                <w:color w:val="auto"/>
              </w:rPr>
            </w:pPr>
            <w:r>
              <w:rPr>
                <w:rFonts w:ascii="Courier New" w:cs="Courier New" w:eastAsia="Courier New" w:hAnsi="Courier New"/>
                <w:sz w:val="18"/>
                <w:szCs w:val="18"/>
                <w:color w:val="auto"/>
              </w:rPr>
              <w:t>(000's)</w:t>
            </w:r>
          </w:p>
        </w:tc>
        <w:tc>
          <w:tcPr>
            <w:tcW w:w="2740" w:type="dxa"/>
            <w:vAlign w:val="bottom"/>
          </w:tcPr>
          <w:p>
            <w:pPr>
              <w:jc w:val="right"/>
              <w:ind w:right="2332"/>
              <w:spacing w:after="0"/>
              <w:rPr>
                <w:sz w:val="20"/>
                <w:szCs w:val="20"/>
                <w:color w:val="auto"/>
              </w:rPr>
            </w:pPr>
            <w:r>
              <w:rPr>
                <w:rFonts w:ascii="Courier New" w:cs="Courier New" w:eastAsia="Courier New" w:hAnsi="Courier New"/>
                <w:sz w:val="18"/>
                <w:szCs w:val="18"/>
                <w:color w:val="auto"/>
                <w:w w:val="92"/>
              </w:rPr>
              <w:t>(5)</w:t>
            </w:r>
          </w:p>
        </w:tc>
        <w:tc>
          <w:tcPr>
            <w:tcW w:w="900" w:type="dxa"/>
            <w:vAlign w:val="bottom"/>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900" w:type="dxa"/>
            <w:vAlign w:val="bottom"/>
            <w:vMerge w:val="continue"/>
          </w:tcPr>
          <w:p>
            <w:pPr>
              <w:spacing w:after="0"/>
              <w:rPr>
                <w:sz w:val="24"/>
                <w:szCs w:val="24"/>
                <w:color w:val="auto"/>
              </w:rPr>
            </w:pPr>
          </w:p>
        </w:tc>
        <w:tc>
          <w:tcPr>
            <w:tcW w:w="62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860" w:right="2099" w:hanging="431"/>
        <w:spacing w:after="0" w:line="292"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Non-GAAP and Other Financial Measures in Table 7. All percentages are calculated based on actual amounts. Minor differences may exist due to rounding.</w:t>
      </w:r>
    </w:p>
    <w:p>
      <w:pPr>
        <w:spacing w:after="0" w:line="66" w:lineRule="exact"/>
        <w:rPr>
          <w:rFonts w:ascii="Courier New" w:cs="Courier New" w:eastAsia="Courier New" w:hAnsi="Courier New"/>
          <w:sz w:val="18"/>
          <w:szCs w:val="18"/>
          <w:color w:val="auto"/>
        </w:rPr>
      </w:pPr>
    </w:p>
    <w:p>
      <w:pPr>
        <w:ind w:left="860" w:right="1999" w:hanging="431"/>
        <w:spacing w:after="0" w:line="250"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financial and subscriber data excludes the results of the 314,000 cable subscribers sold to Bresnan Communications in March 2003 and excludes the results of the net reduction of 16,000 subscribers associated with the cable systems exchange with Insight Communications in February 2003. Pro forma financial and subscriber data includes the results of the 30,000 cable subscribers acquired from US Coastal Cable in April 2004. Pro forma subscriber data includes 54,000 subscribers acquired in various small acquisitions during the periods presented. The impact of these acquisitions on our segment operating results was not material.</w:t>
      </w:r>
    </w:p>
    <w:p>
      <w:pPr>
        <w:spacing w:after="0" w:line="104" w:lineRule="exact"/>
        <w:rPr>
          <w:rFonts w:ascii="Courier New" w:cs="Courier New" w:eastAsia="Courier New" w:hAnsi="Courier New"/>
          <w:sz w:val="18"/>
          <w:szCs w:val="18"/>
          <w:color w:val="auto"/>
        </w:rPr>
      </w:pPr>
    </w:p>
    <w:p>
      <w:pPr>
        <w:ind w:left="860" w:right="1999" w:hanging="431"/>
        <w:spacing w:after="0" w:line="347"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Video revenues consist of our basic, expanded basic, premium, pay-per-view, equipment and digital services.</w:t>
      </w:r>
    </w:p>
    <w:p>
      <w:pPr>
        <w:spacing w:after="0" w:line="18" w:lineRule="exact"/>
        <w:rPr>
          <w:rFonts w:ascii="Courier New" w:cs="Courier New" w:eastAsia="Courier New" w:hAnsi="Courier New"/>
          <w:sz w:val="18"/>
          <w:szCs w:val="18"/>
          <w:color w:val="auto"/>
        </w:rPr>
      </w:pPr>
    </w:p>
    <w:p>
      <w:pPr>
        <w:ind w:left="860" w:right="2099" w:hanging="431"/>
        <w:spacing w:after="0" w:line="274"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revenues include installation revenues, guide revenues, commissions from electronic retailing, other product offerings, commercial data services and revenues of our digital media center and regional sports programming networks.</w:t>
      </w:r>
    </w:p>
    <w:p>
      <w:pPr>
        <w:spacing w:after="0" w:line="81" w:lineRule="exact"/>
        <w:rPr>
          <w:rFonts w:ascii="Courier New" w:cs="Courier New" w:eastAsia="Courier New" w:hAnsi="Courier New"/>
          <w:sz w:val="18"/>
          <w:szCs w:val="18"/>
          <w:color w:val="auto"/>
        </w:rPr>
      </w:pPr>
    </w:p>
    <w:p>
      <w:pPr>
        <w:ind w:left="860" w:right="2199" w:hanging="431"/>
        <w:spacing w:after="0" w:line="347"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sum total of all basic video, digital video, high-speed Internet and phone customers, excluding additional outlets.</w:t>
      </w:r>
    </w:p>
    <w:p>
      <w:pPr>
        <w:spacing w:after="0" w:line="18"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COMCAST CORPORATION</w:t>
      </w:r>
    </w:p>
    <w:p>
      <w:pPr>
        <w:spacing w:after="0" w:line="29"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TABLE 7</w:t>
      </w:r>
    </w:p>
    <w:p>
      <w:pPr>
        <w:jc w:val="center"/>
        <w:ind w:right="2099"/>
        <w:spacing w:after="0"/>
        <w:rPr>
          <w:sz w:val="20"/>
          <w:szCs w:val="20"/>
          <w:color w:val="auto"/>
        </w:rPr>
      </w:pPr>
      <w:r>
        <w:rPr>
          <w:rFonts w:ascii="Courier New" w:cs="Courier New" w:eastAsia="Courier New" w:hAnsi="Courier New"/>
          <w:sz w:val="18"/>
          <w:szCs w:val="18"/>
          <w:color w:val="auto"/>
        </w:rPr>
        <w:t>Non-GAAP and Other Financial Measures</w:t>
      </w:r>
    </w:p>
    <w:p>
      <w:pPr>
        <w:spacing w:after="0" w:line="169" w:lineRule="exact"/>
        <w:rPr>
          <w:sz w:val="20"/>
          <w:szCs w:val="20"/>
          <w:color w:val="auto"/>
        </w:rPr>
      </w:pPr>
    </w:p>
    <w:p>
      <w:pPr>
        <w:jc w:val="both"/>
        <w:ind w:right="2199" w:firstLine="421"/>
        <w:spacing w:after="0" w:line="344" w:lineRule="auto"/>
        <w:rPr>
          <w:sz w:val="20"/>
          <w:szCs w:val="20"/>
          <w:color w:val="auto"/>
        </w:rPr>
      </w:pPr>
      <w:r>
        <w:rPr>
          <w:rFonts w:ascii="Courier New" w:cs="Courier New" w:eastAsia="Courier New" w:hAnsi="Courier New"/>
          <w:sz w:val="16"/>
          <w:szCs w:val="16"/>
          <w:color w:val="auto"/>
        </w:rPr>
        <w:t>Operating Cash Flow is the primary basis used to measure the operational strength and performance of our businesses. Free Cash Flow is an additional performance measure used as an indicator of our ability to repay debt, make</w:t>
      </w:r>
    </w:p>
    <w:p>
      <w:pPr>
        <w:sectPr>
          <w:pgSz w:w="11900" w:h="16891" w:orient="portrait"/>
          <w:cols w:equalWidth="0" w:num="1">
            <w:col w:w="10219"/>
          </w:cols>
          <w:pgMar w:left="240" w:top="108" w:right="1440" w:bottom="0" w:gutter="0" w:footer="0" w:header="0"/>
        </w:sectPr>
      </w:pPr>
    </w:p>
    <w:bookmarkStart w:id="10" w:name="page11"/>
    <w:bookmarkEnd w:id="10"/>
    <w:p>
      <w:pPr>
        <w:ind w:right="1999"/>
        <w:spacing w:after="0" w:line="245" w:lineRule="auto"/>
        <w:rPr>
          <w:sz w:val="20"/>
          <w:szCs w:val="20"/>
          <w:color w:val="auto"/>
        </w:rPr>
      </w:pPr>
      <w:r>
        <w:rPr>
          <w:rFonts w:ascii="Courier New" w:cs="Courier New" w:eastAsia="Courier New" w:hAnsi="Courier New"/>
          <w:sz w:val="18"/>
          <w:szCs w:val="18"/>
          <w:color w:val="auto"/>
        </w:rPr>
        <w:t>investments and return capital to investors, principally through stock repurchases. We use Debt Excluding Exchangeables as a measure of debt that will require cash from future operations or financings. We also adjust certain historical data on a pro forma basis following significant acquisitions or dispositions to enhance comparability.</w:t>
      </w:r>
    </w:p>
    <w:p>
      <w:pPr>
        <w:spacing w:after="0" w:line="4" w:lineRule="exact"/>
        <w:rPr>
          <w:sz w:val="20"/>
          <w:szCs w:val="20"/>
          <w:color w:val="auto"/>
        </w:rPr>
      </w:pPr>
    </w:p>
    <w:p>
      <w:pPr>
        <w:ind w:right="1999" w:firstLine="421"/>
        <w:spacing w:after="0" w:line="270" w:lineRule="auto"/>
        <w:rPr>
          <w:sz w:val="20"/>
          <w:szCs w:val="20"/>
          <w:color w:val="auto"/>
        </w:rPr>
      </w:pPr>
      <w:r>
        <w:rPr>
          <w:rFonts w:ascii="Courier New" w:cs="Courier New" w:eastAsia="Courier New" w:hAnsi="Courier New"/>
          <w:sz w:val="16"/>
          <w:szCs w:val="16"/>
          <w:color w:val="auto"/>
        </w:rPr>
        <w:t>Operating Cash Flow is defined as operating income before depreciation and amortization and impairment charges, if any, related to fixed and intangible assets and gains or losses from the sale of assets, if any.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management and Board of Directors use this measure in evaluating our consolidated operating performance and the operating performance of all of our operating segments. This metric is used to allocate resources and capital to our operating segments and is a significant component of our annual incentive compensation programs. We believe that Operating Cash Flow is also useful to investors as it is one of the bases for comparing our operating performance with other companies in our industries, although our measure of Operating Cash Flow may not be directly comparable to similar measures used by other companies.</w:t>
      </w:r>
    </w:p>
    <w:p>
      <w:pPr>
        <w:spacing w:after="0" w:line="184" w:lineRule="exact"/>
        <w:rPr>
          <w:sz w:val="20"/>
          <w:szCs w:val="20"/>
          <w:color w:val="auto"/>
        </w:rPr>
      </w:pPr>
    </w:p>
    <w:p>
      <w:pPr>
        <w:ind w:right="1999" w:firstLine="421"/>
        <w:spacing w:after="0" w:line="238" w:lineRule="auto"/>
        <w:rPr>
          <w:sz w:val="20"/>
          <w:szCs w:val="20"/>
          <w:color w:val="auto"/>
        </w:rPr>
      </w:pPr>
      <w:r>
        <w:rPr>
          <w:rFonts w:ascii="Courier New" w:cs="Courier New" w:eastAsia="Courier New" w:hAnsi="Courier New"/>
          <w:sz w:val="18"/>
          <w:szCs w:val="18"/>
          <w:color w:val="auto"/>
        </w:rPr>
        <w:t>As Operating Cash Flow is the measure of our segment profit or loss, we reconcile it to operating income, the most directly comparable financial measure calculated and presented in accordance with Generally Accepted Accounting Principles (GAAP), in the business segment footnote of our quarterly and annual financial statements. Therefore, we believe our measure of Operating Cash Flow for our business segments is not a "non-GAAP financial measure" as contemplated by Regulation G adopted by the Securities and Exchange Commission. Consolidated Operating Cash Flow is a non-GAAP financial measure.</w:t>
      </w:r>
    </w:p>
    <w:p>
      <w:pPr>
        <w:spacing w:after="0" w:line="3" w:lineRule="exact"/>
        <w:rPr>
          <w:sz w:val="20"/>
          <w:szCs w:val="20"/>
          <w:color w:val="auto"/>
        </w:rPr>
      </w:pPr>
    </w:p>
    <w:p>
      <w:pPr>
        <w:ind w:right="1999" w:firstLine="421"/>
        <w:spacing w:after="0" w:line="238" w:lineRule="auto"/>
        <w:rPr>
          <w:sz w:val="20"/>
          <w:szCs w:val="20"/>
          <w:color w:val="auto"/>
        </w:rPr>
      </w:pPr>
      <w:r>
        <w:rPr>
          <w:rFonts w:ascii="Courier New" w:cs="Courier New" w:eastAsia="Courier New" w:hAnsi="Courier New"/>
          <w:sz w:val="18"/>
          <w:szCs w:val="18"/>
          <w:color w:val="auto"/>
        </w:rPr>
        <w:t>Free Cash Flow, which is a non-GAAP financial measure, is defined as Operating Cash Flow less net interest, cash paid for taxes, and capital expenditures. As such, it is unaffected by fluctuations in working capital levels from period to period. It can also be computed as cash provided by operating activities less capital expenditures adjusted for the change in operating assets and liabilities, net of acquisitions. We believe that Free Cash Flow is also useful to investors as it is one of the bases for comparing our operating performance with other companies in our industries, although our measure of Free Cash Flow is accrual-based and may not be comparable to similar measures used by other companies.</w:t>
      </w:r>
    </w:p>
    <w:p>
      <w:pPr>
        <w:spacing w:after="0" w:line="4" w:lineRule="exact"/>
        <w:rPr>
          <w:sz w:val="20"/>
          <w:szCs w:val="20"/>
          <w:color w:val="auto"/>
        </w:rPr>
      </w:pPr>
    </w:p>
    <w:p>
      <w:pPr>
        <w:ind w:right="2419" w:firstLine="421"/>
        <w:spacing w:after="0" w:line="238" w:lineRule="auto"/>
        <w:rPr>
          <w:sz w:val="20"/>
          <w:szCs w:val="20"/>
          <w:color w:val="auto"/>
        </w:rPr>
      </w:pPr>
      <w:r>
        <w:rPr>
          <w:rFonts w:ascii="Courier New" w:cs="Courier New" w:eastAsia="Courier New" w:hAnsi="Courier New"/>
          <w:sz w:val="18"/>
          <w:szCs w:val="18"/>
          <w:color w:val="auto"/>
        </w:rPr>
        <w:t>Debt Excluding Exchangeables, which is a non-GAAP financial measure, refers to the aggregate amount of our consolidated debt and capital lease obligations less the amount of notes that are collateralized by securities that we own.</w:t>
      </w:r>
    </w:p>
    <w:p>
      <w:pPr>
        <w:spacing w:after="0" w:line="1" w:lineRule="exact"/>
        <w:rPr>
          <w:sz w:val="20"/>
          <w:szCs w:val="20"/>
          <w:color w:val="auto"/>
        </w:rPr>
      </w:pPr>
    </w:p>
    <w:p>
      <w:pPr>
        <w:ind w:right="2099" w:firstLine="421"/>
        <w:spacing w:after="0" w:line="238" w:lineRule="auto"/>
        <w:rPr>
          <w:sz w:val="20"/>
          <w:szCs w:val="20"/>
          <w:color w:val="auto"/>
        </w:rPr>
      </w:pPr>
      <w:r>
        <w:rPr>
          <w:rFonts w:ascii="Courier New" w:cs="Courier New" w:eastAsia="Courier New" w:hAnsi="Courier New"/>
          <w:sz w:val="18"/>
          <w:szCs w:val="18"/>
          <w:color w:val="auto"/>
        </w:rPr>
        <w:t>Pro forma data is used by management to evaluate performance when significant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prior year. Our pro forma data is only adjusted for the timing of acquisitions and does not include adjustments for costs related to integration activities, cost savings or synergies that have been or may be achieved by the combined businesses. We believe our pro forma data is not a non-GAAP financial measure as contemplated by Regulation G.</w:t>
      </w:r>
    </w:p>
    <w:p>
      <w:pPr>
        <w:spacing w:after="0" w:line="4" w:lineRule="exact"/>
        <w:rPr>
          <w:sz w:val="20"/>
          <w:szCs w:val="20"/>
          <w:color w:val="auto"/>
        </w:rPr>
      </w:pPr>
    </w:p>
    <w:p>
      <w:pPr>
        <w:ind w:right="1999" w:firstLine="421"/>
        <w:spacing w:after="0" w:line="238" w:lineRule="auto"/>
        <w:rPr>
          <w:sz w:val="20"/>
          <w:szCs w:val="20"/>
          <w:color w:val="auto"/>
        </w:rPr>
      </w:pPr>
      <w:r>
        <w:rPr>
          <w:rFonts w:ascii="Courier New" w:cs="Courier New" w:eastAsia="Courier New" w:hAnsi="Courier New"/>
          <w:sz w:val="18"/>
          <w:szCs w:val="18"/>
          <w:color w:val="auto"/>
        </w:rPr>
        <w:t>Operating Cash Flow and Free Cash Flow should not be considered as substitutes for operating income (loss), net income (loss), net cash provided by operating activities or other measures of performance or liquidity reported in accordance with GAAP. Debt Excluding Exchangeables should not be considered as a substitute for Total Debt. Additionally, in the opinion of management, our pro forma data is not necessarily indicative of future results or what results would have been had the acquired businesses been operated by us after the assumed earlier date.</w:t>
      </w:r>
    </w:p>
    <w:p>
      <w:pPr>
        <w:spacing w:after="0" w:line="3" w:lineRule="exact"/>
        <w:rPr>
          <w:sz w:val="20"/>
          <w:szCs w:val="20"/>
          <w:color w:val="auto"/>
        </w:rPr>
      </w:pPr>
    </w:p>
    <w:p>
      <w:pPr>
        <w:ind w:right="2199" w:firstLine="421"/>
        <w:spacing w:after="0" w:line="262" w:lineRule="auto"/>
        <w:rPr>
          <w:sz w:val="20"/>
          <w:szCs w:val="20"/>
          <w:color w:val="auto"/>
        </w:rPr>
      </w:pPr>
      <w:r>
        <w:rPr>
          <w:rFonts w:ascii="Courier New" w:cs="Courier New" w:eastAsia="Courier New" w:hAnsi="Courier New"/>
          <w:sz w:val="18"/>
          <w:szCs w:val="18"/>
          <w:color w:val="auto"/>
        </w:rPr>
        <w:t>Following are quantitative reconciliations of Free Cash Flow, Debt Excluding Exchangeables, Consolidated Operating Cash Flow, and, although not required by Regulation G, reconciliations of business segment Operating Cash Flow and pro forma data.</w:t>
      </w:r>
    </w:p>
    <w:p>
      <w:pPr>
        <w:spacing w:after="0" w:line="90"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COMCAST CORPORATION</w:t>
      </w:r>
    </w:p>
    <w:p>
      <w:pPr>
        <w:spacing w:after="0" w:line="2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TABLE 7-A continued</w:t>
      </w:r>
    </w:p>
    <w:p>
      <w:pPr>
        <w:jc w:val="center"/>
        <w:ind w:right="1679"/>
        <w:spacing w:after="0" w:line="238" w:lineRule="auto"/>
        <w:rPr>
          <w:sz w:val="20"/>
          <w:szCs w:val="20"/>
          <w:color w:val="auto"/>
        </w:rPr>
      </w:pPr>
      <w:r>
        <w:rPr>
          <w:rFonts w:ascii="Courier New" w:cs="Courier New" w:eastAsia="Courier New" w:hAnsi="Courier New"/>
          <w:sz w:val="18"/>
          <w:szCs w:val="18"/>
          <w:color w:val="auto"/>
        </w:rPr>
        <w:t>Reconciliation of Historical and Pro Forma Data by Business Segment</w:t>
      </w:r>
    </w:p>
    <w:p>
      <w:pPr>
        <w:jc w:val="center"/>
        <w:ind w:right="1679"/>
        <w:spacing w:after="0"/>
        <w:rPr>
          <w:sz w:val="20"/>
          <w:szCs w:val="20"/>
          <w:color w:val="auto"/>
        </w:rPr>
      </w:pPr>
      <w:r>
        <w:rPr>
          <w:rFonts w:ascii="Courier New" w:cs="Courier New" w:eastAsia="Courier New" w:hAnsi="Courier New"/>
          <w:sz w:val="18"/>
          <w:szCs w:val="18"/>
          <w:color w:val="auto"/>
        </w:rPr>
        <w:t>(Unaudited)</w:t>
      </w:r>
    </w:p>
    <w:p>
      <w:pPr>
        <w:jc w:val="center"/>
        <w:ind w:right="1679"/>
        <w:spacing w:after="0"/>
        <w:rPr>
          <w:sz w:val="20"/>
          <w:szCs w:val="20"/>
          <w:color w:val="auto"/>
        </w:rPr>
      </w:pPr>
      <w:r>
        <w:rPr>
          <w:rFonts w:ascii="Courier New" w:cs="Courier New" w:eastAsia="Courier New" w:hAnsi="Courier New"/>
          <w:sz w:val="18"/>
          <w:szCs w:val="18"/>
          <w:color w:val="auto"/>
        </w:rPr>
        <w:t>(dollars in millions)</w:t>
      </w:r>
    </w:p>
    <w:p>
      <w:pPr>
        <w:spacing w:after="0" w:line="169" w:lineRule="exact"/>
        <w:rPr>
          <w:sz w:val="20"/>
          <w:szCs w:val="20"/>
          <w:color w:val="auto"/>
        </w:rPr>
      </w:pPr>
    </w:p>
    <w:tbl>
      <w:tblPr>
        <w:tblLayout w:type="fixed"/>
        <w:tblInd w:w="420" w:type="dxa"/>
        <w:tblCellMar>
          <w:top w:w="0" w:type="dxa"/>
          <w:left w:w="0" w:type="dxa"/>
          <w:bottom w:w="0" w:type="dxa"/>
          <w:right w:w="0" w:type="dxa"/>
        </w:tblCellMar>
      </w:tblPr>
      <w:tr>
        <w:trPr>
          <w:trHeight w:val="296"/>
        </w:trPr>
        <w:tc>
          <w:tcPr>
            <w:tcW w:w="2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80" w:type="dxa"/>
            <w:vAlign w:val="bottom"/>
            <w:gridSpan w:val="2"/>
          </w:tcPr>
          <w:p>
            <w:pPr>
              <w:spacing w:after="0"/>
              <w:rPr>
                <w:sz w:val="20"/>
                <w:szCs w:val="20"/>
                <w:color w:val="auto"/>
              </w:rPr>
            </w:pPr>
            <w:r>
              <w:rPr>
                <w:rFonts w:ascii="Courier New" w:cs="Courier New" w:eastAsia="Courier New" w:hAnsi="Courier New"/>
                <w:sz w:val="18"/>
                <w:szCs w:val="18"/>
                <w:color w:val="auto"/>
              </w:rPr>
              <w:t>Historical (1)</w:t>
            </w:r>
          </w:p>
        </w:tc>
        <w:tc>
          <w:tcPr>
            <w:tcW w:w="740" w:type="dxa"/>
            <w:vAlign w:val="bottom"/>
          </w:tcPr>
          <w:p>
            <w:pPr>
              <w:spacing w:after="0"/>
              <w:rPr>
                <w:sz w:val="24"/>
                <w:szCs w:val="24"/>
                <w:color w:val="auto"/>
              </w:rPr>
            </w:pPr>
          </w:p>
        </w:tc>
        <w:tc>
          <w:tcPr>
            <w:tcW w:w="2200" w:type="dxa"/>
            <w:vAlign w:val="bottom"/>
            <w:gridSpan w:val="3"/>
          </w:tcPr>
          <w:p>
            <w:pPr>
              <w:jc w:val="center"/>
              <w:ind w:right="532"/>
              <w:spacing w:after="0"/>
              <w:rPr>
                <w:sz w:val="20"/>
                <w:szCs w:val="20"/>
                <w:color w:val="auto"/>
              </w:rPr>
            </w:pPr>
            <w:r>
              <w:rPr>
                <w:rFonts w:ascii="Courier New" w:cs="Courier New" w:eastAsia="Courier New" w:hAnsi="Courier New"/>
                <w:sz w:val="18"/>
                <w:szCs w:val="18"/>
                <w:color w:val="auto"/>
                <w:w w:val="97"/>
              </w:rPr>
              <w:t>Adjustments (2)</w:t>
            </w:r>
          </w:p>
        </w:tc>
        <w:tc>
          <w:tcPr>
            <w:tcW w:w="0" w:type="dxa"/>
            <w:vAlign w:val="bottom"/>
          </w:tcPr>
          <w:p>
            <w:pPr>
              <w:spacing w:after="0"/>
              <w:rPr>
                <w:sz w:val="1"/>
                <w:szCs w:val="1"/>
                <w:color w:val="auto"/>
              </w:rPr>
            </w:pPr>
          </w:p>
        </w:tc>
      </w:tr>
      <w:tr>
        <w:trPr>
          <w:trHeight w:val="311"/>
        </w:trPr>
        <w:tc>
          <w:tcPr>
            <w:tcW w:w="2280" w:type="dxa"/>
            <w:vAlign w:val="bottom"/>
            <w:vMerge w:val="restart"/>
          </w:tcPr>
          <w:p>
            <w:pPr>
              <w:spacing w:after="0"/>
              <w:rPr>
                <w:sz w:val="20"/>
                <w:szCs w:val="20"/>
                <w:color w:val="auto"/>
              </w:rPr>
            </w:pPr>
            <w:r>
              <w:rPr>
                <w:rFonts w:ascii="Courier New" w:cs="Courier New" w:eastAsia="Courier New" w:hAnsi="Courier New"/>
                <w:sz w:val="18"/>
                <w:szCs w:val="18"/>
                <w:color w:val="auto"/>
              </w:rPr>
              <w:t>Three Months Ended</w:t>
            </w: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gridSpan w:val="2"/>
          </w:tcPr>
          <w:p>
            <w:pPr>
              <w:jc w:val="right"/>
              <w:ind w:right="452"/>
              <w:spacing w:after="0"/>
              <w:rPr>
                <w:sz w:val="20"/>
                <w:szCs w:val="20"/>
                <w:color w:val="auto"/>
              </w:rPr>
            </w:pPr>
            <w:r>
              <w:rPr>
                <w:rFonts w:ascii="Courier New" w:cs="Courier New" w:eastAsia="Courier New" w:hAnsi="Courier New"/>
                <w:sz w:val="18"/>
                <w:szCs w:val="18"/>
                <w:color w:val="auto"/>
              </w:rPr>
              <w:t>Corporate</w:t>
            </w:r>
          </w:p>
        </w:tc>
        <w:tc>
          <w:tcPr>
            <w:tcW w:w="580" w:type="dxa"/>
            <w:vAlign w:val="bottom"/>
          </w:tcPr>
          <w:p>
            <w:pPr>
              <w:spacing w:after="0"/>
              <w:rPr>
                <w:sz w:val="24"/>
                <w:szCs w:val="24"/>
                <w:color w:val="auto"/>
              </w:rPr>
            </w:pPr>
          </w:p>
        </w:tc>
        <w:tc>
          <w:tcPr>
            <w:tcW w:w="162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Corporate</w:t>
            </w:r>
          </w:p>
        </w:tc>
        <w:tc>
          <w:tcPr>
            <w:tcW w:w="0" w:type="dxa"/>
            <w:vAlign w:val="bottom"/>
          </w:tcPr>
          <w:p>
            <w:pPr>
              <w:spacing w:after="0"/>
              <w:rPr>
                <w:sz w:val="1"/>
                <w:szCs w:val="1"/>
                <w:color w:val="auto"/>
              </w:rPr>
            </w:pPr>
          </w:p>
        </w:tc>
      </w:tr>
      <w:tr>
        <w:trPr>
          <w:trHeight w:val="203"/>
        </w:trPr>
        <w:tc>
          <w:tcPr>
            <w:tcW w:w="2280" w:type="dxa"/>
            <w:vAlign w:val="bottom"/>
            <w:vMerge w:val="continue"/>
          </w:tcPr>
          <w:p>
            <w:pPr>
              <w:spacing w:after="0"/>
              <w:rPr>
                <w:sz w:val="17"/>
                <w:szCs w:val="17"/>
                <w:color w:val="auto"/>
              </w:rPr>
            </w:pPr>
          </w:p>
        </w:tc>
        <w:tc>
          <w:tcPr>
            <w:tcW w:w="1780" w:type="dxa"/>
            <w:vAlign w:val="bottom"/>
            <w:gridSpan w:val="2"/>
            <w:vMerge w:val="restart"/>
          </w:tcPr>
          <w:p>
            <w:pPr>
              <w:ind w:left="360"/>
              <w:spacing w:after="0"/>
              <w:rPr>
                <w:sz w:val="20"/>
                <w:szCs w:val="20"/>
                <w:color w:val="auto"/>
              </w:rPr>
            </w:pPr>
            <w:r>
              <w:rPr>
                <w:rFonts w:ascii="Courier New" w:cs="Courier New" w:eastAsia="Courier New" w:hAnsi="Courier New"/>
                <w:sz w:val="18"/>
                <w:szCs w:val="18"/>
                <w:color w:val="auto"/>
                <w:w w:val="99"/>
              </w:rPr>
              <w:t>Cable Content</w:t>
            </w:r>
          </w:p>
        </w:tc>
        <w:tc>
          <w:tcPr>
            <w:tcW w:w="8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and</w:t>
            </w: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Total</w:t>
            </w:r>
          </w:p>
        </w:tc>
        <w:tc>
          <w:tcPr>
            <w:tcW w:w="580" w:type="dxa"/>
            <w:vAlign w:val="bottom"/>
          </w:tcPr>
          <w:p>
            <w:pPr>
              <w:spacing w:after="0"/>
              <w:rPr>
                <w:sz w:val="17"/>
                <w:szCs w:val="17"/>
                <w:color w:val="auto"/>
              </w:rPr>
            </w:pPr>
          </w:p>
        </w:tc>
        <w:tc>
          <w:tcPr>
            <w:tcW w:w="8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and</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Pro</w:t>
            </w:r>
          </w:p>
        </w:tc>
        <w:tc>
          <w:tcPr>
            <w:tcW w:w="0" w:type="dxa"/>
            <w:vAlign w:val="bottom"/>
          </w:tcPr>
          <w:p>
            <w:pPr>
              <w:spacing w:after="0"/>
              <w:rPr>
                <w:sz w:val="1"/>
                <w:szCs w:val="1"/>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September 30, 2004</w:t>
            </w:r>
          </w:p>
        </w:tc>
        <w:tc>
          <w:tcPr>
            <w:tcW w:w="1780" w:type="dxa"/>
            <w:vAlign w:val="bottom"/>
            <w:gridSpan w:val="2"/>
            <w:vMerge w:val="continue"/>
          </w:tcPr>
          <w:p>
            <w:pPr>
              <w:spacing w:after="0"/>
              <w:rPr>
                <w:sz w:val="17"/>
                <w:szCs w:val="17"/>
                <w:color w:val="auto"/>
              </w:rPr>
            </w:pPr>
          </w:p>
        </w:tc>
        <w:tc>
          <w:tcPr>
            <w:tcW w:w="8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Other</w:t>
            </w:r>
          </w:p>
        </w:tc>
        <w:tc>
          <w:tcPr>
            <w:tcW w:w="740" w:type="dxa"/>
            <w:vAlign w:val="bottom"/>
            <w:vMerge w:val="continue"/>
          </w:tcPr>
          <w:p>
            <w:pPr>
              <w:spacing w:after="0"/>
              <w:rPr>
                <w:sz w:val="17"/>
                <w:szCs w:val="17"/>
                <w:color w:val="auto"/>
              </w:rPr>
            </w:pPr>
          </w:p>
        </w:tc>
        <w:tc>
          <w:tcPr>
            <w:tcW w:w="1420" w:type="dxa"/>
            <w:vAlign w:val="bottom"/>
            <w:gridSpan w:val="2"/>
          </w:tcPr>
          <w:p>
            <w:pPr>
              <w:jc w:val="center"/>
              <w:ind w:left="52"/>
              <w:spacing w:after="0" w:line="203" w:lineRule="exact"/>
              <w:rPr>
                <w:sz w:val="20"/>
                <w:szCs w:val="20"/>
                <w:color w:val="auto"/>
              </w:rPr>
            </w:pPr>
            <w:r>
              <w:rPr>
                <w:rFonts w:ascii="Courier New" w:cs="Courier New" w:eastAsia="Courier New" w:hAnsi="Courier New"/>
                <w:sz w:val="18"/>
                <w:szCs w:val="18"/>
                <w:color w:val="auto"/>
                <w:w w:val="97"/>
              </w:rPr>
              <w:t>Cable Other</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forma</w:t>
            </w:r>
          </w:p>
        </w:tc>
        <w:tc>
          <w:tcPr>
            <w:tcW w:w="0" w:type="dxa"/>
            <w:vAlign w:val="bottom"/>
          </w:tcPr>
          <w:p>
            <w:pPr>
              <w:spacing w:after="0"/>
              <w:rPr>
                <w:sz w:val="1"/>
                <w:szCs w:val="1"/>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1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5"/>
              </w:rPr>
              <w:t>$4,844</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$207</w:t>
            </w:r>
          </w:p>
        </w:tc>
        <w:tc>
          <w:tcPr>
            <w:tcW w:w="8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$47</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$5,098</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$5,098</w:t>
            </w:r>
          </w:p>
        </w:tc>
        <w:tc>
          <w:tcPr>
            <w:tcW w:w="0" w:type="dxa"/>
            <w:vAlign w:val="bottom"/>
          </w:tcPr>
          <w:p>
            <w:pPr>
              <w:spacing w:after="0"/>
              <w:rPr>
                <w:sz w:val="1"/>
                <w:szCs w:val="1"/>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(excluding</w:t>
            </w: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280" w:type="dxa"/>
            <w:vAlign w:val="bottom"/>
          </w:tcPr>
          <w:p>
            <w:pPr>
              <w:ind w:left="120"/>
              <w:spacing w:after="0"/>
              <w:rPr>
                <w:sz w:val="20"/>
                <w:szCs w:val="20"/>
                <w:color w:val="auto"/>
              </w:rPr>
            </w:pPr>
            <w:r>
              <w:rPr>
                <w:rFonts w:ascii="Courier New" w:cs="Courier New" w:eastAsia="Courier New" w:hAnsi="Courier New"/>
                <w:sz w:val="18"/>
                <w:szCs w:val="18"/>
                <w:color w:val="auto"/>
              </w:rPr>
              <w:t>depreciation and</w:t>
            </w: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0" w:right="1440"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ind w:left="120"/>
              <w:spacing w:after="0"/>
              <w:rPr>
                <w:sz w:val="20"/>
                <w:szCs w:val="20"/>
                <w:color w:val="auto"/>
              </w:rPr>
            </w:pPr>
            <w:r>
              <w:rPr>
                <w:rFonts w:ascii="Courier New" w:cs="Courier New" w:eastAsia="Courier New" w:hAnsi="Courier New"/>
                <w:sz w:val="18"/>
                <w:szCs w:val="18"/>
                <w:color w:val="auto"/>
              </w:rPr>
              <w:t>amortization)</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2,986</w:t>
            </w:r>
          </w:p>
        </w:tc>
        <w:tc>
          <w:tcPr>
            <w:tcW w:w="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145</w:t>
            </w: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107</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3,238</w:t>
            </w:r>
          </w:p>
        </w:tc>
        <w:tc>
          <w:tcPr>
            <w:tcW w:w="58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3,238</w:t>
            </w: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Cash Flow</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$1,858</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$62</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$1,860</w:t>
            </w:r>
          </w:p>
        </w:tc>
        <w:tc>
          <w:tcPr>
            <w:tcW w:w="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$1,860</w:t>
            </w: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and</w:t>
            </w: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1,112</w:t>
            </w:r>
          </w:p>
        </w:tc>
        <w:tc>
          <w:tcPr>
            <w:tcW w:w="8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42</w:t>
            </w:r>
          </w:p>
        </w:tc>
        <w:tc>
          <w:tcPr>
            <w:tcW w:w="6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20</w:t>
            </w: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1,174</w:t>
            </w:r>
          </w:p>
        </w:tc>
        <w:tc>
          <w:tcPr>
            <w:tcW w:w="5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w:t>
            </w:r>
          </w:p>
        </w:tc>
        <w:tc>
          <w:tcPr>
            <w:tcW w:w="80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w:t>
            </w:r>
          </w:p>
        </w:tc>
        <w:tc>
          <w:tcPr>
            <w:tcW w:w="7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1,174</w:t>
            </w:r>
          </w:p>
        </w:tc>
        <w:tc>
          <w:tcPr>
            <w:tcW w:w="0" w:type="dxa"/>
            <w:vAlign w:val="bottom"/>
          </w:tcPr>
          <w:p>
            <w:pPr>
              <w:spacing w:after="0"/>
              <w:rPr>
                <w:sz w:val="1"/>
                <w:szCs w:val="1"/>
                <w:color w:val="auto"/>
              </w:rPr>
            </w:pP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amortization</w:t>
            </w:r>
          </w:p>
        </w:tc>
        <w:tc>
          <w:tcPr>
            <w:tcW w:w="84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Operating income (loss)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$746</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$686</w:t>
            </w:r>
          </w:p>
        </w:tc>
        <w:tc>
          <w:tcPr>
            <w:tcW w:w="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$686</w:t>
            </w:r>
          </w:p>
        </w:tc>
        <w:tc>
          <w:tcPr>
            <w:tcW w:w="0" w:type="dxa"/>
            <w:vAlign w:val="bottom"/>
          </w:tcPr>
          <w:p>
            <w:pPr>
              <w:spacing w:after="0"/>
              <w:rPr>
                <w:sz w:val="1"/>
                <w:szCs w:val="1"/>
                <w:color w:val="auto"/>
              </w:rPr>
            </w:pPr>
          </w:p>
        </w:tc>
      </w:tr>
      <w:tr>
        <w:trPr>
          <w:trHeight w:val="296"/>
        </w:trPr>
        <w:tc>
          <w:tcPr>
            <w:tcW w:w="2480" w:type="dxa"/>
            <w:vAlign w:val="bottom"/>
          </w:tcPr>
          <w:p>
            <w:pPr>
              <w:spacing w:after="0"/>
              <w:rPr>
                <w:sz w:val="20"/>
                <w:szCs w:val="20"/>
                <w:color w:val="auto"/>
              </w:rPr>
            </w:pPr>
            <w:r>
              <w:rPr>
                <w:rFonts w:ascii="Courier New" w:cs="Courier New" w:eastAsia="Courier New" w:hAnsi="Courier New"/>
                <w:sz w:val="18"/>
                <w:szCs w:val="18"/>
                <w:color w:val="auto"/>
              </w:rPr>
              <w:t>Capital expenditures</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$871</w:t>
            </w:r>
          </w:p>
        </w:tc>
        <w:tc>
          <w:tcPr>
            <w:tcW w:w="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w:t>
            </w: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$878</w:t>
            </w:r>
          </w:p>
        </w:tc>
        <w:tc>
          <w:tcPr>
            <w:tcW w:w="58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$878</w:t>
            </w: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160" w:type="dxa"/>
            <w:vAlign w:val="bottom"/>
            <w:gridSpan w:val="3"/>
          </w:tcPr>
          <w:p>
            <w:pPr>
              <w:jc w:val="right"/>
              <w:ind w:right="432"/>
              <w:spacing w:after="0"/>
              <w:rPr>
                <w:sz w:val="20"/>
                <w:szCs w:val="20"/>
                <w:color w:val="auto"/>
              </w:rPr>
            </w:pPr>
            <w:r>
              <w:rPr>
                <w:rFonts w:ascii="Courier New" w:cs="Courier New" w:eastAsia="Courier New" w:hAnsi="Courier New"/>
                <w:sz w:val="18"/>
                <w:szCs w:val="18"/>
                <w:color w:val="auto"/>
                <w:w w:val="99"/>
              </w:rPr>
              <w:t>Adjustments (2)</w:t>
            </w:r>
          </w:p>
        </w:tc>
        <w:tc>
          <w:tcPr>
            <w:tcW w:w="0" w:type="dxa"/>
            <w:vAlign w:val="bottom"/>
          </w:tcPr>
          <w:p>
            <w:pPr>
              <w:spacing w:after="0"/>
              <w:rPr>
                <w:sz w:val="1"/>
                <w:szCs w:val="1"/>
                <w:color w:val="auto"/>
              </w:rPr>
            </w:pPr>
          </w:p>
        </w:tc>
      </w:tr>
      <w:tr>
        <w:trPr>
          <w:trHeight w:val="311"/>
        </w:trPr>
        <w:tc>
          <w:tcPr>
            <w:tcW w:w="2480" w:type="dxa"/>
            <w:vAlign w:val="bottom"/>
            <w:vMerge w:val="restart"/>
          </w:tcPr>
          <w:p>
            <w:pPr>
              <w:spacing w:after="0"/>
              <w:rPr>
                <w:sz w:val="20"/>
                <w:szCs w:val="20"/>
                <w:color w:val="auto"/>
              </w:rPr>
            </w:pPr>
            <w:r>
              <w:rPr>
                <w:rFonts w:ascii="Courier New" w:cs="Courier New" w:eastAsia="Courier New" w:hAnsi="Courier New"/>
                <w:sz w:val="18"/>
                <w:szCs w:val="18"/>
                <w:color w:val="auto"/>
              </w:rPr>
              <w:t>Three Months Ended</w:t>
            </w: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2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w w:val="94"/>
              </w:rPr>
              <w:t>Corporate</w:t>
            </w:r>
          </w:p>
        </w:tc>
        <w:tc>
          <w:tcPr>
            <w:tcW w:w="580" w:type="dxa"/>
            <w:vAlign w:val="bottom"/>
          </w:tcPr>
          <w:p>
            <w:pPr>
              <w:spacing w:after="0"/>
              <w:rPr>
                <w:sz w:val="24"/>
                <w:szCs w:val="24"/>
                <w:color w:val="auto"/>
              </w:rPr>
            </w:pPr>
          </w:p>
        </w:tc>
        <w:tc>
          <w:tcPr>
            <w:tcW w:w="158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Corporate</w:t>
            </w:r>
          </w:p>
        </w:tc>
        <w:tc>
          <w:tcPr>
            <w:tcW w:w="0" w:type="dxa"/>
            <w:vAlign w:val="bottom"/>
          </w:tcPr>
          <w:p>
            <w:pPr>
              <w:spacing w:after="0"/>
              <w:rPr>
                <w:sz w:val="1"/>
                <w:szCs w:val="1"/>
                <w:color w:val="auto"/>
              </w:rPr>
            </w:pPr>
          </w:p>
        </w:tc>
      </w:tr>
      <w:tr>
        <w:trPr>
          <w:trHeight w:val="203"/>
        </w:trPr>
        <w:tc>
          <w:tcPr>
            <w:tcW w:w="2480" w:type="dxa"/>
            <w:vAlign w:val="bottom"/>
            <w:vMerge w:val="continue"/>
          </w:tcPr>
          <w:p>
            <w:pPr>
              <w:spacing w:after="0"/>
              <w:rPr>
                <w:sz w:val="17"/>
                <w:szCs w:val="17"/>
                <w:color w:val="auto"/>
              </w:rPr>
            </w:pPr>
          </w:p>
        </w:tc>
        <w:tc>
          <w:tcPr>
            <w:tcW w:w="8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Cable</w:t>
            </w:r>
          </w:p>
        </w:tc>
        <w:tc>
          <w:tcPr>
            <w:tcW w:w="800" w:type="dxa"/>
            <w:vAlign w:val="bottom"/>
          </w:tcPr>
          <w:p>
            <w:pPr>
              <w:spacing w:after="0"/>
              <w:rPr>
                <w:sz w:val="17"/>
                <w:szCs w:val="17"/>
                <w:color w:val="auto"/>
              </w:rPr>
            </w:pPr>
          </w:p>
        </w:tc>
        <w:tc>
          <w:tcPr>
            <w:tcW w:w="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and</w:t>
            </w:r>
          </w:p>
        </w:tc>
        <w:tc>
          <w:tcPr>
            <w:tcW w:w="8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Total</w:t>
            </w:r>
          </w:p>
        </w:tc>
        <w:tc>
          <w:tcPr>
            <w:tcW w:w="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Cable</w:t>
            </w:r>
          </w:p>
        </w:tc>
        <w:tc>
          <w:tcPr>
            <w:tcW w:w="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w:t>
            </w:r>
          </w:p>
        </w:tc>
        <w:tc>
          <w:tcPr>
            <w:tcW w:w="78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8"/>
              </w:rPr>
              <w:t>Pro</w:t>
            </w:r>
          </w:p>
        </w:tc>
        <w:tc>
          <w:tcPr>
            <w:tcW w:w="0" w:type="dxa"/>
            <w:vAlign w:val="bottom"/>
          </w:tcPr>
          <w:p>
            <w:pPr>
              <w:spacing w:after="0"/>
              <w:rPr>
                <w:sz w:val="1"/>
                <w:szCs w:val="1"/>
                <w:color w:val="auto"/>
              </w:rPr>
            </w:pP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September 30, 2003</w:t>
            </w:r>
          </w:p>
        </w:tc>
        <w:tc>
          <w:tcPr>
            <w:tcW w:w="840" w:type="dxa"/>
            <w:vAlign w:val="bottom"/>
            <w:vMerge w:val="continue"/>
          </w:tcPr>
          <w:p>
            <w:pPr>
              <w:spacing w:after="0"/>
              <w:rPr>
                <w:sz w:val="17"/>
                <w:szCs w:val="17"/>
                <w:color w:val="auto"/>
              </w:rPr>
            </w:pPr>
          </w:p>
        </w:tc>
        <w:tc>
          <w:tcPr>
            <w:tcW w:w="1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Content Other</w:t>
            </w:r>
          </w:p>
        </w:tc>
        <w:tc>
          <w:tcPr>
            <w:tcW w:w="84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80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6"/>
              </w:rPr>
              <w:t>Other</w:t>
            </w:r>
          </w:p>
        </w:tc>
        <w:tc>
          <w:tcPr>
            <w:tcW w:w="78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6"/>
              </w:rPr>
              <w:t>forma</w:t>
            </w: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$4,374</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$158</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$4,546</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c>
          <w:tcPr>
            <w:tcW w:w="80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$4,550</w:t>
            </w: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(excluding</w:t>
            </w: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and</w:t>
            </w: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2,754</w:t>
            </w:r>
          </w:p>
        </w:tc>
        <w:tc>
          <w:tcPr>
            <w:tcW w:w="8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100</w:t>
            </w:r>
          </w:p>
        </w:tc>
        <w:tc>
          <w:tcPr>
            <w:tcW w:w="6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60</w:t>
            </w: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2,914</w:t>
            </w:r>
          </w:p>
        </w:tc>
        <w:tc>
          <w:tcPr>
            <w:tcW w:w="5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w:t>
            </w:r>
          </w:p>
        </w:tc>
        <w:tc>
          <w:tcPr>
            <w:tcW w:w="800" w:type="dxa"/>
            <w:vAlign w:val="bottom"/>
            <w:vMerge w:val="restart"/>
          </w:tcPr>
          <w:p>
            <w:pPr>
              <w:jc w:val="center"/>
              <w:ind w:left="72"/>
              <w:spacing w:after="0"/>
              <w:rPr>
                <w:sz w:val="20"/>
                <w:szCs w:val="20"/>
                <w:color w:val="auto"/>
              </w:rPr>
            </w:pPr>
            <w:r>
              <w:rPr>
                <w:rFonts w:ascii="Courier New" w:cs="Courier New" w:eastAsia="Courier New" w:hAnsi="Courier New"/>
                <w:sz w:val="18"/>
                <w:szCs w:val="18"/>
                <w:color w:val="auto"/>
              </w:rPr>
              <w:t>-</w:t>
            </w:r>
          </w:p>
        </w:tc>
        <w:tc>
          <w:tcPr>
            <w:tcW w:w="7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2,916</w:t>
            </w:r>
          </w:p>
        </w:tc>
        <w:tc>
          <w:tcPr>
            <w:tcW w:w="0" w:type="dxa"/>
            <w:vAlign w:val="bottom"/>
          </w:tcPr>
          <w:p>
            <w:pPr>
              <w:spacing w:after="0"/>
              <w:rPr>
                <w:sz w:val="1"/>
                <w:szCs w:val="1"/>
                <w:color w:val="auto"/>
              </w:rPr>
            </w:pP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amortization)</w:t>
            </w:r>
          </w:p>
        </w:tc>
        <w:tc>
          <w:tcPr>
            <w:tcW w:w="84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Cash Flow</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$1,620</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$58</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$1,632</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80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$1,634</w:t>
            </w: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and</w:t>
            </w: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1,086</w:t>
            </w:r>
          </w:p>
        </w:tc>
        <w:tc>
          <w:tcPr>
            <w:tcW w:w="8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32</w:t>
            </w:r>
          </w:p>
        </w:tc>
        <w:tc>
          <w:tcPr>
            <w:tcW w:w="6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21</w:t>
            </w: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1,139</w:t>
            </w:r>
          </w:p>
        </w:tc>
        <w:tc>
          <w:tcPr>
            <w:tcW w:w="5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800" w:type="dxa"/>
            <w:vAlign w:val="bottom"/>
            <w:vMerge w:val="restart"/>
          </w:tcPr>
          <w:p>
            <w:pPr>
              <w:jc w:val="center"/>
              <w:ind w:left="72"/>
              <w:spacing w:after="0"/>
              <w:rPr>
                <w:sz w:val="20"/>
                <w:szCs w:val="20"/>
                <w:color w:val="auto"/>
              </w:rPr>
            </w:pPr>
            <w:r>
              <w:rPr>
                <w:rFonts w:ascii="Courier New" w:cs="Courier New" w:eastAsia="Courier New" w:hAnsi="Courier New"/>
                <w:sz w:val="18"/>
                <w:szCs w:val="18"/>
                <w:color w:val="auto"/>
              </w:rPr>
              <w:t>-</w:t>
            </w:r>
          </w:p>
        </w:tc>
        <w:tc>
          <w:tcPr>
            <w:tcW w:w="7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1,139</w:t>
            </w:r>
          </w:p>
        </w:tc>
        <w:tc>
          <w:tcPr>
            <w:tcW w:w="0" w:type="dxa"/>
            <w:vAlign w:val="bottom"/>
          </w:tcPr>
          <w:p>
            <w:pPr>
              <w:spacing w:after="0"/>
              <w:rPr>
                <w:sz w:val="1"/>
                <w:szCs w:val="1"/>
                <w:color w:val="auto"/>
              </w:rPr>
            </w:pP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amortization</w:t>
            </w:r>
          </w:p>
        </w:tc>
        <w:tc>
          <w:tcPr>
            <w:tcW w:w="84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Operating income (loss)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$534</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$493</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80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$495</w:t>
            </w:r>
          </w:p>
        </w:tc>
        <w:tc>
          <w:tcPr>
            <w:tcW w:w="0" w:type="dxa"/>
            <w:vAlign w:val="bottom"/>
          </w:tcPr>
          <w:p>
            <w:pPr>
              <w:spacing w:after="0"/>
              <w:rPr>
                <w:sz w:val="1"/>
                <w:szCs w:val="1"/>
                <w:color w:val="auto"/>
              </w:rPr>
            </w:pPr>
          </w:p>
        </w:tc>
      </w:tr>
      <w:tr>
        <w:trPr>
          <w:trHeight w:val="296"/>
        </w:trPr>
        <w:tc>
          <w:tcPr>
            <w:tcW w:w="2480" w:type="dxa"/>
            <w:vAlign w:val="bottom"/>
          </w:tcPr>
          <w:p>
            <w:pPr>
              <w:spacing w:after="0"/>
              <w:rPr>
                <w:sz w:val="20"/>
                <w:szCs w:val="20"/>
                <w:color w:val="auto"/>
              </w:rPr>
            </w:pPr>
            <w:r>
              <w:rPr>
                <w:rFonts w:ascii="Courier New" w:cs="Courier New" w:eastAsia="Courier New" w:hAnsi="Courier New"/>
                <w:sz w:val="18"/>
                <w:szCs w:val="18"/>
                <w:color w:val="auto"/>
              </w:rPr>
              <w:t>Capital expenditures</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$1,045</w:t>
            </w:r>
          </w:p>
        </w:tc>
        <w:tc>
          <w:tcPr>
            <w:tcW w:w="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w:t>
            </w: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$33</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$1,081</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center"/>
              <w:ind w:left="72"/>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$1,081</w:t>
            </w: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1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Adjustments (2)</w:t>
            </w:r>
          </w:p>
        </w:tc>
        <w:tc>
          <w:tcPr>
            <w:tcW w:w="0" w:type="dxa"/>
            <w:vAlign w:val="bottom"/>
          </w:tcPr>
          <w:p>
            <w:pPr>
              <w:spacing w:after="0"/>
              <w:rPr>
                <w:sz w:val="1"/>
                <w:szCs w:val="1"/>
                <w:color w:val="auto"/>
              </w:rPr>
            </w:pPr>
          </w:p>
        </w:tc>
      </w:tr>
      <w:tr>
        <w:trPr>
          <w:trHeight w:val="311"/>
        </w:trPr>
        <w:tc>
          <w:tcPr>
            <w:tcW w:w="2480" w:type="dxa"/>
            <w:vAlign w:val="bottom"/>
            <w:vMerge w:val="restart"/>
          </w:tcPr>
          <w:p>
            <w:pPr>
              <w:spacing w:after="0"/>
              <w:rPr>
                <w:sz w:val="20"/>
                <w:szCs w:val="20"/>
                <w:color w:val="auto"/>
              </w:rPr>
            </w:pPr>
            <w:r>
              <w:rPr>
                <w:rFonts w:ascii="Courier New" w:cs="Courier New" w:eastAsia="Courier New" w:hAnsi="Courier New"/>
                <w:sz w:val="18"/>
                <w:szCs w:val="18"/>
                <w:color w:val="auto"/>
              </w:rPr>
              <w:t>Nine Months Ended</w:t>
            </w:r>
          </w:p>
        </w:tc>
        <w:tc>
          <w:tcPr>
            <w:tcW w:w="840" w:type="dxa"/>
            <w:vAlign w:val="bottom"/>
          </w:tcPr>
          <w:p>
            <w:pPr>
              <w:spacing w:after="0"/>
              <w:rPr>
                <w:sz w:val="24"/>
                <w:szCs w:val="24"/>
                <w:color w:val="auto"/>
              </w:rPr>
            </w:pPr>
          </w:p>
        </w:tc>
        <w:tc>
          <w:tcPr>
            <w:tcW w:w="2320" w:type="dxa"/>
            <w:vAlign w:val="bottom"/>
            <w:gridSpan w:val="3"/>
          </w:tcPr>
          <w:p>
            <w:pPr>
              <w:jc w:val="center"/>
              <w:spacing w:after="0"/>
              <w:rPr>
                <w:sz w:val="20"/>
                <w:szCs w:val="20"/>
                <w:color w:val="auto"/>
              </w:rPr>
            </w:pPr>
            <w:r>
              <w:rPr>
                <w:rFonts w:ascii="Courier New" w:cs="Courier New" w:eastAsia="Courier New" w:hAnsi="Courier New"/>
                <w:sz w:val="18"/>
                <w:szCs w:val="18"/>
                <w:color w:val="auto"/>
                <w:w w:val="96"/>
              </w:rPr>
              <w:t>Corporate</w:t>
            </w:r>
          </w:p>
        </w:tc>
        <w:tc>
          <w:tcPr>
            <w:tcW w:w="580" w:type="dxa"/>
            <w:vAlign w:val="bottom"/>
          </w:tcPr>
          <w:p>
            <w:pPr>
              <w:spacing w:after="0"/>
              <w:rPr>
                <w:sz w:val="24"/>
                <w:szCs w:val="24"/>
                <w:color w:val="auto"/>
              </w:rPr>
            </w:pPr>
          </w:p>
        </w:tc>
        <w:tc>
          <w:tcPr>
            <w:tcW w:w="1580" w:type="dxa"/>
            <w:vAlign w:val="bottom"/>
            <w:gridSpan w:val="2"/>
          </w:tcPr>
          <w:p>
            <w:pPr>
              <w:jc w:val="center"/>
              <w:ind w:right="532"/>
              <w:spacing w:after="0"/>
              <w:rPr>
                <w:sz w:val="20"/>
                <w:szCs w:val="20"/>
                <w:color w:val="auto"/>
              </w:rPr>
            </w:pPr>
            <w:r>
              <w:rPr>
                <w:rFonts w:ascii="Courier New" w:cs="Courier New" w:eastAsia="Courier New" w:hAnsi="Courier New"/>
                <w:sz w:val="18"/>
                <w:szCs w:val="18"/>
                <w:color w:val="auto"/>
                <w:w w:val="98"/>
              </w:rPr>
              <w:t>Corporate</w:t>
            </w:r>
          </w:p>
        </w:tc>
        <w:tc>
          <w:tcPr>
            <w:tcW w:w="0" w:type="dxa"/>
            <w:vAlign w:val="bottom"/>
          </w:tcPr>
          <w:p>
            <w:pPr>
              <w:spacing w:after="0"/>
              <w:rPr>
                <w:sz w:val="1"/>
                <w:szCs w:val="1"/>
                <w:color w:val="auto"/>
              </w:rPr>
            </w:pPr>
          </w:p>
        </w:tc>
      </w:tr>
      <w:tr>
        <w:trPr>
          <w:trHeight w:val="203"/>
        </w:trPr>
        <w:tc>
          <w:tcPr>
            <w:tcW w:w="2480" w:type="dxa"/>
            <w:vAlign w:val="bottom"/>
            <w:vMerge w:val="continue"/>
          </w:tcPr>
          <w:p>
            <w:pPr>
              <w:spacing w:after="0"/>
              <w:rPr>
                <w:sz w:val="17"/>
                <w:szCs w:val="17"/>
                <w:color w:val="auto"/>
              </w:rPr>
            </w:pPr>
          </w:p>
        </w:tc>
        <w:tc>
          <w:tcPr>
            <w:tcW w:w="8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Cable</w:t>
            </w:r>
          </w:p>
        </w:tc>
        <w:tc>
          <w:tcPr>
            <w:tcW w:w="800" w:type="dxa"/>
            <w:vAlign w:val="bottom"/>
            <w:vMerge w:val="restart"/>
          </w:tcPr>
          <w:p>
            <w:pPr>
              <w:ind w:left="60"/>
              <w:spacing w:after="0"/>
              <w:rPr>
                <w:sz w:val="20"/>
                <w:szCs w:val="20"/>
                <w:color w:val="auto"/>
              </w:rPr>
            </w:pPr>
            <w:r>
              <w:rPr>
                <w:rFonts w:ascii="Courier New" w:cs="Courier New" w:eastAsia="Courier New" w:hAnsi="Courier New"/>
                <w:sz w:val="18"/>
                <w:szCs w:val="18"/>
                <w:color w:val="auto"/>
                <w:w w:val="95"/>
              </w:rPr>
              <w:t>Content</w:t>
            </w:r>
          </w:p>
        </w:tc>
        <w:tc>
          <w:tcPr>
            <w:tcW w:w="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and</w:t>
            </w: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Total</w:t>
            </w:r>
          </w:p>
        </w:tc>
        <w:tc>
          <w:tcPr>
            <w:tcW w:w="580" w:type="dxa"/>
            <w:vAlign w:val="bottom"/>
          </w:tcPr>
          <w:p>
            <w:pPr>
              <w:spacing w:after="0"/>
              <w:rPr>
                <w:sz w:val="17"/>
                <w:szCs w:val="17"/>
                <w:color w:val="auto"/>
              </w:rPr>
            </w:pPr>
          </w:p>
        </w:tc>
        <w:tc>
          <w:tcPr>
            <w:tcW w:w="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w:t>
            </w:r>
          </w:p>
        </w:tc>
        <w:tc>
          <w:tcPr>
            <w:tcW w:w="78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8"/>
              </w:rPr>
              <w:t>Pro</w:t>
            </w:r>
          </w:p>
        </w:tc>
        <w:tc>
          <w:tcPr>
            <w:tcW w:w="0" w:type="dxa"/>
            <w:vAlign w:val="bottom"/>
          </w:tcPr>
          <w:p>
            <w:pPr>
              <w:spacing w:after="0"/>
              <w:rPr>
                <w:sz w:val="1"/>
                <w:szCs w:val="1"/>
                <w:color w:val="auto"/>
              </w:rPr>
            </w:pP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September 30, 2004</w:t>
            </w:r>
          </w:p>
        </w:tc>
        <w:tc>
          <w:tcPr>
            <w:tcW w:w="84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Other</w:t>
            </w:r>
          </w:p>
        </w:tc>
        <w:tc>
          <w:tcPr>
            <w:tcW w:w="840" w:type="dxa"/>
            <w:vAlign w:val="bottom"/>
            <w:vMerge w:val="continue"/>
          </w:tcPr>
          <w:p>
            <w:pPr>
              <w:spacing w:after="0"/>
              <w:rPr>
                <w:sz w:val="17"/>
                <w:szCs w:val="17"/>
                <w:color w:val="auto"/>
              </w:rPr>
            </w:pPr>
          </w:p>
        </w:tc>
        <w:tc>
          <w:tcPr>
            <w:tcW w:w="13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Cable Other</w:t>
            </w:r>
          </w:p>
        </w:tc>
        <w:tc>
          <w:tcPr>
            <w:tcW w:w="78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6"/>
              </w:rPr>
              <w:t>forma</w:t>
            </w: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$14,329</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$582</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$161</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$15,072</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c>
          <w:tcPr>
            <w:tcW w:w="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$15,077</w:t>
            </w: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(excluding</w:t>
            </w: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and</w:t>
            </w: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8,832</w:t>
            </w:r>
          </w:p>
        </w:tc>
        <w:tc>
          <w:tcPr>
            <w:tcW w:w="8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374</w:t>
            </w:r>
          </w:p>
        </w:tc>
        <w:tc>
          <w:tcPr>
            <w:tcW w:w="6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321</w:t>
            </w: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9,527</w:t>
            </w:r>
          </w:p>
        </w:tc>
        <w:tc>
          <w:tcPr>
            <w:tcW w:w="5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w:t>
            </w:r>
          </w:p>
        </w:tc>
        <w:tc>
          <w:tcPr>
            <w:tcW w:w="80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w:t>
            </w:r>
          </w:p>
        </w:tc>
        <w:tc>
          <w:tcPr>
            <w:tcW w:w="7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9,530</w:t>
            </w:r>
          </w:p>
        </w:tc>
        <w:tc>
          <w:tcPr>
            <w:tcW w:w="0" w:type="dxa"/>
            <w:vAlign w:val="bottom"/>
          </w:tcPr>
          <w:p>
            <w:pPr>
              <w:spacing w:after="0"/>
              <w:rPr>
                <w:sz w:val="1"/>
                <w:szCs w:val="1"/>
                <w:color w:val="auto"/>
              </w:rPr>
            </w:pP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amortization)</w:t>
            </w:r>
          </w:p>
        </w:tc>
        <w:tc>
          <w:tcPr>
            <w:tcW w:w="84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Cash Flow</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$5,497</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$208</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($160)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$5,545</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$5,547</w:t>
            </w: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and</w:t>
            </w: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3,172</w:t>
            </w:r>
          </w:p>
        </w:tc>
        <w:tc>
          <w:tcPr>
            <w:tcW w:w="8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116</w:t>
            </w:r>
          </w:p>
        </w:tc>
        <w:tc>
          <w:tcPr>
            <w:tcW w:w="6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60</w:t>
            </w: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3,348</w:t>
            </w:r>
          </w:p>
        </w:tc>
        <w:tc>
          <w:tcPr>
            <w:tcW w:w="5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80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w:t>
            </w:r>
          </w:p>
        </w:tc>
        <w:tc>
          <w:tcPr>
            <w:tcW w:w="7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3,348</w:t>
            </w:r>
          </w:p>
        </w:tc>
        <w:tc>
          <w:tcPr>
            <w:tcW w:w="0" w:type="dxa"/>
            <w:vAlign w:val="bottom"/>
          </w:tcPr>
          <w:p>
            <w:pPr>
              <w:spacing w:after="0"/>
              <w:rPr>
                <w:sz w:val="1"/>
                <w:szCs w:val="1"/>
                <w:color w:val="auto"/>
              </w:rPr>
            </w:pP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amortization</w:t>
            </w:r>
          </w:p>
        </w:tc>
        <w:tc>
          <w:tcPr>
            <w:tcW w:w="84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Operating income (loss)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$2,325</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$92</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($220)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$2,197</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$2,199</w:t>
            </w:r>
          </w:p>
        </w:tc>
        <w:tc>
          <w:tcPr>
            <w:tcW w:w="0" w:type="dxa"/>
            <w:vAlign w:val="bottom"/>
          </w:tcPr>
          <w:p>
            <w:pPr>
              <w:spacing w:after="0"/>
              <w:rPr>
                <w:sz w:val="1"/>
                <w:szCs w:val="1"/>
                <w:color w:val="auto"/>
              </w:rPr>
            </w:pPr>
          </w:p>
        </w:tc>
      </w:tr>
      <w:tr>
        <w:trPr>
          <w:trHeight w:val="296"/>
        </w:trPr>
        <w:tc>
          <w:tcPr>
            <w:tcW w:w="2480" w:type="dxa"/>
            <w:vAlign w:val="bottom"/>
          </w:tcPr>
          <w:p>
            <w:pPr>
              <w:spacing w:after="0"/>
              <w:rPr>
                <w:sz w:val="20"/>
                <w:szCs w:val="20"/>
                <w:color w:val="auto"/>
              </w:rPr>
            </w:pPr>
            <w:r>
              <w:rPr>
                <w:rFonts w:ascii="Courier New" w:cs="Courier New" w:eastAsia="Courier New" w:hAnsi="Courier New"/>
                <w:sz w:val="18"/>
                <w:szCs w:val="18"/>
                <w:color w:val="auto"/>
              </w:rPr>
              <w:t>Capital expenditures</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$2,578</w:t>
            </w:r>
          </w:p>
        </w:tc>
        <w:tc>
          <w:tcPr>
            <w:tcW w:w="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$14</w:t>
            </w: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$18</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$2,610</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$2,610</w:t>
            </w: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160" w:type="dxa"/>
            <w:vAlign w:val="bottom"/>
            <w:gridSpan w:val="3"/>
          </w:tcPr>
          <w:p>
            <w:pPr>
              <w:jc w:val="right"/>
              <w:ind w:right="112"/>
              <w:spacing w:after="0"/>
              <w:rPr>
                <w:sz w:val="20"/>
                <w:szCs w:val="20"/>
                <w:color w:val="auto"/>
              </w:rPr>
            </w:pPr>
            <w:r>
              <w:rPr>
                <w:rFonts w:ascii="Courier New" w:cs="Courier New" w:eastAsia="Courier New" w:hAnsi="Courier New"/>
                <w:sz w:val="18"/>
                <w:szCs w:val="18"/>
                <w:color w:val="auto"/>
              </w:rPr>
              <w:t>Adjustments (2)</w:t>
            </w:r>
          </w:p>
        </w:tc>
        <w:tc>
          <w:tcPr>
            <w:tcW w:w="0" w:type="dxa"/>
            <w:vAlign w:val="bottom"/>
          </w:tcPr>
          <w:p>
            <w:pPr>
              <w:spacing w:after="0"/>
              <w:rPr>
                <w:sz w:val="1"/>
                <w:szCs w:val="1"/>
                <w:color w:val="auto"/>
              </w:rPr>
            </w:pPr>
          </w:p>
        </w:tc>
      </w:tr>
      <w:tr>
        <w:trPr>
          <w:trHeight w:val="311"/>
        </w:trPr>
        <w:tc>
          <w:tcPr>
            <w:tcW w:w="2480" w:type="dxa"/>
            <w:vAlign w:val="bottom"/>
            <w:vMerge w:val="restart"/>
          </w:tcPr>
          <w:p>
            <w:pPr>
              <w:spacing w:after="0"/>
              <w:rPr>
                <w:sz w:val="20"/>
                <w:szCs w:val="20"/>
                <w:color w:val="auto"/>
              </w:rPr>
            </w:pPr>
            <w:r>
              <w:rPr>
                <w:rFonts w:ascii="Courier New" w:cs="Courier New" w:eastAsia="Courier New" w:hAnsi="Courier New"/>
                <w:sz w:val="18"/>
                <w:szCs w:val="18"/>
                <w:color w:val="auto"/>
              </w:rPr>
              <w:t>Nine Months Ended</w:t>
            </w:r>
          </w:p>
        </w:tc>
        <w:tc>
          <w:tcPr>
            <w:tcW w:w="840" w:type="dxa"/>
            <w:vAlign w:val="bottom"/>
          </w:tcPr>
          <w:p>
            <w:pPr>
              <w:spacing w:after="0"/>
              <w:rPr>
                <w:sz w:val="24"/>
                <w:szCs w:val="24"/>
                <w:color w:val="auto"/>
              </w:rPr>
            </w:pPr>
          </w:p>
        </w:tc>
        <w:tc>
          <w:tcPr>
            <w:tcW w:w="2320" w:type="dxa"/>
            <w:vAlign w:val="bottom"/>
            <w:gridSpan w:val="3"/>
          </w:tcPr>
          <w:p>
            <w:pPr>
              <w:jc w:val="center"/>
              <w:spacing w:after="0"/>
              <w:rPr>
                <w:sz w:val="20"/>
                <w:szCs w:val="20"/>
                <w:color w:val="auto"/>
              </w:rPr>
            </w:pPr>
            <w:r>
              <w:rPr>
                <w:rFonts w:ascii="Courier New" w:cs="Courier New" w:eastAsia="Courier New" w:hAnsi="Courier New"/>
                <w:sz w:val="18"/>
                <w:szCs w:val="18"/>
                <w:color w:val="auto"/>
                <w:w w:val="96"/>
              </w:rPr>
              <w:t>Corporate</w:t>
            </w:r>
          </w:p>
        </w:tc>
        <w:tc>
          <w:tcPr>
            <w:tcW w:w="580" w:type="dxa"/>
            <w:vAlign w:val="bottom"/>
          </w:tcPr>
          <w:p>
            <w:pPr>
              <w:spacing w:after="0"/>
              <w:rPr>
                <w:sz w:val="24"/>
                <w:szCs w:val="24"/>
                <w:color w:val="auto"/>
              </w:rPr>
            </w:pPr>
          </w:p>
        </w:tc>
        <w:tc>
          <w:tcPr>
            <w:tcW w:w="1580" w:type="dxa"/>
            <w:vAlign w:val="bottom"/>
            <w:gridSpan w:val="2"/>
          </w:tcPr>
          <w:p>
            <w:pPr>
              <w:jc w:val="center"/>
              <w:ind w:right="532"/>
              <w:spacing w:after="0"/>
              <w:rPr>
                <w:sz w:val="20"/>
                <w:szCs w:val="20"/>
                <w:color w:val="auto"/>
              </w:rPr>
            </w:pPr>
            <w:r>
              <w:rPr>
                <w:rFonts w:ascii="Courier New" w:cs="Courier New" w:eastAsia="Courier New" w:hAnsi="Courier New"/>
                <w:sz w:val="18"/>
                <w:szCs w:val="18"/>
                <w:color w:val="auto"/>
                <w:w w:val="98"/>
              </w:rPr>
              <w:t>Corporate</w:t>
            </w:r>
          </w:p>
        </w:tc>
        <w:tc>
          <w:tcPr>
            <w:tcW w:w="0" w:type="dxa"/>
            <w:vAlign w:val="bottom"/>
          </w:tcPr>
          <w:p>
            <w:pPr>
              <w:spacing w:after="0"/>
              <w:rPr>
                <w:sz w:val="1"/>
                <w:szCs w:val="1"/>
                <w:color w:val="auto"/>
              </w:rPr>
            </w:pPr>
          </w:p>
        </w:tc>
      </w:tr>
      <w:tr>
        <w:trPr>
          <w:trHeight w:val="203"/>
        </w:trPr>
        <w:tc>
          <w:tcPr>
            <w:tcW w:w="2480" w:type="dxa"/>
            <w:vAlign w:val="bottom"/>
            <w:vMerge w:val="continue"/>
          </w:tcPr>
          <w:p>
            <w:pPr>
              <w:spacing w:after="0"/>
              <w:rPr>
                <w:sz w:val="17"/>
                <w:szCs w:val="17"/>
                <w:color w:val="auto"/>
              </w:rPr>
            </w:pPr>
          </w:p>
        </w:tc>
        <w:tc>
          <w:tcPr>
            <w:tcW w:w="8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Cable</w:t>
            </w:r>
          </w:p>
        </w:tc>
        <w:tc>
          <w:tcPr>
            <w:tcW w:w="800" w:type="dxa"/>
            <w:vAlign w:val="bottom"/>
            <w:vMerge w:val="restart"/>
          </w:tcPr>
          <w:p>
            <w:pPr>
              <w:ind w:left="60"/>
              <w:spacing w:after="0"/>
              <w:rPr>
                <w:sz w:val="20"/>
                <w:szCs w:val="20"/>
                <w:color w:val="auto"/>
              </w:rPr>
            </w:pPr>
            <w:r>
              <w:rPr>
                <w:rFonts w:ascii="Courier New" w:cs="Courier New" w:eastAsia="Courier New" w:hAnsi="Courier New"/>
                <w:sz w:val="18"/>
                <w:szCs w:val="18"/>
                <w:color w:val="auto"/>
                <w:w w:val="95"/>
              </w:rPr>
              <w:t>Content</w:t>
            </w:r>
          </w:p>
        </w:tc>
        <w:tc>
          <w:tcPr>
            <w:tcW w:w="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and</w:t>
            </w: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Total</w:t>
            </w:r>
          </w:p>
        </w:tc>
        <w:tc>
          <w:tcPr>
            <w:tcW w:w="580" w:type="dxa"/>
            <w:vAlign w:val="bottom"/>
          </w:tcPr>
          <w:p>
            <w:pPr>
              <w:spacing w:after="0"/>
              <w:rPr>
                <w:sz w:val="17"/>
                <w:szCs w:val="17"/>
                <w:color w:val="auto"/>
              </w:rPr>
            </w:pPr>
          </w:p>
        </w:tc>
        <w:tc>
          <w:tcPr>
            <w:tcW w:w="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w:t>
            </w:r>
          </w:p>
        </w:tc>
        <w:tc>
          <w:tcPr>
            <w:tcW w:w="78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8"/>
              </w:rPr>
              <w:t>Pro</w:t>
            </w:r>
          </w:p>
        </w:tc>
        <w:tc>
          <w:tcPr>
            <w:tcW w:w="0" w:type="dxa"/>
            <w:vAlign w:val="bottom"/>
          </w:tcPr>
          <w:p>
            <w:pPr>
              <w:spacing w:after="0"/>
              <w:rPr>
                <w:sz w:val="1"/>
                <w:szCs w:val="1"/>
                <w:color w:val="auto"/>
              </w:rPr>
            </w:pP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September 30, 2003</w:t>
            </w:r>
          </w:p>
        </w:tc>
        <w:tc>
          <w:tcPr>
            <w:tcW w:w="84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Other</w:t>
            </w:r>
          </w:p>
        </w:tc>
        <w:tc>
          <w:tcPr>
            <w:tcW w:w="840" w:type="dxa"/>
            <w:vAlign w:val="bottom"/>
            <w:vMerge w:val="continue"/>
          </w:tcPr>
          <w:p>
            <w:pPr>
              <w:spacing w:after="0"/>
              <w:rPr>
                <w:sz w:val="17"/>
                <w:szCs w:val="17"/>
                <w:color w:val="auto"/>
              </w:rPr>
            </w:pPr>
          </w:p>
        </w:tc>
        <w:tc>
          <w:tcPr>
            <w:tcW w:w="13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Cable Other</w:t>
            </w:r>
          </w:p>
        </w:tc>
        <w:tc>
          <w:tcPr>
            <w:tcW w:w="78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6"/>
              </w:rPr>
              <w:t>forma</w:t>
            </w: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$12,985</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$462</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$13,606</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$13,616</w:t>
            </w: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(excluding</w:t>
            </w: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and</w:t>
            </w: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8,347</w:t>
            </w:r>
          </w:p>
        </w:tc>
        <w:tc>
          <w:tcPr>
            <w:tcW w:w="8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307</w:t>
            </w:r>
          </w:p>
        </w:tc>
        <w:tc>
          <w:tcPr>
            <w:tcW w:w="6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280</w:t>
            </w: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8,934</w:t>
            </w:r>
          </w:p>
        </w:tc>
        <w:tc>
          <w:tcPr>
            <w:tcW w:w="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w:t>
            </w:r>
          </w:p>
        </w:tc>
        <w:tc>
          <w:tcPr>
            <w:tcW w:w="80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w:t>
            </w:r>
          </w:p>
        </w:tc>
        <w:tc>
          <w:tcPr>
            <w:tcW w:w="7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8,939</w:t>
            </w:r>
          </w:p>
        </w:tc>
        <w:tc>
          <w:tcPr>
            <w:tcW w:w="0" w:type="dxa"/>
            <w:vAlign w:val="bottom"/>
          </w:tcPr>
          <w:p>
            <w:pPr>
              <w:spacing w:after="0"/>
              <w:rPr>
                <w:sz w:val="1"/>
                <w:szCs w:val="1"/>
                <w:color w:val="auto"/>
              </w:rPr>
            </w:pP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amortization)</w:t>
            </w:r>
          </w:p>
        </w:tc>
        <w:tc>
          <w:tcPr>
            <w:tcW w:w="84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Cash Flow</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$4,638</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$155</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($121)</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$4,672</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$4,677</w:t>
            </w: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and</w:t>
            </w: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3,299</w:t>
            </w:r>
          </w:p>
        </w:tc>
        <w:tc>
          <w:tcPr>
            <w:tcW w:w="8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96</w:t>
            </w:r>
          </w:p>
        </w:tc>
        <w:tc>
          <w:tcPr>
            <w:tcW w:w="6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65</w:t>
            </w: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3,460</w:t>
            </w:r>
          </w:p>
        </w:tc>
        <w:tc>
          <w:tcPr>
            <w:tcW w:w="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80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w:t>
            </w:r>
          </w:p>
        </w:tc>
        <w:tc>
          <w:tcPr>
            <w:tcW w:w="7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3,460</w:t>
            </w:r>
          </w:p>
        </w:tc>
        <w:tc>
          <w:tcPr>
            <w:tcW w:w="0" w:type="dxa"/>
            <w:vAlign w:val="bottom"/>
          </w:tcPr>
          <w:p>
            <w:pPr>
              <w:spacing w:after="0"/>
              <w:rPr>
                <w:sz w:val="1"/>
                <w:szCs w:val="1"/>
                <w:color w:val="auto"/>
              </w:rPr>
            </w:pP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amortization</w:t>
            </w:r>
          </w:p>
        </w:tc>
        <w:tc>
          <w:tcPr>
            <w:tcW w:w="84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Operating income (loss)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$1,339</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$59</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($186)</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$1,212</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$1,217</w:t>
            </w:r>
          </w:p>
        </w:tc>
        <w:tc>
          <w:tcPr>
            <w:tcW w:w="0" w:type="dxa"/>
            <w:vAlign w:val="bottom"/>
          </w:tcPr>
          <w:p>
            <w:pPr>
              <w:spacing w:after="0"/>
              <w:rPr>
                <w:sz w:val="1"/>
                <w:szCs w:val="1"/>
                <w:color w:val="auto"/>
              </w:rPr>
            </w:pPr>
          </w:p>
        </w:tc>
      </w:tr>
      <w:tr>
        <w:trPr>
          <w:trHeight w:val="296"/>
        </w:trPr>
        <w:tc>
          <w:tcPr>
            <w:tcW w:w="2480" w:type="dxa"/>
            <w:vAlign w:val="bottom"/>
          </w:tcPr>
          <w:p>
            <w:pPr>
              <w:spacing w:after="0"/>
              <w:rPr>
                <w:sz w:val="20"/>
                <w:szCs w:val="20"/>
                <w:color w:val="auto"/>
              </w:rPr>
            </w:pPr>
            <w:r>
              <w:rPr>
                <w:rFonts w:ascii="Courier New" w:cs="Courier New" w:eastAsia="Courier New" w:hAnsi="Courier New"/>
                <w:sz w:val="18"/>
                <w:szCs w:val="18"/>
                <w:color w:val="auto"/>
              </w:rPr>
              <w:t>Capital expenditures</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$3,045</w:t>
            </w:r>
          </w:p>
        </w:tc>
        <w:tc>
          <w:tcPr>
            <w:tcW w:w="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$10</w:t>
            </w: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$38</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$3,093</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$3,093</w:t>
            </w:r>
          </w:p>
        </w:tc>
        <w:tc>
          <w:tcPr>
            <w:tcW w:w="0" w:type="dxa"/>
            <w:vAlign w:val="bottom"/>
          </w:tcPr>
          <w:p>
            <w:pPr>
              <w:spacing w:after="0"/>
              <w:rPr>
                <w:sz w:val="1"/>
                <w:szCs w:val="1"/>
                <w:color w:val="auto"/>
              </w:rPr>
            </w:pPr>
          </w:p>
        </w:tc>
      </w:tr>
    </w:tbl>
    <w:p>
      <w:pPr>
        <w:spacing w:after="0" w:line="109"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6"/>
          <w:szCs w:val="16"/>
          <w:color w:val="auto"/>
        </w:rPr>
        <w:t>Reconciliation of Total Debt to Debt Excluding Exchangeables (Unaudited)</w:t>
      </w:r>
    </w:p>
    <w:p>
      <w:pPr>
        <w:spacing w:after="0" w:line="5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80" w:type="dxa"/>
            <w:vAlign w:val="bottom"/>
            <w:gridSpan w:val="2"/>
          </w:tcPr>
          <w:p>
            <w:pPr>
              <w:ind w:left="1900"/>
              <w:spacing w:after="0"/>
              <w:rPr>
                <w:sz w:val="20"/>
                <w:szCs w:val="20"/>
                <w:color w:val="auto"/>
              </w:rPr>
            </w:pPr>
            <w:r>
              <w:rPr>
                <w:rFonts w:ascii="Courier New" w:cs="Courier New" w:eastAsia="Courier New" w:hAnsi="Courier New"/>
                <w:sz w:val="18"/>
                <w:szCs w:val="18"/>
                <w:color w:val="auto"/>
              </w:rPr>
              <w:t>September 30,</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December 31,</w:t>
            </w:r>
          </w:p>
        </w:tc>
        <w:tc>
          <w:tcPr>
            <w:tcW w:w="0" w:type="dxa"/>
            <w:vAlign w:val="bottom"/>
          </w:tcPr>
          <w:p>
            <w:pPr>
              <w:spacing w:after="0"/>
              <w:rPr>
                <w:sz w:val="1"/>
                <w:szCs w:val="1"/>
                <w:color w:val="auto"/>
              </w:rPr>
            </w:pPr>
          </w:p>
        </w:tc>
      </w:tr>
      <w:tr>
        <w:trPr>
          <w:trHeight w:val="203"/>
        </w:trPr>
        <w:tc>
          <w:tcPr>
            <w:tcW w:w="4860" w:type="dxa"/>
            <w:vAlign w:val="bottom"/>
            <w:gridSpan w:val="3"/>
            <w:vMerge w:val="restart"/>
          </w:tcPr>
          <w:p>
            <w:pPr>
              <w:spacing w:after="0"/>
              <w:rPr>
                <w:sz w:val="20"/>
                <w:szCs w:val="20"/>
                <w:color w:val="auto"/>
              </w:rPr>
            </w:pPr>
            <w:r>
              <w:rPr>
                <w:rFonts w:ascii="Courier New" w:cs="Courier New" w:eastAsia="Courier New" w:hAnsi="Courier New"/>
                <w:sz w:val="18"/>
                <w:szCs w:val="18"/>
                <w:color w:val="auto"/>
              </w:rPr>
              <w:t>Current portion of long-term debt</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2004</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2003</w:t>
            </w:r>
          </w:p>
        </w:tc>
        <w:tc>
          <w:tcPr>
            <w:tcW w:w="0" w:type="dxa"/>
            <w:vAlign w:val="bottom"/>
          </w:tcPr>
          <w:p>
            <w:pPr>
              <w:spacing w:after="0"/>
              <w:rPr>
                <w:sz w:val="1"/>
                <w:szCs w:val="1"/>
                <w:color w:val="auto"/>
              </w:rPr>
            </w:pPr>
          </w:p>
        </w:tc>
      </w:tr>
      <w:tr>
        <w:trPr>
          <w:trHeight w:val="203"/>
        </w:trPr>
        <w:tc>
          <w:tcPr>
            <w:tcW w:w="4860" w:type="dxa"/>
            <w:vAlign w:val="bottom"/>
            <w:gridSpan w:val="3"/>
            <w:vMerge w:val="continue"/>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$3,128</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$3,161</w:t>
            </w:r>
          </w:p>
        </w:tc>
        <w:tc>
          <w:tcPr>
            <w:tcW w:w="0" w:type="dxa"/>
            <w:vAlign w:val="bottom"/>
          </w:tcPr>
          <w:p>
            <w:pPr>
              <w:spacing w:after="0"/>
              <w:rPr>
                <w:sz w:val="1"/>
                <w:szCs w:val="1"/>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Long-term debt</w:t>
            </w:r>
          </w:p>
        </w:tc>
        <w:tc>
          <w:tcPr>
            <w:tcW w:w="232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22,103</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23,835</w:t>
            </w:r>
          </w:p>
        </w:tc>
        <w:tc>
          <w:tcPr>
            <w:tcW w:w="0" w:type="dxa"/>
            <w:vAlign w:val="bottom"/>
          </w:tcPr>
          <w:p>
            <w:pPr>
              <w:spacing w:after="0"/>
              <w:rPr>
                <w:sz w:val="1"/>
                <w:szCs w:val="1"/>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Total Debt</w:t>
            </w:r>
          </w:p>
        </w:tc>
        <w:tc>
          <w:tcPr>
            <w:tcW w:w="14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$25,231</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$26,996</w:t>
            </w:r>
          </w:p>
        </w:tc>
        <w:tc>
          <w:tcPr>
            <w:tcW w:w="0" w:type="dxa"/>
            <w:vAlign w:val="bottom"/>
          </w:tcPr>
          <w:p>
            <w:pPr>
              <w:spacing w:after="0"/>
              <w:rPr>
                <w:sz w:val="1"/>
                <w:szCs w:val="1"/>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Exchangeable debt</w:t>
            </w:r>
          </w:p>
        </w:tc>
        <w:tc>
          <w:tcPr>
            <w:tcW w:w="232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2,991</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4,318</w:t>
            </w:r>
          </w:p>
        </w:tc>
        <w:tc>
          <w:tcPr>
            <w:tcW w:w="0" w:type="dxa"/>
            <w:vAlign w:val="bottom"/>
          </w:tcPr>
          <w:p>
            <w:pPr>
              <w:spacing w:after="0"/>
              <w:rPr>
                <w:sz w:val="1"/>
                <w:szCs w:val="1"/>
                <w:color w:val="auto"/>
              </w:rPr>
            </w:pPr>
          </w:p>
        </w:tc>
      </w:tr>
      <w:tr>
        <w:trPr>
          <w:trHeight w:val="296"/>
        </w:trPr>
        <w:tc>
          <w:tcPr>
            <w:tcW w:w="4860" w:type="dxa"/>
            <w:vAlign w:val="bottom"/>
            <w:gridSpan w:val="3"/>
          </w:tcPr>
          <w:p>
            <w:pPr>
              <w:spacing w:after="0"/>
              <w:rPr>
                <w:sz w:val="20"/>
                <w:szCs w:val="20"/>
                <w:color w:val="auto"/>
              </w:rPr>
            </w:pPr>
            <w:r>
              <w:rPr>
                <w:rFonts w:ascii="Courier New" w:cs="Courier New" w:eastAsia="Courier New" w:hAnsi="Courier New"/>
                <w:sz w:val="18"/>
                <w:szCs w:val="18"/>
                <w:color w:val="auto"/>
              </w:rPr>
              <w:t>Debt excluding exchangeables</w:t>
            </w:r>
          </w:p>
        </w:tc>
        <w:tc>
          <w:tcPr>
            <w:tcW w:w="13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$22,240</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$22,678</w:t>
            </w:r>
          </w:p>
        </w:tc>
        <w:tc>
          <w:tcPr>
            <w:tcW w:w="0" w:type="dxa"/>
            <w:vAlign w:val="bottom"/>
          </w:tcPr>
          <w:p>
            <w:pPr>
              <w:spacing w:after="0"/>
              <w:rPr>
                <w:sz w:val="1"/>
                <w:szCs w:val="1"/>
                <w:color w:val="auto"/>
              </w:rPr>
            </w:pPr>
          </w:p>
        </w:tc>
      </w:tr>
      <w:tr>
        <w:trPr>
          <w:trHeight w:val="311"/>
        </w:trPr>
        <w:tc>
          <w:tcPr>
            <w:tcW w:w="10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Calculation</w:t>
            </w:r>
          </w:p>
        </w:tc>
        <w:tc>
          <w:tcPr>
            <w:tcW w:w="36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of 2004 Estimated Free Cash Flow</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(dollars in billions)</w:t>
            </w: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2003 Operating Income</w:t>
            </w:r>
          </w:p>
        </w:tc>
        <w:tc>
          <w:tcPr>
            <w:tcW w:w="2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$2.0</w:t>
            </w:r>
          </w:p>
        </w:tc>
        <w:tc>
          <w:tcPr>
            <w:tcW w:w="0" w:type="dxa"/>
            <w:vAlign w:val="bottom"/>
          </w:tcPr>
          <w:p>
            <w:pPr>
              <w:spacing w:after="0"/>
              <w:rPr>
                <w:sz w:val="1"/>
                <w:szCs w:val="1"/>
                <w:color w:val="auto"/>
              </w:rPr>
            </w:pPr>
          </w:p>
        </w:tc>
      </w:tr>
      <w:tr>
        <w:trPr>
          <w:trHeight w:val="203"/>
        </w:trPr>
        <w:tc>
          <w:tcPr>
            <w:tcW w:w="4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Add: Depreciation and Amortization</w:t>
            </w:r>
          </w:p>
        </w:tc>
        <w:tc>
          <w:tcPr>
            <w:tcW w:w="1360" w:type="dxa"/>
            <w:vAlign w:val="bottom"/>
          </w:tcPr>
          <w:p>
            <w:pPr>
              <w:spacing w:after="0"/>
              <w:rPr>
                <w:sz w:val="17"/>
                <w:szCs w:val="17"/>
                <w:color w:val="auto"/>
              </w:rPr>
            </w:pP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w:t>
            </w:r>
          </w:p>
        </w:tc>
        <w:tc>
          <w:tcPr>
            <w:tcW w:w="0" w:type="dxa"/>
            <w:vAlign w:val="bottom"/>
          </w:tcPr>
          <w:p>
            <w:pPr>
              <w:spacing w:after="0"/>
              <w:rPr>
                <w:sz w:val="1"/>
                <w:szCs w:val="1"/>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2003 Operating Cash Flow</w:t>
            </w:r>
          </w:p>
        </w:tc>
        <w:tc>
          <w:tcPr>
            <w:tcW w:w="232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Growth</w:t>
            </w:r>
          </w:p>
        </w:tc>
        <w:tc>
          <w:tcPr>
            <w:tcW w:w="1360" w:type="dxa"/>
            <w:vAlign w:val="bottom"/>
          </w:tcPr>
          <w:p>
            <w:pPr>
              <w:spacing w:after="0"/>
              <w:rPr>
                <w:sz w:val="17"/>
                <w:szCs w:val="17"/>
                <w:color w:val="auto"/>
              </w:rPr>
            </w:pP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w:t>
            </w:r>
          </w:p>
        </w:tc>
        <w:tc>
          <w:tcPr>
            <w:tcW w:w="0" w:type="dxa"/>
            <w:vAlign w:val="bottom"/>
          </w:tcPr>
          <w:p>
            <w:pPr>
              <w:spacing w:after="0"/>
              <w:rPr>
                <w:sz w:val="1"/>
                <w:szCs w:val="1"/>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2004 Operating Cash Flow</w:t>
            </w:r>
          </w:p>
        </w:tc>
        <w:tc>
          <w:tcPr>
            <w:tcW w:w="232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w:t>
            </w:r>
          </w:p>
        </w:tc>
        <w:tc>
          <w:tcPr>
            <w:tcW w:w="0" w:type="dxa"/>
            <w:vAlign w:val="bottom"/>
          </w:tcPr>
          <w:p>
            <w:pPr>
              <w:spacing w:after="0"/>
              <w:rPr>
                <w:sz w:val="1"/>
                <w:szCs w:val="1"/>
                <w:color w:val="auto"/>
              </w:rPr>
            </w:pPr>
          </w:p>
        </w:tc>
      </w:tr>
      <w:tr>
        <w:trPr>
          <w:trHeight w:val="296"/>
        </w:trPr>
        <w:tc>
          <w:tcPr>
            <w:tcW w:w="1060" w:type="dxa"/>
            <w:vAlign w:val="bottom"/>
          </w:tcPr>
          <w:p>
            <w:pPr>
              <w:spacing w:after="0"/>
              <w:rPr>
                <w:sz w:val="20"/>
                <w:szCs w:val="20"/>
                <w:color w:val="auto"/>
              </w:rPr>
            </w:pPr>
            <w:r>
              <w:rPr>
                <w:rFonts w:ascii="Courier New" w:cs="Courier New" w:eastAsia="Courier New" w:hAnsi="Courier New"/>
                <w:sz w:val="18"/>
                <w:szCs w:val="18"/>
                <w:color w:val="auto"/>
              </w:rPr>
              <w:t>Projected</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w w:val="96"/>
              </w:rPr>
              <w:t>2004 Operating</w:t>
            </w:r>
          </w:p>
        </w:tc>
        <w:tc>
          <w:tcPr>
            <w:tcW w:w="2320" w:type="dxa"/>
            <w:vAlign w:val="bottom"/>
          </w:tcPr>
          <w:p>
            <w:pPr>
              <w:ind w:left="100"/>
              <w:spacing w:after="0"/>
              <w:rPr>
                <w:sz w:val="20"/>
                <w:szCs w:val="20"/>
                <w:color w:val="auto"/>
              </w:rPr>
            </w:pPr>
            <w:r>
              <w:rPr>
                <w:rFonts w:ascii="Courier New" w:cs="Courier New" w:eastAsia="Courier New" w:hAnsi="Courier New"/>
                <w:sz w:val="18"/>
                <w:szCs w:val="18"/>
                <w:color w:val="auto"/>
              </w:rPr>
              <w:t>Cash Flow</w:t>
            </w:r>
          </w:p>
        </w:tc>
        <w:tc>
          <w:tcPr>
            <w:tcW w:w="1360" w:type="dxa"/>
            <w:vAlign w:val="bottom"/>
          </w:tcPr>
          <w:p>
            <w:pPr>
              <w:spacing w:after="0"/>
              <w:rPr>
                <w:sz w:val="24"/>
                <w:szCs w:val="24"/>
                <w:color w:val="auto"/>
              </w:rPr>
            </w:pP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7.5</w:t>
            </w:r>
          </w:p>
        </w:tc>
        <w:tc>
          <w:tcPr>
            <w:tcW w:w="0" w:type="dxa"/>
            <w:vAlign w:val="bottom"/>
          </w:tcPr>
          <w:p>
            <w:pPr>
              <w:spacing w:after="0"/>
              <w:rPr>
                <w:sz w:val="1"/>
                <w:szCs w:val="1"/>
                <w:color w:val="auto"/>
              </w:rPr>
            </w:pPr>
          </w:p>
        </w:tc>
      </w:tr>
      <w:tr>
        <w:trPr>
          <w:trHeight w:val="311"/>
        </w:trPr>
        <w:tc>
          <w:tcPr>
            <w:tcW w:w="1060" w:type="dxa"/>
            <w:vAlign w:val="bottom"/>
          </w:tcPr>
          <w:p>
            <w:pPr>
              <w:spacing w:after="0"/>
              <w:rPr>
                <w:sz w:val="20"/>
                <w:szCs w:val="20"/>
                <w:color w:val="auto"/>
              </w:rPr>
            </w:pPr>
            <w:r>
              <w:rPr>
                <w:rFonts w:ascii="Courier New" w:cs="Courier New" w:eastAsia="Courier New" w:hAnsi="Courier New"/>
                <w:sz w:val="18"/>
                <w:szCs w:val="18"/>
                <w:color w:val="auto"/>
              </w:rPr>
              <w:t>Less:</w:t>
            </w:r>
          </w:p>
        </w:tc>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Projected Capital Expenditures (3)</w:t>
            </w:r>
          </w:p>
        </w:tc>
        <w:tc>
          <w:tcPr>
            <w:tcW w:w="1360" w:type="dxa"/>
            <w:vAlign w:val="bottom"/>
          </w:tcPr>
          <w:p>
            <w:pPr>
              <w:spacing w:after="0"/>
              <w:rPr>
                <w:sz w:val="24"/>
                <w:szCs w:val="24"/>
                <w:color w:val="auto"/>
              </w:rPr>
            </w:pP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3.4</w:t>
            </w: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Projected 2004</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Consolidated</w:t>
            </w:r>
          </w:p>
        </w:tc>
        <w:tc>
          <w:tcPr>
            <w:tcW w:w="1360" w:type="dxa"/>
            <w:vAlign w:val="bottom"/>
          </w:tcPr>
          <w:p>
            <w:pPr>
              <w:spacing w:after="0"/>
              <w:rPr>
                <w:sz w:val="17"/>
                <w:szCs w:val="17"/>
                <w:color w:val="auto"/>
              </w:rPr>
            </w:pPr>
          </w:p>
        </w:tc>
        <w:tc>
          <w:tcPr>
            <w:tcW w:w="14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1.85</w:t>
            </w: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Interest, net</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w:t>
            </w:r>
          </w:p>
        </w:tc>
        <w:tc>
          <w:tcPr>
            <w:tcW w:w="136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Projected 2004</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Consolidated</w:t>
            </w:r>
          </w:p>
        </w:tc>
        <w:tc>
          <w:tcPr>
            <w:tcW w:w="1360" w:type="dxa"/>
            <w:vAlign w:val="bottom"/>
          </w:tcPr>
          <w:p>
            <w:pPr>
              <w:spacing w:after="0"/>
              <w:rPr>
                <w:sz w:val="17"/>
                <w:szCs w:val="17"/>
                <w:color w:val="auto"/>
              </w:rPr>
            </w:pPr>
          </w:p>
        </w:tc>
        <w:tc>
          <w:tcPr>
            <w:tcW w:w="14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0.25</w:t>
            </w:r>
          </w:p>
        </w:tc>
        <w:tc>
          <w:tcPr>
            <w:tcW w:w="0" w:type="dxa"/>
            <w:vAlign w:val="bottom"/>
          </w:tcPr>
          <w:p>
            <w:pPr>
              <w:spacing w:after="0"/>
              <w:rPr>
                <w:sz w:val="1"/>
                <w:szCs w:val="1"/>
                <w:color w:val="auto"/>
              </w:rPr>
            </w:pPr>
          </w:p>
        </w:tc>
      </w:tr>
      <w:tr>
        <w:trPr>
          <w:trHeight w:val="296"/>
        </w:trPr>
        <w:tc>
          <w:tcPr>
            <w:tcW w:w="10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Cash Paid for</w:t>
            </w:r>
          </w:p>
        </w:tc>
        <w:tc>
          <w:tcPr>
            <w:tcW w:w="2320" w:type="dxa"/>
            <w:vAlign w:val="bottom"/>
          </w:tcPr>
          <w:p>
            <w:pPr>
              <w:ind w:left="100"/>
              <w:spacing w:after="0"/>
              <w:rPr>
                <w:sz w:val="20"/>
                <w:szCs w:val="20"/>
                <w:color w:val="auto"/>
              </w:rPr>
            </w:pPr>
            <w:r>
              <w:rPr>
                <w:rFonts w:ascii="Courier New" w:cs="Courier New" w:eastAsia="Courier New" w:hAnsi="Courier New"/>
                <w:sz w:val="18"/>
                <w:szCs w:val="18"/>
                <w:color w:val="auto"/>
              </w:rPr>
              <w:t>Income Taxes (5)</w:t>
            </w:r>
          </w:p>
        </w:tc>
        <w:tc>
          <w:tcPr>
            <w:tcW w:w="136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799"/>
          </w:cols>
          <w:pgMar w:left="660" w:top="108" w:right="1440"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4320" w:type="dxa"/>
            <w:vAlign w:val="bottom"/>
          </w:tcPr>
          <w:p>
            <w:pPr>
              <w:spacing w:after="0"/>
              <w:rPr>
                <w:sz w:val="20"/>
                <w:szCs w:val="20"/>
                <w:color w:val="auto"/>
              </w:rPr>
            </w:pPr>
            <w:r>
              <w:rPr>
                <w:rFonts w:ascii="Courier New" w:cs="Courier New" w:eastAsia="Courier New" w:hAnsi="Courier New"/>
                <w:sz w:val="18"/>
                <w:szCs w:val="18"/>
                <w:color w:val="auto"/>
              </w:rPr>
              <w:t>Free Cash Flow</w:t>
            </w:r>
          </w:p>
        </w:tc>
        <w:tc>
          <w:tcPr>
            <w:tcW w:w="3280" w:type="dxa"/>
            <w:vAlign w:val="bottom"/>
          </w:tcPr>
          <w:p>
            <w:pPr>
              <w:jc w:val="right"/>
              <w:spacing w:after="0"/>
              <w:rPr>
                <w:sz w:val="20"/>
                <w:szCs w:val="20"/>
                <w:color w:val="auto"/>
              </w:rPr>
            </w:pPr>
            <w:r>
              <w:rPr>
                <w:rFonts w:ascii="Courier New" w:cs="Courier New" w:eastAsia="Courier New" w:hAnsi="Courier New"/>
                <w:sz w:val="18"/>
                <w:szCs w:val="18"/>
                <w:color w:val="auto"/>
              </w:rPr>
              <w:t>$2.0</w:t>
            </w:r>
          </w:p>
        </w:tc>
      </w:tr>
    </w:tbl>
    <w:p>
      <w:pPr>
        <w:spacing w:after="0" w:line="109" w:lineRule="exact"/>
        <w:rPr>
          <w:sz w:val="20"/>
          <w:szCs w:val="20"/>
          <w:color w:val="auto"/>
        </w:rPr>
      </w:pPr>
    </w:p>
    <w:p>
      <w:pPr>
        <w:ind w:left="540" w:right="2099" w:hanging="531"/>
        <w:spacing w:after="0" w:line="347"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Historical amounts have been adjusted to reflect QVC as discontinued operations.</w:t>
      </w:r>
    </w:p>
    <w:p>
      <w:pPr>
        <w:spacing w:after="0" w:line="18" w:lineRule="exact"/>
        <w:rPr>
          <w:rFonts w:ascii="Courier New" w:cs="Courier New" w:eastAsia="Courier New" w:hAnsi="Courier New"/>
          <w:sz w:val="18"/>
          <w:szCs w:val="18"/>
          <w:color w:val="auto"/>
        </w:rPr>
      </w:pPr>
    </w:p>
    <w:p>
      <w:pPr>
        <w:ind w:left="540" w:right="2199" w:hanging="531"/>
        <w:spacing w:after="0" w:line="274"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data is only adjusted for timing of the acquisitions (or dispositions) and does not include adjustments for costs related to integration activities, cost savings or synergies that have been or may be achieved by the combined businesses.</w:t>
      </w:r>
    </w:p>
    <w:p>
      <w:pPr>
        <w:spacing w:after="0" w:line="81" w:lineRule="exact"/>
        <w:rPr>
          <w:rFonts w:ascii="Courier New" w:cs="Courier New" w:eastAsia="Courier New" w:hAnsi="Courier New"/>
          <w:sz w:val="18"/>
          <w:szCs w:val="18"/>
          <w:color w:val="auto"/>
        </w:rPr>
      </w:pPr>
    </w:p>
    <w:p>
      <w:pPr>
        <w:ind w:left="540" w:right="2099" w:hanging="531"/>
        <w:spacing w:after="0" w:line="347"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Mid point of 2004 Cable capital expenditures guidance plus projected 2004 Content and Other segment's capital expenditures.</w:t>
      </w:r>
    </w:p>
    <w:p>
      <w:pPr>
        <w:spacing w:after="0" w:line="18" w:lineRule="exact"/>
        <w:rPr>
          <w:rFonts w:ascii="Courier New" w:cs="Courier New" w:eastAsia="Courier New" w:hAnsi="Courier New"/>
          <w:sz w:val="18"/>
          <w:szCs w:val="18"/>
          <w:color w:val="auto"/>
        </w:rPr>
      </w:pPr>
    </w:p>
    <w:p>
      <w:pPr>
        <w:ind w:left="540" w:right="2319" w:hanging="531"/>
        <w:spacing w:after="0" w:line="347"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Mid point of 2004 estimated Consolidated interest expense guidance of $1.8 to $1.9 billion.</w:t>
      </w:r>
    </w:p>
    <w:p>
      <w:pPr>
        <w:spacing w:after="0" w:line="18" w:lineRule="exact"/>
        <w:rPr>
          <w:rFonts w:ascii="Courier New" w:cs="Courier New" w:eastAsia="Courier New" w:hAnsi="Courier New"/>
          <w:sz w:val="18"/>
          <w:szCs w:val="18"/>
          <w:color w:val="auto"/>
        </w:rPr>
      </w:pPr>
    </w:p>
    <w:p>
      <w:pPr>
        <w:ind w:left="540" w:right="2199" w:hanging="531"/>
        <w:spacing w:after="0" w:line="347"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Mid point of 2004 estimated Consolidated cash paid for income taxes guidance of $200 to $300 million.</w:t>
      </w:r>
    </w:p>
    <w:p>
      <w:pPr>
        <w:spacing w:after="0" w:line="18"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COMCAST CORPORATION</w:t>
      </w:r>
    </w:p>
    <w:p>
      <w:pPr>
        <w:spacing w:after="0" w:line="2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TABLE 7-B continued</w:t>
      </w:r>
    </w:p>
    <w:p>
      <w:pPr>
        <w:jc w:val="center"/>
        <w:ind w:right="2819"/>
        <w:spacing w:after="0" w:line="238" w:lineRule="auto"/>
        <w:rPr>
          <w:sz w:val="20"/>
          <w:szCs w:val="20"/>
          <w:color w:val="auto"/>
        </w:rPr>
      </w:pPr>
      <w:r>
        <w:rPr>
          <w:rFonts w:ascii="Courier New" w:cs="Courier New" w:eastAsia="Courier New" w:hAnsi="Courier New"/>
          <w:sz w:val="18"/>
          <w:szCs w:val="18"/>
          <w:color w:val="auto"/>
        </w:rPr>
        <w:t>Reconciliation of Net Income to Free Cash Flow (Unaudited)</w:t>
      </w:r>
    </w:p>
    <w:p>
      <w:pPr>
        <w:jc w:val="center"/>
        <w:ind w:right="2819"/>
        <w:spacing w:after="0"/>
        <w:rPr>
          <w:sz w:val="20"/>
          <w:szCs w:val="20"/>
          <w:color w:val="auto"/>
        </w:rPr>
      </w:pPr>
      <w:r>
        <w:rPr>
          <w:rFonts w:ascii="Courier New" w:cs="Courier New" w:eastAsia="Courier New" w:hAnsi="Courier New"/>
          <w:sz w:val="18"/>
          <w:szCs w:val="18"/>
          <w:color w:val="auto"/>
        </w:rPr>
        <w:t>(dollars in millions, except per share data)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00" w:type="dxa"/>
            <w:vAlign w:val="bottom"/>
            <w:gridSpan w:val="2"/>
          </w:tcPr>
          <w:p>
            <w:pPr>
              <w:spacing w:after="0"/>
              <w:rPr>
                <w:sz w:val="20"/>
                <w:szCs w:val="20"/>
                <w:color w:val="auto"/>
              </w:rPr>
            </w:pPr>
            <w:r>
              <w:rPr>
                <w:rFonts w:ascii="Courier New" w:cs="Courier New" w:eastAsia="Courier New" w:hAnsi="Courier New"/>
                <w:sz w:val="18"/>
                <w:szCs w:val="18"/>
                <w:color w:val="auto"/>
                <w:w w:val="96"/>
              </w:rPr>
              <w:t>Three Months Ended</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September 30,</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1940" w:type="dxa"/>
            <w:vAlign w:val="bottom"/>
            <w:gridSpan w:val="2"/>
          </w:tcPr>
          <w:p>
            <w:pPr>
              <w:jc w:val="right"/>
              <w:ind w:right="812"/>
              <w:spacing w:after="0" w:line="203" w:lineRule="exact"/>
              <w:rPr>
                <w:sz w:val="20"/>
                <w:szCs w:val="20"/>
                <w:color w:val="auto"/>
              </w:rPr>
            </w:pPr>
            <w:r>
              <w:rPr>
                <w:rFonts w:ascii="Courier New" w:cs="Courier New" w:eastAsia="Courier New" w:hAnsi="Courier New"/>
                <w:sz w:val="18"/>
                <w:szCs w:val="18"/>
                <w:color w:val="auto"/>
              </w:rPr>
              <w:t>2004</w:t>
            </w:r>
          </w:p>
        </w:tc>
        <w:tc>
          <w:tcPr>
            <w:tcW w:w="184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2003</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8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rPr>
              <w:t>per share</w:t>
            </w:r>
          </w:p>
        </w:tc>
        <w:tc>
          <w:tcPr>
            <w:tcW w:w="800" w:type="dxa"/>
            <w:vAlign w:val="bottom"/>
            <w:vMerge w:val="restart"/>
          </w:tcPr>
          <w:p>
            <w:pPr>
              <w:jc w:val="right"/>
              <w:ind w:right="352"/>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per share</w:t>
            </w:r>
          </w:p>
        </w:tc>
        <w:tc>
          <w:tcPr>
            <w:tcW w:w="0" w:type="dxa"/>
            <w:vAlign w:val="bottom"/>
          </w:tcPr>
          <w:p>
            <w:pPr>
              <w:spacing w:after="0"/>
              <w:rPr>
                <w:sz w:val="1"/>
                <w:szCs w:val="1"/>
                <w:color w:val="auto"/>
              </w:rPr>
            </w:pPr>
          </w:p>
        </w:tc>
      </w:tr>
      <w:tr>
        <w:trPr>
          <w:trHeight w:val="203"/>
        </w:trPr>
        <w:tc>
          <w:tcPr>
            <w:tcW w:w="4020" w:type="dxa"/>
            <w:vAlign w:val="bottom"/>
            <w:vMerge w:val="restart"/>
          </w:tcPr>
          <w:p>
            <w:pPr>
              <w:spacing w:after="0"/>
              <w:rPr>
                <w:sz w:val="20"/>
                <w:szCs w:val="20"/>
                <w:color w:val="auto"/>
              </w:rPr>
            </w:pPr>
            <w:r>
              <w:rPr>
                <w:rFonts w:ascii="Courier New" w:cs="Courier New" w:eastAsia="Courier New" w:hAnsi="Courier New"/>
                <w:sz w:val="18"/>
                <w:szCs w:val="18"/>
                <w:color w:val="auto"/>
              </w:rPr>
              <w:t>Net Income as reported</w:t>
            </w:r>
          </w:p>
        </w:tc>
        <w:tc>
          <w:tcPr>
            <w:tcW w:w="840" w:type="dxa"/>
            <w:vAlign w:val="bottom"/>
            <w:vMerge w:val="continue"/>
          </w:tcPr>
          <w:p>
            <w:pPr>
              <w:spacing w:after="0"/>
              <w:rPr>
                <w:sz w:val="17"/>
                <w:szCs w:val="17"/>
                <w:color w:val="auto"/>
              </w:rPr>
            </w:pP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w:t>
            </w:r>
          </w:p>
        </w:tc>
        <w:tc>
          <w:tcPr>
            <w:tcW w:w="800" w:type="dxa"/>
            <w:vAlign w:val="bottom"/>
            <w:vMerge w:val="continue"/>
          </w:tcPr>
          <w:p>
            <w:pPr>
              <w:spacing w:after="0"/>
              <w:rPr>
                <w:sz w:val="17"/>
                <w:szCs w:val="17"/>
                <w:color w:val="auto"/>
              </w:rPr>
            </w:pPr>
          </w:p>
        </w:tc>
        <w:tc>
          <w:tcPr>
            <w:tcW w:w="10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8"/>
              </w:rPr>
              <w:t>(2)</w:t>
            </w:r>
          </w:p>
        </w:tc>
        <w:tc>
          <w:tcPr>
            <w:tcW w:w="0" w:type="dxa"/>
            <w:vAlign w:val="bottom"/>
          </w:tcPr>
          <w:p>
            <w:pPr>
              <w:spacing w:after="0"/>
              <w:rPr>
                <w:sz w:val="1"/>
                <w:szCs w:val="1"/>
                <w:color w:val="auto"/>
              </w:rPr>
            </w:pPr>
          </w:p>
        </w:tc>
      </w:tr>
      <w:tr>
        <w:trPr>
          <w:trHeight w:val="203"/>
        </w:trPr>
        <w:tc>
          <w:tcPr>
            <w:tcW w:w="4020" w:type="dxa"/>
            <w:vAlign w:val="bottom"/>
            <w:vMerge w:val="continue"/>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$0.10</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$3,176</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$1.41</w:t>
            </w:r>
          </w:p>
        </w:tc>
        <w:tc>
          <w:tcPr>
            <w:tcW w:w="0" w:type="dxa"/>
            <w:vAlign w:val="bottom"/>
          </w:tcPr>
          <w:p>
            <w:pPr>
              <w:spacing w:after="0"/>
              <w:rPr>
                <w:sz w:val="1"/>
                <w:szCs w:val="1"/>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Discontinued Operations, net of tax</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(3,329)</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(1.48)</w:t>
            </w:r>
          </w:p>
        </w:tc>
        <w:tc>
          <w:tcPr>
            <w:tcW w:w="0" w:type="dxa"/>
            <w:vAlign w:val="bottom"/>
          </w:tcPr>
          <w:p>
            <w:pPr>
              <w:spacing w:after="0"/>
              <w:rPr>
                <w:sz w:val="1"/>
                <w:szCs w:val="1"/>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Non-operating items, net of tax (1)</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(0.04)</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120</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0.06</w:t>
            </w:r>
          </w:p>
        </w:tc>
        <w:tc>
          <w:tcPr>
            <w:tcW w:w="0" w:type="dxa"/>
            <w:vAlign w:val="bottom"/>
          </w:tcPr>
          <w:p>
            <w:pPr>
              <w:spacing w:after="0"/>
              <w:rPr>
                <w:sz w:val="1"/>
                <w:szCs w:val="1"/>
                <w:color w:val="auto"/>
              </w:rPr>
            </w:pPr>
          </w:p>
        </w:tc>
      </w:tr>
      <w:tr>
        <w:trPr>
          <w:trHeight w:val="296"/>
        </w:trPr>
        <w:tc>
          <w:tcPr>
            <w:tcW w:w="4020" w:type="dxa"/>
            <w:vAlign w:val="bottom"/>
          </w:tcPr>
          <w:p>
            <w:pPr>
              <w:spacing w:after="0"/>
              <w:rPr>
                <w:sz w:val="20"/>
                <w:szCs w:val="20"/>
                <w:color w:val="auto"/>
              </w:rPr>
            </w:pPr>
            <w:r>
              <w:rPr>
                <w:rFonts w:ascii="Courier New" w:cs="Courier New" w:eastAsia="Courier New" w:hAnsi="Courier New"/>
                <w:sz w:val="18"/>
                <w:szCs w:val="18"/>
                <w:color w:val="auto"/>
              </w:rPr>
              <w:t>Net Income (Loss) as adjusted</w:t>
            </w:r>
          </w:p>
        </w:tc>
        <w:tc>
          <w:tcPr>
            <w:tcW w:w="8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$139</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$0.06</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($33)</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($0.01)</w:t>
            </w:r>
          </w:p>
        </w:tc>
        <w:tc>
          <w:tcPr>
            <w:tcW w:w="0" w:type="dxa"/>
            <w:vAlign w:val="bottom"/>
          </w:tcPr>
          <w:p>
            <w:pPr>
              <w:spacing w:after="0"/>
              <w:rPr>
                <w:sz w:val="1"/>
                <w:szCs w:val="1"/>
                <w:color w:val="auto"/>
              </w:rPr>
            </w:pPr>
          </w:p>
        </w:tc>
      </w:tr>
      <w:tr>
        <w:trPr>
          <w:trHeight w:val="311"/>
        </w:trPr>
        <w:tc>
          <w:tcPr>
            <w:tcW w:w="4020" w:type="dxa"/>
            <w:vAlign w:val="bottom"/>
          </w:tcPr>
          <w:p>
            <w:pPr>
              <w:spacing w:after="0"/>
              <w:rPr>
                <w:sz w:val="20"/>
                <w:szCs w:val="20"/>
                <w:color w:val="auto"/>
              </w:rPr>
            </w:pPr>
            <w:r>
              <w:rPr>
                <w:rFonts w:ascii="Courier New" w:cs="Courier New" w:eastAsia="Courier New" w:hAnsi="Courier New"/>
                <w:sz w:val="18"/>
                <w:szCs w:val="18"/>
                <w:color w:val="auto"/>
              </w:rPr>
              <w:t>Items to reconcile net income (loss)</w:t>
            </w: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 adjusted to Operating Cash Flow:</w:t>
            </w:r>
          </w:p>
        </w:tc>
        <w:tc>
          <w:tcPr>
            <w:tcW w:w="8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1,174</w:t>
            </w:r>
          </w:p>
        </w:tc>
        <w:tc>
          <w:tcPr>
            <w:tcW w:w="11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0.52</w:t>
            </w:r>
          </w:p>
        </w:tc>
        <w:tc>
          <w:tcPr>
            <w:tcW w:w="80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1,139</w:t>
            </w:r>
          </w:p>
        </w:tc>
        <w:tc>
          <w:tcPr>
            <w:tcW w:w="104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0.50</w:t>
            </w:r>
          </w:p>
        </w:tc>
        <w:tc>
          <w:tcPr>
            <w:tcW w:w="0" w:type="dxa"/>
            <w:vAlign w:val="bottom"/>
          </w:tcPr>
          <w:p>
            <w:pPr>
              <w:spacing w:after="0"/>
              <w:rPr>
                <w:sz w:val="1"/>
                <w:szCs w:val="1"/>
                <w:color w:val="auto"/>
              </w:rPr>
            </w:pPr>
          </w:p>
        </w:tc>
      </w:tr>
      <w:tr>
        <w:trPr>
          <w:trHeight w:val="203"/>
        </w:trPr>
        <w:tc>
          <w:tcPr>
            <w:tcW w:w="40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84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Interest expense</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435</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0.19</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565</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0.25</w:t>
            </w:r>
          </w:p>
        </w:tc>
        <w:tc>
          <w:tcPr>
            <w:tcW w:w="0" w:type="dxa"/>
            <w:vAlign w:val="bottom"/>
          </w:tcPr>
          <w:p>
            <w:pPr>
              <w:spacing w:after="0"/>
              <w:rPr>
                <w:sz w:val="1"/>
                <w:szCs w:val="1"/>
                <w:color w:val="auto"/>
              </w:rPr>
            </w:pPr>
          </w:p>
        </w:tc>
      </w:tr>
      <w:tr>
        <w:trPr>
          <w:trHeight w:val="203"/>
        </w:trPr>
        <w:tc>
          <w:tcPr>
            <w:tcW w:w="40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Income tax expense (benefit)</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112</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0.06</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(0.02)</w:t>
            </w:r>
          </w:p>
        </w:tc>
        <w:tc>
          <w:tcPr>
            <w:tcW w:w="0" w:type="dxa"/>
            <w:vAlign w:val="bottom"/>
          </w:tcPr>
          <w:p>
            <w:pPr>
              <w:spacing w:after="0"/>
              <w:rPr>
                <w:sz w:val="1"/>
                <w:szCs w:val="1"/>
                <w:color w:val="auto"/>
              </w:rPr>
            </w:pPr>
          </w:p>
        </w:tc>
      </w:tr>
      <w:tr>
        <w:trPr>
          <w:trHeight w:val="296"/>
        </w:trPr>
        <w:tc>
          <w:tcPr>
            <w:tcW w:w="4020" w:type="dxa"/>
            <w:vAlign w:val="bottom"/>
          </w:tcPr>
          <w:p>
            <w:pPr>
              <w:spacing w:after="0"/>
              <w:rPr>
                <w:sz w:val="20"/>
                <w:szCs w:val="20"/>
                <w:color w:val="auto"/>
              </w:rPr>
            </w:pPr>
            <w:r>
              <w:rPr>
                <w:rFonts w:ascii="Courier New" w:cs="Courier New" w:eastAsia="Courier New" w:hAnsi="Courier New"/>
                <w:sz w:val="18"/>
                <w:szCs w:val="18"/>
                <w:color w:val="auto"/>
              </w:rPr>
              <w:t>Operating Cash Flow</w:t>
            </w:r>
          </w:p>
        </w:tc>
        <w:tc>
          <w:tcPr>
            <w:tcW w:w="8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$1,860</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$0.83</w:t>
            </w:r>
          </w:p>
        </w:tc>
        <w:tc>
          <w:tcPr>
            <w:tcW w:w="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$1,632</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$0.72</w:t>
            </w:r>
          </w:p>
        </w:tc>
        <w:tc>
          <w:tcPr>
            <w:tcW w:w="0" w:type="dxa"/>
            <w:vAlign w:val="bottom"/>
          </w:tcPr>
          <w:p>
            <w:pPr>
              <w:spacing w:after="0"/>
              <w:rPr>
                <w:sz w:val="1"/>
                <w:szCs w:val="1"/>
                <w:color w:val="auto"/>
              </w:rPr>
            </w:pPr>
          </w:p>
        </w:tc>
      </w:tr>
      <w:tr>
        <w:trPr>
          <w:trHeight w:val="311"/>
        </w:trPr>
        <w:tc>
          <w:tcPr>
            <w:tcW w:w="4020" w:type="dxa"/>
            <w:vAlign w:val="bottom"/>
            <w:vMerge w:val="restart"/>
          </w:tcPr>
          <w:p>
            <w:pPr>
              <w:spacing w:after="0"/>
              <w:rPr>
                <w:sz w:val="20"/>
                <w:szCs w:val="20"/>
                <w:color w:val="auto"/>
              </w:rPr>
            </w:pPr>
            <w:r>
              <w:rPr>
                <w:rFonts w:ascii="Courier New" w:cs="Courier New" w:eastAsia="Courier New" w:hAnsi="Courier New"/>
                <w:sz w:val="18"/>
                <w:szCs w:val="18"/>
                <w:color w:val="auto"/>
              </w:rPr>
              <w:t>Operating Cash Flow</w:t>
            </w:r>
          </w:p>
        </w:tc>
        <w:tc>
          <w:tcPr>
            <w:tcW w:w="1940" w:type="dxa"/>
            <w:vAlign w:val="bottom"/>
            <w:gridSpan w:val="2"/>
          </w:tcPr>
          <w:p>
            <w:pPr>
              <w:jc w:val="right"/>
              <w:ind w:right="812"/>
              <w:spacing w:after="0"/>
              <w:rPr>
                <w:sz w:val="20"/>
                <w:szCs w:val="20"/>
                <w:color w:val="auto"/>
              </w:rPr>
            </w:pPr>
            <w:r>
              <w:rPr>
                <w:rFonts w:ascii="Courier New" w:cs="Courier New" w:eastAsia="Courier New" w:hAnsi="Courier New"/>
                <w:sz w:val="18"/>
                <w:szCs w:val="18"/>
                <w:color w:val="auto"/>
              </w:rPr>
              <w:t>2004</w:t>
            </w:r>
          </w:p>
        </w:tc>
        <w:tc>
          <w:tcPr>
            <w:tcW w:w="184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rPr>
              <w:t>2003</w:t>
            </w:r>
          </w:p>
        </w:tc>
        <w:tc>
          <w:tcPr>
            <w:tcW w:w="0" w:type="dxa"/>
            <w:vAlign w:val="bottom"/>
          </w:tcPr>
          <w:p>
            <w:pPr>
              <w:spacing w:after="0"/>
              <w:rPr>
                <w:sz w:val="1"/>
                <w:szCs w:val="1"/>
                <w:color w:val="auto"/>
              </w:rPr>
            </w:pPr>
          </w:p>
        </w:tc>
      </w:tr>
      <w:tr>
        <w:trPr>
          <w:trHeight w:val="203"/>
        </w:trPr>
        <w:tc>
          <w:tcPr>
            <w:tcW w:w="4020" w:type="dxa"/>
            <w:vAlign w:val="bottom"/>
            <w:vMerge w:val="continue"/>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$1,860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$1,860</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$1,632</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$1,632</w:t>
            </w:r>
          </w:p>
        </w:tc>
        <w:tc>
          <w:tcPr>
            <w:tcW w:w="0" w:type="dxa"/>
            <w:vAlign w:val="bottom"/>
          </w:tcPr>
          <w:p>
            <w:pPr>
              <w:spacing w:after="0"/>
              <w:rPr>
                <w:sz w:val="1"/>
                <w:szCs w:val="1"/>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Less:</w:t>
            </w: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(403)</w:t>
            </w:r>
          </w:p>
        </w:tc>
        <w:tc>
          <w:tcPr>
            <w:tcW w:w="11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(403)</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(559)</w:t>
            </w: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(559)</w:t>
            </w:r>
          </w:p>
        </w:tc>
        <w:tc>
          <w:tcPr>
            <w:tcW w:w="0" w:type="dxa"/>
            <w:vAlign w:val="bottom"/>
          </w:tcPr>
          <w:p>
            <w:pPr>
              <w:spacing w:after="0"/>
              <w:rPr>
                <w:sz w:val="1"/>
                <w:szCs w:val="1"/>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net (3)</w:t>
            </w:r>
          </w:p>
        </w:tc>
        <w:tc>
          <w:tcPr>
            <w:tcW w:w="84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Paid for Income Taxes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w:t>
            </w:r>
          </w:p>
        </w:tc>
        <w:tc>
          <w:tcPr>
            <w:tcW w:w="0" w:type="dxa"/>
            <w:vAlign w:val="bottom"/>
          </w:tcPr>
          <w:p>
            <w:pPr>
              <w:spacing w:after="0"/>
              <w:rPr>
                <w:sz w:val="1"/>
                <w:szCs w:val="1"/>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Change in Operating Assets and</w:t>
            </w: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Liabilities, net of</w:t>
            </w: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(114)</w:t>
            </w:r>
          </w:p>
        </w:tc>
        <w:tc>
          <w:tcPr>
            <w:tcW w:w="1100" w:type="dxa"/>
            <w:vAlign w:val="bottom"/>
          </w:tcPr>
          <w:p>
            <w:pPr>
              <w:spacing w:after="0"/>
              <w:rPr>
                <w:sz w:val="17"/>
                <w:szCs w:val="17"/>
                <w:color w:val="auto"/>
              </w:rPr>
            </w:pPr>
          </w:p>
        </w:tc>
        <w:tc>
          <w:tcPr>
            <w:tcW w:w="80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551</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acquisitions (4)</w:t>
            </w:r>
          </w:p>
        </w:tc>
        <w:tc>
          <w:tcPr>
            <w:tcW w:w="84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(5)</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498</w:t>
            </w:r>
          </w:p>
        </w:tc>
        <w:tc>
          <w:tcPr>
            <w:tcW w:w="11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(802)</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Operating</w:t>
            </w:r>
          </w:p>
        </w:tc>
        <w:tc>
          <w:tcPr>
            <w:tcW w:w="8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$1,802</w:t>
            </w:r>
          </w:p>
        </w:tc>
        <w:tc>
          <w:tcPr>
            <w:tcW w:w="1100" w:type="dxa"/>
            <w:vAlign w:val="bottom"/>
          </w:tcPr>
          <w:p>
            <w:pPr>
              <w:spacing w:after="0"/>
              <w:rPr>
                <w:sz w:val="17"/>
                <w:szCs w:val="17"/>
                <w:color w:val="auto"/>
              </w:rPr>
            </w:pPr>
          </w:p>
        </w:tc>
        <w:tc>
          <w:tcPr>
            <w:tcW w:w="80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$808</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Activities</w:t>
            </w:r>
          </w:p>
        </w:tc>
        <w:tc>
          <w:tcPr>
            <w:tcW w:w="840" w:type="dxa"/>
            <w:vAlign w:val="bottom"/>
            <w:vMerge w:val="continue"/>
          </w:tcPr>
          <w:p>
            <w:pPr>
              <w:spacing w:after="0"/>
              <w:rPr>
                <w:sz w:val="17"/>
                <w:szCs w:val="17"/>
                <w:color w:val="auto"/>
              </w:rPr>
            </w:pPr>
          </w:p>
        </w:tc>
        <w:tc>
          <w:tcPr>
            <w:tcW w:w="11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(878)</w:t>
            </w:r>
          </w:p>
        </w:tc>
        <w:tc>
          <w:tcPr>
            <w:tcW w:w="800" w:type="dxa"/>
            <w:vAlign w:val="bottom"/>
            <w:vMerge w:val="continue"/>
          </w:tcPr>
          <w:p>
            <w:pPr>
              <w:spacing w:after="0"/>
              <w:rPr>
                <w:sz w:val="17"/>
                <w:szCs w:val="17"/>
                <w:color w:val="auto"/>
              </w:rPr>
            </w:pP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(1,081)</w:t>
            </w:r>
          </w:p>
        </w:tc>
        <w:tc>
          <w:tcPr>
            <w:tcW w:w="0" w:type="dxa"/>
            <w:vAlign w:val="bottom"/>
          </w:tcPr>
          <w:p>
            <w:pPr>
              <w:spacing w:after="0"/>
              <w:rPr>
                <w:sz w:val="1"/>
                <w:szCs w:val="1"/>
                <w:color w:val="auto"/>
              </w:rPr>
            </w:pPr>
          </w:p>
        </w:tc>
      </w:tr>
      <w:tr>
        <w:trPr>
          <w:trHeight w:val="203"/>
        </w:trPr>
        <w:tc>
          <w:tcPr>
            <w:tcW w:w="40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Less: Capital Expenditures</w:t>
            </w:r>
          </w:p>
        </w:tc>
        <w:tc>
          <w:tcPr>
            <w:tcW w:w="8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020" w:type="dxa"/>
            <w:vAlign w:val="bottom"/>
          </w:tcPr>
          <w:p>
            <w:pPr>
              <w:spacing w:after="0"/>
              <w:rPr>
                <w:sz w:val="20"/>
                <w:szCs w:val="20"/>
                <w:color w:val="auto"/>
              </w:rPr>
            </w:pPr>
            <w:r>
              <w:rPr>
                <w:rFonts w:ascii="Courier New" w:cs="Courier New" w:eastAsia="Courier New" w:hAnsi="Courier New"/>
                <w:sz w:val="18"/>
                <w:szCs w:val="18"/>
                <w:color w:val="auto"/>
              </w:rPr>
              <w:t>Free Cash Flow</w:t>
            </w:r>
          </w:p>
        </w:tc>
        <w:tc>
          <w:tcPr>
            <w:tcW w:w="84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$540</w:t>
            </w:r>
          </w:p>
        </w:tc>
        <w:tc>
          <w:tcPr>
            <w:tcW w:w="80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($22)</w:t>
            </w:r>
          </w:p>
        </w:tc>
        <w:tc>
          <w:tcPr>
            <w:tcW w:w="0" w:type="dxa"/>
            <w:vAlign w:val="bottom"/>
          </w:tcPr>
          <w:p>
            <w:pPr>
              <w:spacing w:after="0"/>
              <w:rPr>
                <w:sz w:val="1"/>
                <w:szCs w:val="1"/>
                <w:color w:val="auto"/>
              </w:rPr>
            </w:pPr>
          </w:p>
        </w:tc>
      </w:tr>
      <w:tr>
        <w:trPr>
          <w:trHeight w:val="311"/>
        </w:trPr>
        <w:tc>
          <w:tcPr>
            <w:tcW w:w="4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940" w:type="dxa"/>
            <w:vAlign w:val="bottom"/>
            <w:gridSpan w:val="3"/>
          </w:tcPr>
          <w:p>
            <w:pPr>
              <w:jc w:val="right"/>
              <w:ind w:right="652"/>
              <w:spacing w:after="0"/>
              <w:rPr>
                <w:sz w:val="20"/>
                <w:szCs w:val="20"/>
                <w:color w:val="auto"/>
              </w:rPr>
            </w:pPr>
            <w:r>
              <w:rPr>
                <w:rFonts w:ascii="Courier New" w:cs="Courier New" w:eastAsia="Courier New" w:hAnsi="Courier New"/>
                <w:sz w:val="18"/>
                <w:szCs w:val="18"/>
                <w:color w:val="auto"/>
              </w:rPr>
              <w:t>Three Months Ended</w:t>
            </w:r>
          </w:p>
        </w:tc>
        <w:tc>
          <w:tcPr>
            <w:tcW w:w="0" w:type="dxa"/>
            <w:vAlign w:val="bottom"/>
          </w:tcPr>
          <w:p>
            <w:pPr>
              <w:spacing w:after="0"/>
              <w:rPr>
                <w:sz w:val="1"/>
                <w:szCs w:val="1"/>
                <w:color w:val="auto"/>
              </w:rPr>
            </w:pPr>
          </w:p>
        </w:tc>
      </w:tr>
      <w:tr>
        <w:trPr>
          <w:trHeight w:val="203"/>
        </w:trPr>
        <w:tc>
          <w:tcPr>
            <w:tcW w:w="4020" w:type="dxa"/>
            <w:vAlign w:val="bottom"/>
            <w:vMerge w:val="restart"/>
          </w:tcPr>
          <w:p>
            <w:pPr>
              <w:spacing w:after="0"/>
              <w:rPr>
                <w:sz w:val="20"/>
                <w:szCs w:val="20"/>
                <w:color w:val="auto"/>
              </w:rPr>
            </w:pPr>
            <w:r>
              <w:rPr>
                <w:rFonts w:ascii="Courier New" w:cs="Courier New" w:eastAsia="Courier New" w:hAnsi="Courier New"/>
                <w:sz w:val="18"/>
                <w:szCs w:val="18"/>
                <w:color w:val="auto"/>
              </w:rPr>
              <w:t>(1) Detail of non-operating items:</w:t>
            </w:r>
          </w:p>
        </w:tc>
        <w:tc>
          <w:tcPr>
            <w:tcW w:w="840" w:type="dxa"/>
            <w:vAlign w:val="bottom"/>
          </w:tcPr>
          <w:p>
            <w:pPr>
              <w:spacing w:after="0"/>
              <w:rPr>
                <w:sz w:val="17"/>
                <w:szCs w:val="17"/>
                <w:color w:val="auto"/>
              </w:rPr>
            </w:pPr>
          </w:p>
        </w:tc>
        <w:tc>
          <w:tcPr>
            <w:tcW w:w="2940" w:type="dxa"/>
            <w:vAlign w:val="bottom"/>
            <w:gridSpan w:val="3"/>
          </w:tcPr>
          <w:p>
            <w:pPr>
              <w:jc w:val="right"/>
              <w:ind w:right="752"/>
              <w:spacing w:after="0" w:line="203" w:lineRule="exact"/>
              <w:rPr>
                <w:sz w:val="20"/>
                <w:szCs w:val="20"/>
                <w:color w:val="auto"/>
              </w:rPr>
            </w:pPr>
            <w:r>
              <w:rPr>
                <w:rFonts w:ascii="Courier New" w:cs="Courier New" w:eastAsia="Courier New" w:hAnsi="Courier New"/>
                <w:sz w:val="18"/>
                <w:szCs w:val="18"/>
                <w:color w:val="auto"/>
              </w:rPr>
              <w:t>September 30,</w:t>
            </w:r>
          </w:p>
        </w:tc>
        <w:tc>
          <w:tcPr>
            <w:tcW w:w="0" w:type="dxa"/>
            <w:vAlign w:val="bottom"/>
          </w:tcPr>
          <w:p>
            <w:pPr>
              <w:spacing w:after="0"/>
              <w:rPr>
                <w:sz w:val="1"/>
                <w:szCs w:val="1"/>
                <w:color w:val="auto"/>
              </w:rPr>
            </w:pPr>
          </w:p>
        </w:tc>
      </w:tr>
      <w:tr>
        <w:trPr>
          <w:trHeight w:val="203"/>
        </w:trPr>
        <w:tc>
          <w:tcPr>
            <w:tcW w:w="4020" w:type="dxa"/>
            <w:vAlign w:val="bottom"/>
            <w:vMerge w:val="continue"/>
          </w:tcPr>
          <w:p>
            <w:pPr>
              <w:spacing w:after="0"/>
              <w:rPr>
                <w:sz w:val="17"/>
                <w:szCs w:val="17"/>
                <w:color w:val="auto"/>
              </w:rPr>
            </w:pPr>
          </w:p>
        </w:tc>
        <w:tc>
          <w:tcPr>
            <w:tcW w:w="8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2004</w:t>
            </w:r>
          </w:p>
        </w:tc>
        <w:tc>
          <w:tcPr>
            <w:tcW w:w="8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2003</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per share</w:t>
            </w:r>
          </w:p>
        </w:tc>
        <w:tc>
          <w:tcPr>
            <w:tcW w:w="800" w:type="dxa"/>
            <w:vAlign w:val="bottom"/>
            <w:vMerge w:val="continue"/>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 share</w:t>
            </w:r>
          </w:p>
        </w:tc>
        <w:tc>
          <w:tcPr>
            <w:tcW w:w="0" w:type="dxa"/>
            <w:vAlign w:val="bottom"/>
          </w:tcPr>
          <w:p>
            <w:pPr>
              <w:spacing w:after="0"/>
              <w:rPr>
                <w:sz w:val="1"/>
                <w:szCs w:val="1"/>
                <w:color w:val="auto"/>
              </w:rPr>
            </w:pPr>
          </w:p>
        </w:tc>
      </w:tr>
      <w:tr>
        <w:trPr>
          <w:trHeight w:val="296"/>
        </w:trPr>
        <w:tc>
          <w:tcPr>
            <w:tcW w:w="4020" w:type="dxa"/>
            <w:vAlign w:val="bottom"/>
            <w:vMerge w:val="restart"/>
          </w:tcPr>
          <w:p>
            <w:pPr>
              <w:spacing w:after="0"/>
              <w:rPr>
                <w:sz w:val="20"/>
                <w:szCs w:val="20"/>
                <w:color w:val="auto"/>
              </w:rPr>
            </w:pPr>
            <w:r>
              <w:rPr>
                <w:rFonts w:ascii="Courier New" w:cs="Courier New" w:eastAsia="Courier New" w:hAnsi="Courier New"/>
                <w:sz w:val="18"/>
                <w:szCs w:val="18"/>
                <w:color w:val="auto"/>
              </w:rPr>
              <w:t>Investment (income) expense -</w:t>
            </w:r>
          </w:p>
        </w:tc>
        <w:tc>
          <w:tcPr>
            <w:tcW w:w="840" w:type="dxa"/>
            <w:vAlign w:val="bottom"/>
          </w:tcPr>
          <w:p>
            <w:pPr>
              <w:spacing w:after="0"/>
              <w:rPr>
                <w:sz w:val="24"/>
                <w:szCs w:val="24"/>
                <w:color w:val="auto"/>
              </w:rPr>
            </w:pP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w:t>
            </w:r>
          </w:p>
        </w:tc>
        <w:tc>
          <w:tcPr>
            <w:tcW w:w="800" w:type="dxa"/>
            <w:vAlign w:val="bottom"/>
          </w:tcPr>
          <w:p>
            <w:pPr>
              <w:spacing w:after="0"/>
              <w:rPr>
                <w:sz w:val="24"/>
                <w:szCs w:val="24"/>
                <w:color w:val="auto"/>
              </w:rPr>
            </w:pPr>
          </w:p>
        </w:tc>
        <w:tc>
          <w:tcPr>
            <w:tcW w:w="10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w:t>
            </w:r>
          </w:p>
        </w:tc>
        <w:tc>
          <w:tcPr>
            <w:tcW w:w="0" w:type="dxa"/>
            <w:vAlign w:val="bottom"/>
          </w:tcPr>
          <w:p>
            <w:pPr>
              <w:spacing w:after="0"/>
              <w:rPr>
                <w:sz w:val="1"/>
                <w:szCs w:val="1"/>
                <w:color w:val="auto"/>
              </w:rPr>
            </w:pPr>
          </w:p>
        </w:tc>
      </w:tr>
      <w:tr>
        <w:trPr>
          <w:trHeight w:val="109"/>
        </w:trPr>
        <w:tc>
          <w:tcPr>
            <w:tcW w:w="402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mark to market adjustments</w:t>
            </w: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on trading securities,</w:t>
            </w: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derivatives and hedged</w:t>
            </w:r>
          </w:p>
        </w:tc>
        <w:tc>
          <w:tcPr>
            <w:tcW w:w="8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($39)</w:t>
            </w:r>
          </w:p>
        </w:tc>
        <w:tc>
          <w:tcPr>
            <w:tcW w:w="11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($0.02)</w:t>
            </w:r>
          </w:p>
        </w:tc>
        <w:tc>
          <w:tcPr>
            <w:tcW w:w="8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$213</w:t>
            </w:r>
          </w:p>
        </w:tc>
        <w:tc>
          <w:tcPr>
            <w:tcW w:w="10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$0.09</w:t>
            </w:r>
          </w:p>
        </w:tc>
        <w:tc>
          <w:tcPr>
            <w:tcW w:w="0" w:type="dxa"/>
            <w:vAlign w:val="bottom"/>
          </w:tcPr>
          <w:p>
            <w:pPr>
              <w:spacing w:after="0"/>
              <w:rPr>
                <w:sz w:val="1"/>
                <w:szCs w:val="1"/>
                <w:color w:val="auto"/>
              </w:rPr>
            </w:pPr>
          </w:p>
        </w:tc>
      </w:tr>
      <w:tr>
        <w:trPr>
          <w:trHeight w:val="203"/>
        </w:trPr>
        <w:tc>
          <w:tcPr>
            <w:tcW w:w="4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items, net</w:t>
            </w:r>
          </w:p>
        </w:tc>
        <w:tc>
          <w:tcPr>
            <w:tcW w:w="84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(income) - gain</w:t>
            </w: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on sales and exchanges of</w:t>
            </w:r>
          </w:p>
        </w:tc>
        <w:tc>
          <w:tcPr>
            <w:tcW w:w="8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(35)</w:t>
            </w:r>
          </w:p>
        </w:tc>
        <w:tc>
          <w:tcPr>
            <w:tcW w:w="11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(0.02)</w:t>
            </w:r>
          </w:p>
        </w:tc>
        <w:tc>
          <w:tcPr>
            <w:tcW w:w="80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(4)</w:t>
            </w:r>
          </w:p>
        </w:tc>
        <w:tc>
          <w:tcPr>
            <w:tcW w:w="10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84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expense - investment</w:t>
            </w:r>
          </w:p>
        </w:tc>
        <w:tc>
          <w:tcPr>
            <w:tcW w:w="8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7</w:t>
            </w:r>
          </w:p>
        </w:tc>
        <w:tc>
          <w:tcPr>
            <w:tcW w:w="11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8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0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impairment losses (6)</w:t>
            </w:r>
          </w:p>
        </w:tc>
        <w:tc>
          <w:tcPr>
            <w:tcW w:w="84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All other, net (7)</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(58)</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(0.02)</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(0.01)</w:t>
            </w:r>
          </w:p>
        </w:tc>
        <w:tc>
          <w:tcPr>
            <w:tcW w:w="0" w:type="dxa"/>
            <w:vAlign w:val="bottom"/>
          </w:tcPr>
          <w:p>
            <w:pPr>
              <w:spacing w:after="0"/>
              <w:rPr>
                <w:sz w:val="1"/>
                <w:szCs w:val="1"/>
                <w:color w:val="auto"/>
              </w:rPr>
            </w:pPr>
          </w:p>
        </w:tc>
      </w:tr>
      <w:tr>
        <w:trPr>
          <w:trHeight w:val="203"/>
        </w:trPr>
        <w:tc>
          <w:tcPr>
            <w:tcW w:w="4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non-operating items</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(125)</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(0.06)</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184</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0.08</w:t>
            </w:r>
          </w:p>
        </w:tc>
        <w:tc>
          <w:tcPr>
            <w:tcW w:w="0" w:type="dxa"/>
            <w:vAlign w:val="bottom"/>
          </w:tcPr>
          <w:p>
            <w:pPr>
              <w:spacing w:after="0"/>
              <w:rPr>
                <w:sz w:val="1"/>
                <w:szCs w:val="1"/>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Tax Effect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0.02</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(64)</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(0.02)</w:t>
            </w:r>
          </w:p>
        </w:tc>
        <w:tc>
          <w:tcPr>
            <w:tcW w:w="0" w:type="dxa"/>
            <w:vAlign w:val="bottom"/>
          </w:tcPr>
          <w:p>
            <w:pPr>
              <w:spacing w:after="0"/>
              <w:rPr>
                <w:sz w:val="1"/>
                <w:szCs w:val="1"/>
                <w:color w:val="auto"/>
              </w:rPr>
            </w:pPr>
          </w:p>
        </w:tc>
      </w:tr>
      <w:tr>
        <w:trPr>
          <w:trHeight w:val="203"/>
        </w:trPr>
        <w:tc>
          <w:tcPr>
            <w:tcW w:w="4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Non-operating items, net of</w:t>
            </w:r>
          </w:p>
        </w:tc>
        <w:tc>
          <w:tcPr>
            <w:tcW w:w="8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($81)</w:t>
            </w:r>
          </w:p>
        </w:tc>
        <w:tc>
          <w:tcPr>
            <w:tcW w:w="11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($0.04)</w:t>
            </w:r>
          </w:p>
        </w:tc>
        <w:tc>
          <w:tcPr>
            <w:tcW w:w="8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$120</w:t>
            </w:r>
          </w:p>
        </w:tc>
        <w:tc>
          <w:tcPr>
            <w:tcW w:w="10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$0.06</w:t>
            </w:r>
          </w:p>
        </w:tc>
        <w:tc>
          <w:tcPr>
            <w:tcW w:w="0" w:type="dxa"/>
            <w:vAlign w:val="bottom"/>
          </w:tcPr>
          <w:p>
            <w:pPr>
              <w:spacing w:after="0"/>
              <w:rPr>
                <w:sz w:val="1"/>
                <w:szCs w:val="1"/>
                <w:color w:val="auto"/>
              </w:rPr>
            </w:pPr>
          </w:p>
        </w:tc>
      </w:tr>
      <w:tr>
        <w:trPr>
          <w:trHeight w:val="296"/>
        </w:trPr>
        <w:tc>
          <w:tcPr>
            <w:tcW w:w="4020" w:type="dxa"/>
            <w:vAlign w:val="bottom"/>
          </w:tcPr>
          <w:p>
            <w:pPr>
              <w:ind w:left="220"/>
              <w:spacing w:after="0"/>
              <w:rPr>
                <w:sz w:val="20"/>
                <w:szCs w:val="20"/>
                <w:color w:val="auto"/>
              </w:rPr>
            </w:pPr>
            <w:r>
              <w:rPr>
                <w:rFonts w:ascii="Courier New" w:cs="Courier New" w:eastAsia="Courier New" w:hAnsi="Courier New"/>
                <w:sz w:val="18"/>
                <w:szCs w:val="18"/>
                <w:color w:val="auto"/>
              </w:rPr>
              <w:t>tax</w:t>
            </w:r>
          </w:p>
        </w:tc>
        <w:tc>
          <w:tcPr>
            <w:tcW w:w="84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800" w:type="dxa"/>
            <w:vAlign w:val="bottom"/>
            <w:vMerge w:val="continue"/>
          </w:tcPr>
          <w:p>
            <w:pPr>
              <w:spacing w:after="0"/>
              <w:rPr>
                <w:sz w:val="24"/>
                <w:szCs w:val="24"/>
                <w:color w:val="auto"/>
              </w:rPr>
            </w:pPr>
          </w:p>
        </w:tc>
        <w:tc>
          <w:tcPr>
            <w:tcW w:w="1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0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6"/>
              </w:rPr>
              <w:t>Nine Months Ended</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September 30,</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1940" w:type="dxa"/>
            <w:vAlign w:val="bottom"/>
            <w:gridSpan w:val="2"/>
          </w:tcPr>
          <w:p>
            <w:pPr>
              <w:jc w:val="right"/>
              <w:ind w:right="692"/>
              <w:spacing w:after="0" w:line="203" w:lineRule="exact"/>
              <w:rPr>
                <w:sz w:val="20"/>
                <w:szCs w:val="20"/>
                <w:color w:val="auto"/>
              </w:rPr>
            </w:pPr>
            <w:r>
              <w:rPr>
                <w:rFonts w:ascii="Courier New" w:cs="Courier New" w:eastAsia="Courier New" w:hAnsi="Courier New"/>
                <w:sz w:val="18"/>
                <w:szCs w:val="18"/>
                <w:color w:val="auto"/>
              </w:rPr>
              <w:t>2004</w:t>
            </w:r>
          </w:p>
        </w:tc>
        <w:tc>
          <w:tcPr>
            <w:tcW w:w="184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2003</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8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rPr>
              <w:t>per share</w:t>
            </w:r>
          </w:p>
        </w:tc>
        <w:tc>
          <w:tcPr>
            <w:tcW w:w="800" w:type="dxa"/>
            <w:vAlign w:val="bottom"/>
            <w:vMerge w:val="restart"/>
          </w:tcPr>
          <w:p>
            <w:pPr>
              <w:jc w:val="right"/>
              <w:ind w:right="352"/>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per share</w:t>
            </w:r>
          </w:p>
        </w:tc>
        <w:tc>
          <w:tcPr>
            <w:tcW w:w="0" w:type="dxa"/>
            <w:vAlign w:val="bottom"/>
          </w:tcPr>
          <w:p>
            <w:pPr>
              <w:spacing w:after="0"/>
              <w:rPr>
                <w:sz w:val="1"/>
                <w:szCs w:val="1"/>
                <w:color w:val="auto"/>
              </w:rPr>
            </w:pPr>
          </w:p>
        </w:tc>
      </w:tr>
      <w:tr>
        <w:trPr>
          <w:trHeight w:val="296"/>
        </w:trPr>
        <w:tc>
          <w:tcPr>
            <w:tcW w:w="402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11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w:t>
            </w:r>
          </w:p>
        </w:tc>
        <w:tc>
          <w:tcPr>
            <w:tcW w:w="800" w:type="dxa"/>
            <w:vAlign w:val="bottom"/>
            <w:vMerge w:val="continue"/>
          </w:tcPr>
          <w:p>
            <w:pPr>
              <w:spacing w:after="0"/>
              <w:rPr>
                <w:sz w:val="24"/>
                <w:szCs w:val="24"/>
                <w:color w:val="auto"/>
              </w:rPr>
            </w:pPr>
          </w:p>
        </w:tc>
        <w:tc>
          <w:tcPr>
            <w:tcW w:w="104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8"/>
              </w:rPr>
              <w:t>(2)</w:t>
            </w:r>
          </w:p>
        </w:tc>
        <w:tc>
          <w:tcPr>
            <w:tcW w:w="0" w:type="dxa"/>
            <w:vAlign w:val="bottom"/>
          </w:tcPr>
          <w:p>
            <w:pPr>
              <w:spacing w:after="0"/>
              <w:rPr>
                <w:sz w:val="1"/>
                <w:szCs w:val="1"/>
                <w:color w:val="auto"/>
              </w:rPr>
            </w:pPr>
          </w:p>
        </w:tc>
      </w:tr>
    </w:tbl>
    <w:p>
      <w:pPr>
        <w:sectPr>
          <w:pgSz w:w="11900" w:h="16838" w:orient="portrait"/>
          <w:cols w:equalWidth="0" w:num="1">
            <w:col w:w="9799"/>
          </w:cols>
          <w:pgMar w:left="660" w:top="110" w:right="1440" w:bottom="0" w:gutter="0" w:footer="0" w:header="0"/>
        </w:sectPr>
      </w:pPr>
    </w:p>
    <w:bookmarkStart w:id="13" w:name="page14"/>
    <w:bookmarkEnd w:id="13"/>
    <w:p>
      <w:pPr>
        <w:spacing w:after="0" w:line="1"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4060" w:type="dxa"/>
            <w:vAlign w:val="bottom"/>
          </w:tcPr>
          <w:p>
            <w:pPr>
              <w:spacing w:after="0"/>
              <w:rPr>
                <w:sz w:val="20"/>
                <w:szCs w:val="20"/>
                <w:color w:val="auto"/>
              </w:rPr>
            </w:pPr>
            <w:r>
              <w:rPr>
                <w:rFonts w:ascii="Courier New" w:cs="Courier New" w:eastAsia="Courier New" w:hAnsi="Courier New"/>
                <w:sz w:val="18"/>
                <w:szCs w:val="18"/>
                <w:color w:val="auto"/>
              </w:rPr>
              <w:t>Net Income as reported</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$547</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$0.24</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$2,857</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$1.27</w:t>
            </w:r>
          </w:p>
        </w:tc>
        <w:tc>
          <w:tcPr>
            <w:tcW w:w="0" w:type="dxa"/>
            <w:vAlign w:val="bottom"/>
          </w:tcPr>
          <w:p>
            <w:pPr>
              <w:spacing w:after="0"/>
              <w:rPr>
                <w:sz w:val="1"/>
                <w:szCs w:val="1"/>
                <w:color w:val="auto"/>
              </w:rPr>
            </w:pP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Discontinued Operations, net of tax</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(3,458)</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(1.54)</w:t>
            </w:r>
          </w:p>
        </w:tc>
        <w:tc>
          <w:tcPr>
            <w:tcW w:w="0" w:type="dxa"/>
            <w:vAlign w:val="bottom"/>
          </w:tcPr>
          <w:p>
            <w:pPr>
              <w:spacing w:after="0"/>
              <w:rPr>
                <w:sz w:val="1"/>
                <w:szCs w:val="1"/>
                <w:color w:val="auto"/>
              </w:rPr>
            </w:pP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Non-operating items, net of tax (1)</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(153)</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(0.07)</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302</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0.14</w:t>
            </w:r>
          </w:p>
        </w:tc>
        <w:tc>
          <w:tcPr>
            <w:tcW w:w="0" w:type="dxa"/>
            <w:vAlign w:val="bottom"/>
          </w:tcPr>
          <w:p>
            <w:pPr>
              <w:spacing w:after="0"/>
              <w:rPr>
                <w:sz w:val="1"/>
                <w:szCs w:val="1"/>
                <w:color w:val="auto"/>
              </w:rPr>
            </w:pPr>
          </w:p>
        </w:tc>
      </w:tr>
      <w:tr>
        <w:trPr>
          <w:trHeight w:val="296"/>
        </w:trPr>
        <w:tc>
          <w:tcPr>
            <w:tcW w:w="4060" w:type="dxa"/>
            <w:vAlign w:val="bottom"/>
          </w:tcPr>
          <w:p>
            <w:pPr>
              <w:spacing w:after="0"/>
              <w:rPr>
                <w:sz w:val="20"/>
                <w:szCs w:val="20"/>
                <w:color w:val="auto"/>
              </w:rPr>
            </w:pPr>
            <w:r>
              <w:rPr>
                <w:rFonts w:ascii="Courier New" w:cs="Courier New" w:eastAsia="Courier New" w:hAnsi="Courier New"/>
                <w:sz w:val="18"/>
                <w:szCs w:val="18"/>
                <w:color w:val="auto"/>
              </w:rPr>
              <w:t>Net Income (Loss) as adjusted</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$394</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$0.17</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($299)</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($0.13)</w:t>
            </w:r>
          </w:p>
        </w:tc>
        <w:tc>
          <w:tcPr>
            <w:tcW w:w="0" w:type="dxa"/>
            <w:vAlign w:val="bottom"/>
          </w:tcPr>
          <w:p>
            <w:pPr>
              <w:spacing w:after="0"/>
              <w:rPr>
                <w:sz w:val="1"/>
                <w:szCs w:val="1"/>
                <w:color w:val="auto"/>
              </w:rPr>
            </w:pPr>
          </w:p>
        </w:tc>
      </w:tr>
      <w:tr>
        <w:trPr>
          <w:trHeight w:val="311"/>
        </w:trPr>
        <w:tc>
          <w:tcPr>
            <w:tcW w:w="4060" w:type="dxa"/>
            <w:vAlign w:val="bottom"/>
          </w:tcPr>
          <w:p>
            <w:pPr>
              <w:spacing w:after="0"/>
              <w:rPr>
                <w:sz w:val="20"/>
                <w:szCs w:val="20"/>
                <w:color w:val="auto"/>
              </w:rPr>
            </w:pPr>
            <w:r>
              <w:rPr>
                <w:rFonts w:ascii="Courier New" w:cs="Courier New" w:eastAsia="Courier New" w:hAnsi="Courier New"/>
                <w:sz w:val="18"/>
                <w:szCs w:val="18"/>
                <w:color w:val="auto"/>
              </w:rPr>
              <w:t>Items to reconcile net income (loss)</w:t>
            </w: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 adjusted to Operating Cash Flow:</w:t>
            </w:r>
          </w:p>
        </w:tc>
        <w:tc>
          <w:tcPr>
            <w:tcW w:w="9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3,348</w:t>
            </w:r>
          </w:p>
        </w:tc>
        <w:tc>
          <w:tcPr>
            <w:tcW w:w="10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1.48</w:t>
            </w:r>
          </w:p>
        </w:tc>
        <w:tc>
          <w:tcPr>
            <w:tcW w:w="9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3,460</w:t>
            </w:r>
          </w:p>
        </w:tc>
        <w:tc>
          <w:tcPr>
            <w:tcW w:w="94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1.53</w:t>
            </w:r>
          </w:p>
        </w:tc>
        <w:tc>
          <w:tcPr>
            <w:tcW w:w="0" w:type="dxa"/>
            <w:vAlign w:val="bottom"/>
          </w:tcPr>
          <w:p>
            <w:pPr>
              <w:spacing w:after="0"/>
              <w:rPr>
                <w:sz w:val="1"/>
                <w:szCs w:val="1"/>
                <w:color w:val="auto"/>
              </w:rPr>
            </w:pPr>
          </w:p>
        </w:tc>
      </w:tr>
      <w:tr>
        <w:trPr>
          <w:trHeight w:val="203"/>
        </w:trPr>
        <w:tc>
          <w:tcPr>
            <w:tcW w:w="406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90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Interest expense</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1,419</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0.63</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1,579</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0.70</w:t>
            </w:r>
          </w:p>
        </w:tc>
        <w:tc>
          <w:tcPr>
            <w:tcW w:w="0" w:type="dxa"/>
            <w:vAlign w:val="bottom"/>
          </w:tcPr>
          <w:p>
            <w:pPr>
              <w:spacing w:after="0"/>
              <w:rPr>
                <w:sz w:val="1"/>
                <w:szCs w:val="1"/>
                <w:color w:val="auto"/>
              </w:rPr>
            </w:pPr>
          </w:p>
        </w:tc>
      </w:tr>
      <w:tr>
        <w:trPr>
          <w:trHeight w:val="203"/>
        </w:trPr>
        <w:tc>
          <w:tcPr>
            <w:tcW w:w="406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Income tax expense (benefit)</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384</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0.17</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(0.03)</w:t>
            </w:r>
          </w:p>
        </w:tc>
        <w:tc>
          <w:tcPr>
            <w:tcW w:w="0" w:type="dxa"/>
            <w:vAlign w:val="bottom"/>
          </w:tcPr>
          <w:p>
            <w:pPr>
              <w:spacing w:after="0"/>
              <w:rPr>
                <w:sz w:val="1"/>
                <w:szCs w:val="1"/>
                <w:color w:val="auto"/>
              </w:rPr>
            </w:pPr>
          </w:p>
        </w:tc>
      </w:tr>
      <w:tr>
        <w:trPr>
          <w:trHeight w:val="296"/>
        </w:trPr>
        <w:tc>
          <w:tcPr>
            <w:tcW w:w="4060" w:type="dxa"/>
            <w:vAlign w:val="bottom"/>
          </w:tcPr>
          <w:p>
            <w:pPr>
              <w:spacing w:after="0"/>
              <w:rPr>
                <w:sz w:val="20"/>
                <w:szCs w:val="20"/>
                <w:color w:val="auto"/>
              </w:rPr>
            </w:pPr>
            <w:r>
              <w:rPr>
                <w:rFonts w:ascii="Courier New" w:cs="Courier New" w:eastAsia="Courier New" w:hAnsi="Courier New"/>
                <w:sz w:val="18"/>
                <w:szCs w:val="18"/>
                <w:color w:val="auto"/>
              </w:rPr>
              <w:t>Operating Cash Flow</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$5,545</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$2.45</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$4,672</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$2.07</w:t>
            </w:r>
          </w:p>
        </w:tc>
        <w:tc>
          <w:tcPr>
            <w:tcW w:w="0" w:type="dxa"/>
            <w:vAlign w:val="bottom"/>
          </w:tcPr>
          <w:p>
            <w:pPr>
              <w:spacing w:after="0"/>
              <w:rPr>
                <w:sz w:val="1"/>
                <w:szCs w:val="1"/>
                <w:color w:val="auto"/>
              </w:rPr>
            </w:pPr>
          </w:p>
        </w:tc>
      </w:tr>
      <w:tr>
        <w:trPr>
          <w:trHeight w:val="311"/>
        </w:trPr>
        <w:tc>
          <w:tcPr>
            <w:tcW w:w="4060" w:type="dxa"/>
            <w:vAlign w:val="bottom"/>
            <w:vMerge w:val="restart"/>
          </w:tcPr>
          <w:p>
            <w:pPr>
              <w:spacing w:after="0"/>
              <w:rPr>
                <w:sz w:val="20"/>
                <w:szCs w:val="20"/>
                <w:color w:val="auto"/>
              </w:rPr>
            </w:pPr>
            <w:r>
              <w:rPr>
                <w:rFonts w:ascii="Courier New" w:cs="Courier New" w:eastAsia="Courier New" w:hAnsi="Courier New"/>
                <w:sz w:val="18"/>
                <w:szCs w:val="18"/>
                <w:color w:val="auto"/>
              </w:rPr>
              <w:t>Operating Cash Flow</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2004</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2004</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2003</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2003</w:t>
            </w:r>
          </w:p>
        </w:tc>
        <w:tc>
          <w:tcPr>
            <w:tcW w:w="0" w:type="dxa"/>
            <w:vAlign w:val="bottom"/>
          </w:tcPr>
          <w:p>
            <w:pPr>
              <w:spacing w:after="0"/>
              <w:rPr>
                <w:sz w:val="1"/>
                <w:szCs w:val="1"/>
                <w:color w:val="auto"/>
              </w:rPr>
            </w:pPr>
          </w:p>
        </w:tc>
      </w:tr>
      <w:tr>
        <w:trPr>
          <w:trHeight w:val="203"/>
        </w:trPr>
        <w:tc>
          <w:tcPr>
            <w:tcW w:w="4060" w:type="dxa"/>
            <w:vAlign w:val="bottom"/>
            <w:vMerge w:val="continue"/>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$5,545</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$5,545</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$4,672</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$4,672</w:t>
            </w:r>
          </w:p>
        </w:tc>
        <w:tc>
          <w:tcPr>
            <w:tcW w:w="0" w:type="dxa"/>
            <w:vAlign w:val="bottom"/>
          </w:tcPr>
          <w:p>
            <w:pPr>
              <w:spacing w:after="0"/>
              <w:rPr>
                <w:sz w:val="1"/>
                <w:szCs w:val="1"/>
                <w:color w:val="auto"/>
              </w:rPr>
            </w:pP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Less:</w:t>
            </w:r>
          </w:p>
        </w:tc>
        <w:tc>
          <w:tcPr>
            <w:tcW w:w="9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(1,309)</w:t>
            </w:r>
          </w:p>
        </w:tc>
        <w:tc>
          <w:tcPr>
            <w:tcW w:w="10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(1,309)</w:t>
            </w:r>
          </w:p>
        </w:tc>
        <w:tc>
          <w:tcPr>
            <w:tcW w:w="9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(1,627)</w:t>
            </w:r>
          </w:p>
        </w:tc>
        <w:tc>
          <w:tcPr>
            <w:tcW w:w="9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(1,627)</w:t>
            </w:r>
          </w:p>
        </w:tc>
        <w:tc>
          <w:tcPr>
            <w:tcW w:w="0" w:type="dxa"/>
            <w:vAlign w:val="bottom"/>
          </w:tcPr>
          <w:p>
            <w:pPr>
              <w:spacing w:after="0"/>
              <w:rPr>
                <w:sz w:val="1"/>
                <w:szCs w:val="1"/>
                <w:color w:val="auto"/>
              </w:rPr>
            </w:pP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net (3)</w:t>
            </w:r>
          </w:p>
        </w:tc>
        <w:tc>
          <w:tcPr>
            <w:tcW w:w="90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Paid for Income Taxes</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(189)</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(189)</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w:t>
            </w:r>
          </w:p>
        </w:tc>
        <w:tc>
          <w:tcPr>
            <w:tcW w:w="0" w:type="dxa"/>
            <w:vAlign w:val="bottom"/>
          </w:tcPr>
          <w:p>
            <w:pPr>
              <w:spacing w:after="0"/>
              <w:rPr>
                <w:sz w:val="1"/>
                <w:szCs w:val="1"/>
                <w:color w:val="auto"/>
              </w:rPr>
            </w:pP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Change in Operating Assets and</w:t>
            </w: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Liabilities, net of</w:t>
            </w:r>
          </w:p>
        </w:tc>
        <w:tc>
          <w:tcPr>
            <w:tcW w:w="9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(111)</w:t>
            </w:r>
          </w:p>
        </w:tc>
        <w:tc>
          <w:tcPr>
            <w:tcW w:w="1000" w:type="dxa"/>
            <w:vAlign w:val="bottom"/>
          </w:tcPr>
          <w:p>
            <w:pPr>
              <w:spacing w:after="0"/>
              <w:rPr>
                <w:sz w:val="17"/>
                <w:szCs w:val="17"/>
                <w:color w:val="auto"/>
              </w:rPr>
            </w:pPr>
          </w:p>
        </w:tc>
        <w:tc>
          <w:tcPr>
            <w:tcW w:w="9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298</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acquisitions (4)</w:t>
            </w:r>
          </w:p>
        </w:tc>
        <w:tc>
          <w:tcPr>
            <w:tcW w:w="90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(5)</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499</w:t>
            </w:r>
          </w:p>
        </w:tc>
        <w:tc>
          <w:tcPr>
            <w:tcW w:w="100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(757)</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Operating</w:t>
            </w:r>
          </w:p>
        </w:tc>
        <w:tc>
          <w:tcPr>
            <w:tcW w:w="9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$4,435</w:t>
            </w:r>
          </w:p>
        </w:tc>
        <w:tc>
          <w:tcPr>
            <w:tcW w:w="1000" w:type="dxa"/>
            <w:vAlign w:val="bottom"/>
          </w:tcPr>
          <w:p>
            <w:pPr>
              <w:spacing w:after="0"/>
              <w:rPr>
                <w:sz w:val="17"/>
                <w:szCs w:val="17"/>
                <w:color w:val="auto"/>
              </w:rPr>
            </w:pPr>
          </w:p>
        </w:tc>
        <w:tc>
          <w:tcPr>
            <w:tcW w:w="9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$2,519</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Activities</w:t>
            </w:r>
          </w:p>
        </w:tc>
        <w:tc>
          <w:tcPr>
            <w:tcW w:w="900" w:type="dxa"/>
            <w:vAlign w:val="bottom"/>
            <w:vMerge w:val="continue"/>
          </w:tcPr>
          <w:p>
            <w:pPr>
              <w:spacing w:after="0"/>
              <w:rPr>
                <w:sz w:val="17"/>
                <w:szCs w:val="17"/>
                <w:color w:val="auto"/>
              </w:rPr>
            </w:pPr>
          </w:p>
        </w:tc>
        <w:tc>
          <w:tcPr>
            <w:tcW w:w="10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(2,610)</w:t>
            </w:r>
          </w:p>
        </w:tc>
        <w:tc>
          <w:tcPr>
            <w:tcW w:w="900" w:type="dxa"/>
            <w:vAlign w:val="bottom"/>
            <w:vMerge w:val="continue"/>
          </w:tcPr>
          <w:p>
            <w:pPr>
              <w:spacing w:after="0"/>
              <w:rPr>
                <w:sz w:val="17"/>
                <w:szCs w:val="17"/>
                <w:color w:val="auto"/>
              </w:rPr>
            </w:pPr>
          </w:p>
        </w:tc>
        <w:tc>
          <w:tcPr>
            <w:tcW w:w="9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(3,093)</w:t>
            </w:r>
          </w:p>
        </w:tc>
        <w:tc>
          <w:tcPr>
            <w:tcW w:w="0" w:type="dxa"/>
            <w:vAlign w:val="bottom"/>
          </w:tcPr>
          <w:p>
            <w:pPr>
              <w:spacing w:after="0"/>
              <w:rPr>
                <w:sz w:val="1"/>
                <w:szCs w:val="1"/>
                <w:color w:val="auto"/>
              </w:rPr>
            </w:pPr>
          </w:p>
        </w:tc>
      </w:tr>
      <w:tr>
        <w:trPr>
          <w:trHeight w:val="203"/>
        </w:trPr>
        <w:tc>
          <w:tcPr>
            <w:tcW w:w="406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Less: Capital Expenditures</w:t>
            </w:r>
          </w:p>
        </w:tc>
        <w:tc>
          <w:tcPr>
            <w:tcW w:w="9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060" w:type="dxa"/>
            <w:vAlign w:val="bottom"/>
          </w:tcPr>
          <w:p>
            <w:pPr>
              <w:spacing w:after="0"/>
              <w:rPr>
                <w:sz w:val="20"/>
                <w:szCs w:val="20"/>
                <w:color w:val="auto"/>
              </w:rPr>
            </w:pPr>
            <w:r>
              <w:rPr>
                <w:rFonts w:ascii="Courier New" w:cs="Courier New" w:eastAsia="Courier New" w:hAnsi="Courier New"/>
                <w:sz w:val="18"/>
                <w:szCs w:val="18"/>
                <w:color w:val="auto"/>
              </w:rPr>
              <w:t>Free Cash Flow</w:t>
            </w:r>
          </w:p>
        </w:tc>
        <w:tc>
          <w:tcPr>
            <w:tcW w:w="90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$1,437</w:t>
            </w:r>
          </w:p>
        </w:tc>
        <w:tc>
          <w:tcPr>
            <w:tcW w:w="90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($115)</w:t>
            </w:r>
          </w:p>
        </w:tc>
        <w:tc>
          <w:tcPr>
            <w:tcW w:w="0" w:type="dxa"/>
            <w:vAlign w:val="bottom"/>
          </w:tcPr>
          <w:p>
            <w:pPr>
              <w:spacing w:after="0"/>
              <w:rPr>
                <w:sz w:val="1"/>
                <w:szCs w:val="1"/>
                <w:color w:val="auto"/>
              </w:rPr>
            </w:pPr>
          </w:p>
        </w:tc>
      </w:tr>
      <w:tr>
        <w:trPr>
          <w:trHeight w:val="311"/>
        </w:trPr>
        <w:tc>
          <w:tcPr>
            <w:tcW w:w="4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4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Nine Months Ended</w:t>
            </w:r>
          </w:p>
        </w:tc>
        <w:tc>
          <w:tcPr>
            <w:tcW w:w="0" w:type="dxa"/>
            <w:vAlign w:val="bottom"/>
          </w:tcPr>
          <w:p>
            <w:pPr>
              <w:spacing w:after="0"/>
              <w:rPr>
                <w:sz w:val="1"/>
                <w:szCs w:val="1"/>
                <w:color w:val="auto"/>
              </w:rPr>
            </w:pPr>
          </w:p>
        </w:tc>
      </w:tr>
      <w:tr>
        <w:trPr>
          <w:trHeight w:val="203"/>
        </w:trPr>
        <w:tc>
          <w:tcPr>
            <w:tcW w:w="4060" w:type="dxa"/>
            <w:vAlign w:val="bottom"/>
            <w:vMerge w:val="restart"/>
          </w:tcPr>
          <w:p>
            <w:pPr>
              <w:spacing w:after="0"/>
              <w:rPr>
                <w:sz w:val="20"/>
                <w:szCs w:val="20"/>
                <w:color w:val="auto"/>
              </w:rPr>
            </w:pPr>
            <w:r>
              <w:rPr>
                <w:rFonts w:ascii="Courier New" w:cs="Courier New" w:eastAsia="Courier New" w:hAnsi="Courier New"/>
                <w:sz w:val="18"/>
                <w:szCs w:val="18"/>
                <w:color w:val="auto"/>
              </w:rPr>
              <w:t>(1) Detail of non-operating items:</w:t>
            </w:r>
          </w:p>
        </w:tc>
        <w:tc>
          <w:tcPr>
            <w:tcW w:w="900" w:type="dxa"/>
            <w:vAlign w:val="bottom"/>
          </w:tcPr>
          <w:p>
            <w:pPr>
              <w:spacing w:after="0"/>
              <w:rPr>
                <w:sz w:val="17"/>
                <w:szCs w:val="17"/>
                <w:color w:val="auto"/>
              </w:rPr>
            </w:pP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September 30,</w:t>
            </w:r>
          </w:p>
        </w:tc>
        <w:tc>
          <w:tcPr>
            <w:tcW w:w="9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2003</w:t>
            </w:r>
          </w:p>
        </w:tc>
        <w:tc>
          <w:tcPr>
            <w:tcW w:w="0" w:type="dxa"/>
            <w:vAlign w:val="bottom"/>
          </w:tcPr>
          <w:p>
            <w:pPr>
              <w:spacing w:after="0"/>
              <w:rPr>
                <w:sz w:val="1"/>
                <w:szCs w:val="1"/>
                <w:color w:val="auto"/>
              </w:rPr>
            </w:pPr>
          </w:p>
        </w:tc>
      </w:tr>
      <w:tr>
        <w:trPr>
          <w:trHeight w:val="203"/>
        </w:trPr>
        <w:tc>
          <w:tcPr>
            <w:tcW w:w="4060" w:type="dxa"/>
            <w:vAlign w:val="bottom"/>
            <w:vMerge w:val="continue"/>
          </w:tcPr>
          <w:p>
            <w:pPr>
              <w:spacing w:after="0"/>
              <w:rPr>
                <w:sz w:val="17"/>
                <w:szCs w:val="17"/>
                <w:color w:val="auto"/>
              </w:rPr>
            </w:pPr>
          </w:p>
        </w:tc>
        <w:tc>
          <w:tcPr>
            <w:tcW w:w="9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2004</w:t>
            </w:r>
          </w:p>
        </w:tc>
        <w:tc>
          <w:tcPr>
            <w:tcW w:w="9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per share  $</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per share</w:t>
            </w:r>
          </w:p>
        </w:tc>
        <w:tc>
          <w:tcPr>
            <w:tcW w:w="0" w:type="dxa"/>
            <w:vAlign w:val="bottom"/>
          </w:tcPr>
          <w:p>
            <w:pPr>
              <w:spacing w:after="0"/>
              <w:rPr>
                <w:sz w:val="1"/>
                <w:szCs w:val="1"/>
                <w:color w:val="auto"/>
              </w:rPr>
            </w:pPr>
          </w:p>
        </w:tc>
      </w:tr>
      <w:tr>
        <w:trPr>
          <w:trHeight w:val="296"/>
        </w:trPr>
        <w:tc>
          <w:tcPr>
            <w:tcW w:w="4060" w:type="dxa"/>
            <w:vAlign w:val="bottom"/>
            <w:vMerge w:val="restart"/>
          </w:tcPr>
          <w:p>
            <w:pPr>
              <w:spacing w:after="0"/>
              <w:rPr>
                <w:sz w:val="20"/>
                <w:szCs w:val="20"/>
                <w:color w:val="auto"/>
              </w:rPr>
            </w:pPr>
            <w:r>
              <w:rPr>
                <w:rFonts w:ascii="Courier New" w:cs="Courier New" w:eastAsia="Courier New" w:hAnsi="Courier New"/>
                <w:sz w:val="18"/>
                <w:szCs w:val="18"/>
                <w:color w:val="auto"/>
              </w:rPr>
              <w:t>Investment (income) expense -</w:t>
            </w:r>
          </w:p>
        </w:tc>
        <w:tc>
          <w:tcPr>
            <w:tcW w:w="90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w:t>
            </w:r>
          </w:p>
        </w:tc>
        <w:tc>
          <w:tcPr>
            <w:tcW w:w="900" w:type="dxa"/>
            <w:vAlign w:val="bottom"/>
          </w:tcPr>
          <w:p>
            <w:pPr>
              <w:spacing w:after="0"/>
              <w:rPr>
                <w:sz w:val="24"/>
                <w:szCs w:val="24"/>
                <w:color w:val="auto"/>
              </w:rPr>
            </w:pP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w:t>
            </w:r>
          </w:p>
        </w:tc>
        <w:tc>
          <w:tcPr>
            <w:tcW w:w="0" w:type="dxa"/>
            <w:vAlign w:val="bottom"/>
          </w:tcPr>
          <w:p>
            <w:pPr>
              <w:spacing w:after="0"/>
              <w:rPr>
                <w:sz w:val="1"/>
                <w:szCs w:val="1"/>
                <w:color w:val="auto"/>
              </w:rPr>
            </w:pPr>
          </w:p>
        </w:tc>
      </w:tr>
      <w:tr>
        <w:trPr>
          <w:trHeight w:val="109"/>
        </w:trPr>
        <w:tc>
          <w:tcPr>
            <w:tcW w:w="406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0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mark to market adjustments on trading</w:t>
            </w: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securities, derivatives and</w:t>
            </w:r>
          </w:p>
        </w:tc>
        <w:tc>
          <w:tcPr>
            <w:tcW w:w="9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($140)</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($0.06)</w:t>
            </w:r>
          </w:p>
        </w:tc>
        <w:tc>
          <w:tcPr>
            <w:tcW w:w="9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$478</w:t>
            </w:r>
          </w:p>
        </w:tc>
        <w:tc>
          <w:tcPr>
            <w:tcW w:w="94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$0.21</w:t>
            </w:r>
          </w:p>
        </w:tc>
        <w:tc>
          <w:tcPr>
            <w:tcW w:w="0" w:type="dxa"/>
            <w:vAlign w:val="bottom"/>
          </w:tcPr>
          <w:p>
            <w:pPr>
              <w:spacing w:after="0"/>
              <w:rPr>
                <w:sz w:val="1"/>
                <w:szCs w:val="1"/>
                <w:color w:val="auto"/>
              </w:rPr>
            </w:pPr>
          </w:p>
        </w:tc>
      </w:tr>
      <w:tr>
        <w:trPr>
          <w:trHeight w:val="203"/>
        </w:trPr>
        <w:tc>
          <w:tcPr>
            <w:tcW w:w="4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hedged items, net</w:t>
            </w:r>
          </w:p>
        </w:tc>
        <w:tc>
          <w:tcPr>
            <w:tcW w:w="90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(income) - gain</w:t>
            </w: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on sales and exchanges of</w:t>
            </w:r>
          </w:p>
        </w:tc>
        <w:tc>
          <w:tcPr>
            <w:tcW w:w="9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(36)</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(0.02)</w:t>
            </w:r>
          </w:p>
        </w:tc>
        <w:tc>
          <w:tcPr>
            <w:tcW w:w="9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(27)</w:t>
            </w:r>
          </w:p>
        </w:tc>
        <w:tc>
          <w:tcPr>
            <w:tcW w:w="9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(0.01)</w:t>
            </w:r>
          </w:p>
        </w:tc>
        <w:tc>
          <w:tcPr>
            <w:tcW w:w="0" w:type="dxa"/>
            <w:vAlign w:val="bottom"/>
          </w:tcPr>
          <w:p>
            <w:pPr>
              <w:spacing w:after="0"/>
              <w:rPr>
                <w:sz w:val="1"/>
                <w:szCs w:val="1"/>
                <w:color w:val="auto"/>
              </w:rPr>
            </w:pPr>
          </w:p>
        </w:tc>
      </w:tr>
      <w:tr>
        <w:trPr>
          <w:trHeight w:val="203"/>
        </w:trPr>
        <w:tc>
          <w:tcPr>
            <w:tcW w:w="4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90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expense - investment</w:t>
            </w:r>
          </w:p>
        </w:tc>
        <w:tc>
          <w:tcPr>
            <w:tcW w:w="9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10</w:t>
            </w:r>
          </w:p>
        </w:tc>
        <w:tc>
          <w:tcPr>
            <w:tcW w:w="10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9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70</w:t>
            </w:r>
          </w:p>
        </w:tc>
        <w:tc>
          <w:tcPr>
            <w:tcW w:w="94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0.03</w:t>
            </w:r>
          </w:p>
        </w:tc>
        <w:tc>
          <w:tcPr>
            <w:tcW w:w="0" w:type="dxa"/>
            <w:vAlign w:val="bottom"/>
          </w:tcPr>
          <w:p>
            <w:pPr>
              <w:spacing w:after="0"/>
              <w:rPr>
                <w:sz w:val="1"/>
                <w:szCs w:val="1"/>
                <w:color w:val="auto"/>
              </w:rPr>
            </w:pPr>
          </w:p>
        </w:tc>
      </w:tr>
      <w:tr>
        <w:trPr>
          <w:trHeight w:val="203"/>
        </w:trPr>
        <w:tc>
          <w:tcPr>
            <w:tcW w:w="4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impairment losses (6)</w:t>
            </w:r>
          </w:p>
        </w:tc>
        <w:tc>
          <w:tcPr>
            <w:tcW w:w="90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All other, net (7)</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(0.02)</w:t>
            </w:r>
          </w:p>
        </w:tc>
        <w:tc>
          <w:tcPr>
            <w:tcW w:w="0" w:type="dxa"/>
            <w:vAlign w:val="bottom"/>
          </w:tcPr>
          <w:p>
            <w:pPr>
              <w:spacing w:after="0"/>
              <w:rPr>
                <w:sz w:val="1"/>
                <w:szCs w:val="1"/>
                <w:color w:val="auto"/>
              </w:rPr>
            </w:pPr>
          </w:p>
        </w:tc>
      </w:tr>
      <w:tr>
        <w:trPr>
          <w:trHeight w:val="203"/>
        </w:trPr>
        <w:tc>
          <w:tcPr>
            <w:tcW w:w="4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non-operating items</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(0.10)</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465</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0.21</w:t>
            </w:r>
          </w:p>
        </w:tc>
        <w:tc>
          <w:tcPr>
            <w:tcW w:w="0" w:type="dxa"/>
            <w:vAlign w:val="bottom"/>
          </w:tcPr>
          <w:p>
            <w:pPr>
              <w:spacing w:after="0"/>
              <w:rPr>
                <w:sz w:val="1"/>
                <w:szCs w:val="1"/>
                <w:color w:val="auto"/>
              </w:rPr>
            </w:pP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Tax Effect</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82</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0.03</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(163)</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(0.07)</w:t>
            </w:r>
          </w:p>
        </w:tc>
        <w:tc>
          <w:tcPr>
            <w:tcW w:w="0" w:type="dxa"/>
            <w:vAlign w:val="bottom"/>
          </w:tcPr>
          <w:p>
            <w:pPr>
              <w:spacing w:after="0"/>
              <w:rPr>
                <w:sz w:val="1"/>
                <w:szCs w:val="1"/>
                <w:color w:val="auto"/>
              </w:rPr>
            </w:pPr>
          </w:p>
        </w:tc>
      </w:tr>
      <w:tr>
        <w:trPr>
          <w:trHeight w:val="296"/>
        </w:trPr>
        <w:tc>
          <w:tcPr>
            <w:tcW w:w="4060" w:type="dxa"/>
            <w:vAlign w:val="bottom"/>
          </w:tcPr>
          <w:p>
            <w:pPr>
              <w:ind w:left="120"/>
              <w:spacing w:after="0"/>
              <w:rPr>
                <w:sz w:val="20"/>
                <w:szCs w:val="20"/>
                <w:color w:val="auto"/>
              </w:rPr>
            </w:pPr>
            <w:r>
              <w:rPr>
                <w:rFonts w:ascii="Courier New" w:cs="Courier New" w:eastAsia="Courier New" w:hAnsi="Courier New"/>
                <w:sz w:val="18"/>
                <w:szCs w:val="18"/>
                <w:color w:val="auto"/>
              </w:rPr>
              <w:t>Non-operating items, net of tax</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($153)</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($0.07)</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$302</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$0.14</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860" w:right="2319" w:hanging="431"/>
        <w:spacing w:after="0" w:line="265"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Diluted weighted average shares outstanding for the three and nine months ended September 30, 2004 were 2.243 billion and 2.259 billion, respectively. Diluted weighted average shares outstanding for the three and nine months ended September 30, 2003 were 2.257 billion and 2.256 billion, respectively.</w:t>
      </w:r>
    </w:p>
    <w:p>
      <w:pPr>
        <w:spacing w:after="0" w:line="89" w:lineRule="exact"/>
        <w:rPr>
          <w:rFonts w:ascii="Courier New" w:cs="Courier New" w:eastAsia="Courier New" w:hAnsi="Courier New"/>
          <w:sz w:val="18"/>
          <w:szCs w:val="18"/>
          <w:color w:val="auto"/>
        </w:rPr>
      </w:pPr>
    </w:p>
    <w:p>
      <w:pPr>
        <w:ind w:left="860" w:right="2939" w:hanging="431"/>
        <w:spacing w:after="0" w:line="402" w:lineRule="auto"/>
        <w:tabs>
          <w:tab w:leader="none" w:pos="8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interest expense net of interest income and excludes non-cash interest and subsidiary preferred dividends.</w:t>
      </w:r>
    </w:p>
    <w:p>
      <w:pPr>
        <w:ind w:left="860" w:hanging="431"/>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Included in the nine months ended September 30, 2004 is $536</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million of income tax refund received in the second quarter of 2004.</w:t>
      </w:r>
    </w:p>
    <w:p>
      <w:pPr>
        <w:spacing w:after="0" w:line="169" w:lineRule="exact"/>
        <w:rPr>
          <w:rFonts w:ascii="Courier New" w:cs="Courier New" w:eastAsia="Courier New" w:hAnsi="Courier New"/>
          <w:sz w:val="18"/>
          <w:szCs w:val="18"/>
          <w:color w:val="auto"/>
        </w:rPr>
      </w:pPr>
    </w:p>
    <w:p>
      <w:pPr>
        <w:ind w:left="860" w:right="2319" w:hanging="431"/>
        <w:spacing w:after="0" w:line="282" w:lineRule="auto"/>
        <w:tabs>
          <w:tab w:leader="none" w:pos="8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non-cash expenses included in Operating Cash Flow such as equity compensation, cash proceeds from sales of trading securities ($85 million related to Sprint PCS year to date 2Q03 and</w:t>
      </w:r>
    </w:p>
    <w:p>
      <w:pPr>
        <w:ind w:left="860" w:right="2099"/>
        <w:spacing w:after="0" w:line="273"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$547 million related to Liberty Media in 3Q04), cash related to other (income) expense, dividends and the net effect of changes in accrued income taxes.</w:t>
      </w:r>
    </w:p>
    <w:p>
      <w:pPr>
        <w:spacing w:after="0" w:line="82" w:lineRule="exact"/>
        <w:rPr>
          <w:rFonts w:ascii="Courier New" w:cs="Courier New" w:eastAsia="Courier New" w:hAnsi="Courier New"/>
          <w:sz w:val="16"/>
          <w:szCs w:val="16"/>
          <w:color w:val="auto"/>
        </w:rPr>
      </w:pPr>
    </w:p>
    <w:p>
      <w:pPr>
        <w:ind w:left="860" w:right="2099" w:hanging="431"/>
        <w:spacing w:after="0" w:line="347"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record losses on our investments for which we have determined that a decline in value of the investment is other than temporary.</w:t>
      </w:r>
    </w:p>
    <w:p>
      <w:pPr>
        <w:spacing w:after="0" w:line="18" w:lineRule="exact"/>
        <w:rPr>
          <w:rFonts w:ascii="Courier New" w:cs="Courier New" w:eastAsia="Courier New" w:hAnsi="Courier New"/>
          <w:sz w:val="18"/>
          <w:szCs w:val="18"/>
          <w:color w:val="auto"/>
        </w:rPr>
      </w:pPr>
    </w:p>
    <w:p>
      <w:pPr>
        <w:ind w:left="860" w:right="2419" w:hanging="431"/>
        <w:spacing w:after="0" w:line="292"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investment, interest and dividend income, equity in net (income) losses of affiliates, other (income) expense and minority interest.</w:t>
      </w:r>
    </w:p>
    <w:p>
      <w:pPr>
        <w:spacing w:after="0" w:line="6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SOURCE</w:t>
        <w:tab/>
        <w:t>Comcast Corporation</w:t>
      </w:r>
    </w:p>
    <w:p>
      <w:pPr>
        <w:spacing w:after="0" w:line="29" w:lineRule="exact"/>
        <w:rPr>
          <w:sz w:val="20"/>
          <w:szCs w:val="20"/>
          <w:color w:val="auto"/>
        </w:rPr>
      </w:pPr>
    </w:p>
    <w:p>
      <w:pPr>
        <w:ind w:left="420"/>
        <w:spacing w:after="0"/>
        <w:tabs>
          <w:tab w:leader="none" w:pos="3780" w:val="left"/>
        </w:tabs>
        <w:rPr>
          <w:sz w:val="20"/>
          <w:szCs w:val="20"/>
          <w:color w:val="auto"/>
        </w:rPr>
      </w:pPr>
      <w:r>
        <w:rPr>
          <w:rFonts w:ascii="Courier New" w:cs="Courier New" w:eastAsia="Courier New" w:hAnsi="Courier New"/>
          <w:sz w:val="18"/>
          <w:szCs w:val="18"/>
          <w:color w:val="auto"/>
        </w:rPr>
        <w:t>-0-</w:t>
      </w:r>
      <w:r>
        <w:rPr>
          <w:sz w:val="20"/>
          <w:szCs w:val="20"/>
          <w:color w:val="auto"/>
        </w:rPr>
        <w:tab/>
      </w:r>
      <w:r>
        <w:rPr>
          <w:rFonts w:ascii="Courier New" w:cs="Courier New" w:eastAsia="Courier New" w:hAnsi="Courier New"/>
          <w:sz w:val="16"/>
          <w:szCs w:val="16"/>
          <w:color w:val="auto"/>
        </w:rPr>
        <w:t>10/27/2004</w:t>
      </w:r>
    </w:p>
    <w:p>
      <w:pPr>
        <w:ind w:right="2319" w:firstLine="421"/>
        <w:spacing w:after="0" w:line="238" w:lineRule="auto"/>
        <w:rPr>
          <w:sz w:val="20"/>
          <w:szCs w:val="20"/>
          <w:color w:val="auto"/>
        </w:rPr>
      </w:pPr>
      <w:r>
        <w:rPr>
          <w:rFonts w:ascii="Courier New" w:cs="Courier New" w:eastAsia="Courier New" w:hAnsi="Courier New"/>
          <w:sz w:val="18"/>
          <w:szCs w:val="18"/>
          <w:color w:val="auto"/>
        </w:rPr>
        <w:t>/CONTACT: Investor Contacts: Marlene S. Dooner, +1-215-981-7392, or Leslie A. Arena, +1-215-981-8511, or Daniel J. Goodwin, +1-215-981-7518; or Press Contacts: D'Arcy Rudnay, +1-215-981-8582, or Tim Fitzpatrick, +1-215-981-8515, all of Comcast Corporation/</w:t>
      </w:r>
    </w:p>
    <w:p>
      <w:pPr>
        <w:ind w:left="420"/>
        <w:spacing w:after="0"/>
        <w:tabs>
          <w:tab w:leader="none" w:pos="1680" w:val="left"/>
        </w:tabs>
        <w:rPr>
          <w:sz w:val="20"/>
          <w:szCs w:val="20"/>
          <w:color w:val="auto"/>
        </w:rPr>
      </w:pPr>
      <w:r>
        <w:rPr>
          <w:rFonts w:ascii="Courier New" w:cs="Courier New" w:eastAsia="Courier New" w:hAnsi="Courier New"/>
          <w:sz w:val="18"/>
          <w:szCs w:val="18"/>
          <w:color w:val="auto"/>
        </w:rPr>
        <w:t>/Web site:</w:t>
      </w:r>
      <w:r>
        <w:rPr>
          <w:sz w:val="20"/>
          <w:szCs w:val="20"/>
          <w:color w:val="auto"/>
        </w:rPr>
        <w:tab/>
      </w:r>
      <w:r>
        <w:rPr>
          <w:rFonts w:ascii="Courier New" w:cs="Courier New" w:eastAsia="Courier New" w:hAnsi="Courier New"/>
          <w:sz w:val="16"/>
          <w:szCs w:val="16"/>
          <w:color w:val="auto"/>
        </w:rPr>
        <w:t>http://www.comcast.com /</w:t>
      </w:r>
    </w:p>
    <w:p>
      <w:pPr>
        <w:ind w:left="420"/>
        <w:spacing w:after="0"/>
        <w:tabs>
          <w:tab w:leader="none" w:pos="1680" w:val="left"/>
        </w:tabs>
        <w:rPr>
          <w:sz w:val="20"/>
          <w:szCs w:val="20"/>
          <w:color w:val="auto"/>
        </w:rPr>
      </w:pPr>
      <w:r>
        <w:rPr>
          <w:rFonts w:ascii="Courier New" w:cs="Courier New" w:eastAsia="Courier New" w:hAnsi="Courier New"/>
          <w:sz w:val="18"/>
          <w:szCs w:val="18"/>
          <w:color w:val="auto"/>
        </w:rPr>
        <w:t>/Web site:</w:t>
      </w:r>
      <w:r>
        <w:rPr>
          <w:sz w:val="20"/>
          <w:szCs w:val="20"/>
          <w:color w:val="auto"/>
        </w:rPr>
        <w:tab/>
      </w:r>
      <w:r>
        <w:rPr>
          <w:rFonts w:ascii="Courier New" w:cs="Courier New" w:eastAsia="Courier New" w:hAnsi="Courier New"/>
          <w:sz w:val="16"/>
          <w:szCs w:val="16"/>
          <w:color w:val="auto"/>
        </w:rPr>
        <w:t>http://www.cmcsk.com</w:t>
      </w:r>
    </w:p>
    <w:p>
      <w:pPr>
        <w:ind w:left="1700"/>
        <w:spacing w:after="0"/>
        <w:rPr>
          <w:sz w:val="20"/>
          <w:szCs w:val="20"/>
          <w:color w:val="auto"/>
        </w:rPr>
      </w:pPr>
      <w:r>
        <w:rPr>
          <w:rFonts w:ascii="Courier New" w:cs="Courier New" w:eastAsia="Courier New" w:hAnsi="Courier New"/>
          <w:sz w:val="18"/>
          <w:szCs w:val="18"/>
          <w:color w:val="auto"/>
        </w:rPr>
        <w:t>http://www.cmcsa.com /</w:t>
      </w:r>
    </w:p>
    <w:p>
      <w:pPr>
        <w:ind w:left="420"/>
        <w:spacing w:after="0"/>
        <w:rPr>
          <w:sz w:val="20"/>
          <w:szCs w:val="20"/>
          <w:color w:val="auto"/>
        </w:rPr>
      </w:pPr>
      <w:r>
        <w:rPr>
          <w:rFonts w:ascii="Courier New" w:cs="Courier New" w:eastAsia="Courier New" w:hAnsi="Courier New"/>
          <w:sz w:val="18"/>
          <w:szCs w:val="18"/>
          <w:color w:val="auto"/>
        </w:rPr>
        <w:t>(CMCSA CMCSK)</w:t>
      </w:r>
    </w:p>
    <w:p>
      <w:pPr>
        <w:sectPr>
          <w:pgSz w:w="11900" w:h="16838" w:orient="portrait"/>
          <w:cols w:equalWidth="0" w:num="1">
            <w:col w:w="10219"/>
          </w:cols>
          <w:pgMar w:left="240" w:top="108" w:right="1440" w:bottom="0" w:gutter="0" w:footer="0" w:header="0"/>
        </w:sectPr>
      </w:pPr>
    </w:p>
    <w:bookmarkStart w:id="14" w:name="page15"/>
    <w:bookmarkEnd w:id="14"/>
    <w:p>
      <w:pPr>
        <w:spacing w:after="0"/>
        <w:tabs>
          <w:tab w:leader="none" w:pos="520" w:val="left"/>
        </w:tabs>
        <w:rPr>
          <w:sz w:val="20"/>
          <w:szCs w:val="20"/>
          <w:color w:val="auto"/>
        </w:rPr>
      </w:pPr>
      <w:r>
        <w:rPr>
          <w:rFonts w:ascii="Courier New" w:cs="Courier New" w:eastAsia="Courier New" w:hAnsi="Courier New"/>
          <w:sz w:val="16"/>
          <w:szCs w:val="16"/>
          <w:color w:val="auto"/>
        </w:rPr>
        <w:t>CO:</w:t>
        <w:tab/>
        <w:t>Comcast Corporation</w:t>
      </w:r>
    </w:p>
    <w:p>
      <w:pPr>
        <w:spacing w:after="0" w:line="5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ST:</w:t>
        <w:tab/>
        <w:t>Pennsylvania</w:t>
      </w:r>
    </w:p>
    <w:p>
      <w:pPr>
        <w:spacing w:after="0"/>
        <w:tabs>
          <w:tab w:leader="none" w:pos="520" w:val="left"/>
        </w:tabs>
        <w:rPr>
          <w:sz w:val="20"/>
          <w:szCs w:val="20"/>
          <w:color w:val="auto"/>
        </w:rPr>
      </w:pPr>
      <w:r>
        <w:rPr>
          <w:rFonts w:ascii="Courier New" w:cs="Courier New" w:eastAsia="Courier New" w:hAnsi="Courier New"/>
          <w:sz w:val="16"/>
          <w:szCs w:val="16"/>
          <w:color w:val="auto"/>
        </w:rPr>
        <w:t>IN:</w:t>
        <w:tab/>
        <w:t>ENT TVN CPR ITE MLM</w:t>
      </w:r>
    </w:p>
    <w:p>
      <w:pPr>
        <w:spacing w:after="0" w:line="2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SU:</w:t>
        <w:tab/>
        <w:t>ERN ERP MAV CCA</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2019-12-15T06:54:59Z</dcterms:created>
  <dcterms:modified xsi:type="dcterms:W3CDTF">2019-12-15T06:54:59Z</dcterms:modified>
</cp:coreProperties>
</file>