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333-191239</w:t>
      </w:r>
    </w:p>
    <w:p>
      <w:pPr>
        <w:spacing w:after="0" w:line="144"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CC062A"/>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NOVEMBER 23, 2015</w:t>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color w:val="auto"/>
        </w:rPr>
        <w:t>(To prospectus dated November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133350</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5500" w:hanging="1239"/>
        <w:spacing w:after="0"/>
        <w:tabs>
          <w:tab w:leader="none" w:pos="55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Notes due 2046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4"/>
          <w:szCs w:val="24"/>
          <w:color w:val="auto"/>
        </w:rPr>
      </w:pPr>
    </w:p>
    <w:p>
      <w:pPr>
        <w:ind w:right="200" w:firstLine="342"/>
        <w:spacing w:after="0" w:line="253" w:lineRule="auto"/>
        <w:rPr>
          <w:sz w:val="20"/>
          <w:szCs w:val="20"/>
          <w:color w:val="auto"/>
        </w:rPr>
      </w:pPr>
      <w:r>
        <w:rPr>
          <w:rFonts w:ascii="Arial" w:cs="Arial" w:eastAsia="Arial" w:hAnsi="Arial"/>
          <w:sz w:val="14"/>
          <w:szCs w:val="14"/>
          <w:color w:val="auto"/>
        </w:rPr>
        <w:t>We are offering U.S. $ of % notes due 2046 (the “notes”). The notes will bear interest at a rate of % per year and will mature on February 1, 2046 unless earlier redeemed. We will pay interest on the notes on February 1 and August 1 of each year, beginning on February 1, 2016 (short first coupon).</w:t>
      </w:r>
    </w:p>
    <w:p>
      <w:pPr>
        <w:spacing w:after="0" w:line="106" w:lineRule="exact"/>
        <w:rPr>
          <w:sz w:val="24"/>
          <w:szCs w:val="24"/>
          <w:color w:val="auto"/>
        </w:rPr>
      </w:pPr>
    </w:p>
    <w:p>
      <w:pPr>
        <w:ind w:right="20" w:firstLine="342"/>
        <w:spacing w:after="0" w:line="264" w:lineRule="auto"/>
        <w:rPr>
          <w:sz w:val="20"/>
          <w:szCs w:val="20"/>
          <w:color w:val="auto"/>
        </w:rPr>
      </w:pPr>
      <w:r>
        <w:rPr>
          <w:rFonts w:ascii="Arial" w:cs="Arial" w:eastAsia="Arial" w:hAnsi="Arial"/>
          <w:sz w:val="13"/>
          <w:szCs w:val="13"/>
          <w:color w:val="auto"/>
        </w:rPr>
        <w:t>We may redeem the notes, in whole but not in part, on each February 1 on or after February 1, 2018 at a redemption price equal to 100% of the principal amount of the notes being redeemed plus accrued and unpaid interest to, but not including, the redemption date. See “Description of Notes—Optional Redemption” on page S-9 of this prospectus supplement. In addition, we may redeem the notes, in whole but not in part, at any time at our option, in the event of certain developments affecting United States taxation. See “Description of Notes—Redemption for Tax Reasons.”</w:t>
      </w:r>
    </w:p>
    <w:p>
      <w:pPr>
        <w:spacing w:after="0" w:line="101" w:lineRule="exact"/>
        <w:rPr>
          <w:sz w:val="24"/>
          <w:szCs w:val="24"/>
          <w:color w:val="auto"/>
        </w:rPr>
      </w:pPr>
    </w:p>
    <w:p>
      <w:pPr>
        <w:ind w:right="22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9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7" w:lineRule="exact"/>
        <w:rPr>
          <w:sz w:val="24"/>
          <w:szCs w:val="24"/>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“Item 1A— Risk Factors” beginning on page 30 of Comcast Corporation’s (“Comcast”) Annual Report on Form 10-K for the year ended December 31, 2014, which is incorporated by reference herein.</w:t>
      </w:r>
    </w:p>
    <w:p>
      <w:pPr>
        <w:spacing w:after="0" w:line="108" w:lineRule="exact"/>
        <w:rPr>
          <w:sz w:val="24"/>
          <w:szCs w:val="24"/>
          <w:color w:val="auto"/>
        </w:rPr>
      </w:pPr>
    </w:p>
    <w:p>
      <w:pPr>
        <w:ind w:right="60" w:firstLine="342"/>
        <w:spacing w:after="0" w:line="248" w:lineRule="auto"/>
        <w:rPr>
          <w:sz w:val="20"/>
          <w:szCs w:val="20"/>
          <w:color w:val="auto"/>
        </w:rPr>
      </w:pPr>
      <w:r>
        <w:rPr>
          <w:rFonts w:ascii="Arial" w:cs="Arial" w:eastAsia="Arial" w:hAnsi="Arial"/>
          <w:sz w:val="13"/>
          <w:szCs w:val="13"/>
          <w:color w:val="auto"/>
        </w:rPr>
        <w:t>Application will be made to the Taipei Exchange (the “TPEx”) for the listing of, and permission to deal in, the notes by way of debt issues only to “professional institutional investors” as defined under Item 1 of Proviso to Paragraph 1 of Article 4 of the Financial Consumer Protection Act of the Republic of China (the “ROC”), and such permission is expected to become effective on</w:t>
      </w:r>
    </w:p>
    <w:p>
      <w:pPr>
        <w:ind w:right="20"/>
        <w:spacing w:after="0" w:line="229" w:lineRule="auto"/>
        <w:rPr>
          <w:sz w:val="20"/>
          <w:szCs w:val="20"/>
          <w:color w:val="auto"/>
        </w:rPr>
      </w:pPr>
      <w:r>
        <w:rPr>
          <w:rFonts w:ascii="Arial" w:cs="Arial" w:eastAsia="Arial" w:hAnsi="Arial"/>
          <w:sz w:val="14"/>
          <w:szCs w:val="14"/>
          <w:color w:val="auto"/>
        </w:rPr>
        <w:t>or about , 2015.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116" w:lineRule="exact"/>
        <w:rPr>
          <w:sz w:val="24"/>
          <w:szCs w:val="24"/>
          <w:color w:val="auto"/>
        </w:rPr>
      </w:pPr>
    </w:p>
    <w:p>
      <w:pPr>
        <w:ind w:right="140" w:firstLine="342"/>
        <w:spacing w:after="0" w:line="249" w:lineRule="auto"/>
        <w:rPr>
          <w:sz w:val="20"/>
          <w:szCs w:val="20"/>
          <w:color w:val="auto"/>
        </w:rPr>
      </w:pPr>
      <w:r>
        <w:rPr>
          <w:rFonts w:ascii="Arial" w:cs="Arial" w:eastAsia="Arial" w:hAnsi="Arial"/>
          <w:sz w:val="13"/>
          <w:szCs w:val="13"/>
          <w:color w:val="auto"/>
        </w:rPr>
        <w:t>The notes have not been, and shall not be, offered, sold or re-sold, directly or indirectly, to investors other than “professional institutional investors” as defined under Item 1 of Proviso to Paragraph 1 of Article 4 of the Financial Consumer Protection Act, which currently include: overseas or domestic banks, securities firms, futures firms, insurance companies (excluding insurance agencies, insurance brokers and insurance notaries),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Investors</w:t>
            </w: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Selling</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w w:val="86"/>
              </w:rPr>
              <w:t>Proceeds to Us</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140" w:type="dxa"/>
            <w:vAlign w:val="bottom"/>
            <w:gridSpan w:val="2"/>
            <w:vMerge w:val="restart"/>
          </w:tcPr>
          <w:p>
            <w:pPr>
              <w:ind w:left="660"/>
              <w:spacing w:after="0"/>
              <w:rPr>
                <w:sz w:val="20"/>
                <w:szCs w:val="20"/>
                <w:color w:val="auto"/>
              </w:rPr>
            </w:pPr>
            <w:r>
              <w:rPr>
                <w:rFonts w:ascii="Arial" w:cs="Arial" w:eastAsia="Arial" w:hAnsi="Arial"/>
                <w:sz w:val="14"/>
                <w:szCs w:val="14"/>
                <w:color w:val="auto"/>
              </w:rPr>
              <w:t>Per note due 2046</w:t>
            </w:r>
            <w:r>
              <w:rPr>
                <w:rFonts w:ascii="Arial" w:cs="Arial" w:eastAsia="Arial" w:hAnsi="Arial"/>
                <w:sz w:val="12"/>
                <w:szCs w:val="12"/>
                <w:color w:val="auto"/>
              </w:rPr>
              <w:t>(1)</w:t>
            </w:r>
          </w:p>
        </w:tc>
        <w:tc>
          <w:tcPr>
            <w:tcW w:w="234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Discount</w:t>
            </w:r>
          </w:p>
        </w:tc>
        <w:tc>
          <w:tcPr>
            <w:tcW w:w="40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Before Expenses</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23"/>
        </w:trPr>
        <w:tc>
          <w:tcPr>
            <w:tcW w:w="260" w:type="dxa"/>
            <w:vAlign w:val="bottom"/>
          </w:tcPr>
          <w:p>
            <w:pPr>
              <w:spacing w:after="0"/>
              <w:rPr>
                <w:sz w:val="10"/>
                <w:szCs w:val="10"/>
                <w:color w:val="auto"/>
              </w:rPr>
            </w:pPr>
          </w:p>
        </w:tc>
        <w:tc>
          <w:tcPr>
            <w:tcW w:w="3140" w:type="dxa"/>
            <w:vAlign w:val="bottom"/>
            <w:gridSpan w:val="2"/>
            <w:vMerge w:val="continue"/>
          </w:tcPr>
          <w:p>
            <w:pPr>
              <w:spacing w:after="0"/>
              <w:rPr>
                <w:sz w:val="10"/>
                <w:szCs w:val="10"/>
                <w:color w:val="auto"/>
              </w:rPr>
            </w:pPr>
          </w:p>
        </w:tc>
        <w:tc>
          <w:tcPr>
            <w:tcW w:w="23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00" w:type="dxa"/>
            <w:vAlign w:val="bottom"/>
          </w:tcPr>
          <w:p>
            <w:pPr>
              <w:jc w:val="right"/>
              <w:ind w:right="708"/>
              <w:spacing w:after="0" w:line="123"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tcBorders>
          </w:tcPr>
          <w:p>
            <w:pPr>
              <w:spacing w:after="0"/>
              <w:rPr>
                <w:sz w:val="10"/>
                <w:szCs w:val="10"/>
                <w:color w:val="auto"/>
              </w:rPr>
            </w:pPr>
          </w:p>
        </w:tc>
        <w:tc>
          <w:tcPr>
            <w:tcW w:w="500" w:type="dxa"/>
            <w:vAlign w:val="bottom"/>
          </w:tcPr>
          <w:p>
            <w:pPr>
              <w:jc w:val="right"/>
              <w:ind w:right="308"/>
              <w:spacing w:after="0" w:line="123" w:lineRule="exact"/>
              <w:rPr>
                <w:sz w:val="20"/>
                <w:szCs w:val="20"/>
                <w:color w:val="auto"/>
              </w:rPr>
            </w:pPr>
            <w:r>
              <w:rPr>
                <w:rFonts w:ascii="Arial" w:cs="Arial" w:eastAsia="Arial" w:hAnsi="Arial"/>
                <w:sz w:val="14"/>
                <w:szCs w:val="14"/>
                <w:color w:val="auto"/>
                <w:w w:val="79"/>
              </w:rPr>
              <w: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80" w:type="dxa"/>
            <w:vAlign w:val="bottom"/>
          </w:tcPr>
          <w:p>
            <w:pPr>
              <w:jc w:val="right"/>
              <w:ind w:right="888"/>
              <w:spacing w:after="0" w:line="123"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3140" w:type="dxa"/>
            <w:vAlign w:val="bottom"/>
            <w:gridSpan w:val="2"/>
          </w:tcPr>
          <w:p>
            <w:pPr>
              <w:ind w:left="660"/>
              <w:spacing w:after="0"/>
              <w:rPr>
                <w:sz w:val="20"/>
                <w:szCs w:val="20"/>
                <w:color w:val="auto"/>
              </w:rPr>
            </w:pPr>
            <w:r>
              <w:rPr>
                <w:rFonts w:ascii="Arial" w:cs="Arial" w:eastAsia="Arial" w:hAnsi="Arial"/>
                <w:sz w:val="14"/>
                <w:szCs w:val="14"/>
                <w:color w:val="auto"/>
              </w:rPr>
              <w:t>Total</w:t>
            </w:r>
          </w:p>
        </w:tc>
        <w:tc>
          <w:tcPr>
            <w:tcW w:w="3420" w:type="dxa"/>
            <w:vAlign w:val="bottom"/>
            <w:gridSpan w:val="2"/>
          </w:tcPr>
          <w:p>
            <w:pPr>
              <w:ind w:left="234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5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560" w:type="dxa"/>
            <w:vAlign w:val="bottom"/>
            <w:gridSpan w:val="4"/>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60" w:type="dxa"/>
            <w:vAlign w:val="bottom"/>
          </w:tcPr>
          <w:p>
            <w:pPr>
              <w:jc w:val="right"/>
              <w:ind w:right="8"/>
              <w:spacing w:after="0" w:line="151" w:lineRule="exact"/>
              <w:rPr>
                <w:sz w:val="20"/>
                <w:szCs w:val="20"/>
                <w:color w:val="auto"/>
              </w:rPr>
            </w:pPr>
            <w:r>
              <w:rPr>
                <w:rFonts w:ascii="Arial" w:cs="Arial" w:eastAsia="Arial" w:hAnsi="Arial"/>
                <w:sz w:val="14"/>
                <w:szCs w:val="14"/>
                <w:color w:val="auto"/>
                <w:w w:val="93"/>
              </w:rPr>
              <w:t>(1)</w:t>
            </w:r>
          </w:p>
        </w:tc>
        <w:tc>
          <w:tcPr>
            <w:tcW w:w="7460" w:type="dxa"/>
            <w:vAlign w:val="bottom"/>
            <w:gridSpan w:val="5"/>
          </w:tcPr>
          <w:p>
            <w:pPr>
              <w:ind w:left="80"/>
              <w:spacing w:after="0" w:line="151" w:lineRule="exact"/>
              <w:rPr>
                <w:sz w:val="20"/>
                <w:szCs w:val="20"/>
                <w:color w:val="auto"/>
              </w:rPr>
            </w:pPr>
            <w:r>
              <w:rPr>
                <w:rFonts w:ascii="Arial" w:cs="Arial" w:eastAsia="Arial" w:hAnsi="Arial"/>
                <w:sz w:val="14"/>
                <w:szCs w:val="14"/>
                <w:color w:val="auto"/>
              </w:rPr>
              <w:t>Plus accrued interest, if any, from December  , 2015, if settlement occurs after that date.</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w w:val="93"/>
              </w:rPr>
              <w:t>(2)</w:t>
            </w:r>
          </w:p>
        </w:tc>
        <w:tc>
          <w:tcPr>
            <w:tcW w:w="9040" w:type="dxa"/>
            <w:vAlign w:val="bottom"/>
            <w:gridSpan w:val="9"/>
          </w:tcPr>
          <w:p>
            <w:pPr>
              <w:ind w:left="80"/>
              <w:spacing w:after="0" w:line="149" w:lineRule="exact"/>
              <w:rPr>
                <w:sz w:val="20"/>
                <w:szCs w:val="20"/>
                <w:color w:val="auto"/>
              </w:rPr>
            </w:pPr>
            <w:r>
              <w:rPr>
                <w:rFonts w:ascii="Arial" w:cs="Arial" w:eastAsia="Arial" w:hAnsi="Arial"/>
                <w:sz w:val="14"/>
                <w:szCs w:val="14"/>
                <w:color w:val="auto"/>
                <w:w w:val="92"/>
              </w:rPr>
              <w:t>The net proceeds to us reflect the initial price to investors set forth above as reduced by (a) the selling discount set forth above and (b) an aggregate fee of $</w:t>
            </w:r>
          </w:p>
        </w:tc>
        <w:tc>
          <w:tcPr>
            <w:tcW w:w="2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that we will pay to J.P. Morgan</w:t>
            </w:r>
          </w:p>
        </w:tc>
        <w:tc>
          <w:tcPr>
            <w:tcW w:w="0" w:type="dxa"/>
            <w:vAlign w:val="bottom"/>
          </w:tcPr>
          <w:p>
            <w:pPr>
              <w:spacing w:after="0"/>
              <w:rPr>
                <w:sz w:val="1"/>
                <w:szCs w:val="1"/>
                <w:color w:val="auto"/>
              </w:rPr>
            </w:pPr>
          </w:p>
        </w:tc>
      </w:tr>
      <w:tr>
        <w:trPr>
          <w:trHeight w:val="161"/>
        </w:trPr>
        <w:tc>
          <w:tcPr>
            <w:tcW w:w="260" w:type="dxa"/>
            <w:vAlign w:val="bottom"/>
          </w:tcPr>
          <w:p>
            <w:pPr>
              <w:spacing w:after="0"/>
              <w:rPr>
                <w:sz w:val="13"/>
                <w:szCs w:val="13"/>
                <w:color w:val="auto"/>
              </w:rPr>
            </w:pPr>
          </w:p>
        </w:tc>
        <w:tc>
          <w:tcPr>
            <w:tcW w:w="3140" w:type="dxa"/>
            <w:vAlign w:val="bottom"/>
            <w:gridSpan w:val="2"/>
          </w:tcPr>
          <w:p>
            <w:pPr>
              <w:ind w:left="80"/>
              <w:spacing w:after="0"/>
              <w:rPr>
                <w:sz w:val="20"/>
                <w:szCs w:val="20"/>
                <w:color w:val="auto"/>
              </w:rPr>
            </w:pPr>
            <w:r>
              <w:rPr>
                <w:rFonts w:ascii="Arial" w:cs="Arial" w:eastAsia="Arial" w:hAnsi="Arial"/>
                <w:sz w:val="14"/>
                <w:szCs w:val="14"/>
                <w:color w:val="auto"/>
              </w:rPr>
              <w:t>Securities LLC, Morgan Stanley &amp; Co. LLC and</w:t>
            </w:r>
          </w:p>
        </w:tc>
        <w:tc>
          <w:tcPr>
            <w:tcW w:w="8020" w:type="dxa"/>
            <w:vAlign w:val="bottom"/>
            <w:gridSpan w:val="9"/>
          </w:tcPr>
          <w:p>
            <w:pPr>
              <w:jc w:val="right"/>
              <w:spacing w:after="0"/>
              <w:rPr>
                <w:sz w:val="20"/>
                <w:szCs w:val="20"/>
                <w:color w:val="auto"/>
              </w:rPr>
            </w:pPr>
            <w:r>
              <w:rPr>
                <w:rFonts w:ascii="Arial" w:cs="Arial" w:eastAsia="Arial" w:hAnsi="Arial"/>
                <w:sz w:val="14"/>
                <w:szCs w:val="14"/>
                <w:color w:val="auto"/>
                <w:w w:val="96"/>
              </w:rPr>
              <w:t>(together, the “structuring agents”) in connection with structuring services that they provided in connection with the notes. J.P. Morgan</w:t>
            </w:r>
          </w:p>
        </w:tc>
        <w:tc>
          <w:tcPr>
            <w:tcW w:w="0" w:type="dxa"/>
            <w:vAlign w:val="bottom"/>
          </w:tcPr>
          <w:p>
            <w:pPr>
              <w:spacing w:after="0"/>
              <w:rPr>
                <w:sz w:val="1"/>
                <w:szCs w:val="1"/>
                <w:color w:val="auto"/>
              </w:rPr>
            </w:pPr>
          </w:p>
        </w:tc>
      </w:tr>
    </w:tbl>
    <w:p>
      <w:pPr>
        <w:ind w:left="340" w:right="100"/>
        <w:spacing w:after="0" w:line="237" w:lineRule="auto"/>
        <w:rPr>
          <w:sz w:val="20"/>
          <w:szCs w:val="20"/>
          <w:color w:val="auto"/>
        </w:rPr>
      </w:pPr>
      <w:r>
        <w:rPr>
          <w:rFonts w:ascii="Arial" w:cs="Arial" w:eastAsia="Arial" w:hAnsi="Arial"/>
          <w:sz w:val="14"/>
          <w:szCs w:val="14"/>
          <w:color w:val="auto"/>
        </w:rPr>
        <w:t>and Morgan Stanley have agreed to reimburse us for certain of our expenses. The structuring agents, each as an entity not licensed in the ROC, have not offered or sold, and will not subscribe for or sell or underwrite, any notes offered hereby. See “Selling.”</w:t>
      </w:r>
    </w:p>
    <w:p>
      <w:pPr>
        <w:spacing w:after="0" w:line="112" w:lineRule="exact"/>
        <w:rPr>
          <w:sz w:val="24"/>
          <w:szCs w:val="24"/>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02" w:lineRule="exact"/>
        <w:rPr>
          <w:sz w:val="24"/>
          <w:szCs w:val="24"/>
          <w:color w:val="auto"/>
        </w:rPr>
      </w:pPr>
    </w:p>
    <w:p>
      <w:pPr>
        <w:ind w:left="360"/>
        <w:spacing w:after="0"/>
        <w:rPr>
          <w:sz w:val="20"/>
          <w:szCs w:val="20"/>
          <w:color w:val="auto"/>
        </w:rPr>
      </w:pPr>
      <w:r>
        <w:rPr>
          <w:rFonts w:ascii="Arial" w:cs="Arial" w:eastAsia="Arial" w:hAnsi="Arial"/>
          <w:sz w:val="13"/>
          <w:szCs w:val="13"/>
          <w:color w:val="auto"/>
        </w:rPr>
        <w:t>The managers expect to deliver the notes to investors in book-entry delivery only form through the facilities of Clearstream Banking, société anonyme (“Clearstream”) and Euroclear Bank</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900" w:type="dxa"/>
            <w:vAlign w:val="bottom"/>
            <w:gridSpan w:val="2"/>
          </w:tcPr>
          <w:p>
            <w:pPr>
              <w:spacing w:after="0"/>
              <w:rPr>
                <w:sz w:val="20"/>
                <w:szCs w:val="20"/>
                <w:color w:val="auto"/>
              </w:rPr>
            </w:pPr>
            <w:r>
              <w:rPr>
                <w:rFonts w:ascii="Arial" w:cs="Arial" w:eastAsia="Arial" w:hAnsi="Arial"/>
                <w:sz w:val="14"/>
                <w:szCs w:val="14"/>
                <w:color w:val="auto"/>
                <w:w w:val="94"/>
              </w:rPr>
              <w:t>S.A./N.V. as operator of the Euroclear System (“Euroclear”), on or about December</w:t>
            </w:r>
          </w:p>
        </w:tc>
        <w:tc>
          <w:tcPr>
            <w:tcW w:w="6060" w:type="dxa"/>
            <w:vAlign w:val="bottom"/>
            <w:gridSpan w:val="2"/>
          </w:tcPr>
          <w:p>
            <w:pPr>
              <w:ind w:left="120"/>
              <w:spacing w:after="0"/>
              <w:rPr>
                <w:sz w:val="20"/>
                <w:szCs w:val="20"/>
                <w:color w:val="auto"/>
              </w:rPr>
            </w:pPr>
            <w:r>
              <w:rPr>
                <w:rFonts w:ascii="Arial" w:cs="Arial" w:eastAsia="Arial" w:hAnsi="Arial"/>
                <w:sz w:val="14"/>
                <w:szCs w:val="14"/>
                <w:color w:val="auto"/>
                <w:w w:val="93"/>
              </w:rPr>
              <w:t>, 2015, which is the tenth business day following the date of this prospectus supplement. See “Selling.”</w:t>
            </w:r>
          </w:p>
        </w:tc>
      </w:tr>
      <w:tr>
        <w:trPr>
          <w:trHeight w:val="230"/>
        </w:trPr>
        <w:tc>
          <w:tcPr>
            <w:tcW w:w="4120" w:type="dxa"/>
            <w:vAlign w:val="bottom"/>
          </w:tcPr>
          <w:p>
            <w:pPr>
              <w:spacing w:after="0"/>
              <w:rPr>
                <w:sz w:val="19"/>
                <w:szCs w:val="19"/>
                <w:color w:val="auto"/>
              </w:rPr>
            </w:pPr>
          </w:p>
        </w:tc>
        <w:tc>
          <w:tcPr>
            <w:tcW w:w="3200" w:type="dxa"/>
            <w:vAlign w:val="bottom"/>
            <w:tcBorders>
              <w:bottom w:val="single" w:sz="8" w:color="auto"/>
            </w:tcBorders>
            <w:gridSpan w:val="2"/>
          </w:tcPr>
          <w:p>
            <w:pPr>
              <w:spacing w:after="0"/>
              <w:rPr>
                <w:sz w:val="19"/>
                <w:szCs w:val="19"/>
                <w:color w:val="auto"/>
              </w:rPr>
            </w:pPr>
          </w:p>
        </w:tc>
        <w:tc>
          <w:tcPr>
            <w:tcW w:w="3640" w:type="dxa"/>
            <w:vAlign w:val="bottom"/>
          </w:tcPr>
          <w:p>
            <w:pPr>
              <w:spacing w:after="0"/>
              <w:rPr>
                <w:sz w:val="19"/>
                <w:szCs w:val="19"/>
                <w:color w:val="auto"/>
              </w:rPr>
            </w:pPr>
          </w:p>
        </w:tc>
      </w:tr>
      <w:tr>
        <w:trPr>
          <w:trHeight w:val="333"/>
        </w:trPr>
        <w:tc>
          <w:tcPr>
            <w:tcW w:w="4120" w:type="dxa"/>
            <w:vAlign w:val="bottom"/>
          </w:tcPr>
          <w:p>
            <w:pPr>
              <w:spacing w:after="0"/>
              <w:rPr>
                <w:sz w:val="24"/>
                <w:szCs w:val="24"/>
                <w:color w:val="auto"/>
              </w:rPr>
            </w:pPr>
          </w:p>
        </w:tc>
        <w:tc>
          <w:tcPr>
            <w:tcW w:w="3200" w:type="dxa"/>
            <w:vAlign w:val="bottom"/>
            <w:gridSpan w:val="2"/>
          </w:tcPr>
          <w:p>
            <w:pPr>
              <w:ind w:left="700"/>
              <w:spacing w:after="0"/>
              <w:rPr>
                <w:sz w:val="20"/>
                <w:szCs w:val="20"/>
                <w:color w:val="auto"/>
              </w:rPr>
            </w:pPr>
            <w:r>
              <w:rPr>
                <w:rFonts w:ascii="Arial" w:cs="Arial" w:eastAsia="Arial" w:hAnsi="Arial"/>
                <w:sz w:val="14"/>
                <w:szCs w:val="14"/>
                <w:i w:val="1"/>
                <w:iCs w:val="1"/>
                <w:color w:val="auto"/>
              </w:rPr>
              <w:t>Joint Book-Running Managers</w:t>
            </w:r>
          </w:p>
        </w:tc>
        <w:tc>
          <w:tcPr>
            <w:tcW w:w="3640" w:type="dxa"/>
            <w:vAlign w:val="bottom"/>
          </w:tcPr>
          <w:p>
            <w:pPr>
              <w:spacing w:after="0"/>
              <w:rPr>
                <w:sz w:val="24"/>
                <w:szCs w:val="24"/>
                <w:color w:val="auto"/>
              </w:rPr>
            </w:pPr>
          </w:p>
        </w:tc>
      </w:tr>
      <w:tr>
        <w:trPr>
          <w:trHeight w:val="304"/>
        </w:trPr>
        <w:tc>
          <w:tcPr>
            <w:tcW w:w="4900" w:type="dxa"/>
            <w:vAlign w:val="bottom"/>
            <w:gridSpan w:val="2"/>
          </w:tcPr>
          <w:p>
            <w:pPr>
              <w:jc w:val="center"/>
              <w:ind w:right="928"/>
              <w:spacing w:after="0"/>
              <w:rPr>
                <w:sz w:val="20"/>
                <w:szCs w:val="20"/>
                <w:color w:val="auto"/>
              </w:rPr>
            </w:pPr>
            <w:r>
              <w:rPr>
                <w:rFonts w:ascii="Arial" w:cs="Arial" w:eastAsia="Arial" w:hAnsi="Arial"/>
                <w:sz w:val="18"/>
                <w:szCs w:val="18"/>
                <w:b w:val="1"/>
                <w:bCs w:val="1"/>
                <w:color w:val="auto"/>
                <w:w w:val="91"/>
              </w:rPr>
              <w:t>E.Sun Commercial</w:t>
            </w:r>
          </w:p>
        </w:tc>
        <w:tc>
          <w:tcPr>
            <w:tcW w:w="2420" w:type="dxa"/>
            <w:vAlign w:val="bottom"/>
          </w:tcPr>
          <w:p>
            <w:pPr>
              <w:jc w:val="center"/>
              <w:ind w:right="456"/>
              <w:spacing w:after="0"/>
              <w:rPr>
                <w:sz w:val="20"/>
                <w:szCs w:val="20"/>
                <w:color w:val="auto"/>
              </w:rPr>
            </w:pPr>
            <w:r>
              <w:rPr>
                <w:rFonts w:ascii="Arial" w:cs="Arial" w:eastAsia="Arial" w:hAnsi="Arial"/>
                <w:sz w:val="18"/>
                <w:szCs w:val="18"/>
                <w:b w:val="1"/>
                <w:bCs w:val="1"/>
                <w:color w:val="auto"/>
                <w:w w:val="92"/>
              </w:rPr>
              <w:t>MasterLink Securities</w:t>
            </w:r>
          </w:p>
        </w:tc>
        <w:tc>
          <w:tcPr>
            <w:tcW w:w="364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SinoPac Securities</w:t>
            </w:r>
          </w:p>
        </w:tc>
      </w:tr>
      <w:tr>
        <w:trPr>
          <w:trHeight w:val="234"/>
        </w:trPr>
        <w:tc>
          <w:tcPr>
            <w:tcW w:w="4900" w:type="dxa"/>
            <w:vAlign w:val="bottom"/>
            <w:gridSpan w:val="2"/>
          </w:tcPr>
          <w:p>
            <w:pPr>
              <w:jc w:val="center"/>
              <w:ind w:right="928"/>
              <w:spacing w:after="0"/>
              <w:rPr>
                <w:sz w:val="20"/>
                <w:szCs w:val="20"/>
                <w:color w:val="auto"/>
              </w:rPr>
            </w:pPr>
            <w:r>
              <w:rPr>
                <w:rFonts w:ascii="Arial" w:cs="Arial" w:eastAsia="Arial" w:hAnsi="Arial"/>
                <w:sz w:val="18"/>
                <w:szCs w:val="18"/>
                <w:b w:val="1"/>
                <w:bCs w:val="1"/>
                <w:color w:val="auto"/>
                <w:w w:val="94"/>
              </w:rPr>
              <w:t>Bank, Ltd.</w:t>
            </w:r>
          </w:p>
        </w:tc>
        <w:tc>
          <w:tcPr>
            <w:tcW w:w="2420" w:type="dxa"/>
            <w:vAlign w:val="bottom"/>
          </w:tcPr>
          <w:p>
            <w:pPr>
              <w:jc w:val="center"/>
              <w:ind w:right="456"/>
              <w:spacing w:after="0"/>
              <w:rPr>
                <w:sz w:val="20"/>
                <w:szCs w:val="20"/>
                <w:color w:val="auto"/>
              </w:rPr>
            </w:pPr>
            <w:r>
              <w:rPr>
                <w:rFonts w:ascii="Arial" w:cs="Arial" w:eastAsia="Arial" w:hAnsi="Arial"/>
                <w:sz w:val="18"/>
                <w:szCs w:val="18"/>
                <w:b w:val="1"/>
                <w:bCs w:val="1"/>
                <w:color w:val="auto"/>
                <w:w w:val="93"/>
              </w:rPr>
              <w:t>Corporation</w:t>
            </w:r>
          </w:p>
        </w:tc>
        <w:tc>
          <w:tcPr>
            <w:tcW w:w="3640" w:type="dxa"/>
            <w:vAlign w:val="bottom"/>
          </w:tcPr>
          <w:p>
            <w:pPr>
              <w:jc w:val="center"/>
              <w:ind w:left="830"/>
              <w:spacing w:after="0"/>
              <w:rPr>
                <w:sz w:val="20"/>
                <w:szCs w:val="20"/>
                <w:color w:val="auto"/>
              </w:rPr>
            </w:pPr>
            <w:r>
              <w:rPr>
                <w:rFonts w:ascii="Arial" w:cs="Arial" w:eastAsia="Arial" w:hAnsi="Arial"/>
                <w:sz w:val="18"/>
                <w:szCs w:val="18"/>
                <w:b w:val="1"/>
                <w:bCs w:val="1"/>
                <w:color w:val="auto"/>
                <w:w w:val="93"/>
              </w:rPr>
              <w:t>Corporation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214630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04" w:lineRule="exact"/>
        <w:rPr>
          <w:sz w:val="24"/>
          <w:szCs w:val="24"/>
          <w:color w:val="auto"/>
        </w:rPr>
      </w:pPr>
    </w:p>
    <w:p>
      <w:pPr>
        <w:jc w:val="center"/>
        <w:spacing w:after="0"/>
        <w:tabs>
          <w:tab w:leader="none" w:pos="140" w:val="left"/>
        </w:tabs>
        <w:rPr>
          <w:sz w:val="20"/>
          <w:szCs w:val="20"/>
          <w:color w:val="auto"/>
        </w:rPr>
      </w:pPr>
      <w:r>
        <w:rPr>
          <w:rFonts w:ascii="Arial" w:cs="Arial" w:eastAsia="Arial" w:hAnsi="Arial"/>
          <w:sz w:val="14"/>
          <w:szCs w:val="14"/>
          <w:b w:val="1"/>
          <w:bCs w:val="1"/>
          <w:color w:val="auto"/>
        </w:rPr>
        <w:t>The date of this prospectus supplement is November</w:t>
      </w:r>
      <w:r>
        <w:rPr>
          <w:sz w:val="20"/>
          <w:szCs w:val="20"/>
          <w:color w:val="auto"/>
        </w:rPr>
        <w:tab/>
      </w:r>
      <w:r>
        <w:rPr>
          <w:rFonts w:ascii="Arial" w:cs="Arial" w:eastAsia="Arial" w:hAnsi="Arial"/>
          <w:sz w:val="13"/>
          <w:szCs w:val="13"/>
          <w:b w:val="1"/>
          <w:bCs w:val="1"/>
          <w:color w:val="auto"/>
        </w:rPr>
        <w:t>,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w w:val="8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1"/>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Where You Can Find More Information</w:t>
              </w:r>
            </w:hyperlink>
          </w:p>
        </w:tc>
        <w:tc>
          <w:tcPr>
            <w:tcW w:w="8040" w:type="dxa"/>
            <w:vAlign w:val="bottom"/>
            <w:gridSpan w:val="5"/>
            <w:vMerge w:val="restart"/>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1"/>
            <w:vMerge w:val="continue"/>
          </w:tcPr>
          <w:p>
            <w:pPr>
              <w:spacing w:after="0"/>
              <w:rPr>
                <w:sz w:val="13"/>
                <w:szCs w:val="13"/>
                <w:color w:val="auto"/>
              </w:rPr>
            </w:pPr>
          </w:p>
        </w:tc>
        <w:tc>
          <w:tcPr>
            <w:tcW w:w="8040" w:type="dxa"/>
            <w:vAlign w:val="bottom"/>
            <w:gridSpan w:val="5"/>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Information Incorporated by Reference</w:t>
              </w:r>
            </w:hyperlink>
          </w:p>
        </w:tc>
        <w:tc>
          <w:tcPr>
            <w:tcW w:w="8080" w:type="dxa"/>
            <w:vAlign w:val="bottom"/>
            <w:gridSpan w:val="6"/>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4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100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Use of Proceeds</w:t>
              </w:r>
            </w:hyperlink>
          </w:p>
        </w:tc>
        <w:tc>
          <w:tcPr>
            <w:tcW w:w="97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Ratios of Earnings to Fixed Charges and of Earnings to Combined Fixed Charges and Preferred</w:t>
              </w:r>
            </w:hyperlink>
          </w:p>
        </w:tc>
        <w:tc>
          <w:tcPr>
            <w:tcW w:w="40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40" w:type="dxa"/>
            <w:vAlign w:val="bottom"/>
            <w:gridSpan w:val="1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Dividends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Notes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Material U.S. Federal Income Tax Consequences for Non-U.S. Holders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7"/>
          </w:tcPr>
          <w:p>
            <w:pPr>
              <w:spacing w:after="0"/>
              <w:rPr>
                <w:sz w:val="17"/>
                <w:szCs w:val="17"/>
                <w:color w:val="auto"/>
              </w:rPr>
            </w:pPr>
          </w:p>
        </w:tc>
        <w:tc>
          <w:tcPr>
            <w:tcW w:w="57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Selling</w:t>
              </w:r>
            </w:hyperlink>
          </w:p>
        </w:tc>
        <w:tc>
          <w:tcPr>
            <w:tcW w:w="104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Legal Matters</w:t>
              </w:r>
            </w:hyperlink>
          </w:p>
        </w:tc>
        <w:tc>
          <w:tcPr>
            <w:tcW w:w="99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gridSpan w:val="3"/>
          </w:tcPr>
          <w:p>
            <w:pPr>
              <w:jc w:val="center"/>
              <w:ind w:right="46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920" w:type="dxa"/>
            <w:vAlign w:val="bottom"/>
            <w:gridSpan w:val="16"/>
          </w:tcPr>
          <w:p>
            <w:pPr>
              <w:spacing w:after="0"/>
              <w:rPr>
                <w:sz w:val="20"/>
                <w:szCs w:val="20"/>
                <w:color w:val="auto"/>
              </w:rPr>
            </w:pPr>
            <w:r>
              <w:rPr>
                <w:rFonts w:ascii="Arial" w:cs="Arial" w:eastAsia="Arial" w:hAnsi="Arial"/>
                <w:sz w:val="18"/>
                <w:szCs w:val="18"/>
                <w:color w:val="auto"/>
              </w:rPr>
              <w:t>The Companies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Caution Concerning Forward-Looking Statements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Use of Proceeds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Dividend Policy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Ratios of Earnings to Fixed Charges and of Earnings to Combined Fixed Charges and Preferred Dividends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Description of Debt Securities and Guarantees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Global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Description of Capital Stock</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Plan of Distribution</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Legal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Experts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Available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20" w:type="dxa"/>
            <w:vAlign w:val="bottom"/>
            <w:gridSpan w:val="16"/>
          </w:tcPr>
          <w:p>
            <w:pPr>
              <w:spacing w:after="0"/>
              <w:rPr>
                <w:sz w:val="20"/>
                <w:szCs w:val="20"/>
                <w:color w:val="auto"/>
              </w:rPr>
            </w:pPr>
            <w:r>
              <w:rPr>
                <w:rFonts w:ascii="Arial" w:cs="Arial" w:eastAsia="Arial" w:hAnsi="Arial"/>
                <w:sz w:val="18"/>
                <w:szCs w:val="18"/>
                <w:color w:val="auto"/>
              </w:rPr>
              <w:t>Incorporation of Certain Documents by Reference</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not, and the managers have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managers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managers are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1-888-SEC-0330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2014, filed on February 27, 2015.</w:t>
      </w:r>
    </w:p>
    <w:p>
      <w:pPr>
        <w:spacing w:after="0" w:line="142" w:lineRule="exact"/>
        <w:rPr>
          <w:rFonts w:ascii="Arial" w:cs="Arial" w:eastAsia="Arial" w:hAnsi="Arial"/>
          <w:sz w:val="17"/>
          <w:szCs w:val="17"/>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2015 annual meeting of shareholders incorporated by reference in Comcast’s Annual Report on Form 10-K for the year ended December 31, 2014.</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53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75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jc w:val="both"/>
        <w:ind w:left="1060" w:right="240" w:hanging="431"/>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businesses and sell advertising.</w:t>
      </w:r>
    </w:p>
    <w:p>
      <w:pPr>
        <w:spacing w:after="0" w:line="81" w:lineRule="exact"/>
        <w:rPr>
          <w:rFonts w:ascii="Arial" w:cs="Arial" w:eastAsia="Arial" w:hAnsi="Arial"/>
          <w:sz w:val="18"/>
          <w:szCs w:val="18"/>
          <w:color w:val="auto"/>
        </w:rPr>
      </w:pPr>
    </w:p>
    <w:p>
      <w:pPr>
        <w:ind w:left="1060" w:right="2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67" w:lineRule="exact"/>
        <w:rPr>
          <w:rFonts w:ascii="Arial" w:cs="Arial" w:eastAsia="Arial" w:hAnsi="Arial"/>
          <w:sz w:val="18"/>
          <w:szCs w:val="18"/>
          <w:color w:val="auto"/>
        </w:rPr>
      </w:pPr>
    </w:p>
    <w:p>
      <w:pPr>
        <w:ind w:left="1060" w:right="160" w:hanging="431"/>
        <w:spacing w:after="0" w:line="31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Broadcast Television: </w:t>
      </w:r>
      <w:r>
        <w:rPr>
          <w:rFonts w:ascii="Arial" w:cs="Arial" w:eastAsia="Arial" w:hAnsi="Arial"/>
          <w:sz w:val="17"/>
          <w:szCs w:val="17"/>
          <w:color w:val="auto"/>
        </w:rPr>
        <w:t>Consists primarily of the NBC and Telemundo broadcast networks, our NBC and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the NBC Universo national cable network, and our broadcast television production operations.</w:t>
      </w:r>
    </w:p>
    <w:p>
      <w:pPr>
        <w:spacing w:after="0" w:line="43" w:lineRule="exact"/>
        <w:rPr>
          <w:rFonts w:ascii="Arial" w:cs="Arial" w:eastAsia="Arial" w:hAnsi="Arial"/>
          <w:sz w:val="17"/>
          <w:szCs w:val="17"/>
          <w:color w:val="auto"/>
        </w:rPr>
      </w:pPr>
    </w:p>
    <w:p>
      <w:pPr>
        <w:ind w:left="1060" w:right="8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22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During the nine months ended September 30, 2015, our Cable Communications segment generated 63% of our consolidated revenue and 77% of our operating income before depreciation and amortization.</w:t>
      </w:r>
    </w:p>
    <w:p>
      <w:pPr>
        <w:spacing w:after="0" w:line="170"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200" w:hanging="3"/>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 Effective October 1, 2015, three former guarantors, Comcast Cable Holdings, LLC, Comcast MO of Delaware, LLC and Comcast MO Group, LLC, merged with and into Comcast Cable Communications.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right="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39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939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NY 10112-0015.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240" w:top="459" w:right="6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078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70789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380" w:type="dxa"/>
            <w:vAlign w:val="bottom"/>
          </w:tcPr>
          <w:p>
            <w:pPr>
              <w:ind w:left="3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Issuer</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Comcast Corporation.</w:t>
            </w: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Securities Offered</w:t>
            </w:r>
          </w:p>
        </w:tc>
        <w:tc>
          <w:tcPr>
            <w:tcW w:w="1520" w:type="dxa"/>
            <w:vAlign w:val="bottom"/>
          </w:tcPr>
          <w:p>
            <w:pPr>
              <w:ind w:left="1060"/>
              <w:spacing w:after="0"/>
              <w:rPr>
                <w:sz w:val="20"/>
                <w:szCs w:val="20"/>
                <w:color w:val="auto"/>
              </w:rPr>
            </w:pPr>
            <w:r>
              <w:rPr>
                <w:rFonts w:ascii="Arial" w:cs="Arial" w:eastAsia="Arial" w:hAnsi="Arial"/>
                <w:sz w:val="18"/>
                <w:szCs w:val="18"/>
                <w:color w:val="auto"/>
              </w:rPr>
              <w:t>$</w:t>
            </w:r>
          </w:p>
        </w:tc>
        <w:tc>
          <w:tcPr>
            <w:tcW w:w="6380" w:type="dxa"/>
            <w:vAlign w:val="bottom"/>
          </w:tcPr>
          <w:p>
            <w:pPr>
              <w:ind w:left="40"/>
              <w:spacing w:after="0"/>
              <w:rPr>
                <w:sz w:val="20"/>
                <w:szCs w:val="20"/>
                <w:color w:val="auto"/>
              </w:rPr>
            </w:pPr>
            <w:r>
              <w:rPr>
                <w:rFonts w:ascii="Arial" w:cs="Arial" w:eastAsia="Arial" w:hAnsi="Arial"/>
                <w:sz w:val="18"/>
                <w:szCs w:val="18"/>
                <w:color w:val="auto"/>
              </w:rPr>
              <w:t>aggregate principal amount of   % Notes due 2046.</w:t>
            </w: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Maturity</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February 1, 2046.</w:t>
            </w:r>
          </w:p>
        </w:tc>
      </w:tr>
      <w:tr>
        <w:trPr>
          <w:trHeight w:val="458"/>
        </w:trPr>
        <w:tc>
          <w:tcPr>
            <w:tcW w:w="3140" w:type="dxa"/>
            <w:vAlign w:val="bottom"/>
          </w:tcPr>
          <w:p>
            <w:pPr>
              <w:spacing w:after="0"/>
              <w:rPr>
                <w:sz w:val="20"/>
                <w:szCs w:val="20"/>
                <w:color w:val="auto"/>
              </w:rPr>
            </w:pPr>
            <w:r>
              <w:rPr>
                <w:rFonts w:ascii="Arial" w:cs="Arial" w:eastAsia="Arial" w:hAnsi="Arial"/>
                <w:sz w:val="18"/>
                <w:szCs w:val="18"/>
                <w:color w:val="auto"/>
              </w:rPr>
              <w:t>Interest</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6"/>
              </w:rPr>
              <w:t>The notes will bear interest from December   , 2015 at the rate of   % per annum, payable</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3"/>
              </w:rPr>
              <w:t>semiannually in cash in arrears on February 1 and August 1, beginning on February 1, 2016</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(short first coupon).</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Ranking</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unsecured and unsubordinated indebtedness.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Currency of Payments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7"/>
              </w:rPr>
              <w:t>The notes will be denominated in U.S. dollars and we will pay principal, interest and any</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premium in U.S. dollars.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Additional Amounts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3"/>
              </w:rPr>
              <w:t>Subject to certain exceptions and limitations set forth herein, we will pay additional amounts</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88"/>
              </w:rPr>
              <w:t>as may be necessary to ensure that every net payment on a note to a holder who is not a United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4"/>
              </w:rPr>
              <w:t>States person, after deduction or withholding by us or our paying agent for or on account of</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88"/>
              </w:rPr>
              <w:t>any present or future tax, assessment or other governmental charge imposed upon or as a result</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5"/>
              </w:rPr>
              <w:t>of such payment by the United States or any political subdivision or taxing authority of the</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7"/>
              </w:rPr>
              <w:t>United States, will not be less than the amount provided in such note to be then due and</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payable. See “Description of Notes—Payment of Additional Amounts.”</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Guarantors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Comcast Cable Communications and NBCUniversal.</w:t>
            </w:r>
          </w:p>
        </w:tc>
      </w:tr>
      <w:tr>
        <w:trPr>
          <w:trHeight w:val="458"/>
        </w:trPr>
        <w:tc>
          <w:tcPr>
            <w:tcW w:w="3140" w:type="dxa"/>
            <w:vAlign w:val="bottom"/>
          </w:tcPr>
          <w:p>
            <w:pPr>
              <w:spacing w:after="0"/>
              <w:rPr>
                <w:sz w:val="20"/>
                <w:szCs w:val="20"/>
                <w:color w:val="auto"/>
              </w:rPr>
            </w:pPr>
            <w:r>
              <w:rPr>
                <w:rFonts w:ascii="Arial" w:cs="Arial" w:eastAsia="Arial" w:hAnsi="Arial"/>
                <w:sz w:val="18"/>
                <w:szCs w:val="18"/>
                <w:color w:val="auto"/>
              </w:rPr>
              <w:t>Guarantees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principal, premium, if any, and interest. The guarantees will rank equally with all other general</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Optional Redemption</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3"/>
              </w:rPr>
              <w:t>We may, at our option, redeem the notes, in whole but not in part, on each February 1 on or</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2"/>
              </w:rPr>
              <w:t>after February 1, 2018. Any redemption described in this paragraph must be on not less than</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7"/>
              </w:rPr>
              <w:t>30 nor more than 60 days’ notice and will be at a redemption price equal to 100% of the</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5"/>
              </w:rPr>
              <w:t>principal amount of the notes being redeemed plus accrued and unpaid interest to, but not</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including, the redemption date.</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Redemption for Tax Reasons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2"/>
              </w:rPr>
              <w:t>We may redeem the notes, in whole but not in part, in the event of certain changes in the tax</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laws of the United States (or any taxing authority in the United States). This redemption would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0"/>
              </w:rPr>
              <w:t>be at 100% of the principal amount of the notes to be redeemed (plus any accrued interest and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0"/>
              </w:rPr>
              <w:t>additional amounts then payable with respect to the notes to, but not including, the redemption</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date). See “Description of Notes—Redemption for Tax Reasons.”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Use of Proceeds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3"/>
              </w:rPr>
              <w:t>We intend to use the net proceeds from the offering, after deducting the selling discount and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structuring fee, for working capital and general corporate purposes and repayment of a portion</w:t>
            </w:r>
          </w:p>
        </w:tc>
      </w:tr>
      <w:tr>
        <w:trPr>
          <w:trHeight w:val="230"/>
        </w:trPr>
        <w:tc>
          <w:tcPr>
            <w:tcW w:w="3140" w:type="dxa"/>
            <w:vAlign w:val="bottom"/>
          </w:tcPr>
          <w:p>
            <w:pPr>
              <w:spacing w:after="0"/>
              <w:rPr>
                <w:sz w:val="20"/>
                <w:szCs w:val="20"/>
                <w:color w:val="auto"/>
              </w:rPr>
            </w:pPr>
          </w:p>
        </w:tc>
        <w:tc>
          <w:tcPr>
            <w:tcW w:w="1520" w:type="dxa"/>
            <w:vAlign w:val="bottom"/>
          </w:tcPr>
          <w:p>
            <w:pPr>
              <w:ind w:left="1060"/>
              <w:spacing w:after="0"/>
              <w:rPr>
                <w:sz w:val="20"/>
                <w:szCs w:val="20"/>
                <w:color w:val="auto"/>
              </w:rPr>
            </w:pPr>
            <w:r>
              <w:rPr>
                <w:rFonts w:ascii="Arial" w:cs="Arial" w:eastAsia="Arial" w:hAnsi="Arial"/>
                <w:sz w:val="18"/>
                <w:szCs w:val="18"/>
                <w:color w:val="auto"/>
                <w:w w:val="95"/>
              </w:rPr>
              <w:t>of our</w:t>
            </w:r>
          </w:p>
        </w:tc>
        <w:tc>
          <w:tcPr>
            <w:tcW w:w="63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400" w:right="580"/>
        <w:spacing w:after="0" w:line="264" w:lineRule="auto"/>
        <w:rPr>
          <w:sz w:val="20"/>
          <w:szCs w:val="20"/>
          <w:color w:val="auto"/>
        </w:rPr>
      </w:pPr>
      <w:r>
        <w:rPr>
          <w:rFonts w:ascii="Arial" w:cs="Arial" w:eastAsia="Arial" w:hAnsi="Arial"/>
          <w:sz w:val="18"/>
          <w:szCs w:val="18"/>
          <w:color w:val="auto"/>
        </w:rPr>
        <w:t>outstanding commercial paper. As of November 20, 2015, our commercial paper had a weighted average annual interest rate of approximately 0.44% and a weighted average remaining maturity of approximately 24 days.</w:t>
      </w:r>
    </w:p>
    <w:p>
      <w:pPr>
        <w:sectPr>
          <w:pgSz w:w="11900" w:h="16838" w:orient="portrait"/>
          <w:cols w:equalWidth="0" w:num="1">
            <w:col w:w="11220"/>
          </w:cols>
          <w:pgMar w:left="240" w:top="459" w:right="439" w:bottom="1440" w:gutter="0" w:footer="0" w:header="0"/>
        </w:sect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 Book-Entry System” in this prospectus supplement.</w:t>
      </w:r>
    </w:p>
    <w:p>
      <w:pPr>
        <w:spacing w:after="0" w:line="194"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Application will be made for the notes to be admitted to listing on the Taipei Exchange. No assurance can be given that such application will be approved, or that the TPEx listing will be maintained.</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93" w:lineRule="auto"/>
        <w:rPr>
          <w:sz w:val="20"/>
          <w:szCs w:val="20"/>
          <w:color w:val="auto"/>
        </w:rPr>
      </w:pPr>
      <w:r>
        <w:rPr>
          <w:rFonts w:ascii="Arial" w:cs="Arial" w:eastAsia="Arial" w:hAnsi="Arial"/>
          <w:sz w:val="16"/>
          <w:szCs w:val="16"/>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S-5 of this prospectus supplement and described under “Risk Factors” in our Annual Report on Form 10-K for the year ended December 31, 2014, as well as the other information contained or incorporated herein by reference, before investing in any of the notes offered hereby.</w:t>
      </w:r>
    </w:p>
    <w:p>
      <w:pPr>
        <w:spacing w:after="0" w:line="19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2014,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February 1 on or after February 1, 2018. We may also redeem the notes, in whole but not in part, prior to maturity if certain events occur involving U.S. taxation.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intend to use the net proceeds from the offering, after deducting the selling discount and structuring fee, for working capital and general corporate purposes and repayment of a portion of our outstanding commercial paper. As of November 20, 2015, our commercial paper had a weighted average annual interest rate of approximately 0.44% and a weighted average remaining maturity of approximately 24 days.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For the Nine Months</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Ended September 30,</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00" w:type="dxa"/>
            <w:vAlign w:val="bottom"/>
            <w:gridSpan w:val="3"/>
          </w:tcPr>
          <w:p>
            <w:pPr>
              <w:ind w:left="420"/>
              <w:spacing w:after="0"/>
              <w:rPr>
                <w:sz w:val="20"/>
                <w:szCs w:val="20"/>
                <w:color w:val="auto"/>
              </w:rPr>
            </w:pPr>
            <w:r>
              <w:rPr>
                <w:rFonts w:ascii="Arial" w:cs="Arial" w:eastAsia="Arial" w:hAnsi="Arial"/>
                <w:sz w:val="14"/>
                <w:szCs w:val="14"/>
                <w:b w:val="1"/>
                <w:bCs w:val="1"/>
                <w:color w:val="auto"/>
                <w:w w:val="97"/>
              </w:rPr>
              <w:t>For the Years Ended December 31,</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130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Pr>
          <w:p>
            <w:pPr>
              <w:spacing w:after="0"/>
              <w:rPr>
                <w:sz w:val="12"/>
                <w:szCs w:val="12"/>
                <w:color w:val="auto"/>
              </w:rPr>
            </w:pPr>
          </w:p>
        </w:tc>
        <w:tc>
          <w:tcPr>
            <w:tcW w:w="118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194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2010</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5.51x</w:t>
            </w:r>
          </w:p>
        </w:tc>
        <w:tc>
          <w:tcPr>
            <w:tcW w:w="10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5.22x</w:t>
            </w:r>
          </w:p>
        </w:tc>
        <w:tc>
          <w:tcPr>
            <w:tcW w:w="7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4.85x</w:t>
            </w:r>
          </w:p>
        </w:tc>
        <w:tc>
          <w:tcPr>
            <w:tcW w:w="7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3.57x</w:t>
            </w:r>
          </w:p>
        </w:tc>
      </w:tr>
    </w:tbl>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9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93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9340" w:type="dxa"/>
            <w:vAlign w:val="bottom"/>
          </w:tcPr>
          <w:p>
            <w:pPr>
              <w:ind w:left="2700"/>
              <w:spacing w:after="0"/>
              <w:rPr>
                <w:sz w:val="20"/>
                <w:szCs w:val="20"/>
                <w:color w:val="auto"/>
              </w:rPr>
            </w:pPr>
            <w:r>
              <w:rPr>
                <w:rFonts w:ascii="Arial" w:cs="Arial" w:eastAsia="Arial" w:hAnsi="Arial"/>
                <w:sz w:val="18"/>
                <w:szCs w:val="18"/>
                <w:b w:val="1"/>
                <w:bCs w:val="1"/>
                <w:color w:val="auto"/>
              </w:rPr>
              <w:t>DESCRIPTION OF NOTES</w:t>
            </w:r>
          </w:p>
        </w:tc>
      </w:tr>
      <w:tr>
        <w:trPr>
          <w:trHeight w:val="432"/>
        </w:trPr>
        <w:tc>
          <w:tcPr>
            <w:tcW w:w="1920" w:type="dxa"/>
            <w:vAlign w:val="bottom"/>
            <w:gridSpan w:val="2"/>
          </w:tcPr>
          <w:p>
            <w:pPr>
              <w:ind w:left="460"/>
              <w:spacing w:after="0"/>
              <w:rPr>
                <w:sz w:val="20"/>
                <w:szCs w:val="20"/>
                <w:color w:val="auto"/>
              </w:rPr>
            </w:pPr>
            <w:r>
              <w:rPr>
                <w:rFonts w:ascii="Arial" w:cs="Arial" w:eastAsia="Arial" w:hAnsi="Arial"/>
                <w:sz w:val="18"/>
                <w:szCs w:val="18"/>
                <w:color w:val="auto"/>
              </w:rPr>
              <w:t>We are offering $</w:t>
            </w:r>
          </w:p>
        </w:tc>
        <w:tc>
          <w:tcPr>
            <w:tcW w:w="9340" w:type="dxa"/>
            <w:vAlign w:val="bottom"/>
          </w:tcPr>
          <w:p>
            <w:pPr>
              <w:ind w:left="200"/>
              <w:spacing w:after="0"/>
              <w:rPr>
                <w:sz w:val="20"/>
                <w:szCs w:val="20"/>
                <w:color w:val="auto"/>
              </w:rPr>
            </w:pPr>
            <w:r>
              <w:rPr>
                <w:rFonts w:ascii="Arial" w:cs="Arial" w:eastAsia="Arial" w:hAnsi="Arial"/>
                <w:sz w:val="18"/>
                <w:szCs w:val="18"/>
                <w:color w:val="auto"/>
                <w:w w:val="90"/>
              </w:rPr>
              <w:t>aggregate principal amount of our   % Notes due 2046. The notes will be issued under a senior indenture dated September 18,</w:t>
            </w:r>
          </w:p>
        </w:tc>
      </w:tr>
    </w:tbl>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entered into among us, the guarantors and The Bank of New York Mellon, as trustee.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9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tabs>
          <w:tab w:leader="none" w:pos="3240" w:val="left"/>
          <w:tab w:leader="none" w:pos="5620" w:val="left"/>
        </w:tabs>
        <w:rPr>
          <w:sz w:val="20"/>
          <w:szCs w:val="20"/>
          <w:color w:val="auto"/>
        </w:rPr>
      </w:pPr>
      <w:r>
        <w:rPr>
          <w:rFonts w:ascii="Arial" w:cs="Arial" w:eastAsia="Arial" w:hAnsi="Arial"/>
          <w:sz w:val="18"/>
          <w:szCs w:val="18"/>
          <w:color w:val="auto"/>
        </w:rPr>
        <w:t>We will initially issue a total of $</w:t>
      </w:r>
      <w:r>
        <w:rPr>
          <w:sz w:val="20"/>
          <w:szCs w:val="20"/>
          <w:color w:val="auto"/>
        </w:rPr>
        <w:tab/>
      </w:r>
      <w:r>
        <w:rPr>
          <w:rFonts w:ascii="Arial" w:cs="Arial" w:eastAsia="Arial" w:hAnsi="Arial"/>
          <w:sz w:val="18"/>
          <w:szCs w:val="18"/>
          <w:color w:val="auto"/>
        </w:rPr>
        <w:t>aggregate principal amount of</w:t>
      </w:r>
      <w:r>
        <w:rPr>
          <w:sz w:val="20"/>
          <w:szCs w:val="20"/>
          <w:color w:val="auto"/>
        </w:rPr>
        <w:tab/>
      </w:r>
      <w:r>
        <w:rPr>
          <w:rFonts w:ascii="Arial" w:cs="Arial" w:eastAsia="Arial" w:hAnsi="Arial"/>
          <w:sz w:val="16"/>
          <w:szCs w:val="16"/>
          <w:color w:val="auto"/>
        </w:rPr>
        <w:t>% Senior Notes that will mature on February 1, 2046 (the “notes”), unless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earlier redeemed. We may issue additional notes as described under “—Further Issuances.”</w:t>
      </w:r>
    </w:p>
    <w:p>
      <w:pPr>
        <w:spacing w:after="0" w:line="21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may redeem the notes, in whole but not in part, on each February 1 on or after February 1, 2018 as described under “—Optional Redemption” below.</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occur involving U.S. taxation.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Interest on the notes will accrue from December , 2015 at the rate of % per annum, payable semi-annually in arrears on February 1 and August 1 of each year, beginning on February 1, 2016 (short first coupon). Interest on the notes will be paid to the person in whose name that note is registered at the close of business on January 15 or July 15,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46"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 Clearance and Settlement Procedures”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the option to redeem the notes then outstanding, in whole but not in part, on each February 1 on or after February 1, 2018.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occur involving U.S. taxation.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for U.S. federal income tax purposes, such additional notes will have one or more separate ISIN numbers. Such additional notes may be consolidated and form a single series with, and will have the same terms as to ranking, redemption, waivers, amendments or otherwise, as the notes, and will vote together as one class on all matters with respect to such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4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 (the “EC Directive”);</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extent permitted by law, we will maintain a paying agent in a jurisdiction that will not require withholding or deduction of Tax pursuant to the EC Directive.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managers.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managers. Indirect access to Euroclear is also available to other firms that clear through or maintain a custodial relationship with a Euroclear Participant, either directly or indirectly.</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U.S.-source interest and, if made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generally will not pay additional amounts with respect to any withholding taxes imposed under FATCA.</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for seven years from 1 January 2010 to 31 December 2016. Therefore, the sale of the notes will be exempt from STT if the sale is conducted on or before 31 December 2016. Starting from 1 January 2017,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annual income tax calculated pursuant to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Comcast Corporation and the managers for the offering named below have entered into a subscription agreement with respect to the notes. Subject to certain conditions, each manager has severally agreed to purchase the principal amount of notes indicated in the following table.</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6620" w:type="dxa"/>
            <w:vAlign w:val="bottom"/>
            <w:gridSpan w:val="2"/>
            <w:vMerge w:val="continue"/>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 of notes</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E.Sun</w:t>
            </w: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Bank, Ltd.</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MasterLink Securities Corporation</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SinoPac Securities Corporation</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The managers are committed to take and pay for all of the notes being offered, if any are taken. To the extent permitted by applicable laws and regulations, the managers may make offers and sales in the United States through one or more U.S. registered broker-dealers. See “—Other Relationships.”</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Notes sold by the managers to the public will initially be offered at the initial public offering price set forth on the cover of this prospectus supplement. If all the notes are not sold at the initial public offering price, the managers may change the offering prices and the other selling terms. The offering of the notes by the managers is subject to receipt and acceptance and subject to the managers’ right to reject any order in whole or in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selling discount that we will pay to the managers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3960" w:type="dxa"/>
            <w:vAlign w:val="bottom"/>
            <w:gridSpan w:val="3"/>
          </w:tcPr>
          <w:p>
            <w:pPr>
              <w:ind w:left="306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0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3800" w:type="dxa"/>
            <w:vAlign w:val="bottom"/>
          </w:tcPr>
          <w:p>
            <w:pPr>
              <w:ind w:left="360"/>
              <w:spacing w:after="0"/>
              <w:rPr>
                <w:sz w:val="20"/>
                <w:szCs w:val="20"/>
                <w:color w:val="auto"/>
              </w:rPr>
            </w:pPr>
            <w:r>
              <w:rPr>
                <w:rFonts w:ascii="Arial" w:cs="Arial" w:eastAsia="Arial" w:hAnsi="Arial"/>
                <w:sz w:val="18"/>
                <w:szCs w:val="18"/>
                <w:color w:val="auto"/>
              </w:rPr>
              <w:t>Total</w:t>
            </w:r>
          </w:p>
        </w:tc>
        <w:tc>
          <w:tcPr>
            <w:tcW w:w="376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pay an aggregate fee of $ (the “structuring fee”) to the structuring agents in connection with structuring services that they provided in connection with the notes. The structuring agents are not entities licensed in the ROC, have not offered or sold, and will not offer, subscribe for or sell or underwrite, any of the notes offered hereby. We will pay Morgan Stanley &amp; Co. LLC the full amount of the structuring fee, and Morgan Stanley &amp; Co. LLC will, on our behalf, remit to each structuring agent its portion of the structuring fee.</w:t>
      </w:r>
    </w:p>
    <w:p>
      <w:pPr>
        <w:sectPr>
          <w:pgSz w:w="11900" w:h="16838" w:orient="portrait"/>
          <w:cols w:equalWidth="0" w:num="1">
            <w:col w:w="11380"/>
          </w:cols>
          <w:pgMar w:left="240" w:top="459" w:right="279" w:bottom="1440" w:gutter="0" w:footer="0" w:header="0"/>
        </w:sectPr>
      </w:pPr>
    </w:p>
    <w:p>
      <w:pPr>
        <w:spacing w:after="0" w:line="18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estimate that our expenses in connection with this offering, other than the selling discount and the structuring fee, will be approximately $ Morgan Securities LLC and Morgan Stanley &amp; Co. LLC have agreed to reimburse us for $ of our expenses associated with the offering.</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 J.P.</w:t>
      </w:r>
    </w:p>
    <w:p>
      <w:pPr>
        <w:spacing w:after="0" w:line="487" w:lineRule="exact"/>
        <w:rPr>
          <w:sz w:val="20"/>
          <w:szCs w:val="20"/>
          <w:color w:val="auto"/>
        </w:rPr>
      </w:pPr>
    </w:p>
    <w:p>
      <w:pPr>
        <w:sectPr>
          <w:pgSz w:w="11900" w:h="16838" w:orient="portrait"/>
          <w:cols w:equalWidth="0" w:num="2">
            <w:col w:w="10680" w:space="360"/>
            <w:col w:w="340"/>
          </w:cols>
          <w:pgMar w:left="240" w:top="459" w:right="279" w:bottom="1440" w:gutter="0" w:footer="0" w:header="0"/>
          <w:type w:val="continuous"/>
        </w:sectPr>
      </w:pPr>
    </w:p>
    <w:p>
      <w:pPr>
        <w:ind w:right="60" w:firstLine="456"/>
        <w:spacing w:after="0" w:line="279" w:lineRule="auto"/>
        <w:rPr>
          <w:sz w:val="20"/>
          <w:szCs w:val="20"/>
          <w:color w:val="auto"/>
        </w:rPr>
      </w:pPr>
      <w:r>
        <w:rPr>
          <w:rFonts w:ascii="Arial" w:cs="Arial" w:eastAsia="Arial" w:hAnsi="Arial"/>
          <w:sz w:val="17"/>
          <w:szCs w:val="17"/>
          <w:color w:val="auto"/>
        </w:rPr>
        <w:t>We have also agreed to indemnify the several managers against certain liabilities, including liabilities under the Securities Act, or to contribute to payments which the managers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notes are a new issue of securities with no established trading market. Application will be made to the TPEx for the listing of, and permission to deal in, the notes by way of debt issues to “professional institutional investors” as defined under Item 1 of Proviso to Paragraph 1 of Article 4 of the Financial Consumer Protection Act of the ROC only and such permission is expected to become effective on or about December , 2015. We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cannot make any assurance that the TPEx listing will be maintained. The managers are not obligated to carry out market-making activities with respect to the notes. Accordingly, we cannot assure you as to the liquidity of, or the trading market for, the notes.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expect to deliver the notes against payment therefor on or about the date specified in the last paragraph of the cover page of this prospectus supplement, which will be the tenth business day following the date of the pricing of the notes. Under Rule 15c6-1 of the Exchange Act, trades in the secondary market are required to settle in three business days, unless the parties to a trade expressly agree otherwise. Accordingly, purchasers who wish to trade notes prior to the third business day preceding the settlement date will be required, by virtue of the fact that the notes initially will settle in T+10, to specify alternative settlement arrangements to prevent a failed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E.Sun Commercial Bank, Ltd., MasterLink Securities Corporation, and SinoPac Securities Corporation are not U.S. registered broker-dealers and, therefore, to the extent permitted by ROC laws and regulations and that they intend to effect any sales of the notes in the United States, they will do so through one or more U.S. registered broker-dealers as permitted by FINRA regulations.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managers,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managers,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managers,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managers, the structuring agents or their respective affiliates has a lending relationship with us, certain of those managers and structuring agents or their respective affiliates routinely hedge, and certain other of those managers or structuring agents or their respective affiliates may hedge, their credit exposure to us consistent with their customary risk management policies. Typically, these managers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managers,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manager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38"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5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no such offer of notes shall require us or any manager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manager has represented and agreed that:</w:t>
      </w:r>
    </w:p>
    <w:p>
      <w:pPr>
        <w:spacing w:after="0" w:line="117" w:lineRule="exact"/>
        <w:rPr>
          <w:sz w:val="20"/>
          <w:szCs w:val="20"/>
          <w:color w:val="auto"/>
        </w:rPr>
      </w:pPr>
    </w:p>
    <w:p>
      <w:pPr>
        <w:ind w:left="460" w:right="140" w:firstLine="4"/>
        <w:spacing w:after="0" w:line="31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20" w:firstLine="4"/>
        <w:spacing w:after="0" w:line="277"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Each manager has agreed that it has not, directly or indirectly, offered or sold and will not offer or sell any notes, directly or indirectly, in Japan or to, or for the benefit of, any resident of Japan (which term as used herein means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notes have not been, and shall not be, offered, sold or re-sold, directly or indirectly, to investors other than “professional institutional investors” as defined under Item 1 of Proviso to Paragraph 1 of Article 4 of the Financial Consumer Protection Act of the ROC, which currently include: overseas or domestic banks, securities firms, futures firms, insurance companies (excluding insurance agencies, insurance brokers and insurance notaries),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Lynn R. Charytan, Esquire, Senior Vice President, Legal Regulatory Affairs and Senior Deputy General Counsel of Comcast Corporation, and by Davis Polk &amp; Wardwell LLP, Menlo Park, California. Cahill Gordon &amp; Reindel LLP, New York, New York will issue a legal opinion on certain legal matters for the managers. Lee and Li, Attorneys-at-Law, is acting as special Taiwanese legal counsel to us and will issue an opinion on certain legal matters to the managers.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2"/>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983615</wp:posOffset>
            </wp:positionV>
            <wp:extent cx="1397635" cy="488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20" w:hanging="948"/>
        <w:spacing w:after="0"/>
        <w:tabs>
          <w:tab w:leader="none" w:pos="5220" w:val="left"/>
        </w:tabs>
        <w:numPr>
          <w:ilvl w:val="0"/>
          <w:numId w:val="48"/>
        </w:numPr>
        <w:rPr>
          <w:rFonts w:ascii="Arial" w:cs="Arial" w:eastAsia="Arial" w:hAnsi="Arial"/>
          <w:sz w:val="23"/>
          <w:szCs w:val="23"/>
          <w:b w:val="1"/>
          <w:bCs w:val="1"/>
          <w:color w:val="auto"/>
        </w:rPr>
      </w:pPr>
      <w:r>
        <w:rPr>
          <w:rFonts w:ascii="Arial" w:cs="Arial" w:eastAsia="Arial" w:hAnsi="Arial"/>
          <w:sz w:val="23"/>
          <w:szCs w:val="23"/>
          <w:b w:val="1"/>
          <w:bCs w:val="1"/>
          <w:color w:val="auto"/>
        </w:rPr>
        <w:t>%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1167130</wp:posOffset>
            </wp:positionV>
            <wp:extent cx="1517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220"/>
        <w:spacing w:after="0"/>
        <w:rPr>
          <w:sz w:val="20"/>
          <w:szCs w:val="20"/>
          <w:color w:val="auto"/>
        </w:rPr>
      </w:pPr>
      <w:r>
        <w:rPr>
          <w:rFonts w:ascii="Arial" w:cs="Arial" w:eastAsia="Arial" w:hAnsi="Arial"/>
          <w:sz w:val="22"/>
          <w:szCs w:val="22"/>
          <w:i w:val="1"/>
          <w:iCs w:val="1"/>
          <w:color w:val="auto"/>
        </w:rPr>
        <w:t>Joint Book-Running Managers</w:t>
      </w: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E.Sun Commercial</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Bank, Ltd.</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MasterLink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Corporation</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SinoPac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15"/>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Letter"/>
      <w:start w:val="23"/>
    </w:lvl>
  </w:abstractNum>
  <w:abstractNum w:abstractNumId="7">
    <w:nsid w:val="2CA88611"/>
    <w:multiLevelType w:val="hybridMultilevel"/>
    <w:lvl w:ilvl="0">
      <w:lvlJc w:val="left"/>
      <w:lvlText w:val="%1."/>
      <w:numFmt w:val="decimal"/>
      <w:start w:val="1"/>
    </w:lvl>
    <w:lvl w:ilvl="1">
      <w:lvlJc w:val="left"/>
      <w:lvlText w:val="%2."/>
      <w:numFmt w:val="lowerLetter"/>
      <w:start w:val="1"/>
    </w:lvl>
  </w:abstractNum>
  <w:abstractNum w:abstractNumId="8">
    <w:nsid w:val="836C40E"/>
    <w:multiLevelType w:val="hybridMultilevel"/>
    <w:lvl w:ilvl="0">
      <w:lvlJc w:val="left"/>
      <w:lvlText w:val="%1."/>
      <w:numFmt w:val="decimal"/>
      <w:start w:val="2"/>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lowerLetter"/>
      <w:start w:val="3"/>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3"/>
    </w:lvl>
  </w:abstractNum>
  <w:abstractNum w:abstractNumId="28">
    <w:nsid w:val="2463B9EA"/>
    <w:multiLevelType w:val="hybridMultilevel"/>
    <w:lvl w:ilvl="0">
      <w:lvlJc w:val="left"/>
      <w:lvlText w:val="%1"/>
      <w:numFmt w:val="lowerLetter"/>
      <w:start w:val="1"/>
    </w:lvl>
    <w:lvl w:ilvl="1">
      <w:lvlJc w:val="left"/>
      <w:lvlText w:val="(%2)"/>
      <w:numFmt w:val="lowerLetter"/>
      <w:start w:val="13"/>
    </w:lvl>
  </w:abstractNum>
  <w:abstractNum w:abstractNumId="29">
    <w:nsid w:val="5E884ADC"/>
    <w:multiLevelType w:val="hybridMultilevel"/>
    <w:lvl w:ilvl="0">
      <w:lvlJc w:val="left"/>
      <w:lvlText w:val="(%1)"/>
      <w:numFmt w:val="lowerLetter"/>
      <w:start w:val="61"/>
    </w:lvl>
    <w:lvl w:ilvl="1">
      <w:lvlJc w:val="left"/>
      <w:lvlText w:val="(%2)"/>
      <w:numFmt w:val="lowerLetter"/>
      <w:start w:val="19"/>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
      <w:numFmt w:val="bullet"/>
      <w:start w:val="1"/>
    </w:lvl>
    <w:lvl w:ilvl="1">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2019-12-08T00:11:02Z</dcterms:created>
  <dcterms:modified xsi:type="dcterms:W3CDTF">2019-12-08T00:11:02Z</dcterms:modified>
</cp:coreProperties>
</file>