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37"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300" w:type="dxa"/>
            <w:vAlign w:val="bottom"/>
          </w:tcPr>
          <w:p>
            <w:pPr>
              <w:spacing w:after="0" w:line="181" w:lineRule="exact"/>
              <w:rPr>
                <w:sz w:val="20"/>
                <w:szCs w:val="20"/>
                <w:color w:val="auto"/>
              </w:rPr>
            </w:pPr>
            <w:r>
              <w:rPr>
                <w:rFonts w:ascii="MS PGothic" w:cs="MS PGothic" w:eastAsia="MS PGothic" w:hAnsi="MS PGothic"/>
                <w:sz w:val="18"/>
                <w:szCs w:val="18"/>
                <w:color w:val="auto"/>
                <w:highlight w:val="black"/>
              </w:rPr>
              <w:t>☐</w:t>
            </w:r>
          </w:p>
        </w:tc>
        <w:tc>
          <w:tcPr>
            <w:tcW w:w="10260" w:type="dxa"/>
            <w:vAlign w:val="bottom"/>
            <w:gridSpan w:val="3"/>
          </w:tcPr>
          <w:p>
            <w:pPr>
              <w:ind w:left="160"/>
              <w:spacing w:after="0"/>
              <w:rPr>
                <w:sz w:val="20"/>
                <w:szCs w:val="20"/>
                <w:color w:val="auto"/>
              </w:rPr>
            </w:pPr>
            <w:r>
              <w:rPr>
                <w:rFonts w:ascii="Arial" w:cs="Arial" w:eastAsia="Arial" w:hAnsi="Arial"/>
                <w:sz w:val="18"/>
                <w:szCs w:val="18"/>
                <w:b w:val="1"/>
                <w:bCs w:val="1"/>
                <w:color w:val="auto"/>
                <w:w w:val="98"/>
              </w:rPr>
              <w:t>Transition Report pursuant to Section 13 or 15(d) of the Securities Exchange Act of 1934 For the Transition Period from</w:t>
            </w:r>
          </w:p>
        </w:tc>
        <w:tc>
          <w:tcPr>
            <w:tcW w:w="860" w:type="dxa"/>
            <w:vAlign w:val="bottom"/>
          </w:tcPr>
          <w:p>
            <w:pPr>
              <w:ind w:left="700"/>
              <w:spacing w:after="0"/>
              <w:rPr>
                <w:sz w:val="20"/>
                <w:szCs w:val="20"/>
                <w:color w:val="auto"/>
              </w:rPr>
            </w:pPr>
            <w:r>
              <w:rPr>
                <w:rFonts w:ascii="Arial" w:cs="Arial" w:eastAsia="Arial" w:hAnsi="Arial"/>
                <w:sz w:val="18"/>
                <w:szCs w:val="18"/>
                <w:b w:val="1"/>
                <w:bCs w:val="1"/>
                <w:color w:val="auto"/>
                <w:w w:val="82"/>
              </w:rPr>
              <w:t>to</w:t>
            </w:r>
          </w:p>
        </w:tc>
      </w:tr>
      <w:tr>
        <w:trPr>
          <w:trHeight w:val="480"/>
        </w:trPr>
        <w:tc>
          <w:tcPr>
            <w:tcW w:w="300" w:type="dxa"/>
            <w:vAlign w:val="bottom"/>
          </w:tcPr>
          <w:p>
            <w:pPr>
              <w:spacing w:after="0"/>
              <w:rPr>
                <w:sz w:val="24"/>
                <w:szCs w:val="24"/>
                <w:color w:val="auto"/>
              </w:rPr>
            </w:pPr>
          </w:p>
        </w:tc>
        <w:tc>
          <w:tcPr>
            <w:tcW w:w="10260" w:type="dxa"/>
            <w:vAlign w:val="bottom"/>
            <w:gridSpan w:val="3"/>
          </w:tcPr>
          <w:p>
            <w:pPr>
              <w:ind w:left="4060"/>
              <w:spacing w:after="0"/>
              <w:rPr>
                <w:sz w:val="20"/>
                <w:szCs w:val="20"/>
                <w:color w:val="auto"/>
              </w:rPr>
            </w:pPr>
            <w:r>
              <w:rPr>
                <w:rFonts w:ascii="Arial" w:cs="Arial" w:eastAsia="Arial" w:hAnsi="Arial"/>
                <w:sz w:val="18"/>
                <w:szCs w:val="18"/>
                <w:b w:val="1"/>
                <w:bCs w:val="1"/>
                <w:color w:val="auto"/>
              </w:rPr>
              <w:t>Commission File Number 001-32871</w:t>
            </w:r>
          </w:p>
        </w:tc>
        <w:tc>
          <w:tcPr>
            <w:tcW w:w="860" w:type="dxa"/>
            <w:vAlign w:val="bottom"/>
          </w:tcPr>
          <w:p>
            <w:pPr>
              <w:spacing w:after="0"/>
              <w:rPr>
                <w:sz w:val="24"/>
                <w:szCs w:val="24"/>
                <w:color w:val="auto"/>
              </w:rPr>
            </w:pPr>
          </w:p>
        </w:tc>
      </w:tr>
      <w:tr>
        <w:trPr>
          <w:trHeight w:val="164"/>
        </w:trPr>
        <w:tc>
          <w:tcPr>
            <w:tcW w:w="3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366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43180</wp:posOffset>
            </wp:positionV>
            <wp:extent cx="2933065" cy="763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33065" cy="7632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COMCAST CORPORATION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57" w:lineRule="exact"/>
        <w:rPr>
          <w:sz w:val="24"/>
          <w:szCs w:val="24"/>
          <w:color w:val="auto"/>
        </w:rPr>
      </w:pPr>
    </w:p>
    <w:tbl>
      <w:tblPr>
        <w:tblLayout w:type="fixed"/>
        <w:tblInd w:w="1360" w:type="dxa"/>
        <w:tblCellMar>
          <w:top w:w="0" w:type="dxa"/>
          <w:left w:w="0" w:type="dxa"/>
          <w:bottom w:w="0" w:type="dxa"/>
          <w:right w:w="0" w:type="dxa"/>
        </w:tblCellMar>
      </w:tblPr>
      <w:tr>
        <w:trPr>
          <w:trHeight w:val="222"/>
        </w:trPr>
        <w:tc>
          <w:tcPr>
            <w:tcW w:w="4820" w:type="dxa"/>
            <w:vAlign w:val="bottom"/>
          </w:tcPr>
          <w:p>
            <w:pPr>
              <w:jc w:val="center"/>
              <w:ind w:right="1832"/>
              <w:spacing w:after="0"/>
              <w:rPr>
                <w:sz w:val="20"/>
                <w:szCs w:val="20"/>
                <w:color w:val="auto"/>
              </w:rPr>
            </w:pPr>
            <w:r>
              <w:rPr>
                <w:rFonts w:ascii="Arial" w:cs="Arial" w:eastAsia="Arial" w:hAnsi="Arial"/>
                <w:sz w:val="18"/>
                <w:szCs w:val="18"/>
                <w:b w:val="1"/>
                <w:bCs w:val="1"/>
                <w:color w:val="auto"/>
                <w:w w:val="94"/>
              </w:rPr>
              <w:t>PENNSYLVANIA</w:t>
            </w:r>
          </w:p>
        </w:tc>
        <w:tc>
          <w:tcPr>
            <w:tcW w:w="3220" w:type="dxa"/>
            <w:vAlign w:val="bottom"/>
          </w:tcPr>
          <w:p>
            <w:pPr>
              <w:jc w:val="center"/>
              <w:ind w:left="1812"/>
              <w:spacing w:after="0"/>
              <w:rPr>
                <w:sz w:val="20"/>
                <w:szCs w:val="20"/>
                <w:color w:val="auto"/>
              </w:rPr>
            </w:pPr>
            <w:r>
              <w:rPr>
                <w:rFonts w:ascii="Arial" w:cs="Arial" w:eastAsia="Arial" w:hAnsi="Arial"/>
                <w:sz w:val="18"/>
                <w:szCs w:val="18"/>
                <w:b w:val="1"/>
                <w:bCs w:val="1"/>
                <w:color w:val="auto"/>
                <w:w w:val="87"/>
              </w:rPr>
              <w:t>27-0000798</w:t>
            </w:r>
          </w:p>
        </w:tc>
      </w:tr>
      <w:tr>
        <w:trPr>
          <w:trHeight w:val="216"/>
        </w:trPr>
        <w:tc>
          <w:tcPr>
            <w:tcW w:w="4820" w:type="dxa"/>
            <w:vAlign w:val="bottom"/>
          </w:tcPr>
          <w:p>
            <w:pPr>
              <w:jc w:val="center"/>
              <w:ind w:right="1832"/>
              <w:spacing w:after="0"/>
              <w:rPr>
                <w:sz w:val="20"/>
                <w:szCs w:val="20"/>
                <w:color w:val="auto"/>
              </w:rPr>
            </w:pPr>
            <w:r>
              <w:rPr>
                <w:rFonts w:ascii="Arial" w:cs="Arial" w:eastAsia="Arial" w:hAnsi="Arial"/>
                <w:sz w:val="18"/>
                <w:szCs w:val="18"/>
                <w:color w:val="auto"/>
                <w:w w:val="89"/>
              </w:rPr>
              <w:t>(State or other jurisdiction of</w:t>
            </w:r>
          </w:p>
        </w:tc>
        <w:tc>
          <w:tcPr>
            <w:tcW w:w="3220" w:type="dxa"/>
            <w:vAlign w:val="bottom"/>
          </w:tcPr>
          <w:p>
            <w:pPr>
              <w:jc w:val="center"/>
              <w:ind w:left="1812"/>
              <w:spacing w:after="0"/>
              <w:rPr>
                <w:sz w:val="20"/>
                <w:szCs w:val="20"/>
                <w:color w:val="auto"/>
              </w:rPr>
            </w:pPr>
            <w:r>
              <w:rPr>
                <w:rFonts w:ascii="Arial" w:cs="Arial" w:eastAsia="Arial" w:hAnsi="Arial"/>
                <w:sz w:val="18"/>
                <w:szCs w:val="18"/>
                <w:color w:val="auto"/>
                <w:w w:val="90"/>
              </w:rPr>
              <w:t>(I.R.S. Employer</w:t>
            </w:r>
          </w:p>
        </w:tc>
      </w:tr>
      <w:tr>
        <w:trPr>
          <w:trHeight w:val="222"/>
        </w:trPr>
        <w:tc>
          <w:tcPr>
            <w:tcW w:w="4820" w:type="dxa"/>
            <w:vAlign w:val="bottom"/>
          </w:tcPr>
          <w:p>
            <w:pPr>
              <w:jc w:val="center"/>
              <w:ind w:right="1832"/>
              <w:spacing w:after="0"/>
              <w:rPr>
                <w:sz w:val="20"/>
                <w:szCs w:val="20"/>
                <w:color w:val="auto"/>
              </w:rPr>
            </w:pPr>
            <w:r>
              <w:rPr>
                <w:rFonts w:ascii="Arial" w:cs="Arial" w:eastAsia="Arial" w:hAnsi="Arial"/>
                <w:sz w:val="18"/>
                <w:szCs w:val="18"/>
                <w:color w:val="auto"/>
                <w:w w:val="89"/>
              </w:rPr>
              <w:t>incorporation or organization)</w:t>
            </w:r>
          </w:p>
        </w:tc>
        <w:tc>
          <w:tcPr>
            <w:tcW w:w="3220" w:type="dxa"/>
            <w:vAlign w:val="bottom"/>
          </w:tcPr>
          <w:p>
            <w:pPr>
              <w:jc w:val="center"/>
              <w:ind w:left="181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4820" w:type="dxa"/>
            <w:vAlign w:val="bottom"/>
          </w:tcPr>
          <w:p>
            <w:pPr>
              <w:jc w:val="center"/>
              <w:ind w:right="1832"/>
              <w:spacing w:after="0"/>
              <w:rPr>
                <w:sz w:val="20"/>
                <w:szCs w:val="20"/>
                <w:color w:val="auto"/>
              </w:rPr>
            </w:pPr>
            <w:r>
              <w:rPr>
                <w:rFonts w:ascii="Arial" w:cs="Arial" w:eastAsia="Arial" w:hAnsi="Arial"/>
                <w:sz w:val="18"/>
                <w:szCs w:val="18"/>
                <w:b w:val="1"/>
                <w:bCs w:val="1"/>
                <w:color w:val="auto"/>
                <w:w w:val="88"/>
              </w:rPr>
              <w:t>One Comcast Center, Philadelphia, PA</w:t>
            </w:r>
          </w:p>
        </w:tc>
        <w:tc>
          <w:tcPr>
            <w:tcW w:w="3220" w:type="dxa"/>
            <w:vAlign w:val="bottom"/>
          </w:tcPr>
          <w:p>
            <w:pPr>
              <w:jc w:val="center"/>
              <w:ind w:left="1812"/>
              <w:spacing w:after="0"/>
              <w:rPr>
                <w:sz w:val="20"/>
                <w:szCs w:val="20"/>
                <w:color w:val="auto"/>
              </w:rPr>
            </w:pPr>
            <w:r>
              <w:rPr>
                <w:rFonts w:ascii="Arial" w:cs="Arial" w:eastAsia="Arial" w:hAnsi="Arial"/>
                <w:sz w:val="18"/>
                <w:szCs w:val="18"/>
                <w:b w:val="1"/>
                <w:bCs w:val="1"/>
                <w:color w:val="auto"/>
                <w:w w:val="87"/>
              </w:rPr>
              <w:t>19103-2838</w:t>
            </w:r>
          </w:p>
        </w:tc>
      </w:tr>
      <w:tr>
        <w:trPr>
          <w:trHeight w:val="222"/>
        </w:trPr>
        <w:tc>
          <w:tcPr>
            <w:tcW w:w="4820" w:type="dxa"/>
            <w:vAlign w:val="bottom"/>
          </w:tcPr>
          <w:p>
            <w:pPr>
              <w:jc w:val="center"/>
              <w:ind w:right="1832"/>
              <w:spacing w:after="0"/>
              <w:rPr>
                <w:sz w:val="20"/>
                <w:szCs w:val="20"/>
                <w:color w:val="auto"/>
              </w:rPr>
            </w:pPr>
            <w:r>
              <w:rPr>
                <w:rFonts w:ascii="Arial" w:cs="Arial" w:eastAsia="Arial" w:hAnsi="Arial"/>
                <w:sz w:val="18"/>
                <w:szCs w:val="18"/>
                <w:color w:val="auto"/>
                <w:w w:val="90"/>
              </w:rPr>
              <w:t>(Address of principal executive offices)</w:t>
            </w:r>
          </w:p>
        </w:tc>
        <w:tc>
          <w:tcPr>
            <w:tcW w:w="3220" w:type="dxa"/>
            <w:vAlign w:val="bottom"/>
          </w:tcPr>
          <w:p>
            <w:pPr>
              <w:jc w:val="center"/>
              <w:ind w:left="1812"/>
              <w:spacing w:after="0"/>
              <w:rPr>
                <w:sz w:val="20"/>
                <w:szCs w:val="20"/>
                <w:color w:val="auto"/>
              </w:rPr>
            </w:pPr>
            <w:r>
              <w:rPr>
                <w:rFonts w:ascii="Arial" w:cs="Arial" w:eastAsia="Arial" w:hAnsi="Arial"/>
                <w:sz w:val="18"/>
                <w:szCs w:val="18"/>
                <w:color w:val="auto"/>
                <w:w w:val="89"/>
              </w:rPr>
              <w:t>(Zip Code)</w:t>
            </w:r>
          </w:p>
        </w:tc>
      </w:tr>
    </w:tbl>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(215) 286-1700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w:t>
      </w:r>
    </w:p>
    <w:p>
      <w:pPr>
        <w:spacing w:after="0" w:line="1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1"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5" w:lineRule="exact"/>
        <w:rPr>
          <w:sz w:val="24"/>
          <w:szCs w:val="24"/>
          <w:color w:val="auto"/>
        </w:rPr>
      </w:pPr>
    </w:p>
    <w:p>
      <w:pPr>
        <w:ind w:right="3620"/>
        <w:spacing w:after="0" w:line="270"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whether the Registrant is a shell company (as defined in Rule 12b-2 of the Act).</w:t>
      </w:r>
    </w:p>
    <w:p>
      <w:pPr>
        <w:spacing w:after="0" w:line="29"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4"/>
          <w:szCs w:val="24"/>
          <w:color w:val="auto"/>
        </w:rPr>
      </w:pPr>
    </w:p>
    <w:p>
      <w:pPr>
        <w:jc w:val="both"/>
        <w:ind w:right="20"/>
        <w:spacing w:after="0" w:line="268" w:lineRule="auto"/>
        <w:rPr>
          <w:sz w:val="20"/>
          <w:szCs w:val="20"/>
          <w:color w:val="auto"/>
        </w:rPr>
      </w:pPr>
      <w:r>
        <w:rPr>
          <w:rFonts w:ascii="Arial" w:cs="Arial" w:eastAsia="Arial" w:hAnsi="Arial"/>
          <w:sz w:val="18"/>
          <w:szCs w:val="18"/>
          <w:color w:val="auto"/>
        </w:rPr>
        <w:t>As of March 31, 2009, there were 2,063,679,739 shares of our Class A common stock, 810,251,788 shares of our Class A Special common stock and 9,444,375 shares of our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jc w:val="right"/>
              <w:ind w:right="15"/>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580" w:type="dxa"/>
            <w:vAlign w:val="bottom"/>
            <w:gridSpan w:val="16"/>
          </w:tcPr>
          <w:p>
            <w:pPr>
              <w:spacing w:after="0" w:line="195" w:lineRule="exact"/>
              <w:rPr>
                <w:sz w:val="20"/>
                <w:szCs w:val="20"/>
                <w:color w:val="auto"/>
              </w:rPr>
            </w:pPr>
            <w:r>
              <w:rPr>
                <w:rFonts w:ascii="Arial" w:cs="Arial" w:eastAsia="Arial" w:hAnsi="Arial"/>
                <w:sz w:val="18"/>
                <w:szCs w:val="18"/>
                <w:b w:val="1"/>
                <w:bCs w:val="1"/>
                <w:color w:val="auto"/>
              </w:rPr>
              <w:t>PART I. FINANCIAL INFORMATION</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880" w:type="dxa"/>
            <w:vAlign w:val="bottom"/>
            <w:gridSpan w:val="2"/>
          </w:tcPr>
          <w:p>
            <w:pPr>
              <w:ind w:left="700"/>
              <w:spacing w:after="0" w:line="190" w:lineRule="exact"/>
              <w:rPr>
                <w:sz w:val="20"/>
                <w:szCs w:val="20"/>
                <w:color w:val="auto"/>
              </w:rPr>
            </w:pPr>
            <w:r>
              <w:rPr>
                <w:rFonts w:ascii="Arial" w:cs="Arial" w:eastAsia="Arial" w:hAnsi="Arial"/>
                <w:sz w:val="18"/>
                <w:szCs w:val="18"/>
                <w:b w:val="1"/>
                <w:bCs w:val="1"/>
                <w:color w:val="auto"/>
              </w:rPr>
              <w:t>Item 1.</w:t>
            </w:r>
          </w:p>
        </w:tc>
        <w:tc>
          <w:tcPr>
            <w:tcW w:w="8700" w:type="dxa"/>
            <w:vAlign w:val="bottom"/>
            <w:gridSpan w:val="14"/>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820" w:type="dxa"/>
            <w:vAlign w:val="bottom"/>
          </w:tcPr>
          <w:p>
            <w:pPr>
              <w:jc w:val="right"/>
              <w:spacing w:after="0" w:line="190"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700" w:type="dxa"/>
            <w:vAlign w:val="bottom"/>
            <w:gridSpan w:val="1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 as of March 31, 2009 and December 31, 2008 (Unaudited)</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8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 of Operations for the Three Months Ended March 31, 2009 and 2008 (Unaudited)</w:t>
              </w:r>
            </w:hyperlink>
          </w:p>
        </w:tc>
        <w:tc>
          <w:tcPr>
            <w:tcW w:w="420" w:type="dxa"/>
            <w:vAlign w:val="bottom"/>
            <w:gridSpan w:val="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34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 of Cash Flows for the Three Months Ended March 31, 2009 and 2008 (Unaudited)</w:t>
              </w:r>
            </w:hyperlink>
          </w:p>
        </w:tc>
        <w:tc>
          <w:tcPr>
            <w:tcW w:w="36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92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 of Changes in Equity as of March 31, 2009 and March 31, 2008 (Unaudited)</w:t>
              </w:r>
            </w:hyperlink>
          </w:p>
        </w:tc>
        <w:tc>
          <w:tcPr>
            <w:tcW w:w="780" w:type="dxa"/>
            <w:vAlign w:val="bottom"/>
            <w:gridSpan w:val="3"/>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700" w:type="dxa"/>
            <w:vAlign w:val="bottom"/>
            <w:gridSpan w:val="14"/>
          </w:tcPr>
          <w:p>
            <w:pPr>
              <w:spacing w:after="0" w:line="19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Condensed Consolidated Statement of Comprehensive Income for the Three Months Ended March 31, 2009 and 2008</w:t>
              </w:r>
            </w:hyperlink>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(Unaudited)</w:t>
              </w:r>
            </w:hyperlink>
          </w:p>
        </w:tc>
        <w:tc>
          <w:tcPr>
            <w:tcW w:w="420" w:type="dxa"/>
            <w:vAlign w:val="bottom"/>
            <w:gridSpan w:val="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880" w:type="dxa"/>
            <w:vAlign w:val="bottom"/>
            <w:gridSpan w:val="2"/>
            <w:vMerge w:val="restart"/>
          </w:tcPr>
          <w:p>
            <w:pPr>
              <w:ind w:left="700"/>
              <w:spacing w:after="0"/>
              <w:rPr>
                <w:sz w:val="20"/>
                <w:szCs w:val="20"/>
                <w:color w:val="auto"/>
              </w:rPr>
            </w:pPr>
            <w:r>
              <w:rPr>
                <w:rFonts w:ascii="Arial" w:cs="Arial" w:eastAsia="Arial" w:hAnsi="Arial"/>
                <w:sz w:val="18"/>
                <w:szCs w:val="18"/>
                <w:b w:val="1"/>
                <w:bCs w:val="1"/>
                <w:color w:val="auto"/>
              </w:rPr>
              <w:t>Item 2.</w:t>
            </w:r>
          </w:p>
        </w:tc>
        <w:tc>
          <w:tcPr>
            <w:tcW w:w="8700" w:type="dxa"/>
            <w:vAlign w:val="bottom"/>
            <w:gridSpan w:val="1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gridSpan w:val="2"/>
            <w:vMerge w:val="continu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880" w:type="dxa"/>
            <w:vAlign w:val="bottom"/>
            <w:gridSpan w:val="2"/>
            <w:vMerge w:val="continue"/>
          </w:tcPr>
          <w:p>
            <w:pPr>
              <w:spacing w:after="0"/>
              <w:rPr>
                <w:sz w:val="17"/>
                <w:szCs w:val="17"/>
                <w:color w:val="auto"/>
              </w:rPr>
            </w:pPr>
          </w:p>
        </w:tc>
        <w:tc>
          <w:tcPr>
            <w:tcW w:w="630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Management’s Discussion and Analysis of Financial Condition and Results of Operations</w:t>
              </w:r>
            </w:hyperlink>
          </w:p>
        </w:tc>
        <w:tc>
          <w:tcPr>
            <w:tcW w:w="2400" w:type="dxa"/>
            <w:vAlign w:val="bottom"/>
            <w:gridSpan w:val="5"/>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80" w:type="dxa"/>
            <w:vAlign w:val="bottom"/>
            <w:gridSpan w:val="2"/>
          </w:tcPr>
          <w:p>
            <w:pPr>
              <w:ind w:left="700"/>
              <w:spacing w:after="0" w:line="196" w:lineRule="exact"/>
              <w:rPr>
                <w:sz w:val="20"/>
                <w:szCs w:val="20"/>
                <w:color w:val="auto"/>
              </w:rPr>
            </w:pPr>
            <w:r>
              <w:rPr>
                <w:rFonts w:ascii="Arial" w:cs="Arial" w:eastAsia="Arial" w:hAnsi="Arial"/>
                <w:sz w:val="18"/>
                <w:szCs w:val="18"/>
                <w:b w:val="1"/>
                <w:bCs w:val="1"/>
                <w:color w:val="auto"/>
              </w:rPr>
              <w:t>Item 3.</w:t>
            </w:r>
          </w:p>
        </w:tc>
        <w:tc>
          <w:tcPr>
            <w:tcW w:w="42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Quantitative and Qualitative Disclosures About Market Risk</w:t>
              </w:r>
            </w:hyperlink>
          </w:p>
        </w:tc>
        <w:tc>
          <w:tcPr>
            <w:tcW w:w="4440" w:type="dxa"/>
            <w:vAlign w:val="bottom"/>
            <w:gridSpan w:val="7"/>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80" w:type="dxa"/>
            <w:vAlign w:val="bottom"/>
            <w:gridSpan w:val="2"/>
          </w:tcPr>
          <w:p>
            <w:pPr>
              <w:ind w:left="700"/>
              <w:spacing w:after="0" w:line="196" w:lineRule="exact"/>
              <w:rPr>
                <w:sz w:val="20"/>
                <w:szCs w:val="20"/>
                <w:color w:val="auto"/>
              </w:rPr>
            </w:pPr>
            <w:r>
              <w:rPr>
                <w:rFonts w:ascii="Arial" w:cs="Arial" w:eastAsia="Arial" w:hAnsi="Arial"/>
                <w:sz w:val="18"/>
                <w:szCs w:val="18"/>
                <w:b w:val="1"/>
                <w:bCs w:val="1"/>
                <w:color w:val="auto"/>
              </w:rPr>
              <w:t>Item 4.</w:t>
            </w:r>
          </w:p>
        </w:tc>
        <w:tc>
          <w:tcPr>
            <w:tcW w:w="8700" w:type="dxa"/>
            <w:vAlign w:val="bottom"/>
            <w:gridSpan w:val="14"/>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98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600" w:type="dxa"/>
            <w:vAlign w:val="bottom"/>
            <w:gridSpan w:val="17"/>
          </w:tcPr>
          <w:p>
            <w:pPr>
              <w:spacing w:after="0"/>
              <w:rPr>
                <w:sz w:val="20"/>
                <w:szCs w:val="20"/>
                <w:color w:val="auto"/>
              </w:rPr>
            </w:pPr>
            <w:r>
              <w:rPr>
                <w:rFonts w:ascii="Arial" w:cs="Arial" w:eastAsia="Arial" w:hAnsi="Arial"/>
                <w:sz w:val="18"/>
                <w:szCs w:val="18"/>
                <w:b w:val="1"/>
                <w:bCs w:val="1"/>
                <w:color w:val="auto"/>
              </w:rPr>
              <w:t>PART II. OTHER INFORMATION</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880" w:type="dxa"/>
            <w:vAlign w:val="bottom"/>
            <w:gridSpan w:val="2"/>
          </w:tcPr>
          <w:p>
            <w:pPr>
              <w:ind w:left="700"/>
              <w:spacing w:after="0" w:line="190" w:lineRule="exact"/>
              <w:rPr>
                <w:sz w:val="20"/>
                <w:szCs w:val="20"/>
                <w:color w:val="auto"/>
              </w:rPr>
            </w:pPr>
            <w:r>
              <w:rPr>
                <w:rFonts w:ascii="Arial" w:cs="Arial" w:eastAsia="Arial" w:hAnsi="Arial"/>
                <w:sz w:val="18"/>
                <w:szCs w:val="18"/>
                <w:b w:val="1"/>
                <w:bCs w:val="1"/>
                <w:color w:val="auto"/>
              </w:rPr>
              <w:t>Item 1.</w:t>
            </w:r>
          </w:p>
        </w:tc>
        <w:tc>
          <w:tcPr>
            <w:tcW w:w="8700" w:type="dxa"/>
            <w:vAlign w:val="bottom"/>
            <w:gridSpan w:val="14"/>
          </w:tcPr>
          <w:p>
            <w:pPr>
              <w:spacing w:after="0" w:line="190" w:lineRule="exact"/>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820" w:type="dxa"/>
            <w:vAlign w:val="bottom"/>
          </w:tcPr>
          <w:p>
            <w:pPr>
              <w:jc w:val="right"/>
              <w:spacing w:after="0" w:line="190"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80" w:type="dxa"/>
            <w:vAlign w:val="bottom"/>
            <w:gridSpan w:val="2"/>
          </w:tcPr>
          <w:p>
            <w:pPr>
              <w:ind w:left="700"/>
              <w:spacing w:after="0" w:line="196" w:lineRule="exact"/>
              <w:rPr>
                <w:sz w:val="20"/>
                <w:szCs w:val="20"/>
                <w:color w:val="auto"/>
              </w:rPr>
            </w:pPr>
            <w:r>
              <w:rPr>
                <w:rFonts w:ascii="Arial" w:cs="Arial" w:eastAsia="Arial" w:hAnsi="Arial"/>
                <w:sz w:val="18"/>
                <w:szCs w:val="18"/>
                <w:b w:val="1"/>
                <w:bCs w:val="1"/>
                <w:color w:val="auto"/>
              </w:rPr>
              <w:t>Item 1A.</w:t>
            </w:r>
          </w:p>
        </w:tc>
        <w:tc>
          <w:tcPr>
            <w:tcW w:w="13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7400" w:type="dxa"/>
            <w:vAlign w:val="bottom"/>
            <w:gridSpan w:val="10"/>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80" w:type="dxa"/>
            <w:vAlign w:val="bottom"/>
            <w:gridSpan w:val="2"/>
          </w:tcPr>
          <w:p>
            <w:pPr>
              <w:ind w:left="700"/>
              <w:spacing w:after="0" w:line="196" w:lineRule="exact"/>
              <w:rPr>
                <w:sz w:val="20"/>
                <w:szCs w:val="20"/>
                <w:color w:val="auto"/>
              </w:rPr>
            </w:pPr>
            <w:r>
              <w:rPr>
                <w:rFonts w:ascii="Arial" w:cs="Arial" w:eastAsia="Arial" w:hAnsi="Arial"/>
                <w:sz w:val="18"/>
                <w:szCs w:val="18"/>
                <w:b w:val="1"/>
                <w:bCs w:val="1"/>
                <w:color w:val="auto"/>
              </w:rPr>
              <w:t>Item 6.</w:t>
            </w:r>
          </w:p>
        </w:tc>
        <w:tc>
          <w:tcPr>
            <w:tcW w:w="8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7820" w:type="dxa"/>
            <w:vAlign w:val="bottom"/>
            <w:gridSpan w:val="11"/>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900" w:type="dxa"/>
            <w:vAlign w:val="bottom"/>
            <w:gridSpan w:val="3"/>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SIGNATURES</w:t>
              </w:r>
            </w:hyperlink>
          </w:p>
        </w:tc>
        <w:tc>
          <w:tcPr>
            <w:tcW w:w="58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61"/>
        </w:trPr>
        <w:tc>
          <w:tcPr>
            <w:tcW w:w="20" w:type="dxa"/>
            <w:vAlign w:val="bottom"/>
            <w:tcBorders>
              <w:bottom w:val="single" w:sz="8" w:color="auto"/>
            </w:tcBorders>
          </w:tcPr>
          <w:p>
            <w:pPr>
              <w:spacing w:after="0"/>
              <w:rPr>
                <w:sz w:val="5"/>
                <w:szCs w:val="5"/>
                <w:color w:val="auto"/>
              </w:rPr>
            </w:pPr>
          </w:p>
        </w:tc>
        <w:tc>
          <w:tcPr>
            <w:tcW w:w="1120" w:type="dxa"/>
            <w:vAlign w:val="bottom"/>
            <w:tcBorders>
              <w:top w:val="single" w:sz="8" w:color="0000EE"/>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5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Quarterly Report on Form 10-Q is for the three months ended March 31, 2009. This Quarterly Report modifies and supersedes documents filed prior to this Quarterly Report. The Securities and Exchange Commission (“SEC”) allows us to “incorporate by reference” information that we file with them,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Throughout this Quarterly Report, we refer to Comcast Corporation as “Comcast;” Comcast and its consolidated subsidiaries as “we,” “us” and “our;” and Comcast Holdings Corporation as “Comcast Holdings.”</w:t>
      </w:r>
    </w:p>
    <w:p>
      <w:pPr>
        <w:spacing w:after="0" w:line="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You should carefully review the information contained in this Quarterly Report and particularly consider any risk factors that we set forth in this Quarterly Report and in other reports or documents that we file from time to time with the SEC. In this Quarterly Report, we state our beliefs of future events and of our future financial performance. In some cases, you can identify these so-called “forward-looking statements” by words such as “may,” “will,” “should,” “expects,” “believes,” “estimates,” “potential,” or “continue,” or the negative of those words, and other comparable words. You should be aware that those statements are only our predictions. In evaluating those statements, you should specifically consider various factors, including the risks outlined below and in other reports we file with the SEC. Actual events or our actual results may differ materially from any of our forward-looking statements. We undertake no obligation to update any forward-looking statements.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77" w:lineRule="exact"/>
        <w:rPr>
          <w:sz w:val="20"/>
          <w:szCs w:val="20"/>
          <w:color w:val="auto"/>
        </w:rPr>
      </w:pPr>
    </w:p>
    <w:p>
      <w:pPr>
        <w:ind w:left="1020" w:right="1260" w:hanging="215"/>
        <w:spacing w:after="0" w:line="268"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of the services offered by our cable systems face a wide range of competition that could adversely affect our future results of operations</w:t>
      </w:r>
    </w:p>
    <w:p>
      <w:pPr>
        <w:spacing w:after="0" w:line="37"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face increased competition because of technological advances and new regulatory requirements, which could adversely affect our future results of operations</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programming expenses are increasing, which could adversely affect our future results of operations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subject to regulation by federal, state and local governments, which may impose additional costs and restrictions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weakening economic conditions may have a negative impact on our results of operations and financial condition</w:t>
      </w:r>
    </w:p>
    <w:p>
      <w:pPr>
        <w:spacing w:after="0" w:line="76"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technology, and a disruption or failure of such networks, systems or technology may disrupt our business</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depends on certain intellectual property rights and on not infringing the intellectual property rights of others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face risks arising from the outcome of various litigation matters</w:t>
      </w:r>
    </w:p>
    <w:p>
      <w:pPr>
        <w:spacing w:after="0" w:line="76"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acquisitions and other strategic transactions present many risks, and we may not realize the financial and strategic goals that were contemplated at the time of any transaction</w:t>
      </w:r>
    </w:p>
    <w:p>
      <w:pPr>
        <w:spacing w:after="0" w:line="37" w:lineRule="exact"/>
        <w:rPr>
          <w:rFonts w:ascii="Arial" w:cs="Arial" w:eastAsia="Arial" w:hAnsi="Arial"/>
          <w:sz w:val="18"/>
          <w:szCs w:val="18"/>
          <w:color w:val="auto"/>
        </w:rPr>
      </w:pPr>
    </w:p>
    <w:p>
      <w:pPr>
        <w:jc w:val="both"/>
        <w:ind w:left="1020" w:right="1240" w:hanging="215"/>
        <w:spacing w:after="0" w:line="259"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Class B common stock has substantial voting rights and separate approval rights over several potentially material transactions, and our Chairman and CEO has considerable influence over our operations through his beneficial ownership of our Class B common stock</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280" w:type="dxa"/>
            <w:vAlign w:val="bottom"/>
            <w:gridSpan w:val="2"/>
          </w:tcPr>
          <w:p>
            <w:pPr>
              <w:jc w:val="right"/>
              <w:ind w:right="253"/>
              <w:spacing w:after="0"/>
              <w:rPr>
                <w:sz w:val="20"/>
                <w:szCs w:val="20"/>
                <w:color w:val="auto"/>
              </w:rPr>
            </w:pPr>
            <w:r>
              <w:rPr>
                <w:rFonts w:ascii="Arial" w:cs="Arial" w:eastAsia="Arial" w:hAnsi="Arial"/>
                <w:sz w:val="14"/>
                <w:szCs w:val="14"/>
                <w:color w:val="auto"/>
              </w:rPr>
              <w:t>March 31,</w:t>
            </w:r>
          </w:p>
        </w:tc>
        <w:tc>
          <w:tcPr>
            <w:tcW w:w="1060" w:type="dxa"/>
            <w:vAlign w:val="bottom"/>
            <w:gridSpan w:val="2"/>
          </w:tcPr>
          <w:p>
            <w:pPr>
              <w:ind w:left="220"/>
              <w:spacing w:after="0"/>
              <w:rPr>
                <w:sz w:val="20"/>
                <w:szCs w:val="20"/>
                <w:color w:val="auto"/>
              </w:rPr>
            </w:pPr>
            <w:r>
              <w:rPr>
                <w:rFonts w:ascii="Arial" w:cs="Arial" w:eastAsia="Arial" w:hAnsi="Arial"/>
                <w:sz w:val="14"/>
                <w:szCs w:val="14"/>
                <w:color w:val="auto"/>
                <w:w w:val="93"/>
              </w:rPr>
              <w:t>December 31,</w:t>
            </w:r>
          </w:p>
        </w:tc>
        <w:tc>
          <w:tcPr>
            <w:tcW w:w="0" w:type="dxa"/>
            <w:vAlign w:val="bottom"/>
          </w:tcPr>
          <w:p>
            <w:pPr>
              <w:spacing w:after="0"/>
              <w:rPr>
                <w:sz w:val="1"/>
                <w:szCs w:val="1"/>
                <w:color w:val="auto"/>
              </w:rPr>
            </w:pPr>
          </w:p>
        </w:tc>
      </w:tr>
      <w:tr>
        <w:trPr>
          <w:trHeight w:val="159"/>
        </w:trPr>
        <w:tc>
          <w:tcPr>
            <w:tcW w:w="9080" w:type="dxa"/>
            <w:vAlign w:val="bottom"/>
            <w:gridSpan w:val="2"/>
          </w:tcPr>
          <w:p>
            <w:pPr>
              <w:spacing w:after="0" w:line="159" w:lineRule="exact"/>
              <w:rPr>
                <w:sz w:val="20"/>
                <w:szCs w:val="20"/>
                <w:color w:val="auto"/>
              </w:rPr>
            </w:pPr>
            <w:r>
              <w:rPr>
                <w:rFonts w:ascii="Arial" w:cs="Arial" w:eastAsia="Arial" w:hAnsi="Arial"/>
                <w:sz w:val="14"/>
                <w:szCs w:val="14"/>
                <w:color w:val="auto"/>
              </w:rPr>
              <w:t>(in millions, except share data)</w:t>
            </w:r>
          </w:p>
        </w:tc>
        <w:tc>
          <w:tcPr>
            <w:tcW w:w="420" w:type="dxa"/>
            <w:vAlign w:val="bottom"/>
          </w:tcPr>
          <w:p>
            <w:pPr>
              <w:spacing w:after="0"/>
              <w:rPr>
                <w:sz w:val="13"/>
                <w:szCs w:val="13"/>
                <w:color w:val="auto"/>
              </w:rPr>
            </w:pPr>
          </w:p>
        </w:tc>
        <w:tc>
          <w:tcPr>
            <w:tcW w:w="860" w:type="dxa"/>
            <w:vAlign w:val="bottom"/>
          </w:tcPr>
          <w:p>
            <w:pPr>
              <w:jc w:val="right"/>
              <w:ind w:right="393"/>
              <w:spacing w:after="0" w:line="159" w:lineRule="exact"/>
              <w:rPr>
                <w:sz w:val="20"/>
                <w:szCs w:val="20"/>
                <w:color w:val="auto"/>
              </w:rPr>
            </w:pPr>
            <w:r>
              <w:rPr>
                <w:rFonts w:ascii="Arial" w:cs="Arial" w:eastAsia="Arial" w:hAnsi="Arial"/>
                <w:sz w:val="14"/>
                <w:szCs w:val="14"/>
                <w:color w:val="auto"/>
              </w:rPr>
              <w:t>2009</w:t>
            </w:r>
          </w:p>
        </w:tc>
        <w:tc>
          <w:tcPr>
            <w:tcW w:w="380" w:type="dxa"/>
            <w:vAlign w:val="bottom"/>
          </w:tcPr>
          <w:p>
            <w:pPr>
              <w:spacing w:after="0"/>
              <w:rPr>
                <w:sz w:val="13"/>
                <w:szCs w:val="13"/>
                <w:color w:val="auto"/>
              </w:rPr>
            </w:pPr>
          </w:p>
        </w:tc>
        <w:tc>
          <w:tcPr>
            <w:tcW w:w="680" w:type="dxa"/>
            <w:vAlign w:val="bottom"/>
          </w:tcPr>
          <w:p>
            <w:pPr>
              <w:jc w:val="right"/>
              <w:ind w:right="233"/>
              <w:spacing w:after="0" w:line="159" w:lineRule="exact"/>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420" w:type="dxa"/>
            <w:vAlign w:val="bottom"/>
            <w:tcBorders>
              <w:top w:val="single" w:sz="8" w:color="auto"/>
            </w:tcBorders>
            <w:shd w:val="clear" w:color="auto" w:fill="E5E5E5"/>
          </w:tcPr>
          <w:p>
            <w:pPr>
              <w:spacing w:after="0"/>
              <w:rPr>
                <w:sz w:val="18"/>
                <w:szCs w:val="18"/>
                <w:color w:val="auto"/>
              </w:rPr>
            </w:pPr>
          </w:p>
        </w:tc>
        <w:tc>
          <w:tcPr>
            <w:tcW w:w="86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1,879</w:t>
            </w:r>
          </w:p>
        </w:tc>
        <w:tc>
          <w:tcPr>
            <w:tcW w:w="38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420" w:type="dxa"/>
            <w:vAlign w:val="bottom"/>
          </w:tcPr>
          <w:p>
            <w:pPr>
              <w:spacing w:after="0"/>
              <w:rPr>
                <w:sz w:val="18"/>
                <w:szCs w:val="18"/>
                <w:color w:val="auto"/>
              </w:rPr>
            </w:pPr>
          </w:p>
        </w:tc>
        <w:tc>
          <w:tcPr>
            <w:tcW w:w="860" w:type="dxa"/>
            <w:vAlign w:val="bottom"/>
          </w:tcPr>
          <w:p>
            <w:pPr>
              <w:jc w:val="right"/>
              <w:ind w:right="213"/>
              <w:spacing w:after="0"/>
              <w:rPr>
                <w:sz w:val="20"/>
                <w:szCs w:val="20"/>
                <w:color w:val="auto"/>
              </w:rPr>
            </w:pPr>
            <w:r>
              <w:rPr>
                <w:rFonts w:ascii="Arial" w:cs="Arial" w:eastAsia="Arial" w:hAnsi="Arial"/>
                <w:sz w:val="18"/>
                <w:szCs w:val="18"/>
                <w:color w:val="auto"/>
              </w:rPr>
              <w:t>59</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receivable, less allowance for doubtful accounts of $175 and $190</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1,483</w:t>
            </w: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current assets</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829</w:t>
            </w: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4,250</w:t>
            </w: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Investments</w:t>
            </w:r>
          </w:p>
        </w:tc>
        <w:tc>
          <w:tcPr>
            <w:tcW w:w="420" w:type="dxa"/>
            <w:vAlign w:val="bottom"/>
          </w:tcPr>
          <w:p>
            <w:pPr>
              <w:spacing w:after="0"/>
              <w:rPr>
                <w:sz w:val="18"/>
                <w:szCs w:val="18"/>
                <w:color w:val="auto"/>
              </w:rPr>
            </w:pPr>
          </w:p>
        </w:tc>
        <w:tc>
          <w:tcPr>
            <w:tcW w:w="860" w:type="dxa"/>
            <w:vAlign w:val="bottom"/>
          </w:tcPr>
          <w:p>
            <w:pPr>
              <w:jc w:val="right"/>
              <w:ind w:right="213"/>
              <w:spacing w:after="0"/>
              <w:rPr>
                <w:sz w:val="20"/>
                <w:szCs w:val="20"/>
                <w:color w:val="auto"/>
              </w:rPr>
            </w:pPr>
            <w:r>
              <w:rPr>
                <w:rFonts w:ascii="Arial" w:cs="Arial" w:eastAsia="Arial" w:hAnsi="Arial"/>
                <w:sz w:val="18"/>
                <w:szCs w:val="18"/>
                <w:color w:val="auto"/>
              </w:rPr>
              <w:t>4,872</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 of accumulated depreciation of $24,449 and $23,235</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w w:val="98"/>
              </w:rPr>
              <w:t>24,038</w:t>
            </w: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Franchise rights</w:t>
            </w:r>
          </w:p>
        </w:tc>
        <w:tc>
          <w:tcPr>
            <w:tcW w:w="420" w:type="dxa"/>
            <w:vAlign w:val="bottom"/>
          </w:tcPr>
          <w:p>
            <w:pPr>
              <w:spacing w:after="0"/>
              <w:rPr>
                <w:sz w:val="18"/>
                <w:szCs w:val="18"/>
                <w:color w:val="auto"/>
              </w:rPr>
            </w:pPr>
          </w:p>
        </w:tc>
        <w:tc>
          <w:tcPr>
            <w:tcW w:w="860" w:type="dxa"/>
            <w:vAlign w:val="bottom"/>
          </w:tcPr>
          <w:p>
            <w:pPr>
              <w:jc w:val="right"/>
              <w:ind w:right="213"/>
              <w:spacing w:after="0"/>
              <w:rPr>
                <w:sz w:val="20"/>
                <w:szCs w:val="20"/>
                <w:color w:val="auto"/>
              </w:rPr>
            </w:pPr>
            <w:r>
              <w:rPr>
                <w:rFonts w:ascii="Arial" w:cs="Arial" w:eastAsia="Arial" w:hAnsi="Arial"/>
                <w:sz w:val="18"/>
                <w:szCs w:val="18"/>
                <w:color w:val="auto"/>
                <w:w w:val="98"/>
              </w:rPr>
              <w:t>59,446</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w w:val="98"/>
              </w:rPr>
              <w:t>14,893</w:t>
            </w: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 of $7,947 and $8,160</w:t>
            </w:r>
          </w:p>
        </w:tc>
        <w:tc>
          <w:tcPr>
            <w:tcW w:w="420" w:type="dxa"/>
            <w:vAlign w:val="bottom"/>
          </w:tcPr>
          <w:p>
            <w:pPr>
              <w:spacing w:after="0"/>
              <w:rPr>
                <w:sz w:val="18"/>
                <w:szCs w:val="18"/>
                <w:color w:val="auto"/>
              </w:rPr>
            </w:pPr>
          </w:p>
        </w:tc>
        <w:tc>
          <w:tcPr>
            <w:tcW w:w="860" w:type="dxa"/>
            <w:vAlign w:val="bottom"/>
          </w:tcPr>
          <w:p>
            <w:pPr>
              <w:jc w:val="right"/>
              <w:ind w:right="213"/>
              <w:spacing w:after="0"/>
              <w:rPr>
                <w:sz w:val="20"/>
                <w:szCs w:val="20"/>
                <w:color w:val="auto"/>
              </w:rPr>
            </w:pPr>
            <w:r>
              <w:rPr>
                <w:rFonts w:ascii="Arial" w:cs="Arial" w:eastAsia="Arial" w:hAnsi="Arial"/>
                <w:sz w:val="18"/>
                <w:szCs w:val="18"/>
                <w:color w:val="auto"/>
              </w:rPr>
              <w:t>4,446</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1,126</w:t>
            </w:r>
          </w:p>
        </w:tc>
        <w:tc>
          <w:tcPr>
            <w:tcW w:w="3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w w:val="82"/>
              </w:rPr>
              <w:t>113,071</w:t>
            </w:r>
          </w:p>
        </w:tc>
        <w:tc>
          <w:tcPr>
            <w:tcW w:w="3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113,017</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payable and accrued expenses related to trade creditors</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3,121</w:t>
            </w:r>
          </w:p>
        </w:tc>
        <w:tc>
          <w:tcPr>
            <w:tcW w:w="38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tcPr>
          <w:p>
            <w:pPr>
              <w:spacing w:after="0"/>
              <w:rPr>
                <w:sz w:val="18"/>
                <w:szCs w:val="18"/>
                <w:color w:val="auto"/>
              </w:rPr>
            </w:pPr>
          </w:p>
        </w:tc>
        <w:tc>
          <w:tcPr>
            <w:tcW w:w="860" w:type="dxa"/>
            <w:vAlign w:val="bottom"/>
          </w:tcPr>
          <w:p>
            <w:pPr>
              <w:jc w:val="right"/>
              <w:ind w:right="213"/>
              <w:spacing w:after="0"/>
              <w:rPr>
                <w:sz w:val="20"/>
                <w:szCs w:val="20"/>
                <w:color w:val="auto"/>
              </w:rPr>
            </w:pPr>
            <w:r>
              <w:rPr>
                <w:rFonts w:ascii="Arial" w:cs="Arial" w:eastAsia="Arial" w:hAnsi="Arial"/>
                <w:sz w:val="18"/>
                <w:szCs w:val="18"/>
                <w:color w:val="auto"/>
              </w:rPr>
              <w:t>3,119</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Current portion of long-term debt</w:t>
            </w: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2,647</w:t>
            </w:r>
          </w:p>
        </w:tc>
        <w:tc>
          <w:tcPr>
            <w:tcW w:w="3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420" w:type="dxa"/>
            <w:vAlign w:val="bottom"/>
          </w:tcPr>
          <w:p>
            <w:pPr>
              <w:spacing w:after="0"/>
              <w:rPr>
                <w:sz w:val="18"/>
                <w:szCs w:val="18"/>
                <w:color w:val="auto"/>
              </w:rPr>
            </w:pPr>
          </w:p>
        </w:tc>
        <w:tc>
          <w:tcPr>
            <w:tcW w:w="860" w:type="dxa"/>
            <w:vAlign w:val="bottom"/>
          </w:tcPr>
          <w:p>
            <w:pPr>
              <w:jc w:val="right"/>
              <w:ind w:right="213"/>
              <w:spacing w:after="0"/>
              <w:rPr>
                <w:sz w:val="20"/>
                <w:szCs w:val="20"/>
                <w:color w:val="auto"/>
              </w:rPr>
            </w:pPr>
            <w:r>
              <w:rPr>
                <w:rFonts w:ascii="Arial" w:cs="Arial" w:eastAsia="Arial" w:hAnsi="Arial"/>
                <w:sz w:val="18"/>
                <w:szCs w:val="18"/>
                <w:color w:val="auto"/>
              </w:rPr>
              <w:t>8,887</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w w:val="98"/>
              </w:rPr>
              <w:t>29,415</w:t>
            </w: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30,178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Deferred income taxes</w:t>
            </w:r>
          </w:p>
        </w:tc>
        <w:tc>
          <w:tcPr>
            <w:tcW w:w="420" w:type="dxa"/>
            <w:vAlign w:val="bottom"/>
          </w:tcPr>
          <w:p>
            <w:pPr>
              <w:spacing w:after="0"/>
              <w:rPr>
                <w:sz w:val="18"/>
                <w:szCs w:val="18"/>
                <w:color w:val="auto"/>
              </w:rPr>
            </w:pPr>
          </w:p>
        </w:tc>
        <w:tc>
          <w:tcPr>
            <w:tcW w:w="860" w:type="dxa"/>
            <w:vAlign w:val="bottom"/>
          </w:tcPr>
          <w:p>
            <w:pPr>
              <w:jc w:val="right"/>
              <w:ind w:right="213"/>
              <w:spacing w:after="0"/>
              <w:rPr>
                <w:sz w:val="20"/>
                <w:szCs w:val="20"/>
                <w:color w:val="auto"/>
              </w:rPr>
            </w:pPr>
            <w:r>
              <w:rPr>
                <w:rFonts w:ascii="Arial" w:cs="Arial" w:eastAsia="Arial" w:hAnsi="Arial"/>
                <w:sz w:val="18"/>
                <w:szCs w:val="18"/>
                <w:color w:val="auto"/>
                <w:w w:val="98"/>
              </w:rPr>
              <w:t>27,188</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6,219</w:t>
            </w: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173</w:t>
            </w: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Equity:</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Preferred stock—authorized, 20,000,000 shares; issued, zero</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w w:val="90"/>
              </w:rPr>
              <w:t>Class A common stock, $0.01 par value—authorized, 7,500,000,000 shares; issued, 2,429,140,489 and 2,426,443,484;</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640"/>
              <w:spacing w:after="0"/>
              <w:rPr>
                <w:sz w:val="20"/>
                <w:szCs w:val="20"/>
                <w:color w:val="auto"/>
              </w:rPr>
            </w:pPr>
            <w:r>
              <w:rPr>
                <w:rFonts w:ascii="Arial" w:cs="Arial" w:eastAsia="Arial" w:hAnsi="Arial"/>
                <w:sz w:val="18"/>
                <w:szCs w:val="18"/>
                <w:color w:val="auto"/>
              </w:rPr>
              <w:t>outstanding, 2,063,679,739 and 2,060,982,734</w:t>
            </w:r>
          </w:p>
        </w:tc>
        <w:tc>
          <w:tcPr>
            <w:tcW w:w="420" w:type="dxa"/>
            <w:vAlign w:val="bottom"/>
          </w:tcPr>
          <w:p>
            <w:pPr>
              <w:spacing w:after="0"/>
              <w:rPr>
                <w:sz w:val="19"/>
                <w:szCs w:val="19"/>
                <w:color w:val="auto"/>
              </w:rPr>
            </w:pPr>
          </w:p>
        </w:tc>
        <w:tc>
          <w:tcPr>
            <w:tcW w:w="860" w:type="dxa"/>
            <w:vAlign w:val="bottom"/>
          </w:tcPr>
          <w:p>
            <w:pPr>
              <w:jc w:val="right"/>
              <w:ind w:right="213"/>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6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8"/>
              </w:rPr>
              <w:t>Class A Special common stock, $0.01 par value—authorized, 7,500,000,000 shares; issued, 881,186,552 and</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60" w:type="dxa"/>
            <w:vAlign w:val="bottom"/>
            <w:shd w:val="clear" w:color="auto" w:fill="E5E5E5"/>
          </w:tcPr>
          <w:p>
            <w:pPr>
              <w:ind w:left="640"/>
              <w:spacing w:after="0"/>
              <w:rPr>
                <w:sz w:val="20"/>
                <w:szCs w:val="20"/>
                <w:color w:val="auto"/>
              </w:rPr>
            </w:pPr>
            <w:r>
              <w:rPr>
                <w:rFonts w:ascii="Arial" w:cs="Arial" w:eastAsia="Arial" w:hAnsi="Arial"/>
                <w:sz w:val="18"/>
                <w:szCs w:val="18"/>
                <w:color w:val="auto"/>
              </w:rPr>
              <w:t>881,145,954; outstanding, 810,251,788 and 810,211,190</w:t>
            </w:r>
          </w:p>
        </w:tc>
        <w:tc>
          <w:tcPr>
            <w:tcW w:w="420" w:type="dxa"/>
            <w:vAlign w:val="bottom"/>
            <w:shd w:val="clear" w:color="auto" w:fill="E5E5E5"/>
          </w:tcPr>
          <w:p>
            <w:pPr>
              <w:spacing w:after="0"/>
              <w:rPr>
                <w:sz w:val="19"/>
                <w:szCs w:val="19"/>
                <w:color w:val="auto"/>
              </w:rPr>
            </w:pPr>
          </w:p>
        </w:tc>
        <w:tc>
          <w:tcPr>
            <w:tcW w:w="86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9</w:t>
            </w:r>
          </w:p>
        </w:tc>
        <w:tc>
          <w:tcPr>
            <w:tcW w:w="380" w:type="dxa"/>
            <w:vAlign w:val="bottom"/>
            <w:shd w:val="clear" w:color="auto" w:fill="E5E5E5"/>
          </w:tcPr>
          <w:p>
            <w:pPr>
              <w:spacing w:after="0"/>
              <w:rPr>
                <w:sz w:val="19"/>
                <w:szCs w:val="19"/>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w w:val="99"/>
              </w:rPr>
              <w:t>Class B common stock, $0.01 par value—authorized, 75,000,000 shares; issued and outstanding, 9,444,375</w:t>
            </w:r>
          </w:p>
        </w:tc>
        <w:tc>
          <w:tcPr>
            <w:tcW w:w="420" w:type="dxa"/>
            <w:vAlign w:val="bottom"/>
          </w:tcPr>
          <w:p>
            <w:pPr>
              <w:spacing w:after="0"/>
              <w:rPr>
                <w:sz w:val="18"/>
                <w:szCs w:val="18"/>
                <w:color w:val="auto"/>
              </w:rPr>
            </w:pPr>
          </w:p>
        </w:tc>
        <w:tc>
          <w:tcPr>
            <w:tcW w:w="86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Additional paid-in capital</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w w:val="98"/>
              </w:rPr>
              <w:t>40,668</w:t>
            </w: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40,620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420" w:type="dxa"/>
            <w:vAlign w:val="bottom"/>
          </w:tcPr>
          <w:p>
            <w:pPr>
              <w:spacing w:after="0"/>
              <w:rPr>
                <w:sz w:val="18"/>
                <w:szCs w:val="18"/>
                <w:color w:val="auto"/>
              </w:rPr>
            </w:pPr>
          </w:p>
        </w:tc>
        <w:tc>
          <w:tcPr>
            <w:tcW w:w="860" w:type="dxa"/>
            <w:vAlign w:val="bottom"/>
          </w:tcPr>
          <w:p>
            <w:pPr>
              <w:jc w:val="right"/>
              <w:ind w:right="213"/>
              <w:spacing w:after="0"/>
              <w:rPr>
                <w:sz w:val="20"/>
                <w:szCs w:val="20"/>
                <w:color w:val="auto"/>
              </w:rPr>
            </w:pPr>
            <w:r>
              <w:rPr>
                <w:rFonts w:ascii="Arial" w:cs="Arial" w:eastAsia="Arial" w:hAnsi="Arial"/>
                <w:sz w:val="18"/>
                <w:szCs w:val="18"/>
                <w:color w:val="auto"/>
              </w:rPr>
              <w:t>8,004</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Treasury stock—365,460,750 Class A common shares and 70,934,764 Class A Special common shares</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(7,517)</w:t>
            </w: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(93)</w:t>
            </w: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shd w:val="clear" w:color="auto" w:fill="E5E5E5"/>
          </w:tcPr>
          <w:p>
            <w:pPr>
              <w:spacing w:after="0"/>
              <w:rPr>
                <w:sz w:val="20"/>
                <w:szCs w:val="20"/>
                <w:color w:val="auto"/>
              </w:rPr>
            </w:pPr>
            <w:r>
              <w:rPr>
                <w:rFonts w:ascii="Arial" w:cs="Arial" w:eastAsia="Arial" w:hAnsi="Arial"/>
                <w:sz w:val="18"/>
                <w:szCs w:val="18"/>
                <w:color w:val="auto"/>
              </w:rPr>
              <w:t>Total Comcast Corporation stockholders’ equity</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w w:val="98"/>
              </w:rPr>
              <w:t>41,095</w:t>
            </w: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40,450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94</w:t>
            </w: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w w:val="98"/>
              </w:rPr>
              <w:t>41,189</w:t>
            </w:r>
          </w:p>
        </w:tc>
        <w:tc>
          <w:tcPr>
            <w:tcW w:w="3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40,576</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9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w w:val="82"/>
              </w:rPr>
              <w:t>113,071</w:t>
            </w:r>
          </w:p>
        </w:tc>
        <w:tc>
          <w:tcPr>
            <w:tcW w:w="3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113,017</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gridSpan w:val="3"/>
          </w:tcPr>
          <w:p>
            <w:pPr>
              <w:jc w:val="right"/>
              <w:ind w:right="213"/>
              <w:spacing w:after="0"/>
              <w:rPr>
                <w:sz w:val="20"/>
                <w:szCs w:val="20"/>
                <w:color w:val="auto"/>
              </w:rPr>
            </w:pPr>
            <w:r>
              <w:rPr>
                <w:rFonts w:ascii="Arial" w:cs="Arial" w:eastAsia="Arial" w:hAnsi="Arial"/>
                <w:sz w:val="14"/>
                <w:szCs w:val="14"/>
                <w:color w:val="auto"/>
                <w:w w:val="93"/>
              </w:rPr>
              <w:t>Three Months Ended</w:t>
            </w:r>
          </w:p>
        </w:tc>
        <w:tc>
          <w:tcPr>
            <w:tcW w:w="0" w:type="dxa"/>
            <w:vAlign w:val="bottom"/>
          </w:tcPr>
          <w:p>
            <w:pPr>
              <w:spacing w:after="0"/>
              <w:rPr>
                <w:sz w:val="1"/>
                <w:szCs w:val="1"/>
                <w:color w:val="auto"/>
              </w:rPr>
            </w:pPr>
          </w:p>
        </w:tc>
      </w:tr>
      <w:tr>
        <w:trPr>
          <w:trHeight w:val="159"/>
        </w:trPr>
        <w:tc>
          <w:tcPr>
            <w:tcW w:w="9320" w:type="dxa"/>
            <w:vAlign w:val="bottom"/>
            <w:gridSpan w:val="2"/>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5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12"/>
              <w:spacing w:after="0" w:line="159" w:lineRule="exact"/>
              <w:rPr>
                <w:sz w:val="20"/>
                <w:szCs w:val="20"/>
                <w:color w:val="auto"/>
              </w:rPr>
            </w:pPr>
            <w:r>
              <w:rPr>
                <w:rFonts w:ascii="Arial" w:cs="Arial" w:eastAsia="Arial" w:hAnsi="Arial"/>
                <w:sz w:val="14"/>
                <w:szCs w:val="14"/>
                <w:color w:val="auto"/>
              </w:rPr>
              <w:t>March 31</w:t>
            </w: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32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jc w:val="right"/>
              <w:ind w:right="335"/>
              <w:spacing w:after="0" w:line="142" w:lineRule="exact"/>
              <w:rPr>
                <w:sz w:val="20"/>
                <w:szCs w:val="20"/>
                <w:color w:val="auto"/>
              </w:rPr>
            </w:pPr>
            <w:r>
              <w:rPr>
                <w:rFonts w:ascii="Arial" w:cs="Arial" w:eastAsia="Arial" w:hAnsi="Arial"/>
                <w:sz w:val="14"/>
                <w:szCs w:val="14"/>
                <w:color w:val="auto"/>
                <w:w w:val="83"/>
              </w:rPr>
              <w:t>2009</w:t>
            </w:r>
          </w:p>
        </w:tc>
        <w:tc>
          <w:tcPr>
            <w:tcW w:w="340" w:type="dxa"/>
            <w:vAlign w:val="bottom"/>
          </w:tcPr>
          <w:p>
            <w:pPr>
              <w:spacing w:after="0"/>
              <w:rPr>
                <w:sz w:val="12"/>
                <w:szCs w:val="12"/>
                <w:color w:val="auto"/>
              </w:rPr>
            </w:pPr>
          </w:p>
        </w:tc>
        <w:tc>
          <w:tcPr>
            <w:tcW w:w="500" w:type="dxa"/>
            <w:vAlign w:val="bottom"/>
          </w:tcPr>
          <w:p>
            <w:pPr>
              <w:jc w:val="right"/>
              <w:ind w:right="113"/>
              <w:spacing w:after="0" w:line="142" w:lineRule="exact"/>
              <w:rPr>
                <w:sz w:val="20"/>
                <w:szCs w:val="20"/>
                <w:color w:val="auto"/>
              </w:rPr>
            </w:pPr>
            <w:r>
              <w:rPr>
                <w:rFonts w:ascii="Arial" w:cs="Arial" w:eastAsia="Arial" w:hAnsi="Arial"/>
                <w:sz w:val="14"/>
                <w:szCs w:val="14"/>
                <w:color w:val="auto"/>
                <w:w w:val="89"/>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5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w w:val="88"/>
              </w:rPr>
              <w:t>8,835</w:t>
            </w:r>
          </w:p>
        </w:tc>
        <w:tc>
          <w:tcPr>
            <w:tcW w:w="3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3"/>
              </w:rPr>
              <w:t>8,389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Costs and Expenses:</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(excluding depreciation and amortization)</w:t>
            </w:r>
          </w:p>
        </w:tc>
        <w:tc>
          <w:tcPr>
            <w:tcW w:w="5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w w:val="88"/>
              </w:rPr>
              <w:t>3,565</w:t>
            </w:r>
          </w:p>
        </w:tc>
        <w:tc>
          <w:tcPr>
            <w:tcW w:w="34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3"/>
              </w:rPr>
              <w:t>3,361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Pr>
          <w:p>
            <w:pPr>
              <w:spacing w:after="0"/>
              <w:rPr>
                <w:sz w:val="18"/>
                <w:szCs w:val="18"/>
                <w:color w:val="auto"/>
              </w:rPr>
            </w:pPr>
          </w:p>
        </w:tc>
        <w:tc>
          <w:tcPr>
            <w:tcW w:w="700" w:type="dxa"/>
            <w:vAlign w:val="bottom"/>
          </w:tcPr>
          <w:p>
            <w:pPr>
              <w:jc w:val="right"/>
              <w:ind w:right="195"/>
              <w:spacing w:after="0"/>
              <w:rPr>
                <w:sz w:val="20"/>
                <w:szCs w:val="20"/>
                <w:color w:val="auto"/>
              </w:rPr>
            </w:pPr>
            <w:r>
              <w:rPr>
                <w:rFonts w:ascii="Arial" w:cs="Arial" w:eastAsia="Arial" w:hAnsi="Arial"/>
                <w:sz w:val="18"/>
                <w:szCs w:val="18"/>
                <w:color w:val="auto"/>
                <w:w w:val="88"/>
              </w:rPr>
              <w:t>1,826</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Depreciation</w:t>
            </w:r>
          </w:p>
        </w:tc>
        <w:tc>
          <w:tcPr>
            <w:tcW w:w="5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w w:val="88"/>
              </w:rPr>
              <w:t>1,380</w:t>
            </w:r>
          </w:p>
        </w:tc>
        <w:tc>
          <w:tcPr>
            <w:tcW w:w="34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3"/>
              </w:rPr>
              <w:t>1,390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Amortization</w:t>
            </w:r>
          </w:p>
        </w:tc>
        <w:tc>
          <w:tcPr>
            <w:tcW w:w="5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253</w:t>
            </w:r>
          </w:p>
        </w:tc>
        <w:tc>
          <w:tcPr>
            <w:tcW w:w="3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w w:val="88"/>
              </w:rPr>
              <w:t>7,024</w:t>
            </w:r>
          </w:p>
        </w:tc>
        <w:tc>
          <w:tcPr>
            <w:tcW w:w="3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3"/>
              </w:rPr>
              <w:t>6,834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Operating income</w:t>
            </w:r>
          </w:p>
        </w:tc>
        <w:tc>
          <w:tcPr>
            <w:tcW w:w="560" w:type="dxa"/>
            <w:vAlign w:val="bottom"/>
          </w:tcPr>
          <w:p>
            <w:pPr>
              <w:spacing w:after="0"/>
              <w:rPr>
                <w:sz w:val="18"/>
                <w:szCs w:val="18"/>
                <w:color w:val="auto"/>
              </w:rPr>
            </w:pPr>
          </w:p>
        </w:tc>
        <w:tc>
          <w:tcPr>
            <w:tcW w:w="700" w:type="dxa"/>
            <w:vAlign w:val="bottom"/>
          </w:tcPr>
          <w:p>
            <w:pPr>
              <w:jc w:val="right"/>
              <w:ind w:right="195"/>
              <w:spacing w:after="0"/>
              <w:rPr>
                <w:sz w:val="20"/>
                <w:szCs w:val="20"/>
                <w:color w:val="auto"/>
              </w:rPr>
            </w:pPr>
            <w:r>
              <w:rPr>
                <w:rFonts w:ascii="Arial" w:cs="Arial" w:eastAsia="Arial" w:hAnsi="Arial"/>
                <w:sz w:val="18"/>
                <w:szCs w:val="18"/>
                <w:color w:val="auto"/>
                <w:w w:val="88"/>
              </w:rPr>
              <w:t>1,811</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spacing w:after="0"/>
              <w:rPr>
                <w:sz w:val="20"/>
                <w:szCs w:val="20"/>
                <w:color w:val="auto"/>
              </w:rPr>
            </w:pPr>
            <w:r>
              <w:rPr>
                <w:rFonts w:ascii="Arial" w:cs="Arial" w:eastAsia="Arial" w:hAnsi="Arial"/>
                <w:sz w:val="18"/>
                <w:szCs w:val="18"/>
                <w:color w:val="auto"/>
              </w:rPr>
              <w:t>Other Income (Expense):</w:t>
            </w:r>
          </w:p>
        </w:tc>
        <w:tc>
          <w:tcPr>
            <w:tcW w:w="5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18"/>
                <w:szCs w:val="18"/>
                <w:color w:val="auto"/>
              </w:rPr>
            </w:pPr>
          </w:p>
        </w:tc>
        <w:tc>
          <w:tcPr>
            <w:tcW w:w="700" w:type="dxa"/>
            <w:vAlign w:val="bottom"/>
          </w:tcPr>
          <w:p>
            <w:pPr>
              <w:jc w:val="right"/>
              <w:ind w:right="135"/>
              <w:spacing w:after="0"/>
              <w:rPr>
                <w:sz w:val="20"/>
                <w:szCs w:val="20"/>
                <w:color w:val="auto"/>
              </w:rPr>
            </w:pPr>
            <w:r>
              <w:rPr>
                <w:rFonts w:ascii="Arial" w:cs="Arial" w:eastAsia="Arial" w:hAnsi="Arial"/>
                <w:sz w:val="18"/>
                <w:szCs w:val="18"/>
                <w:color w:val="auto"/>
              </w:rPr>
              <w:t>(570)</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Investment income (loss), net</w:t>
            </w:r>
          </w:p>
        </w:tc>
        <w:tc>
          <w:tcPr>
            <w:tcW w:w="5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13</w:t>
            </w:r>
          </w:p>
        </w:tc>
        <w:tc>
          <w:tcPr>
            <w:tcW w:w="34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Equity in net income (losses) of affiliates, net</w:t>
            </w:r>
          </w:p>
        </w:tc>
        <w:tc>
          <w:tcPr>
            <w:tcW w:w="560" w:type="dxa"/>
            <w:vAlign w:val="bottom"/>
          </w:tcPr>
          <w:p>
            <w:pPr>
              <w:spacing w:after="0"/>
              <w:rPr>
                <w:sz w:val="18"/>
                <w:szCs w:val="18"/>
                <w:color w:val="auto"/>
              </w:rPr>
            </w:pPr>
          </w:p>
        </w:tc>
        <w:tc>
          <w:tcPr>
            <w:tcW w:w="700" w:type="dxa"/>
            <w:vAlign w:val="bottom"/>
          </w:tcPr>
          <w:p>
            <w:pPr>
              <w:jc w:val="right"/>
              <w:ind w:right="135"/>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 income (expense)</w:t>
            </w:r>
          </w:p>
        </w:tc>
        <w:tc>
          <w:tcPr>
            <w:tcW w:w="5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(572)</w:t>
            </w:r>
          </w:p>
        </w:tc>
        <w:tc>
          <w:tcPr>
            <w:tcW w:w="3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shd w:val="clear" w:color="auto" w:fill="E5E5E5"/>
          </w:tcPr>
          <w:p>
            <w:pPr>
              <w:spacing w:after="0"/>
              <w:rPr>
                <w:sz w:val="20"/>
                <w:szCs w:val="20"/>
                <w:color w:val="auto"/>
              </w:rPr>
            </w:pPr>
            <w:r>
              <w:rPr>
                <w:rFonts w:ascii="Arial" w:cs="Arial" w:eastAsia="Arial" w:hAnsi="Arial"/>
                <w:sz w:val="18"/>
                <w:szCs w:val="18"/>
                <w:color w:val="auto"/>
              </w:rPr>
              <w:t>Income before income taxes</w:t>
            </w:r>
          </w:p>
        </w:tc>
        <w:tc>
          <w:tcPr>
            <w:tcW w:w="5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w w:val="88"/>
              </w:rPr>
              <w:t>1,239</w:t>
            </w:r>
          </w:p>
        </w:tc>
        <w:tc>
          <w:tcPr>
            <w:tcW w:w="34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3"/>
              </w:rPr>
              <w:t>1,246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w:t>
            </w:r>
          </w:p>
        </w:tc>
        <w:tc>
          <w:tcPr>
            <w:tcW w:w="5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(461)</w:t>
            </w:r>
          </w:p>
        </w:tc>
        <w:tc>
          <w:tcPr>
            <w:tcW w:w="3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shd w:val="clear" w:color="auto" w:fill="E5E5E5"/>
          </w:tcPr>
          <w:p>
            <w:pPr>
              <w:spacing w:after="0"/>
              <w:rPr>
                <w:sz w:val="20"/>
                <w:szCs w:val="20"/>
                <w:color w:val="auto"/>
              </w:rPr>
            </w:pPr>
            <w:r>
              <w:rPr>
                <w:rFonts w:ascii="Arial" w:cs="Arial" w:eastAsia="Arial" w:hAnsi="Arial"/>
                <w:sz w:val="18"/>
                <w:szCs w:val="18"/>
                <w:color w:val="auto"/>
              </w:rPr>
              <w:t>Net income from consolidated operations</w:t>
            </w:r>
          </w:p>
        </w:tc>
        <w:tc>
          <w:tcPr>
            <w:tcW w:w="5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778</w:t>
            </w:r>
          </w:p>
        </w:tc>
        <w:tc>
          <w:tcPr>
            <w:tcW w:w="34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Less: Net income (loss) attributable to noncontrolling interests</w:t>
            </w:r>
          </w:p>
        </w:tc>
        <w:tc>
          <w:tcPr>
            <w:tcW w:w="5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6</w:t>
            </w:r>
          </w:p>
        </w:tc>
        <w:tc>
          <w:tcPr>
            <w:tcW w:w="3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9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b w:val="1"/>
                <w:bCs w:val="1"/>
                <w:color w:val="auto"/>
              </w:rPr>
              <w:t>772</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732</w:t>
            </w:r>
          </w:p>
        </w:tc>
        <w:tc>
          <w:tcPr>
            <w:tcW w:w="0" w:type="dxa"/>
            <w:vAlign w:val="bottom"/>
          </w:tcPr>
          <w:p>
            <w:pPr>
              <w:spacing w:after="0"/>
              <w:rPr>
                <w:sz w:val="1"/>
                <w:szCs w:val="1"/>
                <w:color w:val="auto"/>
              </w:rPr>
            </w:pPr>
          </w:p>
        </w:tc>
      </w:tr>
      <w:tr>
        <w:trPr>
          <w:trHeight w:val="322"/>
        </w:trPr>
        <w:tc>
          <w:tcPr>
            <w:tcW w:w="9320" w:type="dxa"/>
            <w:vAlign w:val="bottom"/>
            <w:gridSpan w:val="2"/>
          </w:tcPr>
          <w:p>
            <w:pPr>
              <w:spacing w:after="0"/>
              <w:rPr>
                <w:sz w:val="20"/>
                <w:szCs w:val="20"/>
                <w:color w:val="auto"/>
              </w:rPr>
            </w:pPr>
            <w:r>
              <w:rPr>
                <w:rFonts w:ascii="Arial" w:cs="Arial" w:eastAsia="Arial" w:hAnsi="Arial"/>
                <w:sz w:val="18"/>
                <w:szCs w:val="18"/>
                <w:b w:val="1"/>
                <w:bCs w:val="1"/>
                <w:color w:val="auto"/>
              </w:rPr>
              <w:t>Basic earnings per common share attributable to Comcast Corporation stockholders</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95"/>
              <w:spacing w:after="0"/>
              <w:rPr>
                <w:sz w:val="20"/>
                <w:szCs w:val="20"/>
                <w:color w:val="auto"/>
              </w:rPr>
            </w:pPr>
            <w:r>
              <w:rPr>
                <w:rFonts w:ascii="Arial" w:cs="Arial" w:eastAsia="Arial" w:hAnsi="Arial"/>
                <w:sz w:val="18"/>
                <w:szCs w:val="18"/>
                <w:b w:val="1"/>
                <w:bCs w:val="1"/>
                <w:color w:val="auto"/>
              </w:rPr>
              <w:t>0.27</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0.24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Diluted earnings per common share attributable to Comcast Corporation stockholders</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E5E5E5"/>
          </w:tcPr>
          <w:p>
            <w:pPr>
              <w:jc w:val="right"/>
              <w:ind w:right="195"/>
              <w:spacing w:after="0"/>
              <w:rPr>
                <w:sz w:val="20"/>
                <w:szCs w:val="20"/>
                <w:color w:val="auto"/>
              </w:rPr>
            </w:pPr>
            <w:r>
              <w:rPr>
                <w:rFonts w:ascii="Arial" w:cs="Arial" w:eastAsia="Arial" w:hAnsi="Arial"/>
                <w:sz w:val="18"/>
                <w:szCs w:val="18"/>
                <w:b w:val="1"/>
                <w:bCs w:val="1"/>
                <w:color w:val="auto"/>
              </w:rPr>
              <w:t>0.27</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0.24</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9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Dividends declared per common share attributable to Comcast Corporation stockholders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b w:val="1"/>
                <w:bCs w:val="1"/>
                <w:color w:val="auto"/>
              </w:rPr>
              <w:t>0.07</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0.06</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2100" w:type="dxa"/>
            <w:vAlign w:val="bottom"/>
            <w:gridSpan w:val="3"/>
          </w:tcPr>
          <w:p>
            <w:pPr>
              <w:jc w:val="right"/>
              <w:ind w:right="213"/>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93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580" w:type="dxa"/>
            <w:vAlign w:val="bottom"/>
            <w:tcBorders>
              <w:bottom w:val="single" w:sz="8" w:color="auto"/>
            </w:tcBorders>
            <w:gridSpan w:val="2"/>
          </w:tcPr>
          <w:p>
            <w:pPr>
              <w:jc w:val="right"/>
              <w:ind w:right="12"/>
              <w:spacing w:after="0" w:line="159" w:lineRule="exact"/>
              <w:rPr>
                <w:sz w:val="20"/>
                <w:szCs w:val="20"/>
                <w:color w:val="auto"/>
              </w:rPr>
            </w:pPr>
            <w:r>
              <w:rPr>
                <w:rFonts w:ascii="Arial" w:cs="Arial" w:eastAsia="Arial" w:hAnsi="Arial"/>
                <w:sz w:val="14"/>
                <w:szCs w:val="14"/>
                <w:color w:val="auto"/>
              </w:rPr>
              <w:t>March 31</w:t>
            </w: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320" w:type="dxa"/>
            <w:vAlign w:val="bottom"/>
            <w:gridSpan w:val="2"/>
            <w:vMerge w:val="continue"/>
          </w:tcPr>
          <w:p>
            <w:pPr>
              <w:spacing w:after="0"/>
              <w:rPr>
                <w:sz w:val="12"/>
                <w:szCs w:val="12"/>
                <w:color w:val="auto"/>
              </w:rPr>
            </w:pPr>
          </w:p>
        </w:tc>
        <w:tc>
          <w:tcPr>
            <w:tcW w:w="1260" w:type="dxa"/>
            <w:vAlign w:val="bottom"/>
          </w:tcPr>
          <w:p>
            <w:pPr>
              <w:jc w:val="right"/>
              <w:ind w:right="335"/>
              <w:spacing w:after="0" w:line="142" w:lineRule="exact"/>
              <w:rPr>
                <w:sz w:val="20"/>
                <w:szCs w:val="20"/>
                <w:color w:val="auto"/>
              </w:rPr>
            </w:pPr>
            <w:r>
              <w:rPr>
                <w:rFonts w:ascii="Arial" w:cs="Arial" w:eastAsia="Arial" w:hAnsi="Arial"/>
                <w:sz w:val="14"/>
                <w:szCs w:val="14"/>
                <w:color w:val="auto"/>
              </w:rPr>
              <w:t>2009</w:t>
            </w:r>
          </w:p>
        </w:tc>
        <w:tc>
          <w:tcPr>
            <w:tcW w:w="320" w:type="dxa"/>
            <w:vAlign w:val="bottom"/>
          </w:tcPr>
          <w:p>
            <w:pPr>
              <w:spacing w:after="0"/>
              <w:rPr>
                <w:sz w:val="12"/>
                <w:szCs w:val="12"/>
                <w:color w:val="auto"/>
              </w:rPr>
            </w:pPr>
          </w:p>
        </w:tc>
        <w:tc>
          <w:tcPr>
            <w:tcW w:w="520" w:type="dxa"/>
            <w:vAlign w:val="bottom"/>
          </w:tcPr>
          <w:p>
            <w:pPr>
              <w:jc w:val="right"/>
              <w:ind w:right="113"/>
              <w:spacing w:after="0" w:line="142" w:lineRule="exact"/>
              <w:rPr>
                <w:sz w:val="20"/>
                <w:szCs w:val="20"/>
                <w:color w:val="auto"/>
              </w:rPr>
            </w:pPr>
            <w:r>
              <w:rPr>
                <w:rFonts w:ascii="Arial" w:cs="Arial" w:eastAsia="Arial" w:hAnsi="Arial"/>
                <w:sz w:val="14"/>
                <w:szCs w:val="14"/>
                <w:color w:val="auto"/>
                <w:w w:val="96"/>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260" w:type="dxa"/>
            <w:vAlign w:val="bottom"/>
            <w:tcBorders>
              <w:top w:val="single" w:sz="8" w:color="auto"/>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b w:val="1"/>
                <w:bCs w:val="1"/>
                <w:color w:val="auto"/>
              </w:rPr>
              <w:t>$ 2,512</w:t>
            </w:r>
          </w:p>
        </w:tc>
        <w:tc>
          <w:tcPr>
            <w:tcW w:w="3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7"/>
              </w:rPr>
              <w:t>2,259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Proceeds from borrowings</w:t>
            </w:r>
          </w:p>
        </w:tc>
        <w:tc>
          <w:tcPr>
            <w:tcW w:w="126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20</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Repurchases and repayments of debt</w:t>
            </w:r>
          </w:p>
        </w:tc>
        <w:tc>
          <w:tcPr>
            <w:tcW w:w="1260" w:type="dxa"/>
            <w:vAlign w:val="bottom"/>
          </w:tcPr>
          <w:p>
            <w:pPr>
              <w:jc w:val="right"/>
              <w:ind w:right="135"/>
              <w:spacing w:after="0"/>
              <w:rPr>
                <w:sz w:val="20"/>
                <w:szCs w:val="20"/>
                <w:color w:val="auto"/>
              </w:rPr>
            </w:pPr>
            <w:r>
              <w:rPr>
                <w:rFonts w:ascii="Arial" w:cs="Arial" w:eastAsia="Arial" w:hAnsi="Arial"/>
                <w:sz w:val="18"/>
                <w:szCs w:val="18"/>
                <w:color w:val="auto"/>
              </w:rPr>
              <w:t>(352)</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Repurchases of common stock</w:t>
            </w:r>
          </w:p>
        </w:tc>
        <w:tc>
          <w:tcPr>
            <w:tcW w:w="126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1260" w:type="dxa"/>
            <w:vAlign w:val="bottom"/>
          </w:tcPr>
          <w:p>
            <w:pPr>
              <w:jc w:val="right"/>
              <w:ind w:right="135"/>
              <w:spacing w:after="0"/>
              <w:rPr>
                <w:sz w:val="20"/>
                <w:szCs w:val="20"/>
                <w:color w:val="auto"/>
              </w:rPr>
            </w:pPr>
            <w:r>
              <w:rPr>
                <w:rFonts w:ascii="Arial" w:cs="Arial" w:eastAsia="Arial" w:hAnsi="Arial"/>
                <w:sz w:val="18"/>
                <w:szCs w:val="18"/>
                <w:color w:val="auto"/>
              </w:rPr>
              <w:t>(180)</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Issuances of common stock</w:t>
            </w:r>
          </w:p>
        </w:tc>
        <w:tc>
          <w:tcPr>
            <w:tcW w:w="126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26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b w:val="1"/>
                <w:bCs w:val="1"/>
                <w:color w:val="auto"/>
              </w:rPr>
              <w:t>(512)</w:t>
            </w:r>
          </w:p>
        </w:tc>
        <w:tc>
          <w:tcPr>
            <w:tcW w:w="3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7"/>
              </w:rPr>
              <w:t>(1,044)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Capital expenditures</w:t>
            </w:r>
          </w:p>
        </w:tc>
        <w:tc>
          <w:tcPr>
            <w:tcW w:w="12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(1,160)</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(1,431)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Cash paid for intangible assets</w:t>
            </w:r>
          </w:p>
        </w:tc>
        <w:tc>
          <w:tcPr>
            <w:tcW w:w="1260" w:type="dxa"/>
            <w:vAlign w:val="bottom"/>
          </w:tcPr>
          <w:p>
            <w:pPr>
              <w:jc w:val="right"/>
              <w:ind w:right="135"/>
              <w:spacing w:after="0"/>
              <w:rPr>
                <w:sz w:val="20"/>
                <w:szCs w:val="20"/>
                <w:color w:val="auto"/>
              </w:rPr>
            </w:pPr>
            <w:r>
              <w:rPr>
                <w:rFonts w:ascii="Arial" w:cs="Arial" w:eastAsia="Arial" w:hAnsi="Arial"/>
                <w:sz w:val="18"/>
                <w:szCs w:val="18"/>
                <w:color w:val="auto"/>
              </w:rPr>
              <w:t>(133)</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Acquisitions, net of cash acquired</w:t>
            </w:r>
          </w:p>
        </w:tc>
        <w:tc>
          <w:tcPr>
            <w:tcW w:w="12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(7)</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Proceeds from sales of investments</w:t>
            </w:r>
          </w:p>
        </w:tc>
        <w:tc>
          <w:tcPr>
            <w:tcW w:w="1260" w:type="dxa"/>
            <w:vAlign w:val="bottom"/>
          </w:tcPr>
          <w:p>
            <w:pPr>
              <w:jc w:val="right"/>
              <w:ind w:right="195"/>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Purchases of investments</w:t>
            </w:r>
          </w:p>
        </w:tc>
        <w:tc>
          <w:tcPr>
            <w:tcW w:w="12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(47)</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24</w:t>
            </w: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26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b w:val="1"/>
                <w:bCs w:val="1"/>
                <w:color w:val="auto"/>
              </w:rPr>
              <w:t>(1,316)</w:t>
            </w:r>
          </w:p>
        </w:tc>
        <w:tc>
          <w:tcPr>
            <w:tcW w:w="3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7"/>
              </w:rPr>
              <w:t>(1,543)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260" w:type="dxa"/>
            <w:vAlign w:val="bottom"/>
          </w:tcPr>
          <w:p>
            <w:pPr>
              <w:jc w:val="right"/>
              <w:ind w:right="195"/>
              <w:spacing w:after="0"/>
              <w:rPr>
                <w:sz w:val="20"/>
                <w:szCs w:val="20"/>
                <w:color w:val="auto"/>
              </w:rPr>
            </w:pPr>
            <w:r>
              <w:rPr>
                <w:rFonts w:ascii="Arial" w:cs="Arial" w:eastAsia="Arial" w:hAnsi="Arial"/>
                <w:sz w:val="18"/>
                <w:szCs w:val="18"/>
                <w:color w:val="auto"/>
              </w:rPr>
              <w:t>684</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126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rPr>
              <w:t>1,195</w:t>
            </w:r>
          </w:p>
        </w:tc>
        <w:tc>
          <w:tcPr>
            <w:tcW w:w="3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9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26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b w:val="1"/>
                <w:bCs w:val="1"/>
                <w:color w:val="auto"/>
              </w:rPr>
              <w:t>$ 1,879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635</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5"/>
          </w:tcPr>
          <w:p>
            <w:pPr>
              <w:jc w:val="right"/>
              <w:ind w:right="321"/>
              <w:spacing w:after="0"/>
              <w:rPr>
                <w:sz w:val="20"/>
                <w:szCs w:val="20"/>
                <w:color w:val="auto"/>
              </w:rPr>
            </w:pPr>
            <w:r>
              <w:rPr>
                <w:rFonts w:ascii="Arial" w:cs="Arial" w:eastAsia="Arial" w:hAnsi="Arial"/>
                <w:sz w:val="14"/>
                <w:szCs w:val="14"/>
                <w:color w:val="auto"/>
              </w:rPr>
              <w:t>Comcast Corporation Stockholders’ Equity</w:t>
            </w: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4"/>
          </w:tcPr>
          <w:p>
            <w:pPr>
              <w:jc w:val="center"/>
              <w:ind w:right="440"/>
              <w:spacing w:after="0" w:line="131" w:lineRule="exact"/>
              <w:rPr>
                <w:sz w:val="20"/>
                <w:szCs w:val="20"/>
                <w:color w:val="auto"/>
              </w:rPr>
            </w:pPr>
            <w:r>
              <w:rPr>
                <w:rFonts w:ascii="Arial" w:cs="Arial" w:eastAsia="Arial" w:hAnsi="Arial"/>
                <w:sz w:val="14"/>
                <w:szCs w:val="14"/>
                <w:color w:val="auto"/>
                <w:w w:val="87"/>
              </w:rPr>
              <w:t>Common Stock</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center"/>
              <w:ind w:left="81"/>
              <w:spacing w:after="0" w:line="159" w:lineRule="exact"/>
              <w:rPr>
                <w:sz w:val="20"/>
                <w:szCs w:val="20"/>
                <w:color w:val="auto"/>
              </w:rPr>
            </w:pPr>
            <w:r>
              <w:rPr>
                <w:rFonts w:ascii="Arial" w:cs="Arial" w:eastAsia="Arial" w:hAnsi="Arial"/>
                <w:sz w:val="14"/>
                <w:szCs w:val="14"/>
                <w:color w:val="auto"/>
                <w:w w:val="85"/>
              </w:rPr>
              <w:t>Class</w:t>
            </w:r>
          </w:p>
        </w:tc>
        <w:tc>
          <w:tcPr>
            <w:tcW w:w="4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color w:val="auto"/>
                <w:w w:val="88"/>
              </w:rPr>
              <w:t>Accumulated</w:t>
            </w: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120" w:type="dxa"/>
            <w:vAlign w:val="bottom"/>
            <w:tcBorders>
              <w:right w:val="single" w:sz="8" w:color="auto"/>
            </w:tcBorders>
            <w:gridSpan w:val="2"/>
          </w:tcPr>
          <w:p>
            <w:pPr>
              <w:jc w:val="right"/>
              <w:ind w:right="94"/>
              <w:spacing w:after="0" w:line="149" w:lineRule="exact"/>
              <w:rPr>
                <w:sz w:val="20"/>
                <w:szCs w:val="20"/>
                <w:color w:val="auto"/>
              </w:rPr>
            </w:pPr>
            <w:r>
              <w:rPr>
                <w:rFonts w:ascii="Arial" w:cs="Arial" w:eastAsia="Arial" w:hAnsi="Arial"/>
                <w:sz w:val="14"/>
                <w:szCs w:val="14"/>
                <w:color w:val="auto"/>
              </w:rPr>
              <w:t>Redeemable</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97"/>
              <w:spacing w:after="0" w:line="149" w:lineRule="exact"/>
              <w:rPr>
                <w:sz w:val="20"/>
                <w:szCs w:val="20"/>
                <w:color w:val="auto"/>
              </w:rPr>
            </w:pPr>
            <w:r>
              <w:rPr>
                <w:rFonts w:ascii="Arial" w:cs="Arial" w:eastAsia="Arial" w:hAnsi="Arial"/>
                <w:sz w:val="14"/>
                <w:szCs w:val="14"/>
                <w:color w:val="auto"/>
              </w:rPr>
              <w:t>Additional</w:t>
            </w:r>
          </w:p>
        </w:tc>
        <w:tc>
          <w:tcPr>
            <w:tcW w:w="8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86"/>
              </w:rPr>
              <w:t>Treasury</w:t>
            </w:r>
          </w:p>
        </w:tc>
        <w:tc>
          <w:tcPr>
            <w:tcW w:w="300" w:type="dxa"/>
            <w:vAlign w:val="bottom"/>
          </w:tcPr>
          <w:p>
            <w:pPr>
              <w:spacing w:after="0"/>
              <w:rPr>
                <w:sz w:val="12"/>
                <w:szCs w:val="12"/>
                <w:color w:val="auto"/>
              </w:rPr>
            </w:pPr>
          </w:p>
        </w:tc>
        <w:tc>
          <w:tcPr>
            <w:tcW w:w="740" w:type="dxa"/>
            <w:vAlign w:val="bottom"/>
          </w:tcPr>
          <w:p>
            <w:pPr>
              <w:jc w:val="center"/>
              <w:ind w:right="155"/>
              <w:spacing w:after="0" w:line="149" w:lineRule="exact"/>
              <w:rPr>
                <w:sz w:val="20"/>
                <w:szCs w:val="20"/>
                <w:color w:val="auto"/>
              </w:rPr>
            </w:pPr>
            <w:r>
              <w:rPr>
                <w:rFonts w:ascii="Arial" w:cs="Arial" w:eastAsia="Arial" w:hAnsi="Arial"/>
                <w:sz w:val="14"/>
                <w:szCs w:val="14"/>
                <w:color w:val="auto"/>
                <w:w w:val="85"/>
              </w:rPr>
              <w:t>Other</w:t>
            </w: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120" w:type="dxa"/>
            <w:vAlign w:val="bottom"/>
            <w:tcBorders>
              <w:right w:val="single" w:sz="8" w:color="auto"/>
            </w:tcBorders>
            <w:gridSpan w:val="2"/>
          </w:tcPr>
          <w:p>
            <w:pPr>
              <w:ind w:left="200"/>
              <w:spacing w:after="0" w:line="149" w:lineRule="exact"/>
              <w:rPr>
                <w:sz w:val="20"/>
                <w:szCs w:val="20"/>
                <w:color w:val="auto"/>
              </w:rPr>
            </w:pPr>
            <w:r>
              <w:rPr>
                <w:rFonts w:ascii="Arial" w:cs="Arial" w:eastAsia="Arial" w:hAnsi="Arial"/>
                <w:sz w:val="14"/>
                <w:szCs w:val="14"/>
                <w:color w:val="auto"/>
                <w:w w:val="98"/>
              </w:rPr>
              <w:t>Noncontrolling</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jc w:val="right"/>
              <w:ind w:right="196"/>
              <w:spacing w:after="0" w:line="149" w:lineRule="exact"/>
              <w:rPr>
                <w:sz w:val="20"/>
                <w:szCs w:val="20"/>
                <w:color w:val="auto"/>
              </w:rPr>
            </w:pPr>
            <w:r>
              <w:rPr>
                <w:rFonts w:ascii="Arial" w:cs="Arial" w:eastAsia="Arial" w:hAnsi="Arial"/>
                <w:sz w:val="14"/>
                <w:szCs w:val="14"/>
                <w:color w:val="auto"/>
              </w:rPr>
              <w:t>A</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177"/>
              <w:spacing w:after="0" w:line="149" w:lineRule="exact"/>
              <w:rPr>
                <w:sz w:val="20"/>
                <w:szCs w:val="20"/>
                <w:color w:val="auto"/>
              </w:rPr>
            </w:pPr>
            <w:r>
              <w:rPr>
                <w:rFonts w:ascii="Arial" w:cs="Arial" w:eastAsia="Arial" w:hAnsi="Arial"/>
                <w:sz w:val="14"/>
                <w:szCs w:val="14"/>
                <w:color w:val="auto"/>
              </w:rPr>
              <w:t>Paid-In</w:t>
            </w:r>
          </w:p>
        </w:tc>
        <w:tc>
          <w:tcPr>
            <w:tcW w:w="800" w:type="dxa"/>
            <w:vAlign w:val="bottom"/>
          </w:tcPr>
          <w:p>
            <w:pPr>
              <w:jc w:val="right"/>
              <w:ind w:right="95"/>
              <w:spacing w:after="0" w:line="149" w:lineRule="exact"/>
              <w:rPr>
                <w:sz w:val="20"/>
                <w:szCs w:val="20"/>
                <w:color w:val="auto"/>
              </w:rPr>
            </w:pPr>
            <w:r>
              <w:rPr>
                <w:rFonts w:ascii="Arial" w:cs="Arial" w:eastAsia="Arial" w:hAnsi="Arial"/>
                <w:sz w:val="14"/>
                <w:szCs w:val="14"/>
                <w:color w:val="auto"/>
              </w:rPr>
              <w:t>Retained</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86"/>
              </w:rPr>
              <w:t>Stock at</w:t>
            </w:r>
          </w:p>
        </w:tc>
        <w:tc>
          <w:tcPr>
            <w:tcW w:w="10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1"/>
              </w:rPr>
              <w:t>Comprehensive</w:t>
            </w:r>
          </w:p>
        </w:tc>
        <w:tc>
          <w:tcPr>
            <w:tcW w:w="12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Noncontrolling</w:t>
            </w:r>
          </w:p>
        </w:tc>
        <w:tc>
          <w:tcPr>
            <w:tcW w:w="780" w:type="dxa"/>
            <w:vAlign w:val="bottom"/>
          </w:tcPr>
          <w:p>
            <w:pPr>
              <w:jc w:val="right"/>
              <w:ind w:right="134"/>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9"/>
        </w:trPr>
        <w:tc>
          <w:tcPr>
            <w:tcW w:w="290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13"/>
                <w:szCs w:val="13"/>
                <w:color w:val="auto"/>
              </w:rPr>
            </w:pPr>
          </w:p>
        </w:tc>
        <w:tc>
          <w:tcPr>
            <w:tcW w:w="800" w:type="dxa"/>
            <w:vAlign w:val="bottom"/>
            <w:tcBorders>
              <w:right w:val="single" w:sz="8" w:color="auto"/>
            </w:tcBorders>
          </w:tcPr>
          <w:p>
            <w:pPr>
              <w:jc w:val="right"/>
              <w:ind w:right="194"/>
              <w:spacing w:after="0" w:line="159" w:lineRule="exact"/>
              <w:rPr>
                <w:sz w:val="20"/>
                <w:szCs w:val="20"/>
                <w:color w:val="auto"/>
              </w:rPr>
            </w:pPr>
            <w:r>
              <w:rPr>
                <w:rFonts w:ascii="Arial" w:cs="Arial" w:eastAsia="Arial" w:hAnsi="Arial"/>
                <w:sz w:val="14"/>
                <w:szCs w:val="14"/>
                <w:color w:val="auto"/>
                <w:w w:val="93"/>
              </w:rPr>
              <w:t>Interests</w:t>
            </w:r>
          </w:p>
        </w:tc>
        <w:tc>
          <w:tcPr>
            <w:tcW w:w="500" w:type="dxa"/>
            <w:vAlign w:val="bottom"/>
          </w:tcPr>
          <w:p>
            <w:pPr>
              <w:jc w:val="center"/>
              <w:ind w:left="116"/>
              <w:spacing w:after="0" w:line="159" w:lineRule="exact"/>
              <w:rPr>
                <w:sz w:val="20"/>
                <w:szCs w:val="20"/>
                <w:color w:val="auto"/>
              </w:rPr>
            </w:pPr>
            <w:r>
              <w:rPr>
                <w:rFonts w:ascii="Arial" w:cs="Arial" w:eastAsia="Arial" w:hAnsi="Arial"/>
                <w:sz w:val="14"/>
                <w:szCs w:val="14"/>
                <w:color w:val="auto"/>
              </w:rPr>
              <w:t>A</w:t>
            </w:r>
          </w:p>
        </w:tc>
        <w:tc>
          <w:tcPr>
            <w:tcW w:w="74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Special</w:t>
            </w:r>
          </w:p>
        </w:tc>
        <w:tc>
          <w:tcPr>
            <w:tcW w:w="580" w:type="dxa"/>
            <w:vAlign w:val="bottom"/>
            <w:gridSpan w:val="2"/>
          </w:tcPr>
          <w:p>
            <w:pPr>
              <w:jc w:val="center"/>
              <w:ind w:right="40"/>
              <w:spacing w:after="0" w:line="159" w:lineRule="exact"/>
              <w:rPr>
                <w:sz w:val="20"/>
                <w:szCs w:val="20"/>
                <w:color w:val="auto"/>
              </w:rPr>
            </w:pPr>
            <w:r>
              <w:rPr>
                <w:rFonts w:ascii="Arial" w:cs="Arial" w:eastAsia="Arial" w:hAnsi="Arial"/>
                <w:sz w:val="14"/>
                <w:szCs w:val="14"/>
                <w:color w:val="auto"/>
              </w:rPr>
              <w:t>B</w:t>
            </w:r>
          </w:p>
        </w:tc>
        <w:tc>
          <w:tcPr>
            <w:tcW w:w="840" w:type="dxa"/>
            <w:vAlign w:val="bottom"/>
          </w:tcPr>
          <w:p>
            <w:pPr>
              <w:jc w:val="right"/>
              <w:ind w:right="197"/>
              <w:spacing w:after="0" w:line="159" w:lineRule="exact"/>
              <w:rPr>
                <w:sz w:val="20"/>
                <w:szCs w:val="20"/>
                <w:color w:val="auto"/>
              </w:rPr>
            </w:pPr>
            <w:r>
              <w:rPr>
                <w:rFonts w:ascii="Arial" w:cs="Arial" w:eastAsia="Arial" w:hAnsi="Arial"/>
                <w:sz w:val="14"/>
                <w:szCs w:val="14"/>
                <w:color w:val="auto"/>
              </w:rPr>
              <w:t>Capital</w:t>
            </w:r>
          </w:p>
        </w:tc>
        <w:tc>
          <w:tcPr>
            <w:tcW w:w="800" w:type="dxa"/>
            <w:vAlign w:val="bottom"/>
          </w:tcPr>
          <w:p>
            <w:pPr>
              <w:jc w:val="right"/>
              <w:ind w:right="95"/>
              <w:spacing w:after="0" w:line="159" w:lineRule="exact"/>
              <w:rPr>
                <w:sz w:val="20"/>
                <w:szCs w:val="20"/>
                <w:color w:val="auto"/>
              </w:rPr>
            </w:pPr>
            <w:r>
              <w:rPr>
                <w:rFonts w:ascii="Arial" w:cs="Arial" w:eastAsia="Arial" w:hAnsi="Arial"/>
                <w:sz w:val="14"/>
                <w:szCs w:val="14"/>
                <w:color w:val="auto"/>
              </w:rPr>
              <w:t>Earnings</w:t>
            </w:r>
          </w:p>
        </w:tc>
        <w:tc>
          <w:tcPr>
            <w:tcW w:w="860" w:type="dxa"/>
            <w:vAlign w:val="bottom"/>
          </w:tcPr>
          <w:p>
            <w:pPr>
              <w:jc w:val="center"/>
              <w:spacing w:after="0" w:line="159" w:lineRule="exact"/>
              <w:rPr>
                <w:sz w:val="20"/>
                <w:szCs w:val="20"/>
                <w:color w:val="auto"/>
              </w:rPr>
            </w:pPr>
            <w:r>
              <w:rPr>
                <w:rFonts w:ascii="Arial" w:cs="Arial" w:eastAsia="Arial" w:hAnsi="Arial"/>
                <w:sz w:val="14"/>
                <w:szCs w:val="14"/>
                <w:color w:val="auto"/>
                <w:w w:val="83"/>
              </w:rPr>
              <w:t>Cost</w:t>
            </w:r>
          </w:p>
        </w:tc>
        <w:tc>
          <w:tcPr>
            <w:tcW w:w="104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7"/>
              </w:rPr>
              <w:t>Income (Loss)</w:t>
            </w:r>
          </w:p>
        </w:tc>
        <w:tc>
          <w:tcPr>
            <w:tcW w:w="380" w:type="dxa"/>
            <w:vAlign w:val="bottom"/>
          </w:tcPr>
          <w:p>
            <w:pPr>
              <w:spacing w:after="0"/>
              <w:rPr>
                <w:sz w:val="13"/>
                <w:szCs w:val="13"/>
                <w:color w:val="auto"/>
              </w:rPr>
            </w:pPr>
          </w:p>
        </w:tc>
        <w:tc>
          <w:tcPr>
            <w:tcW w:w="880" w:type="dxa"/>
            <w:vAlign w:val="bottom"/>
          </w:tcPr>
          <w:p>
            <w:pPr>
              <w:jc w:val="right"/>
              <w:ind w:right="274"/>
              <w:spacing w:after="0" w:line="159" w:lineRule="exact"/>
              <w:rPr>
                <w:sz w:val="20"/>
                <w:szCs w:val="20"/>
                <w:color w:val="auto"/>
              </w:rPr>
            </w:pPr>
            <w:r>
              <w:rPr>
                <w:rFonts w:ascii="Arial" w:cs="Arial" w:eastAsia="Arial" w:hAnsi="Arial"/>
                <w:sz w:val="14"/>
                <w:szCs w:val="14"/>
                <w:color w:val="auto"/>
                <w:w w:val="93"/>
              </w:rPr>
              <w:t>Interests</w:t>
            </w:r>
          </w:p>
        </w:tc>
        <w:tc>
          <w:tcPr>
            <w:tcW w:w="780" w:type="dxa"/>
            <w:vAlign w:val="bottom"/>
          </w:tcPr>
          <w:p>
            <w:pPr>
              <w:jc w:val="right"/>
              <w:ind w:right="94"/>
              <w:spacing w:after="0" w:line="159"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Balance, December 31, 2007</w:t>
            </w:r>
          </w:p>
        </w:tc>
        <w:tc>
          <w:tcPr>
            <w:tcW w:w="320" w:type="dxa"/>
            <w:vAlign w:val="bottom"/>
            <w:tcBorders>
              <w:top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right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101</w:t>
            </w:r>
          </w:p>
        </w:tc>
        <w:tc>
          <w:tcPr>
            <w:tcW w:w="500" w:type="dxa"/>
            <w:vAlign w:val="bottom"/>
            <w:tcBorders>
              <w:top w:val="single" w:sz="8" w:color="auto"/>
            </w:tcBorders>
            <w:shd w:val="clear" w:color="auto" w:fill="E5E5E5"/>
          </w:tcPr>
          <w:p>
            <w:pPr>
              <w:jc w:val="center"/>
              <w:ind w:left="116"/>
              <w:spacing w:after="0"/>
              <w:rPr>
                <w:sz w:val="20"/>
                <w:szCs w:val="20"/>
                <w:color w:val="auto"/>
              </w:rPr>
            </w:pPr>
            <w:r>
              <w:rPr>
                <w:rFonts w:ascii="Arial" w:cs="Arial" w:eastAsia="Arial" w:hAnsi="Arial"/>
                <w:sz w:val="18"/>
                <w:szCs w:val="18"/>
                <w:color w:val="auto"/>
                <w:w w:val="86"/>
              </w:rPr>
              <w:t>$24</w:t>
            </w:r>
          </w:p>
        </w:tc>
        <w:tc>
          <w:tcPr>
            <w:tcW w:w="340" w:type="dxa"/>
            <w:vAlign w:val="bottom"/>
            <w:tcBorders>
              <w:top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E5E5E5"/>
          </w:tcPr>
          <w:p>
            <w:pPr>
              <w:jc w:val="right"/>
              <w:ind w:right="36"/>
              <w:spacing w:after="0"/>
              <w:rPr>
                <w:sz w:val="20"/>
                <w:szCs w:val="20"/>
                <w:color w:val="auto"/>
              </w:rPr>
            </w:pPr>
            <w:r>
              <w:rPr>
                <w:rFonts w:ascii="Arial" w:cs="Arial" w:eastAsia="Arial" w:hAnsi="Arial"/>
                <w:sz w:val="18"/>
                <w:szCs w:val="18"/>
                <w:color w:val="auto"/>
              </w:rPr>
              <w:t>10</w:t>
            </w:r>
          </w:p>
        </w:tc>
        <w:tc>
          <w:tcPr>
            <w:tcW w:w="580" w:type="dxa"/>
            <w:vAlign w:val="bottom"/>
            <w:tcBorders>
              <w:top w:val="single" w:sz="8" w:color="auto"/>
            </w:tcBorders>
            <w:gridSpan w:val="2"/>
            <w:shd w:val="clear" w:color="auto" w:fill="E5E5E5"/>
          </w:tcPr>
          <w:p>
            <w:pPr>
              <w:jc w:val="center"/>
              <w:ind w:right="40"/>
              <w:spacing w:after="0"/>
              <w:rPr>
                <w:sz w:val="20"/>
                <w:szCs w:val="20"/>
                <w:color w:val="auto"/>
              </w:rPr>
            </w:pPr>
            <w:r>
              <w:rPr>
                <w:rFonts w:ascii="Arial" w:cs="Arial" w:eastAsia="Arial" w:hAnsi="Arial"/>
                <w:sz w:val="18"/>
                <w:szCs w:val="18"/>
                <w:color w:val="auto"/>
              </w:rPr>
              <w:t>$ —</w:t>
            </w:r>
          </w:p>
        </w:tc>
        <w:tc>
          <w:tcPr>
            <w:tcW w:w="840" w:type="dxa"/>
            <w:vAlign w:val="bottom"/>
            <w:tcBorders>
              <w:top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color w:val="auto"/>
                <w:w w:val="98"/>
              </w:rPr>
              <w:t>$41,688</w:t>
            </w:r>
          </w:p>
        </w:tc>
        <w:tc>
          <w:tcPr>
            <w:tcW w:w="800" w:type="dxa"/>
            <w:vAlign w:val="bottom"/>
            <w:tcBorders>
              <w:top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$7,191</w:t>
            </w:r>
          </w:p>
        </w:tc>
        <w:tc>
          <w:tcPr>
            <w:tcW w:w="860" w:type="dxa"/>
            <w:vAlign w:val="bottom"/>
            <w:tcBorders>
              <w:top w:val="single" w:sz="8" w:color="auto"/>
            </w:tcBorders>
            <w:shd w:val="clear" w:color="auto" w:fill="E5E5E5"/>
          </w:tcPr>
          <w:p>
            <w:pPr>
              <w:jc w:val="right"/>
              <w:ind w:right="41"/>
              <w:spacing w:after="0"/>
              <w:rPr>
                <w:sz w:val="20"/>
                <w:szCs w:val="20"/>
                <w:color w:val="auto"/>
              </w:rPr>
            </w:pPr>
            <w:r>
              <w:rPr>
                <w:rFonts w:ascii="Arial" w:cs="Arial" w:eastAsia="Arial" w:hAnsi="Arial"/>
                <w:sz w:val="18"/>
                <w:szCs w:val="18"/>
                <w:color w:val="auto"/>
              </w:rPr>
              <w:t>$(7,517)</w:t>
            </w:r>
          </w:p>
        </w:tc>
        <w:tc>
          <w:tcPr>
            <w:tcW w:w="300" w:type="dxa"/>
            <w:vAlign w:val="bottom"/>
            <w:tcBorders>
              <w:top w:val="single" w:sz="8" w:color="auto"/>
            </w:tcBorders>
            <w:shd w:val="clear" w:color="auto" w:fill="E5E5E5"/>
          </w:tcPr>
          <w:p>
            <w:pPr>
              <w:ind w:left="1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(56)</w:t>
            </w:r>
          </w:p>
        </w:tc>
        <w:tc>
          <w:tcPr>
            <w:tcW w:w="380" w:type="dxa"/>
            <w:vAlign w:val="bottom"/>
            <w:tcBorders>
              <w:top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149</w:t>
            </w:r>
          </w:p>
        </w:tc>
        <w:tc>
          <w:tcPr>
            <w:tcW w:w="7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$41,489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80" w:type="dxa"/>
            <w:vAlign w:val="bottom"/>
          </w:tcPr>
          <w:p>
            <w:pPr>
              <w:ind w:left="420"/>
              <w:spacing w:after="0"/>
              <w:rPr>
                <w:sz w:val="20"/>
                <w:szCs w:val="20"/>
                <w:color w:val="auto"/>
              </w:rPr>
            </w:pPr>
            <w:r>
              <w:rPr>
                <w:rFonts w:ascii="Arial" w:cs="Arial" w:eastAsia="Arial" w:hAnsi="Arial"/>
                <w:sz w:val="18"/>
                <w:szCs w:val="18"/>
                <w:color w:val="auto"/>
                <w:w w:val="97"/>
              </w:rPr>
              <w:t>Cumulative effect related to the</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640"/>
              <w:spacing w:after="0"/>
              <w:rPr>
                <w:sz w:val="20"/>
                <w:szCs w:val="20"/>
                <w:color w:val="auto"/>
              </w:rPr>
            </w:pPr>
            <w:r>
              <w:rPr>
                <w:rFonts w:ascii="Arial" w:cs="Arial" w:eastAsia="Arial" w:hAnsi="Arial"/>
                <w:sz w:val="18"/>
                <w:szCs w:val="18"/>
                <w:color w:val="auto"/>
              </w:rPr>
              <w:t>adoption of EITF 06-10 on</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Pr>
          <w:p>
            <w:pPr>
              <w:ind w:left="640"/>
              <w:spacing w:after="0"/>
              <w:rPr>
                <w:sz w:val="20"/>
                <w:szCs w:val="20"/>
                <w:color w:val="auto"/>
              </w:rPr>
            </w:pPr>
            <w:r>
              <w:rPr>
                <w:rFonts w:ascii="Arial" w:cs="Arial" w:eastAsia="Arial" w:hAnsi="Arial"/>
                <w:sz w:val="18"/>
                <w:szCs w:val="18"/>
                <w:color w:val="auto"/>
              </w:rPr>
              <w:t>January 1, 2008</w:t>
            </w:r>
          </w:p>
        </w:tc>
        <w:tc>
          <w:tcPr>
            <w:tcW w:w="32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(132)</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Stock compensation plans</w:t>
            </w:r>
          </w:p>
        </w:tc>
        <w:tc>
          <w:tcPr>
            <w:tcW w:w="320" w:type="dxa"/>
            <w:vAlign w:val="bottom"/>
            <w:shd w:val="clear" w:color="auto" w:fill="E5E5E5"/>
          </w:tcPr>
          <w:p>
            <w:pPr>
              <w:spacing w:after="0"/>
              <w:rPr>
                <w:sz w:val="18"/>
                <w:szCs w:val="18"/>
                <w:color w:val="auto"/>
              </w:rPr>
            </w:pPr>
          </w:p>
        </w:tc>
        <w:tc>
          <w:tcPr>
            <w:tcW w:w="80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31</w:t>
            </w:r>
          </w:p>
        </w:tc>
        <w:tc>
          <w:tcPr>
            <w:tcW w:w="80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(2)</w:t>
            </w:r>
          </w:p>
        </w:tc>
        <w:tc>
          <w:tcPr>
            <w:tcW w:w="8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80" w:type="dxa"/>
            <w:vAlign w:val="bottom"/>
          </w:tcPr>
          <w:p>
            <w:pPr>
              <w:ind w:left="420"/>
              <w:spacing w:after="0"/>
              <w:rPr>
                <w:sz w:val="20"/>
                <w:szCs w:val="20"/>
                <w:color w:val="auto"/>
              </w:rPr>
            </w:pPr>
            <w:r>
              <w:rPr>
                <w:rFonts w:ascii="Arial" w:cs="Arial" w:eastAsia="Arial" w:hAnsi="Arial"/>
                <w:sz w:val="18"/>
                <w:szCs w:val="18"/>
                <w:color w:val="auto"/>
              </w:rPr>
              <w:t>Repurchase and retirement of</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Pr>
          <w:p>
            <w:pPr>
              <w:ind w:left="640"/>
              <w:spacing w:after="0"/>
              <w:rPr>
                <w:sz w:val="20"/>
                <w:szCs w:val="20"/>
                <w:color w:val="auto"/>
              </w:rPr>
            </w:pPr>
            <w:r>
              <w:rPr>
                <w:rFonts w:ascii="Arial" w:cs="Arial" w:eastAsia="Arial" w:hAnsi="Arial"/>
                <w:sz w:val="18"/>
                <w:szCs w:val="18"/>
                <w:color w:val="auto"/>
              </w:rPr>
              <w:t>common stock</w:t>
            </w:r>
          </w:p>
        </w:tc>
        <w:tc>
          <w:tcPr>
            <w:tcW w:w="32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37"/>
              <w:spacing w:after="0"/>
              <w:rPr>
                <w:sz w:val="20"/>
                <w:szCs w:val="20"/>
                <w:color w:val="auto"/>
              </w:rPr>
            </w:pPr>
            <w:r>
              <w:rPr>
                <w:rFonts w:ascii="Arial" w:cs="Arial" w:eastAsia="Arial" w:hAnsi="Arial"/>
                <w:sz w:val="18"/>
                <w:szCs w:val="18"/>
                <w:color w:val="auto"/>
              </w:rPr>
              <w:t>(583)</w:t>
            </w: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(417)</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8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9"/>
              </w:rPr>
              <w:t>Employee stock purchase plan</w:t>
            </w:r>
          </w:p>
        </w:tc>
        <w:tc>
          <w:tcPr>
            <w:tcW w:w="320" w:type="dxa"/>
            <w:vAlign w:val="bottom"/>
            <w:shd w:val="clear" w:color="auto" w:fill="E5E5E5"/>
          </w:tcPr>
          <w:p>
            <w:pPr>
              <w:spacing w:after="0"/>
              <w:rPr>
                <w:sz w:val="18"/>
                <w:szCs w:val="18"/>
                <w:color w:val="auto"/>
              </w:rPr>
            </w:pPr>
          </w:p>
        </w:tc>
        <w:tc>
          <w:tcPr>
            <w:tcW w:w="80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15</w:t>
            </w:r>
          </w:p>
        </w:tc>
        <w:tc>
          <w:tcPr>
            <w:tcW w:w="80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80" w:type="dxa"/>
            <w:vAlign w:val="bottom"/>
          </w:tcPr>
          <w:p>
            <w:pPr>
              <w:ind w:left="420"/>
              <w:spacing w:after="0"/>
              <w:rPr>
                <w:sz w:val="20"/>
                <w:szCs w:val="20"/>
                <w:color w:val="auto"/>
              </w:rPr>
            </w:pPr>
            <w:r>
              <w:rPr>
                <w:rFonts w:ascii="Arial" w:cs="Arial" w:eastAsia="Arial" w:hAnsi="Arial"/>
                <w:sz w:val="18"/>
                <w:szCs w:val="18"/>
                <w:color w:val="auto"/>
                <w:w w:val="97"/>
              </w:rPr>
              <w:t>Dividend declared ($0.0625 per</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Pr>
          <w:p>
            <w:pPr>
              <w:ind w:left="640"/>
              <w:spacing w:after="0"/>
              <w:rPr>
                <w:sz w:val="20"/>
                <w:szCs w:val="20"/>
                <w:color w:val="auto"/>
              </w:rPr>
            </w:pPr>
            <w:r>
              <w:rPr>
                <w:rFonts w:ascii="Arial" w:cs="Arial" w:eastAsia="Arial" w:hAnsi="Arial"/>
                <w:sz w:val="18"/>
                <w:szCs w:val="18"/>
                <w:color w:val="auto"/>
              </w:rPr>
              <w:t>common share)</w:t>
            </w:r>
          </w:p>
        </w:tc>
        <w:tc>
          <w:tcPr>
            <w:tcW w:w="32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(185)</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Other comprehensive loss</w:t>
            </w:r>
          </w:p>
        </w:tc>
        <w:tc>
          <w:tcPr>
            <w:tcW w:w="320" w:type="dxa"/>
            <w:vAlign w:val="bottom"/>
            <w:shd w:val="clear" w:color="auto" w:fill="E5E5E5"/>
          </w:tcPr>
          <w:p>
            <w:pPr>
              <w:spacing w:after="0"/>
              <w:rPr>
                <w:sz w:val="18"/>
                <w:szCs w:val="18"/>
                <w:color w:val="auto"/>
              </w:rPr>
            </w:pPr>
          </w:p>
        </w:tc>
        <w:tc>
          <w:tcPr>
            <w:tcW w:w="80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80" w:type="dxa"/>
            <w:vAlign w:val="bottom"/>
          </w:tcPr>
          <w:p>
            <w:pPr>
              <w:ind w:left="420"/>
              <w:spacing w:after="0"/>
              <w:rPr>
                <w:sz w:val="20"/>
                <w:szCs w:val="20"/>
                <w:color w:val="auto"/>
              </w:rPr>
            </w:pPr>
            <w:r>
              <w:rPr>
                <w:rFonts w:ascii="Arial" w:cs="Arial" w:eastAsia="Arial" w:hAnsi="Arial"/>
                <w:sz w:val="18"/>
                <w:szCs w:val="18"/>
                <w:color w:val="auto"/>
              </w:rPr>
              <w:t>Sale of subsidiary shares to</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Pr>
          <w:p>
            <w:pPr>
              <w:ind w:left="640"/>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spacing w:after="0"/>
              <w:rPr>
                <w:sz w:val="19"/>
                <w:szCs w:val="19"/>
                <w:color w:val="auto"/>
              </w:rPr>
            </w:pPr>
          </w:p>
        </w:tc>
        <w:tc>
          <w:tcPr>
            <w:tcW w:w="800" w:type="dxa"/>
            <w:vAlign w:val="bottom"/>
            <w:tcBorders>
              <w:right w:val="single" w:sz="8" w:color="auto"/>
            </w:tcBorders>
          </w:tcPr>
          <w:p>
            <w:pPr>
              <w:jc w:val="right"/>
              <w:ind w:right="14"/>
              <w:spacing w:after="0"/>
              <w:rPr>
                <w:sz w:val="20"/>
                <w:szCs w:val="20"/>
                <w:color w:val="auto"/>
              </w:rPr>
            </w:pPr>
            <w:r>
              <w:rPr>
                <w:rFonts w:ascii="Arial" w:cs="Arial" w:eastAsia="Arial" w:hAnsi="Arial"/>
                <w:sz w:val="18"/>
                <w:szCs w:val="18"/>
                <w:color w:val="auto"/>
              </w:rPr>
              <w:t>145</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Contributions from and</w:t>
            </w:r>
          </w:p>
        </w:tc>
        <w:tc>
          <w:tcPr>
            <w:tcW w:w="320" w:type="dxa"/>
            <w:vAlign w:val="bottom"/>
            <w:shd w:val="clear" w:color="auto" w:fill="E5E5E5"/>
          </w:tcPr>
          <w:p>
            <w:pPr>
              <w:spacing w:after="0"/>
              <w:rPr>
                <w:sz w:val="18"/>
                <w:szCs w:val="18"/>
                <w:color w:val="auto"/>
              </w:rPr>
            </w:pPr>
          </w:p>
        </w:tc>
        <w:tc>
          <w:tcPr>
            <w:tcW w:w="80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E5E5E5"/>
          </w:tcPr>
          <w:p>
            <w:pPr>
              <w:ind w:left="640"/>
              <w:spacing w:after="0"/>
              <w:rPr>
                <w:sz w:val="20"/>
                <w:szCs w:val="20"/>
                <w:color w:val="auto"/>
              </w:rPr>
            </w:pPr>
            <w:r>
              <w:rPr>
                <w:rFonts w:ascii="Arial" w:cs="Arial" w:eastAsia="Arial" w:hAnsi="Arial"/>
                <w:sz w:val="18"/>
                <w:szCs w:val="18"/>
                <w:color w:val="auto"/>
              </w:rPr>
              <w:t>(distributions to)</w:t>
            </w:r>
          </w:p>
        </w:tc>
        <w:tc>
          <w:tcPr>
            <w:tcW w:w="320" w:type="dxa"/>
            <w:vAlign w:val="bottom"/>
            <w:shd w:val="clear" w:color="auto" w:fill="E5E5E5"/>
          </w:tcPr>
          <w:p>
            <w:pPr>
              <w:spacing w:after="0"/>
              <w:rPr>
                <w:sz w:val="18"/>
                <w:szCs w:val="18"/>
                <w:color w:val="auto"/>
              </w:rPr>
            </w:pPr>
          </w:p>
        </w:tc>
        <w:tc>
          <w:tcPr>
            <w:tcW w:w="80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80" w:type="dxa"/>
            <w:vAlign w:val="bottom"/>
            <w:shd w:val="clear" w:color="auto" w:fill="E5E5E5"/>
          </w:tcPr>
          <w:p>
            <w:pPr>
              <w:ind w:left="640"/>
              <w:spacing w:after="0"/>
              <w:rPr>
                <w:sz w:val="20"/>
                <w:szCs w:val="20"/>
                <w:color w:val="auto"/>
              </w:rPr>
            </w:pPr>
            <w:r>
              <w:rPr>
                <w:rFonts w:ascii="Arial" w:cs="Arial" w:eastAsia="Arial" w:hAnsi="Arial"/>
                <w:sz w:val="18"/>
                <w:szCs w:val="18"/>
                <w:color w:val="auto"/>
              </w:rPr>
              <w:t>noncontrolling interests</w:t>
            </w:r>
          </w:p>
        </w:tc>
        <w:tc>
          <w:tcPr>
            <w:tcW w:w="320" w:type="dxa"/>
            <w:vAlign w:val="bottom"/>
            <w:shd w:val="clear" w:color="auto" w:fill="E5E5E5"/>
          </w:tcPr>
          <w:p>
            <w:pPr>
              <w:spacing w:after="0"/>
              <w:rPr>
                <w:sz w:val="19"/>
                <w:szCs w:val="19"/>
                <w:color w:val="auto"/>
              </w:rPr>
            </w:pPr>
          </w:p>
        </w:tc>
        <w:tc>
          <w:tcPr>
            <w:tcW w:w="800" w:type="dxa"/>
            <w:vAlign w:val="bottom"/>
            <w:tcBorders>
              <w:right w:val="single" w:sz="8" w:color="auto"/>
            </w:tcBorders>
            <w:shd w:val="clear" w:color="auto" w:fill="E5E5E5"/>
          </w:tcPr>
          <w:p>
            <w:pPr>
              <w:spacing w:after="0"/>
              <w:rPr>
                <w:sz w:val="19"/>
                <w:szCs w:val="19"/>
                <w:color w:val="auto"/>
              </w:rPr>
            </w:pPr>
          </w:p>
        </w:tc>
        <w:tc>
          <w:tcPr>
            <w:tcW w:w="50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400" w:type="dxa"/>
            <w:vAlign w:val="bottom"/>
            <w:shd w:val="clear" w:color="auto" w:fill="E5E5E5"/>
          </w:tcPr>
          <w:p>
            <w:pPr>
              <w:spacing w:after="0"/>
              <w:rPr>
                <w:sz w:val="19"/>
                <w:szCs w:val="19"/>
                <w:color w:val="auto"/>
              </w:rPr>
            </w:pPr>
          </w:p>
        </w:tc>
        <w:tc>
          <w:tcPr>
            <w:tcW w:w="44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840" w:type="dxa"/>
            <w:vAlign w:val="bottom"/>
            <w:shd w:val="clear" w:color="auto" w:fill="E5E5E5"/>
          </w:tcPr>
          <w:p>
            <w:pPr>
              <w:spacing w:after="0"/>
              <w:rPr>
                <w:sz w:val="19"/>
                <w:szCs w:val="19"/>
                <w:color w:val="auto"/>
              </w:rPr>
            </w:pPr>
          </w:p>
        </w:tc>
        <w:tc>
          <w:tcPr>
            <w:tcW w:w="800" w:type="dxa"/>
            <w:vAlign w:val="bottom"/>
            <w:shd w:val="clear" w:color="auto" w:fill="E5E5E5"/>
          </w:tcPr>
          <w:p>
            <w:pPr>
              <w:spacing w:after="0"/>
              <w:rPr>
                <w:sz w:val="19"/>
                <w:szCs w:val="19"/>
                <w:color w:val="auto"/>
              </w:rPr>
            </w:pPr>
          </w:p>
        </w:tc>
        <w:tc>
          <w:tcPr>
            <w:tcW w:w="860" w:type="dxa"/>
            <w:vAlign w:val="bottom"/>
            <w:shd w:val="clear" w:color="auto" w:fill="E5E5E5"/>
          </w:tcPr>
          <w:p>
            <w:pPr>
              <w:spacing w:after="0"/>
              <w:rPr>
                <w:sz w:val="19"/>
                <w:szCs w:val="19"/>
                <w:color w:val="auto"/>
              </w:rPr>
            </w:pPr>
          </w:p>
        </w:tc>
        <w:tc>
          <w:tcPr>
            <w:tcW w:w="300" w:type="dxa"/>
            <w:vAlign w:val="bottom"/>
            <w:shd w:val="clear" w:color="auto" w:fill="E5E5E5"/>
          </w:tcPr>
          <w:p>
            <w:pPr>
              <w:spacing w:after="0"/>
              <w:rPr>
                <w:sz w:val="19"/>
                <w:szCs w:val="19"/>
                <w:color w:val="auto"/>
              </w:rPr>
            </w:pPr>
          </w:p>
        </w:tc>
        <w:tc>
          <w:tcPr>
            <w:tcW w:w="740" w:type="dxa"/>
            <w:vAlign w:val="bottom"/>
            <w:shd w:val="clear" w:color="auto" w:fill="E5E5E5"/>
          </w:tcPr>
          <w:p>
            <w:pPr>
              <w:spacing w:after="0"/>
              <w:rPr>
                <w:sz w:val="19"/>
                <w:szCs w:val="19"/>
                <w:color w:val="auto"/>
              </w:rPr>
            </w:pPr>
          </w:p>
        </w:tc>
        <w:tc>
          <w:tcPr>
            <w:tcW w:w="380" w:type="dxa"/>
            <w:vAlign w:val="bottom"/>
            <w:shd w:val="clear" w:color="auto" w:fill="E5E5E5"/>
          </w:tcPr>
          <w:p>
            <w:pPr>
              <w:spacing w:after="0"/>
              <w:rPr>
                <w:sz w:val="19"/>
                <w:szCs w:val="19"/>
                <w:color w:val="auto"/>
              </w:rPr>
            </w:pPr>
          </w:p>
        </w:tc>
        <w:tc>
          <w:tcPr>
            <w:tcW w:w="88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(13)</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5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732</w:t>
            </w:r>
          </w:p>
        </w:tc>
        <w:tc>
          <w:tcPr>
            <w:tcW w:w="8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8</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Balance, March 31, 2008</w:t>
            </w:r>
          </w:p>
        </w:tc>
        <w:tc>
          <w:tcPr>
            <w:tcW w:w="32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right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244</w:t>
            </w:r>
          </w:p>
        </w:tc>
        <w:tc>
          <w:tcPr>
            <w:tcW w:w="500" w:type="dxa"/>
            <w:vAlign w:val="bottom"/>
            <w:tcBorders>
              <w:bottom w:val="single" w:sz="8" w:color="auto"/>
            </w:tcBorders>
            <w:shd w:val="clear" w:color="auto" w:fill="E5E5E5"/>
          </w:tcPr>
          <w:p>
            <w:pPr>
              <w:jc w:val="center"/>
              <w:ind w:left="116"/>
              <w:spacing w:after="0"/>
              <w:rPr>
                <w:sz w:val="20"/>
                <w:szCs w:val="20"/>
                <w:color w:val="auto"/>
              </w:rPr>
            </w:pPr>
            <w:r>
              <w:rPr>
                <w:rFonts w:ascii="Arial" w:cs="Arial" w:eastAsia="Arial" w:hAnsi="Arial"/>
                <w:sz w:val="18"/>
                <w:szCs w:val="18"/>
                <w:b w:val="1"/>
                <w:bCs w:val="1"/>
                <w:color w:val="auto"/>
                <w:w w:val="86"/>
              </w:rPr>
              <w:t>$24</w:t>
            </w:r>
          </w:p>
        </w:tc>
        <w:tc>
          <w:tcPr>
            <w:tcW w:w="34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auto"/>
            </w:tcBorders>
            <w:shd w:val="clear" w:color="auto" w:fill="E5E5E5"/>
          </w:tcPr>
          <w:p>
            <w:pPr>
              <w:jc w:val="right"/>
              <w:ind w:right="36"/>
              <w:spacing w:after="0"/>
              <w:rPr>
                <w:sz w:val="20"/>
                <w:szCs w:val="20"/>
                <w:color w:val="auto"/>
              </w:rPr>
            </w:pPr>
            <w:r>
              <w:rPr>
                <w:rFonts w:ascii="Arial" w:cs="Arial" w:eastAsia="Arial" w:hAnsi="Arial"/>
                <w:sz w:val="18"/>
                <w:szCs w:val="18"/>
                <w:b w:val="1"/>
                <w:bCs w:val="1"/>
                <w:color w:val="auto"/>
              </w:rPr>
              <w:t>10</w:t>
            </w:r>
          </w:p>
        </w:tc>
        <w:tc>
          <w:tcPr>
            <w:tcW w:w="580" w:type="dxa"/>
            <w:vAlign w:val="bottom"/>
            <w:tcBorders>
              <w:bottom w:val="single" w:sz="8" w:color="auto"/>
            </w:tcBorders>
            <w:gridSpan w:val="2"/>
            <w:shd w:val="clear" w:color="auto" w:fill="E5E5E5"/>
          </w:tcPr>
          <w:p>
            <w:pPr>
              <w:jc w:val="center"/>
              <w:ind w:right="40"/>
              <w:spacing w:after="0"/>
              <w:rPr>
                <w:sz w:val="20"/>
                <w:szCs w:val="20"/>
                <w:color w:val="auto"/>
              </w:rPr>
            </w:pPr>
            <w:r>
              <w:rPr>
                <w:rFonts w:ascii="Arial" w:cs="Arial" w:eastAsia="Arial" w:hAnsi="Arial"/>
                <w:sz w:val="18"/>
                <w:szCs w:val="18"/>
                <w:b w:val="1"/>
                <w:bCs w:val="1"/>
                <w:color w:val="auto"/>
              </w:rPr>
              <w:t>$ —</w:t>
            </w:r>
          </w:p>
        </w:tc>
        <w:tc>
          <w:tcPr>
            <w:tcW w:w="840" w:type="dxa"/>
            <w:vAlign w:val="bottom"/>
            <w:tcBorders>
              <w:bottom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b w:val="1"/>
                <w:bCs w:val="1"/>
                <w:color w:val="auto"/>
                <w:w w:val="98"/>
              </w:rPr>
              <w:t>$41,151</w:t>
            </w:r>
          </w:p>
        </w:tc>
        <w:tc>
          <w:tcPr>
            <w:tcW w:w="80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b w:val="1"/>
                <w:bCs w:val="1"/>
                <w:color w:val="auto"/>
              </w:rPr>
              <w:t>$7,187</w:t>
            </w:r>
          </w:p>
        </w:tc>
        <w:tc>
          <w:tcPr>
            <w:tcW w:w="860" w:type="dxa"/>
            <w:vAlign w:val="bottom"/>
            <w:tcBorders>
              <w:bottom w:val="single" w:sz="8" w:color="auto"/>
            </w:tcBorders>
            <w:shd w:val="clear" w:color="auto" w:fill="E5E5E5"/>
          </w:tcPr>
          <w:p>
            <w:pPr>
              <w:jc w:val="right"/>
              <w:ind w:right="41"/>
              <w:spacing w:after="0"/>
              <w:rPr>
                <w:sz w:val="20"/>
                <w:szCs w:val="20"/>
                <w:color w:val="auto"/>
              </w:rPr>
            </w:pPr>
            <w:r>
              <w:rPr>
                <w:rFonts w:ascii="Arial" w:cs="Arial" w:eastAsia="Arial" w:hAnsi="Arial"/>
                <w:sz w:val="18"/>
                <w:szCs w:val="18"/>
                <w:b w:val="1"/>
                <w:bCs w:val="1"/>
                <w:color w:val="auto"/>
              </w:rPr>
              <w:t>$(7,517)</w:t>
            </w:r>
          </w:p>
        </w:tc>
        <w:tc>
          <w:tcPr>
            <w:tcW w:w="30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(57)</w:t>
            </w:r>
          </w:p>
        </w:tc>
        <w:tc>
          <w:tcPr>
            <w:tcW w:w="38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b w:val="1"/>
                <w:bCs w:val="1"/>
                <w:color w:val="auto"/>
              </w:rPr>
              <w:t>144</w:t>
            </w:r>
          </w:p>
        </w:tc>
        <w:tc>
          <w:tcPr>
            <w:tcW w:w="7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$40,942</w:t>
            </w:r>
          </w:p>
        </w:tc>
        <w:tc>
          <w:tcPr>
            <w:tcW w:w="0" w:type="dxa"/>
            <w:vAlign w:val="bottom"/>
          </w:tcPr>
          <w:p>
            <w:pPr>
              <w:spacing w:after="0"/>
              <w:rPr>
                <w:sz w:val="1"/>
                <w:szCs w:val="1"/>
                <w:color w:val="auto"/>
              </w:rPr>
            </w:pPr>
          </w:p>
        </w:tc>
      </w:tr>
      <w:tr>
        <w:trPr>
          <w:trHeight w:val="458"/>
        </w:trPr>
        <w:tc>
          <w:tcPr>
            <w:tcW w:w="2900" w:type="dxa"/>
            <w:vAlign w:val="bottom"/>
            <w:gridSpan w:val="2"/>
          </w:tcPr>
          <w:p>
            <w:pPr>
              <w:spacing w:after="0"/>
              <w:rPr>
                <w:sz w:val="20"/>
                <w:szCs w:val="20"/>
                <w:color w:val="auto"/>
              </w:rPr>
            </w:pPr>
            <w:r>
              <w:rPr>
                <w:rFonts w:ascii="Arial" w:cs="Arial" w:eastAsia="Arial" w:hAnsi="Arial"/>
                <w:sz w:val="18"/>
                <w:szCs w:val="18"/>
                <w:color w:val="auto"/>
              </w:rPr>
              <w:t>Balance, December 31, 2008</w:t>
            </w:r>
          </w:p>
        </w:tc>
        <w:tc>
          <w:tcPr>
            <w:tcW w:w="320" w:type="dxa"/>
            <w:vAlign w:val="bottom"/>
          </w:tcPr>
          <w:p>
            <w:pPr>
              <w:ind w:left="1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4"/>
              <w:spacing w:after="0"/>
              <w:rPr>
                <w:sz w:val="20"/>
                <w:szCs w:val="20"/>
                <w:color w:val="auto"/>
              </w:rPr>
            </w:pPr>
            <w:r>
              <w:rPr>
                <w:rFonts w:ascii="Arial" w:cs="Arial" w:eastAsia="Arial" w:hAnsi="Arial"/>
                <w:sz w:val="18"/>
                <w:szCs w:val="18"/>
                <w:color w:val="auto"/>
              </w:rPr>
              <w:t>171</w:t>
            </w:r>
          </w:p>
        </w:tc>
        <w:tc>
          <w:tcPr>
            <w:tcW w:w="500" w:type="dxa"/>
            <w:vAlign w:val="bottom"/>
          </w:tcPr>
          <w:p>
            <w:pPr>
              <w:jc w:val="center"/>
              <w:ind w:left="116"/>
              <w:spacing w:after="0"/>
              <w:rPr>
                <w:sz w:val="20"/>
                <w:szCs w:val="20"/>
                <w:color w:val="auto"/>
              </w:rPr>
            </w:pPr>
            <w:r>
              <w:rPr>
                <w:rFonts w:ascii="Arial" w:cs="Arial" w:eastAsia="Arial" w:hAnsi="Arial"/>
                <w:sz w:val="18"/>
                <w:szCs w:val="18"/>
                <w:color w:val="auto"/>
                <w:w w:val="86"/>
              </w:rPr>
              <w:t>$24</w:t>
            </w:r>
          </w:p>
        </w:tc>
        <w:tc>
          <w:tcPr>
            <w:tcW w:w="34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36"/>
              <w:spacing w:after="0"/>
              <w:rPr>
                <w:sz w:val="20"/>
                <w:szCs w:val="20"/>
                <w:color w:val="auto"/>
              </w:rPr>
            </w:pPr>
            <w:r>
              <w:rPr>
                <w:rFonts w:ascii="Arial" w:cs="Arial" w:eastAsia="Arial" w:hAnsi="Arial"/>
                <w:sz w:val="18"/>
                <w:szCs w:val="18"/>
                <w:color w:val="auto"/>
              </w:rPr>
              <w:t>9</w:t>
            </w:r>
          </w:p>
        </w:tc>
        <w:tc>
          <w:tcPr>
            <w:tcW w:w="580" w:type="dxa"/>
            <w:vAlign w:val="bottom"/>
            <w:gridSpan w:val="2"/>
          </w:tcPr>
          <w:p>
            <w:pPr>
              <w:jc w:val="center"/>
              <w:ind w:right="40"/>
              <w:spacing w:after="0"/>
              <w:rPr>
                <w:sz w:val="20"/>
                <w:szCs w:val="20"/>
                <w:color w:val="auto"/>
              </w:rPr>
            </w:pPr>
            <w:r>
              <w:rPr>
                <w:rFonts w:ascii="Arial" w:cs="Arial" w:eastAsia="Arial" w:hAnsi="Arial"/>
                <w:sz w:val="18"/>
                <w:szCs w:val="18"/>
                <w:color w:val="auto"/>
              </w:rPr>
              <w:t>$ —</w:t>
            </w:r>
          </w:p>
        </w:tc>
        <w:tc>
          <w:tcPr>
            <w:tcW w:w="840" w:type="dxa"/>
            <w:vAlign w:val="bottom"/>
          </w:tcPr>
          <w:p>
            <w:pPr>
              <w:jc w:val="right"/>
              <w:ind w:right="97"/>
              <w:spacing w:after="0"/>
              <w:rPr>
                <w:sz w:val="20"/>
                <w:szCs w:val="20"/>
                <w:color w:val="auto"/>
              </w:rPr>
            </w:pPr>
            <w:r>
              <w:rPr>
                <w:rFonts w:ascii="Arial" w:cs="Arial" w:eastAsia="Arial" w:hAnsi="Arial"/>
                <w:sz w:val="18"/>
                <w:szCs w:val="18"/>
                <w:color w:val="auto"/>
                <w:w w:val="98"/>
              </w:rPr>
              <w:t>$40,620</w:t>
            </w:r>
          </w:p>
        </w:tc>
        <w:tc>
          <w:tcPr>
            <w:tcW w:w="800" w:type="dxa"/>
            <w:vAlign w:val="bottom"/>
          </w:tcPr>
          <w:p>
            <w:pPr>
              <w:jc w:val="right"/>
              <w:ind w:right="95"/>
              <w:spacing w:after="0"/>
              <w:rPr>
                <w:sz w:val="20"/>
                <w:szCs w:val="20"/>
                <w:color w:val="auto"/>
              </w:rPr>
            </w:pPr>
            <w:r>
              <w:rPr>
                <w:rFonts w:ascii="Arial" w:cs="Arial" w:eastAsia="Arial" w:hAnsi="Arial"/>
                <w:sz w:val="18"/>
                <w:szCs w:val="18"/>
                <w:color w:val="auto"/>
              </w:rPr>
              <w:t>$7,427</w:t>
            </w:r>
          </w:p>
        </w:tc>
        <w:tc>
          <w:tcPr>
            <w:tcW w:w="860" w:type="dxa"/>
            <w:vAlign w:val="bottom"/>
          </w:tcPr>
          <w:p>
            <w:pPr>
              <w:jc w:val="right"/>
              <w:ind w:right="41"/>
              <w:spacing w:after="0"/>
              <w:rPr>
                <w:sz w:val="20"/>
                <w:szCs w:val="20"/>
                <w:color w:val="auto"/>
              </w:rPr>
            </w:pPr>
            <w:r>
              <w:rPr>
                <w:rFonts w:ascii="Arial" w:cs="Arial" w:eastAsia="Arial" w:hAnsi="Arial"/>
                <w:sz w:val="18"/>
                <w:szCs w:val="18"/>
                <w:color w:val="auto"/>
              </w:rPr>
              <w:t>$(7,517)</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(113)</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126</w:t>
            </w:r>
          </w:p>
        </w:tc>
        <w:tc>
          <w:tcPr>
            <w:tcW w:w="780" w:type="dxa"/>
            <w:vAlign w:val="bottom"/>
          </w:tcPr>
          <w:p>
            <w:pPr>
              <w:jc w:val="right"/>
              <w:spacing w:after="0"/>
              <w:rPr>
                <w:sz w:val="20"/>
                <w:szCs w:val="20"/>
                <w:color w:val="auto"/>
              </w:rPr>
            </w:pPr>
            <w:r>
              <w:rPr>
                <w:rFonts w:ascii="Arial" w:cs="Arial" w:eastAsia="Arial" w:hAnsi="Arial"/>
                <w:sz w:val="18"/>
                <w:szCs w:val="18"/>
                <w:color w:val="auto"/>
              </w:rPr>
              <w:t>$40,576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Stock compensation plans</w:t>
            </w:r>
          </w:p>
        </w:tc>
        <w:tc>
          <w:tcPr>
            <w:tcW w:w="320" w:type="dxa"/>
            <w:vAlign w:val="bottom"/>
            <w:shd w:val="clear" w:color="auto" w:fill="E5E5E5"/>
          </w:tcPr>
          <w:p>
            <w:pPr>
              <w:spacing w:after="0"/>
              <w:rPr>
                <w:sz w:val="18"/>
                <w:szCs w:val="18"/>
                <w:color w:val="auto"/>
              </w:rPr>
            </w:pPr>
          </w:p>
        </w:tc>
        <w:tc>
          <w:tcPr>
            <w:tcW w:w="80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3</w:t>
            </w:r>
          </w:p>
        </w:tc>
        <w:tc>
          <w:tcPr>
            <w:tcW w:w="80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420"/>
              <w:spacing w:after="0"/>
              <w:rPr>
                <w:sz w:val="20"/>
                <w:szCs w:val="20"/>
                <w:color w:val="auto"/>
              </w:rPr>
            </w:pPr>
            <w:r>
              <w:rPr>
                <w:rFonts w:ascii="Arial" w:cs="Arial" w:eastAsia="Arial" w:hAnsi="Arial"/>
                <w:sz w:val="18"/>
                <w:szCs w:val="18"/>
                <w:color w:val="auto"/>
                <w:w w:val="99"/>
              </w:rPr>
              <w:t>Employee stock purchase plan</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97"/>
              <w:spacing w:after="0"/>
              <w:rPr>
                <w:sz w:val="20"/>
                <w:szCs w:val="20"/>
                <w:color w:val="auto"/>
              </w:rPr>
            </w:pPr>
            <w:r>
              <w:rPr>
                <w:rFonts w:ascii="Arial" w:cs="Arial" w:eastAsia="Arial" w:hAnsi="Arial"/>
                <w:sz w:val="18"/>
                <w:szCs w:val="18"/>
                <w:color w:val="auto"/>
              </w:rPr>
              <w:t>15</w:t>
            </w: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8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7"/>
              </w:rPr>
              <w:t>Dividend declared ($0.0675 per</w:t>
            </w:r>
          </w:p>
        </w:tc>
        <w:tc>
          <w:tcPr>
            <w:tcW w:w="320" w:type="dxa"/>
            <w:vAlign w:val="bottom"/>
            <w:shd w:val="clear" w:color="auto" w:fill="E5E5E5"/>
          </w:tcPr>
          <w:p>
            <w:pPr>
              <w:spacing w:after="0"/>
              <w:rPr>
                <w:sz w:val="18"/>
                <w:szCs w:val="18"/>
                <w:color w:val="auto"/>
              </w:rPr>
            </w:pPr>
          </w:p>
        </w:tc>
        <w:tc>
          <w:tcPr>
            <w:tcW w:w="80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80" w:type="dxa"/>
            <w:vAlign w:val="bottom"/>
            <w:shd w:val="clear" w:color="auto" w:fill="E5E5E5"/>
          </w:tcPr>
          <w:p>
            <w:pPr>
              <w:ind w:left="640"/>
              <w:spacing w:after="0"/>
              <w:rPr>
                <w:sz w:val="20"/>
                <w:szCs w:val="20"/>
                <w:color w:val="auto"/>
              </w:rPr>
            </w:pPr>
            <w:r>
              <w:rPr>
                <w:rFonts w:ascii="Arial" w:cs="Arial" w:eastAsia="Arial" w:hAnsi="Arial"/>
                <w:sz w:val="18"/>
                <w:szCs w:val="18"/>
                <w:color w:val="auto"/>
              </w:rPr>
              <w:t>common share)</w:t>
            </w:r>
          </w:p>
        </w:tc>
        <w:tc>
          <w:tcPr>
            <w:tcW w:w="320" w:type="dxa"/>
            <w:vAlign w:val="bottom"/>
            <w:shd w:val="clear" w:color="auto" w:fill="E5E5E5"/>
          </w:tcPr>
          <w:p>
            <w:pPr>
              <w:spacing w:after="0"/>
              <w:rPr>
                <w:sz w:val="19"/>
                <w:szCs w:val="19"/>
                <w:color w:val="auto"/>
              </w:rPr>
            </w:pPr>
          </w:p>
        </w:tc>
        <w:tc>
          <w:tcPr>
            <w:tcW w:w="800" w:type="dxa"/>
            <w:vAlign w:val="bottom"/>
            <w:tcBorders>
              <w:right w:val="single" w:sz="8" w:color="auto"/>
            </w:tcBorders>
            <w:shd w:val="clear" w:color="auto" w:fill="E5E5E5"/>
          </w:tcPr>
          <w:p>
            <w:pPr>
              <w:spacing w:after="0"/>
              <w:rPr>
                <w:sz w:val="19"/>
                <w:szCs w:val="19"/>
                <w:color w:val="auto"/>
              </w:rPr>
            </w:pPr>
          </w:p>
        </w:tc>
        <w:tc>
          <w:tcPr>
            <w:tcW w:w="50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400" w:type="dxa"/>
            <w:vAlign w:val="bottom"/>
            <w:shd w:val="clear" w:color="auto" w:fill="E5E5E5"/>
          </w:tcPr>
          <w:p>
            <w:pPr>
              <w:spacing w:after="0"/>
              <w:rPr>
                <w:sz w:val="19"/>
                <w:szCs w:val="19"/>
                <w:color w:val="auto"/>
              </w:rPr>
            </w:pPr>
          </w:p>
        </w:tc>
        <w:tc>
          <w:tcPr>
            <w:tcW w:w="44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84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(195)</w:t>
            </w:r>
          </w:p>
        </w:tc>
        <w:tc>
          <w:tcPr>
            <w:tcW w:w="860" w:type="dxa"/>
            <w:vAlign w:val="bottom"/>
            <w:shd w:val="clear" w:color="auto" w:fill="E5E5E5"/>
          </w:tcPr>
          <w:p>
            <w:pPr>
              <w:spacing w:after="0"/>
              <w:rPr>
                <w:sz w:val="19"/>
                <w:szCs w:val="19"/>
                <w:color w:val="auto"/>
              </w:rPr>
            </w:pPr>
          </w:p>
        </w:tc>
        <w:tc>
          <w:tcPr>
            <w:tcW w:w="300" w:type="dxa"/>
            <w:vAlign w:val="bottom"/>
            <w:shd w:val="clear" w:color="auto" w:fill="E5E5E5"/>
          </w:tcPr>
          <w:p>
            <w:pPr>
              <w:spacing w:after="0"/>
              <w:rPr>
                <w:sz w:val="19"/>
                <w:szCs w:val="19"/>
                <w:color w:val="auto"/>
              </w:rPr>
            </w:pPr>
          </w:p>
        </w:tc>
        <w:tc>
          <w:tcPr>
            <w:tcW w:w="740" w:type="dxa"/>
            <w:vAlign w:val="bottom"/>
            <w:shd w:val="clear" w:color="auto" w:fill="E5E5E5"/>
          </w:tcPr>
          <w:p>
            <w:pPr>
              <w:spacing w:after="0"/>
              <w:rPr>
                <w:sz w:val="19"/>
                <w:szCs w:val="19"/>
                <w:color w:val="auto"/>
              </w:rPr>
            </w:pPr>
          </w:p>
        </w:tc>
        <w:tc>
          <w:tcPr>
            <w:tcW w:w="380" w:type="dxa"/>
            <w:vAlign w:val="bottom"/>
            <w:shd w:val="clear" w:color="auto" w:fill="E5E5E5"/>
          </w:tcPr>
          <w:p>
            <w:pPr>
              <w:spacing w:after="0"/>
              <w:rPr>
                <w:sz w:val="19"/>
                <w:szCs w:val="19"/>
                <w:color w:val="auto"/>
              </w:rPr>
            </w:pPr>
          </w:p>
        </w:tc>
        <w:tc>
          <w:tcPr>
            <w:tcW w:w="880" w:type="dxa"/>
            <w:vAlign w:val="bottom"/>
            <w:shd w:val="clear" w:color="auto" w:fill="E5E5E5"/>
          </w:tcPr>
          <w:p>
            <w:pPr>
              <w:spacing w:after="0"/>
              <w:rPr>
                <w:sz w:val="19"/>
                <w:szCs w:val="19"/>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420"/>
              <w:spacing w:after="0"/>
              <w:rPr>
                <w:sz w:val="20"/>
                <w:szCs w:val="20"/>
                <w:color w:val="auto"/>
              </w:rPr>
            </w:pPr>
            <w:r>
              <w:rPr>
                <w:rFonts w:ascii="Arial" w:cs="Arial" w:eastAsia="Arial" w:hAnsi="Arial"/>
                <w:sz w:val="18"/>
                <w:szCs w:val="18"/>
                <w:color w:val="auto"/>
              </w:rPr>
              <w:t>Other comprehensive income</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8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7"/>
              </w:rPr>
              <w:t>Purchases of subsidiary shares</w:t>
            </w:r>
          </w:p>
        </w:tc>
        <w:tc>
          <w:tcPr>
            <w:tcW w:w="320" w:type="dxa"/>
            <w:vAlign w:val="bottom"/>
            <w:shd w:val="clear" w:color="auto" w:fill="E5E5E5"/>
          </w:tcPr>
          <w:p>
            <w:pPr>
              <w:spacing w:after="0"/>
              <w:rPr>
                <w:sz w:val="18"/>
                <w:szCs w:val="18"/>
                <w:color w:val="auto"/>
              </w:rPr>
            </w:pPr>
          </w:p>
        </w:tc>
        <w:tc>
          <w:tcPr>
            <w:tcW w:w="80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80" w:type="dxa"/>
            <w:vAlign w:val="bottom"/>
            <w:shd w:val="clear" w:color="auto" w:fill="E5E5E5"/>
          </w:tcPr>
          <w:p>
            <w:pPr>
              <w:ind w:left="640"/>
              <w:spacing w:after="0"/>
              <w:rPr>
                <w:sz w:val="20"/>
                <w:szCs w:val="20"/>
                <w:color w:val="auto"/>
              </w:rPr>
            </w:pPr>
            <w:r>
              <w:rPr>
                <w:rFonts w:ascii="Arial" w:cs="Arial" w:eastAsia="Arial" w:hAnsi="Arial"/>
                <w:sz w:val="18"/>
                <w:szCs w:val="18"/>
                <w:color w:val="auto"/>
                <w:w w:val="98"/>
              </w:rPr>
              <w:t>from noncontrolling interests</w:t>
            </w:r>
          </w:p>
        </w:tc>
        <w:tc>
          <w:tcPr>
            <w:tcW w:w="320" w:type="dxa"/>
            <w:vAlign w:val="bottom"/>
            <w:shd w:val="clear" w:color="auto" w:fill="E5E5E5"/>
          </w:tcPr>
          <w:p>
            <w:pPr>
              <w:spacing w:after="0"/>
              <w:rPr>
                <w:sz w:val="19"/>
                <w:szCs w:val="19"/>
                <w:color w:val="auto"/>
              </w:rPr>
            </w:pPr>
          </w:p>
        </w:tc>
        <w:tc>
          <w:tcPr>
            <w:tcW w:w="800" w:type="dxa"/>
            <w:vAlign w:val="bottom"/>
            <w:tcBorders>
              <w:right w:val="single" w:sz="8" w:color="auto"/>
            </w:tcBorders>
            <w:shd w:val="clear" w:color="auto" w:fill="E5E5E5"/>
          </w:tcPr>
          <w:p>
            <w:pPr>
              <w:spacing w:after="0"/>
              <w:rPr>
                <w:sz w:val="19"/>
                <w:szCs w:val="19"/>
                <w:color w:val="auto"/>
              </w:rPr>
            </w:pPr>
          </w:p>
        </w:tc>
        <w:tc>
          <w:tcPr>
            <w:tcW w:w="50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400" w:type="dxa"/>
            <w:vAlign w:val="bottom"/>
            <w:shd w:val="clear" w:color="auto" w:fill="E5E5E5"/>
          </w:tcPr>
          <w:p>
            <w:pPr>
              <w:spacing w:after="0"/>
              <w:rPr>
                <w:sz w:val="19"/>
                <w:szCs w:val="19"/>
                <w:color w:val="auto"/>
              </w:rPr>
            </w:pPr>
          </w:p>
        </w:tc>
        <w:tc>
          <w:tcPr>
            <w:tcW w:w="44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30</w:t>
            </w:r>
          </w:p>
        </w:tc>
        <w:tc>
          <w:tcPr>
            <w:tcW w:w="800" w:type="dxa"/>
            <w:vAlign w:val="bottom"/>
            <w:shd w:val="clear" w:color="auto" w:fill="E5E5E5"/>
          </w:tcPr>
          <w:p>
            <w:pPr>
              <w:spacing w:after="0"/>
              <w:rPr>
                <w:sz w:val="19"/>
                <w:szCs w:val="19"/>
                <w:color w:val="auto"/>
              </w:rPr>
            </w:pPr>
          </w:p>
        </w:tc>
        <w:tc>
          <w:tcPr>
            <w:tcW w:w="860" w:type="dxa"/>
            <w:vAlign w:val="bottom"/>
            <w:shd w:val="clear" w:color="auto" w:fill="E5E5E5"/>
          </w:tcPr>
          <w:p>
            <w:pPr>
              <w:spacing w:after="0"/>
              <w:rPr>
                <w:sz w:val="19"/>
                <w:szCs w:val="19"/>
                <w:color w:val="auto"/>
              </w:rPr>
            </w:pPr>
          </w:p>
        </w:tc>
        <w:tc>
          <w:tcPr>
            <w:tcW w:w="300" w:type="dxa"/>
            <w:vAlign w:val="bottom"/>
            <w:shd w:val="clear" w:color="auto" w:fill="E5E5E5"/>
          </w:tcPr>
          <w:p>
            <w:pPr>
              <w:spacing w:after="0"/>
              <w:rPr>
                <w:sz w:val="19"/>
                <w:szCs w:val="19"/>
                <w:color w:val="auto"/>
              </w:rPr>
            </w:pPr>
          </w:p>
        </w:tc>
        <w:tc>
          <w:tcPr>
            <w:tcW w:w="740" w:type="dxa"/>
            <w:vAlign w:val="bottom"/>
            <w:shd w:val="clear" w:color="auto" w:fill="E5E5E5"/>
          </w:tcPr>
          <w:p>
            <w:pPr>
              <w:spacing w:after="0"/>
              <w:rPr>
                <w:sz w:val="19"/>
                <w:szCs w:val="19"/>
                <w:color w:val="auto"/>
              </w:rPr>
            </w:pPr>
          </w:p>
        </w:tc>
        <w:tc>
          <w:tcPr>
            <w:tcW w:w="380" w:type="dxa"/>
            <w:vAlign w:val="bottom"/>
            <w:shd w:val="clear" w:color="auto" w:fill="E5E5E5"/>
          </w:tcPr>
          <w:p>
            <w:pPr>
              <w:spacing w:after="0"/>
              <w:rPr>
                <w:sz w:val="19"/>
                <w:szCs w:val="19"/>
                <w:color w:val="auto"/>
              </w:rPr>
            </w:pPr>
          </w:p>
        </w:tc>
        <w:tc>
          <w:tcPr>
            <w:tcW w:w="88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(35)</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80" w:type="dxa"/>
            <w:vAlign w:val="bottom"/>
          </w:tcPr>
          <w:p>
            <w:pPr>
              <w:ind w:left="420"/>
              <w:spacing w:after="0"/>
              <w:rPr>
                <w:sz w:val="20"/>
                <w:szCs w:val="20"/>
                <w:color w:val="auto"/>
              </w:rPr>
            </w:pPr>
            <w:r>
              <w:rPr>
                <w:rFonts w:ascii="Arial" w:cs="Arial" w:eastAsia="Arial" w:hAnsi="Arial"/>
                <w:sz w:val="18"/>
                <w:szCs w:val="18"/>
                <w:color w:val="auto"/>
              </w:rPr>
              <w:t>Contributions from and</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640"/>
              <w:spacing w:after="0"/>
              <w:rPr>
                <w:sz w:val="20"/>
                <w:szCs w:val="20"/>
                <w:color w:val="auto"/>
              </w:rPr>
            </w:pPr>
            <w:r>
              <w:rPr>
                <w:rFonts w:ascii="Arial" w:cs="Arial" w:eastAsia="Arial" w:hAnsi="Arial"/>
                <w:sz w:val="18"/>
                <w:szCs w:val="18"/>
                <w:color w:val="auto"/>
              </w:rPr>
              <w:t>(distributions to)</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Pr>
          <w:p>
            <w:pPr>
              <w:ind w:left="640"/>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spacing w:after="0"/>
              <w:rPr>
                <w:sz w:val="19"/>
                <w:szCs w:val="19"/>
                <w:color w:val="auto"/>
              </w:rPr>
            </w:pPr>
          </w:p>
        </w:tc>
        <w:tc>
          <w:tcPr>
            <w:tcW w:w="800" w:type="dxa"/>
            <w:vAlign w:val="bottom"/>
            <w:tcBorders>
              <w:right w:val="single" w:sz="8" w:color="auto"/>
            </w:tcBorders>
          </w:tcPr>
          <w:p>
            <w:pPr>
              <w:jc w:val="right"/>
              <w:ind w:right="14"/>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right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50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14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772</w:t>
            </w:r>
          </w:p>
        </w:tc>
        <w:tc>
          <w:tcPr>
            <w:tcW w:w="860" w:type="dxa"/>
            <w:vAlign w:val="bottom"/>
            <w:tcBorders>
              <w:bottom w:val="single" w:sz="8" w:color="auto"/>
            </w:tcBorders>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7</w:t>
            </w:r>
          </w:p>
        </w:tc>
        <w:tc>
          <w:tcPr>
            <w:tcW w:w="7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March 31, 2009</w:t>
            </w:r>
          </w:p>
        </w:tc>
        <w:tc>
          <w:tcPr>
            <w:tcW w:w="3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173</w:t>
            </w:r>
          </w:p>
        </w:tc>
        <w:tc>
          <w:tcPr>
            <w:tcW w:w="500" w:type="dxa"/>
            <w:vAlign w:val="bottom"/>
            <w:tcBorders>
              <w:bottom w:val="single" w:sz="8" w:color="auto"/>
            </w:tcBorders>
          </w:tcPr>
          <w:p>
            <w:pPr>
              <w:jc w:val="center"/>
              <w:ind w:left="116"/>
              <w:spacing w:after="0"/>
              <w:rPr>
                <w:sz w:val="20"/>
                <w:szCs w:val="20"/>
                <w:color w:val="auto"/>
              </w:rPr>
            </w:pPr>
            <w:r>
              <w:rPr>
                <w:rFonts w:ascii="Arial" w:cs="Arial" w:eastAsia="Arial" w:hAnsi="Arial"/>
                <w:sz w:val="18"/>
                <w:szCs w:val="18"/>
                <w:b w:val="1"/>
                <w:bCs w:val="1"/>
                <w:color w:val="auto"/>
                <w:w w:val="86"/>
              </w:rPr>
              <w:t>$24</w:t>
            </w:r>
          </w:p>
        </w:tc>
        <w:tc>
          <w:tcPr>
            <w:tcW w:w="3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9</w:t>
            </w:r>
          </w:p>
        </w:tc>
        <w:tc>
          <w:tcPr>
            <w:tcW w:w="58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rPr>
              <w:t>$ —</w:t>
            </w:r>
          </w:p>
        </w:tc>
        <w:tc>
          <w:tcPr>
            <w:tcW w:w="84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b w:val="1"/>
                <w:bCs w:val="1"/>
                <w:color w:val="auto"/>
                <w:w w:val="98"/>
              </w:rPr>
              <w:t>$40,668</w:t>
            </w:r>
          </w:p>
        </w:tc>
        <w:tc>
          <w:tcPr>
            <w:tcW w:w="8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$8,004</w:t>
            </w: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b w:val="1"/>
                <w:bCs w:val="1"/>
                <w:color w:val="auto"/>
              </w:rPr>
              <w:t>$(7,517)</w:t>
            </w: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94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$41,189</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40" w:type="dxa"/>
            <w:vAlign w:val="bottom"/>
            <w:gridSpan w:val="3"/>
          </w:tcPr>
          <w:p>
            <w:pPr>
              <w:jc w:val="right"/>
              <w:ind w:right="294"/>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89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7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19"/>
              <w:spacing w:after="0" w:line="159" w:lineRule="exact"/>
              <w:rPr>
                <w:sz w:val="20"/>
                <w:szCs w:val="20"/>
                <w:color w:val="auto"/>
              </w:rPr>
            </w:pPr>
            <w:r>
              <w:rPr>
                <w:rFonts w:ascii="Arial" w:cs="Arial" w:eastAsia="Arial" w:hAnsi="Arial"/>
                <w:sz w:val="14"/>
                <w:szCs w:val="14"/>
                <w:color w:val="auto"/>
                <w:w w:val="89"/>
              </w:rPr>
              <w:t>March 31</w:t>
            </w: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94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jc w:val="right"/>
              <w:ind w:right="116"/>
              <w:spacing w:after="0" w:line="142" w:lineRule="exact"/>
              <w:rPr>
                <w:sz w:val="20"/>
                <w:szCs w:val="20"/>
                <w:color w:val="auto"/>
              </w:rPr>
            </w:pPr>
            <w:r>
              <w:rPr>
                <w:rFonts w:ascii="Arial" w:cs="Arial" w:eastAsia="Arial" w:hAnsi="Arial"/>
                <w:sz w:val="14"/>
                <w:szCs w:val="14"/>
                <w:color w:val="auto"/>
                <w:w w:val="89"/>
              </w:rPr>
              <w:t>2009</w:t>
            </w:r>
          </w:p>
        </w:tc>
        <w:tc>
          <w:tcPr>
            <w:tcW w:w="740" w:type="dxa"/>
            <w:vAlign w:val="bottom"/>
          </w:tcPr>
          <w:p>
            <w:pPr>
              <w:spacing w:after="0"/>
              <w:rPr>
                <w:sz w:val="12"/>
                <w:szCs w:val="12"/>
                <w:color w:val="auto"/>
              </w:rPr>
            </w:pPr>
          </w:p>
        </w:tc>
        <w:tc>
          <w:tcPr>
            <w:tcW w:w="500" w:type="dxa"/>
            <w:vAlign w:val="bottom"/>
          </w:tcPr>
          <w:p>
            <w:pPr>
              <w:jc w:val="right"/>
              <w:ind w:right="114"/>
              <w:spacing w:after="0" w:line="142" w:lineRule="exact"/>
              <w:rPr>
                <w:sz w:val="20"/>
                <w:szCs w:val="20"/>
                <w:color w:val="auto"/>
              </w:rPr>
            </w:pPr>
            <w:r>
              <w:rPr>
                <w:rFonts w:ascii="Arial" w:cs="Arial" w:eastAsia="Arial" w:hAnsi="Arial"/>
                <w:sz w:val="14"/>
                <w:szCs w:val="14"/>
                <w:color w:val="auto"/>
                <w:w w:val="89"/>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from consolidated operations</w:t>
            </w:r>
          </w:p>
        </w:tc>
        <w:tc>
          <w:tcPr>
            <w:tcW w:w="7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778</w:t>
            </w:r>
          </w:p>
        </w:tc>
        <w:tc>
          <w:tcPr>
            <w:tcW w:w="7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Holding gains (losses) during the period, net of deferred taxes of $1 and $3</w:t>
            </w: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20" w:type="dxa"/>
            <w:vAlign w:val="bottom"/>
            <w:shd w:val="clear" w:color="auto" w:fill="E5E5E5"/>
          </w:tcPr>
          <w:p>
            <w:pPr>
              <w:spacing w:after="0"/>
              <w:rPr>
                <w:sz w:val="20"/>
                <w:szCs w:val="20"/>
                <w:color w:val="auto"/>
              </w:rPr>
            </w:pPr>
            <w:r>
              <w:rPr>
                <w:rFonts w:ascii="Arial" w:cs="Arial" w:eastAsia="Arial" w:hAnsi="Arial"/>
                <w:sz w:val="18"/>
                <w:szCs w:val="18"/>
                <w:color w:val="auto"/>
                <w:w w:val="91"/>
              </w:rPr>
              <w:t>Reclassification adjustments for losses (gains) included in net income attributable to Comcast Corporation, net of deferred</w:t>
            </w:r>
          </w:p>
        </w:tc>
        <w:tc>
          <w:tcPr>
            <w:tcW w:w="7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taxes of $(12) and $(2)</w:t>
            </w:r>
          </w:p>
        </w:tc>
        <w:tc>
          <w:tcPr>
            <w:tcW w:w="740" w:type="dxa"/>
            <w:vAlign w:val="bottom"/>
            <w:shd w:val="clear" w:color="auto" w:fill="E5E5E5"/>
          </w:tcPr>
          <w:p>
            <w:pPr>
              <w:spacing w:after="0"/>
              <w:rPr>
                <w:sz w:val="19"/>
                <w:szCs w:val="19"/>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w:t>
            </w:r>
          </w:p>
        </w:tc>
        <w:tc>
          <w:tcPr>
            <w:tcW w:w="740" w:type="dxa"/>
            <w:vAlign w:val="bottom"/>
            <w:shd w:val="clear" w:color="auto" w:fill="E5E5E5"/>
          </w:tcPr>
          <w:p>
            <w:pPr>
              <w:spacing w:after="0"/>
              <w:rPr>
                <w:sz w:val="19"/>
                <w:szCs w:val="19"/>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Employee benefit obligations, net of deferred taxes of $ — and $ —</w:t>
            </w: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Cumulative translation adjustments</w:t>
            </w:r>
          </w:p>
        </w:tc>
        <w:tc>
          <w:tcPr>
            <w:tcW w:w="7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7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Comprehensive income</w:t>
            </w: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798</w:t>
            </w: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7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w:t>
            </w:r>
          </w:p>
        </w:tc>
        <w:tc>
          <w:tcPr>
            <w:tcW w:w="7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8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Comprehensive income attributable to Comcast Corporation</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731</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prepared these unaudited condensed consolidated financial statements based on Securities and Exchange Commission (“SEC”) rules that permit reduced disclosure for interim periods. These financial statements include all adjustments that are necessary for a fair presentation of our results of operations and financial condition for the periods shown, including normal, recurring accruals and other items. The results of operations for the interim periods presented are not necessarily indicative of results for the full year.</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year-end condensed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annual financial statements for the preceding fiscal year as filed with the SEC.</w:t>
      </w:r>
    </w:p>
    <w:p>
      <w:pPr>
        <w:spacing w:after="0" w:line="4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Reclassifications have been made to the prior year’s consolidated financial statements between operating expenses and selling, general and administrative expenses to conform to classifications used in 2009.</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Recent Accounting Pronouncements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SFAS No. 160</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November 2007, the Financial Accounting Standards Board (“FASB”) issued Statement of Financial Accounting Standards (“SFAS”) No. 160, “Noncontrolling Interests in Consolidated Financial Statements” (“SFAS No. 160”). SFAS No. 160 requires noncontrolling interests (previously referred to as minority interests) that are not redeemable to be separately reported in the equity section of our consolidated balance sheet. Redeemable noncontrolling interests continue to be presented outside of equity. SFAS No. 160 establishes accounting and reporting standards for (i) ownership interests in subsidiaries held by parties other than the parent, (ii) the amount of consolidated net income attributable to the parent and to the noncontrolling interests, (iii) changes in a parent’s ownership interest and (iv) the valuation of retained noncontrolling equity investments when a subsidiary is deconsolidated. In addition, SFAS No. 160 establishes disclosure requirements, including new financial statement captions that clearly distinguish between controlling and noncontrolling interests. These include a separate presentation of net income attributable to controlling and noncontrolling interests with the combined amounts labeled as “Net income from consolidated operations” in our statement of operations. Under SFAS No. 160, “Net income from consolidated operations” is comparable to what was previously presented as “Income from continuing operations before minority interest” and “Net income attributable to Comcast Corporation” is comparable to what was previously presented as “Net income.” Effective January 1, 2009, we adopted SFAS No. 160, at which time we applied the new presentation and disclosure requirements.</w:t>
      </w:r>
    </w:p>
    <w:p>
      <w:pPr>
        <w:spacing w:after="0" w:line="33"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SFAS No. 160 requires the retrospective application of the new financial statement captions. The tables below reflect the revised presentations for our balance sheets as of December 31, 2008 and 2007 and consolidated statements of operations for the years ended December 31, 2008, 2007 and 2006.</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Revised Balance Sheet Captions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tcPr>
          <w:p>
            <w:pPr>
              <w:spacing w:after="0"/>
              <w:rPr>
                <w:sz w:val="20"/>
                <w:szCs w:val="20"/>
                <w:color w:val="auto"/>
              </w:rPr>
            </w:pPr>
            <w:r>
              <w:rPr>
                <w:rFonts w:ascii="Arial" w:cs="Arial" w:eastAsia="Arial" w:hAnsi="Arial"/>
                <w:sz w:val="14"/>
                <w:szCs w:val="14"/>
                <w:color w:val="auto"/>
              </w:rPr>
              <w:t>December 31 (in millions)</w:t>
            </w:r>
          </w:p>
        </w:tc>
        <w:tc>
          <w:tcPr>
            <w:tcW w:w="6820" w:type="dxa"/>
            <w:vAlign w:val="bottom"/>
          </w:tcPr>
          <w:p>
            <w:pPr>
              <w:jc w:val="center"/>
              <w:ind w:left="6177"/>
              <w:spacing w:after="0"/>
              <w:rPr>
                <w:sz w:val="20"/>
                <w:szCs w:val="20"/>
                <w:color w:val="auto"/>
              </w:rPr>
            </w:pPr>
            <w:r>
              <w:rPr>
                <w:rFonts w:ascii="Arial" w:cs="Arial" w:eastAsia="Arial" w:hAnsi="Arial"/>
                <w:sz w:val="14"/>
                <w:szCs w:val="14"/>
                <w:color w:val="auto"/>
                <w:w w:val="89"/>
              </w:rPr>
              <w:t>2008</w:t>
            </w:r>
          </w:p>
        </w:tc>
        <w:tc>
          <w:tcPr>
            <w:tcW w:w="480" w:type="dxa"/>
            <w:vAlign w:val="bottom"/>
          </w:tcPr>
          <w:p>
            <w:pPr>
              <w:jc w:val="center"/>
              <w:ind w:left="39"/>
              <w:spacing w:after="0"/>
              <w:rPr>
                <w:sz w:val="20"/>
                <w:szCs w:val="20"/>
                <w:color w:val="auto"/>
              </w:rPr>
            </w:pPr>
            <w:r>
              <w:rPr>
                <w:rFonts w:ascii="Arial" w:cs="Arial" w:eastAsia="Arial" w:hAnsi="Arial"/>
                <w:sz w:val="14"/>
                <w:szCs w:val="14"/>
                <w:color w:val="auto"/>
                <w:w w:val="89"/>
              </w:rPr>
              <w:t>2007</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Redeemable noncontrolling interests</w:t>
            </w:r>
          </w:p>
        </w:tc>
        <w:tc>
          <w:tcPr>
            <w:tcW w:w="6820" w:type="dxa"/>
            <w:vAlign w:val="bottom"/>
            <w:tcBorders>
              <w:top w:val="single" w:sz="8" w:color="auto"/>
            </w:tcBorders>
            <w:shd w:val="clear" w:color="auto" w:fill="E5E5E5"/>
          </w:tcPr>
          <w:p>
            <w:pPr>
              <w:jc w:val="center"/>
              <w:ind w:left="6177"/>
              <w:spacing w:after="0"/>
              <w:rPr>
                <w:sz w:val="20"/>
                <w:szCs w:val="20"/>
                <w:color w:val="auto"/>
              </w:rPr>
            </w:pPr>
            <w:r>
              <w:rPr>
                <w:rFonts w:ascii="Arial" w:cs="Arial" w:eastAsia="Arial" w:hAnsi="Arial"/>
                <w:sz w:val="18"/>
                <w:szCs w:val="18"/>
                <w:color w:val="auto"/>
                <w:w w:val="89"/>
              </w:rPr>
              <w:t>$171</w:t>
            </w:r>
          </w:p>
        </w:tc>
        <w:tc>
          <w:tcPr>
            <w:tcW w:w="480" w:type="dxa"/>
            <w:vAlign w:val="bottom"/>
            <w:tcBorders>
              <w:top w:val="single" w:sz="8" w:color="auto"/>
            </w:tcBorders>
            <w:shd w:val="clear" w:color="auto" w:fill="E5E5E5"/>
          </w:tcPr>
          <w:p>
            <w:pPr>
              <w:jc w:val="center"/>
              <w:ind w:left="39"/>
              <w:spacing w:after="0"/>
              <w:rPr>
                <w:sz w:val="20"/>
                <w:szCs w:val="20"/>
                <w:color w:val="auto"/>
              </w:rPr>
            </w:pPr>
            <w:r>
              <w:rPr>
                <w:rFonts w:ascii="Arial" w:cs="Arial" w:eastAsia="Arial" w:hAnsi="Arial"/>
                <w:sz w:val="18"/>
                <w:szCs w:val="18"/>
                <w:color w:val="auto"/>
                <w:w w:val="89"/>
              </w:rPr>
              <w:t>$101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 (in equity)</w:t>
            </w:r>
          </w:p>
        </w:tc>
        <w:tc>
          <w:tcPr>
            <w:tcW w:w="6820" w:type="dxa"/>
            <w:vAlign w:val="bottom"/>
            <w:tcBorders>
              <w:bottom w:val="single" w:sz="8" w:color="auto"/>
            </w:tcBorders>
          </w:tcPr>
          <w:p>
            <w:pPr>
              <w:jc w:val="center"/>
              <w:ind w:left="6177"/>
              <w:spacing w:after="0"/>
              <w:rPr>
                <w:sz w:val="20"/>
                <w:szCs w:val="20"/>
                <w:color w:val="auto"/>
              </w:rPr>
            </w:pPr>
            <w:r>
              <w:rPr>
                <w:rFonts w:ascii="Arial" w:cs="Arial" w:eastAsia="Arial" w:hAnsi="Arial"/>
                <w:sz w:val="18"/>
                <w:szCs w:val="18"/>
                <w:color w:val="auto"/>
                <w:w w:val="89"/>
              </w:rPr>
              <w:t>$126</w:t>
            </w:r>
          </w:p>
        </w:tc>
        <w:tc>
          <w:tcPr>
            <w:tcW w:w="480" w:type="dxa"/>
            <w:vAlign w:val="bottom"/>
            <w:tcBorders>
              <w:bottom w:val="single" w:sz="8" w:color="auto"/>
            </w:tcBorders>
          </w:tcPr>
          <w:p>
            <w:pPr>
              <w:jc w:val="center"/>
              <w:ind w:left="39"/>
              <w:spacing w:after="0"/>
              <w:rPr>
                <w:sz w:val="20"/>
                <w:szCs w:val="20"/>
                <w:color w:val="auto"/>
              </w:rPr>
            </w:pPr>
            <w:r>
              <w:rPr>
                <w:rFonts w:ascii="Arial" w:cs="Arial" w:eastAsia="Arial" w:hAnsi="Arial"/>
                <w:sz w:val="18"/>
                <w:szCs w:val="18"/>
                <w:color w:val="auto"/>
                <w:w w:val="89"/>
              </w:rPr>
              <w:t>$149</w:t>
            </w:r>
          </w:p>
        </w:tc>
        <w:tc>
          <w:tcPr>
            <w:tcW w:w="20" w:type="dxa"/>
            <w:vAlign w:val="bottom"/>
          </w:tcPr>
          <w:p>
            <w:pPr>
              <w:spacing w:after="0"/>
              <w:rPr>
                <w:sz w:val="18"/>
                <w:szCs w:val="18"/>
                <w:color w:val="auto"/>
              </w:rPr>
            </w:pPr>
          </w:p>
        </w:tc>
      </w:tr>
      <w:tr>
        <w:trPr>
          <w:trHeight w:val="356"/>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820" w:type="dxa"/>
            <w:vAlign w:val="bottom"/>
          </w:tcPr>
          <w:p>
            <w:pPr>
              <w:jc w:val="right"/>
              <w:ind w:right="5097"/>
              <w:spacing w:after="0"/>
              <w:rPr>
                <w:sz w:val="20"/>
                <w:szCs w:val="20"/>
                <w:color w:val="auto"/>
              </w:rPr>
            </w:pPr>
            <w:r>
              <w:rPr>
                <w:rFonts w:ascii="Arial" w:cs="Arial" w:eastAsia="Arial" w:hAnsi="Arial"/>
                <w:sz w:val="18"/>
                <w:szCs w:val="18"/>
                <w:color w:val="auto"/>
              </w:rPr>
              <w:t>7</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Revised Statement of Operations Captions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gridSpan w:val="2"/>
          </w:tcPr>
          <w:p>
            <w:pPr>
              <w:spacing w:after="0"/>
              <w:rPr>
                <w:sz w:val="20"/>
                <w:szCs w:val="20"/>
                <w:color w:val="auto"/>
              </w:rPr>
            </w:pPr>
            <w:r>
              <w:rPr>
                <w:rFonts w:ascii="Arial" w:cs="Arial" w:eastAsia="Arial" w:hAnsi="Arial"/>
                <w:sz w:val="14"/>
                <w:szCs w:val="14"/>
                <w:color w:val="auto"/>
              </w:rPr>
              <w:t>Year Ended December 31 (in millions, except per share data)</w:t>
            </w:r>
          </w:p>
        </w:tc>
        <w:tc>
          <w:tcPr>
            <w:tcW w:w="1640" w:type="dxa"/>
            <w:vAlign w:val="bottom"/>
          </w:tcPr>
          <w:p>
            <w:pPr>
              <w:spacing w:after="0"/>
              <w:rPr>
                <w:sz w:val="14"/>
                <w:szCs w:val="14"/>
                <w:color w:val="auto"/>
              </w:rPr>
            </w:pPr>
          </w:p>
        </w:tc>
        <w:tc>
          <w:tcPr>
            <w:tcW w:w="640" w:type="dxa"/>
            <w:vAlign w:val="bottom"/>
          </w:tcPr>
          <w:p>
            <w:pPr>
              <w:jc w:val="right"/>
              <w:ind w:right="256"/>
              <w:spacing w:after="0"/>
              <w:rPr>
                <w:sz w:val="20"/>
                <w:szCs w:val="20"/>
                <w:color w:val="auto"/>
              </w:rPr>
            </w:pPr>
            <w:r>
              <w:rPr>
                <w:rFonts w:ascii="Arial" w:cs="Arial" w:eastAsia="Arial" w:hAnsi="Arial"/>
                <w:sz w:val="14"/>
                <w:szCs w:val="14"/>
                <w:color w:val="auto"/>
                <w:w w:val="89"/>
              </w:rPr>
              <w:t>2008</w:t>
            </w:r>
          </w:p>
        </w:tc>
        <w:tc>
          <w:tcPr>
            <w:tcW w:w="280" w:type="dxa"/>
            <w:vAlign w:val="bottom"/>
          </w:tcPr>
          <w:p>
            <w:pPr>
              <w:spacing w:after="0"/>
              <w:rPr>
                <w:sz w:val="14"/>
                <w:szCs w:val="14"/>
                <w:color w:val="auto"/>
              </w:rPr>
            </w:pPr>
          </w:p>
        </w:tc>
        <w:tc>
          <w:tcPr>
            <w:tcW w:w="620" w:type="dxa"/>
            <w:vAlign w:val="bottom"/>
          </w:tcPr>
          <w:p>
            <w:pPr>
              <w:jc w:val="right"/>
              <w:ind w:right="256"/>
              <w:spacing w:after="0"/>
              <w:rPr>
                <w:sz w:val="20"/>
                <w:szCs w:val="20"/>
                <w:color w:val="auto"/>
              </w:rPr>
            </w:pPr>
            <w:r>
              <w:rPr>
                <w:rFonts w:ascii="Arial" w:cs="Arial" w:eastAsia="Arial" w:hAnsi="Arial"/>
                <w:sz w:val="14"/>
                <w:szCs w:val="14"/>
                <w:color w:val="auto"/>
                <w:w w:val="83"/>
              </w:rPr>
              <w:t>2007</w:t>
            </w:r>
          </w:p>
        </w:tc>
        <w:tc>
          <w:tcPr>
            <w:tcW w:w="280" w:type="dxa"/>
            <w:vAlign w:val="bottom"/>
          </w:tcPr>
          <w:p>
            <w:pPr>
              <w:spacing w:after="0"/>
              <w:rPr>
                <w:sz w:val="14"/>
                <w:szCs w:val="14"/>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color w:val="auto"/>
                <w:w w:val="83"/>
              </w:rPr>
              <w:t>2006</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5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from consolidated operations</w:t>
            </w:r>
          </w:p>
        </w:tc>
        <w:tc>
          <w:tcPr>
            <w:tcW w:w="16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jc w:val="right"/>
              <w:ind w:right="136"/>
              <w:spacing w:after="0"/>
              <w:rPr>
                <w:sz w:val="20"/>
                <w:szCs w:val="20"/>
                <w:color w:val="auto"/>
              </w:rPr>
            </w:pPr>
            <w:r>
              <w:rPr>
                <w:rFonts w:ascii="Arial" w:cs="Arial" w:eastAsia="Arial" w:hAnsi="Arial"/>
                <w:sz w:val="18"/>
                <w:szCs w:val="18"/>
                <w:color w:val="auto"/>
                <w:w w:val="88"/>
              </w:rPr>
              <w:t>2,525</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E5E5E5"/>
          </w:tcPr>
          <w:p>
            <w:pPr>
              <w:jc w:val="right"/>
              <w:ind w:right="136"/>
              <w:spacing w:after="0"/>
              <w:rPr>
                <w:sz w:val="20"/>
                <w:szCs w:val="20"/>
                <w:color w:val="auto"/>
              </w:rPr>
            </w:pPr>
            <w:r>
              <w:rPr>
                <w:rFonts w:ascii="Arial" w:cs="Arial" w:eastAsia="Arial" w:hAnsi="Arial"/>
                <w:sz w:val="18"/>
                <w:szCs w:val="18"/>
                <w:color w:val="auto"/>
                <w:w w:val="84"/>
              </w:rPr>
              <w:t>2,549</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4"/>
              </w:rPr>
              <w:t>2,545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16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(38)</w:t>
            </w:r>
          </w:p>
        </w:tc>
        <w:tc>
          <w:tcPr>
            <w:tcW w:w="2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7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attributable to Comcast Corporation</w:t>
            </w:r>
          </w:p>
        </w:tc>
        <w:tc>
          <w:tcPr>
            <w:tcW w:w="1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E5E5E5"/>
          </w:tcPr>
          <w:p>
            <w:pPr>
              <w:jc w:val="right"/>
              <w:ind w:right="136"/>
              <w:spacing w:after="0"/>
              <w:rPr>
                <w:sz w:val="20"/>
                <w:szCs w:val="20"/>
                <w:color w:val="auto"/>
              </w:rPr>
            </w:pPr>
            <w:r>
              <w:rPr>
                <w:rFonts w:ascii="Arial" w:cs="Arial" w:eastAsia="Arial" w:hAnsi="Arial"/>
                <w:sz w:val="18"/>
                <w:szCs w:val="18"/>
                <w:color w:val="auto"/>
                <w:w w:val="88"/>
              </w:rPr>
              <w:t>2,547</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E5E5E5"/>
          </w:tcPr>
          <w:p>
            <w:pPr>
              <w:jc w:val="right"/>
              <w:ind w:right="136"/>
              <w:spacing w:after="0"/>
              <w:rPr>
                <w:sz w:val="20"/>
                <w:szCs w:val="20"/>
                <w:color w:val="auto"/>
              </w:rPr>
            </w:pPr>
            <w:r>
              <w:rPr>
                <w:rFonts w:ascii="Arial" w:cs="Arial" w:eastAsia="Arial" w:hAnsi="Arial"/>
                <w:sz w:val="18"/>
                <w:szCs w:val="18"/>
                <w:color w:val="auto"/>
                <w:w w:val="84"/>
              </w:rPr>
              <w:t>2,587</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4"/>
              </w:rPr>
              <w:t>2,533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Basic earnings per common share attributable to Comcast Corporation stockholders</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6"/>
              <w:spacing w:after="0"/>
              <w:rPr>
                <w:sz w:val="20"/>
                <w:szCs w:val="20"/>
                <w:color w:val="auto"/>
              </w:rPr>
            </w:pPr>
            <w:r>
              <w:rPr>
                <w:rFonts w:ascii="Arial" w:cs="Arial" w:eastAsia="Arial" w:hAnsi="Arial"/>
                <w:sz w:val="18"/>
                <w:szCs w:val="18"/>
                <w:color w:val="auto"/>
              </w:rPr>
              <w:t>0.87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6"/>
              <w:spacing w:after="0"/>
              <w:rPr>
                <w:sz w:val="20"/>
                <w:szCs w:val="20"/>
                <w:color w:val="auto"/>
              </w:rPr>
            </w:pPr>
            <w:r>
              <w:rPr>
                <w:rFonts w:ascii="Arial" w:cs="Arial" w:eastAsia="Arial" w:hAnsi="Arial"/>
                <w:sz w:val="18"/>
                <w:szCs w:val="18"/>
                <w:color w:val="auto"/>
              </w:rPr>
              <w:t>0.84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0.80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Diluted earnings per common share attributable to Comcast Corporation stockholders</w:t>
            </w:r>
          </w:p>
        </w:tc>
        <w:tc>
          <w:tcPr>
            <w:tcW w:w="1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E5E5E5"/>
          </w:tcPr>
          <w:p>
            <w:pPr>
              <w:jc w:val="right"/>
              <w:ind w:right="136"/>
              <w:spacing w:after="0"/>
              <w:rPr>
                <w:sz w:val="20"/>
                <w:szCs w:val="20"/>
                <w:color w:val="auto"/>
              </w:rPr>
            </w:pPr>
            <w:r>
              <w:rPr>
                <w:rFonts w:ascii="Arial" w:cs="Arial" w:eastAsia="Arial" w:hAnsi="Arial"/>
                <w:sz w:val="18"/>
                <w:szCs w:val="18"/>
                <w:color w:val="auto"/>
              </w:rPr>
              <w:t>0.86</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E5E5E5"/>
          </w:tcPr>
          <w:p>
            <w:pPr>
              <w:jc w:val="right"/>
              <w:ind w:right="136"/>
              <w:spacing w:after="0"/>
              <w:rPr>
                <w:sz w:val="20"/>
                <w:szCs w:val="20"/>
                <w:color w:val="auto"/>
              </w:rPr>
            </w:pPr>
            <w:r>
              <w:rPr>
                <w:rFonts w:ascii="Arial" w:cs="Arial" w:eastAsia="Arial" w:hAnsi="Arial"/>
                <w:sz w:val="18"/>
                <w:szCs w:val="18"/>
                <w:color w:val="auto"/>
              </w:rPr>
              <w:t>0.83</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0.79</w:t>
            </w:r>
          </w:p>
        </w:tc>
        <w:tc>
          <w:tcPr>
            <w:tcW w:w="20" w:type="dxa"/>
            <w:vAlign w:val="bottom"/>
          </w:tcPr>
          <w:p>
            <w:pPr>
              <w:spacing w:after="0"/>
              <w:rPr>
                <w:sz w:val="19"/>
                <w:szCs w:val="19"/>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See Note 6 for further details on our noncontrolling interests.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SFAS No. 161</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March 2008, the FASB issued SFAS No. 161, “Disclosures about Derivative Instruments and Hedging Activities” (“SFAS No. 161”). SFAS No. 161 amends and expands the disclosure requirements of SFAS No. 133, “Derivative Instruments and Hedging Activities” (“SFAS No. 133”). SFAS No. 161 requires enhanced disclosure about (i) how and why an entity uses derivative instruments, (ii) how derivative instruments and related hedged items are accounted for under SFAS No. 133 and its related interpretations and (iii) how derivative instruments and related hedged items affect an entity’s financial position, financial performance and cash flows. See Note 5 for further details regarding our adoption of this standard.</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Earnings Per Share</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Basic earnings per common share attributable to Comcast Corporation stockholders (“Basic EPS”) is computed by dividing net income attributable to Comcast Corporation by the weighted-average number of common shares outstanding during the period.</w:t>
      </w:r>
    </w:p>
    <w:p>
      <w:pPr>
        <w:spacing w:after="0" w:line="3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potentially dilutive securities include potential common shares related to our stock options and our restricted share units (“RSUs”). Diluted earnings per common share attributable to Comcast Corporation stockholders (“Diluted EPS”) considers the impact of potentially dilutive securities using the treasury stock method, except in periods in which there is a loss, because the inclusion of the potential common shares would have an antidilutive effect.</w:t>
      </w:r>
    </w:p>
    <w:p>
      <w:pPr>
        <w:spacing w:after="0" w:line="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Diluted EPS for the three months ended March 31, 2009 and 2008 excludes approximately 181 million and 178 million, respectively, of potential common shares related to our share-based compensation plans, because their inclusion would have had an antidilutive effect.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Diluted EPS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color w:val="auto"/>
              </w:rPr>
              <w:t>Three Months Ended March 31</w:t>
            </w:r>
          </w:p>
        </w:tc>
        <w:tc>
          <w:tcPr>
            <w:tcW w:w="8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80"/>
              <w:spacing w:after="0" w:line="142" w:lineRule="exact"/>
              <w:rPr>
                <w:sz w:val="20"/>
                <w:szCs w:val="20"/>
                <w:color w:val="auto"/>
              </w:rPr>
            </w:pPr>
            <w:r>
              <w:rPr>
                <w:rFonts w:ascii="Arial" w:cs="Arial" w:eastAsia="Arial" w:hAnsi="Arial"/>
                <w:sz w:val="14"/>
                <w:szCs w:val="14"/>
                <w:color w:val="auto"/>
              </w:rPr>
              <w:t>2009</w:t>
            </w:r>
          </w:p>
        </w:tc>
        <w:tc>
          <w:tcPr>
            <w:tcW w:w="4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40"/>
              <w:spacing w:after="0" w:line="142" w:lineRule="exact"/>
              <w:rPr>
                <w:sz w:val="20"/>
                <w:szCs w:val="20"/>
                <w:color w:val="auto"/>
              </w:rPr>
            </w:pPr>
            <w:r>
              <w:rPr>
                <w:rFonts w:ascii="Arial" w:cs="Arial" w:eastAsia="Arial" w:hAnsi="Arial"/>
                <w:sz w:val="14"/>
                <w:szCs w:val="14"/>
                <w:color w:val="auto"/>
              </w:rPr>
              <w:t>2008</w:t>
            </w:r>
          </w:p>
        </w:tc>
        <w:tc>
          <w:tcPr>
            <w:tcW w:w="3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1400" w:type="dxa"/>
            <w:vAlign w:val="bottom"/>
            <w:gridSpan w:val="2"/>
          </w:tcPr>
          <w:p>
            <w:pPr>
              <w:jc w:val="center"/>
              <w:ind w:left="162"/>
              <w:spacing w:after="0" w:line="131" w:lineRule="exact"/>
              <w:rPr>
                <w:sz w:val="20"/>
                <w:szCs w:val="20"/>
                <w:color w:val="auto"/>
              </w:rPr>
            </w:pPr>
            <w:r>
              <w:rPr>
                <w:rFonts w:ascii="Arial" w:cs="Arial" w:eastAsia="Arial" w:hAnsi="Arial"/>
                <w:sz w:val="14"/>
                <w:szCs w:val="14"/>
                <w:color w:val="auto"/>
                <w:w w:val="89"/>
              </w:rPr>
              <w:t>Net Income</w:t>
            </w: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8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9"/>
              </w:rPr>
              <w:t>Net Income</w:t>
            </w: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400" w:type="dxa"/>
            <w:vAlign w:val="bottom"/>
            <w:gridSpan w:val="2"/>
          </w:tcPr>
          <w:p>
            <w:pPr>
              <w:jc w:val="center"/>
              <w:ind w:left="162"/>
              <w:spacing w:after="0" w:line="149" w:lineRule="exact"/>
              <w:rPr>
                <w:sz w:val="20"/>
                <w:szCs w:val="20"/>
                <w:color w:val="auto"/>
              </w:rPr>
            </w:pPr>
            <w:r>
              <w:rPr>
                <w:rFonts w:ascii="Arial" w:cs="Arial" w:eastAsia="Arial" w:hAnsi="Arial"/>
                <w:sz w:val="14"/>
                <w:szCs w:val="14"/>
                <w:color w:val="auto"/>
                <w:w w:val="92"/>
              </w:rPr>
              <w:t>Attributable to</w:t>
            </w: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Attributable to</w:t>
            </w: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jc w:val="center"/>
              <w:ind w:right="219"/>
              <w:spacing w:after="0" w:line="149" w:lineRule="exact"/>
              <w:rPr>
                <w:sz w:val="20"/>
                <w:szCs w:val="20"/>
                <w:color w:val="auto"/>
              </w:rPr>
            </w:pPr>
            <w:r>
              <w:rPr>
                <w:rFonts w:ascii="Arial" w:cs="Arial" w:eastAsia="Arial" w:hAnsi="Arial"/>
                <w:sz w:val="14"/>
                <w:szCs w:val="14"/>
                <w:color w:val="auto"/>
                <w:w w:val="86"/>
              </w:rPr>
              <w:t>Comcast</w:t>
            </w:r>
          </w:p>
        </w:tc>
        <w:tc>
          <w:tcPr>
            <w:tcW w:w="820" w:type="dxa"/>
            <w:vAlign w:val="bottom"/>
          </w:tcPr>
          <w:p>
            <w:pPr>
              <w:spacing w:after="0"/>
              <w:rPr>
                <w:sz w:val="12"/>
                <w:szCs w:val="12"/>
                <w:color w:val="auto"/>
              </w:rPr>
            </w:pPr>
          </w:p>
        </w:tc>
        <w:tc>
          <w:tcPr>
            <w:tcW w:w="10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Per Share</w:t>
            </w:r>
          </w:p>
        </w:tc>
        <w:tc>
          <w:tcPr>
            <w:tcW w:w="340" w:type="dxa"/>
            <w:vAlign w:val="bottom"/>
          </w:tcPr>
          <w:p>
            <w:pPr>
              <w:spacing w:after="0"/>
              <w:rPr>
                <w:sz w:val="12"/>
                <w:szCs w:val="12"/>
                <w:color w:val="auto"/>
              </w:rPr>
            </w:pPr>
          </w:p>
        </w:tc>
        <w:tc>
          <w:tcPr>
            <w:tcW w:w="840" w:type="dxa"/>
            <w:vAlign w:val="bottom"/>
          </w:tcPr>
          <w:p>
            <w:pPr>
              <w:jc w:val="center"/>
              <w:ind w:right="239"/>
              <w:spacing w:after="0" w:line="149" w:lineRule="exact"/>
              <w:rPr>
                <w:sz w:val="20"/>
                <w:szCs w:val="20"/>
                <w:color w:val="auto"/>
              </w:rPr>
            </w:pPr>
            <w:r>
              <w:rPr>
                <w:rFonts w:ascii="Arial" w:cs="Arial" w:eastAsia="Arial" w:hAnsi="Arial"/>
                <w:sz w:val="14"/>
                <w:szCs w:val="14"/>
                <w:color w:val="auto"/>
                <w:w w:val="86"/>
              </w:rPr>
              <w:t>Comcast</w:t>
            </w:r>
          </w:p>
        </w:tc>
        <w:tc>
          <w:tcPr>
            <w:tcW w:w="880" w:type="dxa"/>
            <w:vAlign w:val="bottom"/>
          </w:tcPr>
          <w:p>
            <w:pPr>
              <w:spacing w:after="0"/>
              <w:rPr>
                <w:sz w:val="12"/>
                <w:szCs w:val="12"/>
                <w:color w:val="auto"/>
              </w:rPr>
            </w:pPr>
          </w:p>
        </w:tc>
        <w:tc>
          <w:tcPr>
            <w:tcW w:w="760" w:type="dxa"/>
            <w:vAlign w:val="bottom"/>
            <w:gridSpan w:val="3"/>
          </w:tcPr>
          <w:p>
            <w:pPr>
              <w:ind w:left="220"/>
              <w:spacing w:after="0" w:line="149" w:lineRule="exact"/>
              <w:rPr>
                <w:sz w:val="20"/>
                <w:szCs w:val="20"/>
                <w:color w:val="auto"/>
              </w:rPr>
            </w:pPr>
            <w:r>
              <w:rPr>
                <w:rFonts w:ascii="Arial" w:cs="Arial" w:eastAsia="Arial" w:hAnsi="Arial"/>
                <w:sz w:val="14"/>
                <w:szCs w:val="14"/>
                <w:color w:val="auto"/>
                <w:w w:val="82"/>
              </w:rPr>
              <w:t>Per Share</w:t>
            </w:r>
          </w:p>
        </w:tc>
      </w:tr>
      <w:tr>
        <w:trPr>
          <w:trHeight w:val="159"/>
        </w:trPr>
        <w:tc>
          <w:tcPr>
            <w:tcW w:w="5380" w:type="dxa"/>
            <w:vAlign w:val="bottom"/>
            <w:gridSpan w:val="2"/>
          </w:tcPr>
          <w:p>
            <w:pPr>
              <w:spacing w:after="0" w:line="159" w:lineRule="exact"/>
              <w:rPr>
                <w:sz w:val="20"/>
                <w:szCs w:val="20"/>
                <w:color w:val="auto"/>
              </w:rPr>
            </w:pPr>
            <w:r>
              <w:rPr>
                <w:rFonts w:ascii="Arial" w:cs="Arial" w:eastAsia="Arial" w:hAnsi="Arial"/>
                <w:sz w:val="14"/>
                <w:szCs w:val="14"/>
                <w:color w:val="auto"/>
              </w:rPr>
              <w:t>(in millions, except per share data)</w:t>
            </w:r>
          </w:p>
        </w:tc>
        <w:tc>
          <w:tcPr>
            <w:tcW w:w="1400" w:type="dxa"/>
            <w:vAlign w:val="bottom"/>
            <w:gridSpan w:val="2"/>
          </w:tcPr>
          <w:p>
            <w:pPr>
              <w:jc w:val="center"/>
              <w:ind w:left="162"/>
              <w:spacing w:after="0" w:line="159" w:lineRule="exact"/>
              <w:rPr>
                <w:sz w:val="20"/>
                <w:szCs w:val="20"/>
                <w:color w:val="auto"/>
              </w:rPr>
            </w:pPr>
            <w:r>
              <w:rPr>
                <w:rFonts w:ascii="Arial" w:cs="Arial" w:eastAsia="Arial" w:hAnsi="Arial"/>
                <w:sz w:val="14"/>
                <w:szCs w:val="14"/>
                <w:color w:val="auto"/>
                <w:w w:val="87"/>
              </w:rPr>
              <w:t>Corporation</w:t>
            </w:r>
          </w:p>
        </w:tc>
        <w:tc>
          <w:tcPr>
            <w:tcW w:w="820" w:type="dxa"/>
            <w:vAlign w:val="bottom"/>
          </w:tcPr>
          <w:p>
            <w:pPr>
              <w:jc w:val="right"/>
              <w:ind w:right="100"/>
              <w:spacing w:after="0" w:line="159" w:lineRule="exact"/>
              <w:rPr>
                <w:sz w:val="20"/>
                <w:szCs w:val="20"/>
                <w:color w:val="auto"/>
              </w:rPr>
            </w:pPr>
            <w:r>
              <w:rPr>
                <w:rFonts w:ascii="Arial" w:cs="Arial" w:eastAsia="Arial" w:hAnsi="Arial"/>
                <w:sz w:val="14"/>
                <w:szCs w:val="14"/>
                <w:color w:val="auto"/>
              </w:rPr>
              <w:t>Shares</w:t>
            </w:r>
          </w:p>
        </w:tc>
        <w:tc>
          <w:tcPr>
            <w:tcW w:w="102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Amount</w:t>
            </w:r>
          </w:p>
        </w:tc>
        <w:tc>
          <w:tcPr>
            <w:tcW w:w="118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90"/>
              </w:rPr>
              <w:t>Corporation</w:t>
            </w:r>
          </w:p>
        </w:tc>
        <w:tc>
          <w:tcPr>
            <w:tcW w:w="880" w:type="dxa"/>
            <w:vAlign w:val="bottom"/>
          </w:tcPr>
          <w:p>
            <w:pPr>
              <w:jc w:val="right"/>
              <w:ind w:right="160"/>
              <w:spacing w:after="0" w:line="159" w:lineRule="exact"/>
              <w:rPr>
                <w:sz w:val="20"/>
                <w:szCs w:val="20"/>
                <w:color w:val="auto"/>
              </w:rPr>
            </w:pPr>
            <w:r>
              <w:rPr>
                <w:rFonts w:ascii="Arial" w:cs="Arial" w:eastAsia="Arial" w:hAnsi="Arial"/>
                <w:sz w:val="14"/>
                <w:szCs w:val="14"/>
                <w:color w:val="auto"/>
              </w:rPr>
              <w:t>Shares</w:t>
            </w:r>
          </w:p>
        </w:tc>
        <w:tc>
          <w:tcPr>
            <w:tcW w:w="760" w:type="dxa"/>
            <w:vAlign w:val="bottom"/>
            <w:gridSpan w:val="3"/>
          </w:tcPr>
          <w:p>
            <w:pPr>
              <w:ind w:left="260"/>
              <w:spacing w:after="0" w:line="159" w:lineRule="exact"/>
              <w:rPr>
                <w:sz w:val="20"/>
                <w:szCs w:val="20"/>
                <w:color w:val="auto"/>
              </w:rPr>
            </w:pPr>
            <w:r>
              <w:rPr>
                <w:rFonts w:ascii="Arial" w:cs="Arial" w:eastAsia="Arial" w:hAnsi="Arial"/>
                <w:sz w:val="14"/>
                <w:szCs w:val="14"/>
                <w:color w:val="auto"/>
                <w:w w:val="99"/>
              </w:rPr>
              <w:t>Amount</w:t>
            </w:r>
          </w:p>
        </w:tc>
      </w:tr>
      <w:tr>
        <w:trPr>
          <w:trHeight w:val="210"/>
        </w:trPr>
        <w:tc>
          <w:tcPr>
            <w:tcW w:w="20" w:type="dxa"/>
            <w:vAlign w:val="bottom"/>
          </w:tcPr>
          <w:p>
            <w:pPr>
              <w:spacing w:after="0"/>
              <w:rPr>
                <w:sz w:val="18"/>
                <w:szCs w:val="18"/>
                <w:color w:val="auto"/>
              </w:rPr>
            </w:pPr>
          </w:p>
        </w:tc>
        <w:tc>
          <w:tcPr>
            <w:tcW w:w="53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Basic EPS attributable to Comcast Corporation stockholders</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E5E5E5"/>
          </w:tcPr>
          <w:p>
            <w:pPr>
              <w:jc w:val="right"/>
              <w:ind w:right="99"/>
              <w:spacing w:after="0"/>
              <w:rPr>
                <w:sz w:val="20"/>
                <w:szCs w:val="20"/>
                <w:color w:val="auto"/>
              </w:rPr>
            </w:pPr>
            <w:r>
              <w:rPr>
                <w:rFonts w:ascii="Arial" w:cs="Arial" w:eastAsia="Arial" w:hAnsi="Arial"/>
                <w:sz w:val="18"/>
                <w:szCs w:val="18"/>
                <w:color w:val="auto"/>
              </w:rPr>
              <w:t>772</w:t>
            </w:r>
          </w:p>
        </w:tc>
        <w:tc>
          <w:tcPr>
            <w:tcW w:w="820" w:type="dxa"/>
            <w:vAlign w:val="bottom"/>
            <w:tcBorders>
              <w:top w:val="single" w:sz="8" w:color="auto"/>
            </w:tcBorders>
            <w:shd w:val="clear" w:color="auto" w:fill="E5E5E5"/>
          </w:tcPr>
          <w:p>
            <w:pPr>
              <w:jc w:val="right"/>
              <w:ind w:right="80"/>
              <w:spacing w:after="0"/>
              <w:rPr>
                <w:sz w:val="20"/>
                <w:szCs w:val="20"/>
                <w:color w:val="auto"/>
              </w:rPr>
            </w:pPr>
            <w:r>
              <w:rPr>
                <w:rFonts w:ascii="Arial" w:cs="Arial" w:eastAsia="Arial" w:hAnsi="Arial"/>
                <w:sz w:val="18"/>
                <w:szCs w:val="18"/>
                <w:color w:val="auto"/>
              </w:rPr>
              <w:t>2,885</w:t>
            </w:r>
          </w:p>
        </w:tc>
        <w:tc>
          <w:tcPr>
            <w:tcW w:w="420" w:type="dxa"/>
            <w:vAlign w:val="bottom"/>
            <w:tcBorders>
              <w:top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0.27</w:t>
            </w:r>
          </w:p>
        </w:tc>
        <w:tc>
          <w:tcPr>
            <w:tcW w:w="3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E5E5E5"/>
          </w:tcPr>
          <w:p>
            <w:pPr>
              <w:jc w:val="right"/>
              <w:ind w:right="99"/>
              <w:spacing w:after="0"/>
              <w:rPr>
                <w:sz w:val="20"/>
                <w:szCs w:val="20"/>
                <w:color w:val="auto"/>
              </w:rPr>
            </w:pPr>
            <w:r>
              <w:rPr>
                <w:rFonts w:ascii="Arial" w:cs="Arial" w:eastAsia="Arial" w:hAnsi="Arial"/>
                <w:sz w:val="18"/>
                <w:szCs w:val="18"/>
                <w:color w:val="auto"/>
              </w:rPr>
              <w:t>732</w:t>
            </w:r>
          </w:p>
        </w:tc>
        <w:tc>
          <w:tcPr>
            <w:tcW w:w="880" w:type="dxa"/>
            <w:vAlign w:val="bottom"/>
            <w:tcBorders>
              <w:top w:val="single" w:sz="8" w:color="auto"/>
            </w:tcBorders>
            <w:shd w:val="clear" w:color="auto" w:fill="E5E5E5"/>
          </w:tcPr>
          <w:p>
            <w:pPr>
              <w:jc w:val="right"/>
              <w:ind w:right="140"/>
              <w:spacing w:after="0"/>
              <w:rPr>
                <w:sz w:val="20"/>
                <w:szCs w:val="20"/>
                <w:color w:val="auto"/>
              </w:rPr>
            </w:pPr>
            <w:r>
              <w:rPr>
                <w:rFonts w:ascii="Arial" w:cs="Arial" w:eastAsia="Arial" w:hAnsi="Arial"/>
                <w:sz w:val="18"/>
                <w:szCs w:val="18"/>
                <w:color w:val="auto"/>
              </w:rPr>
              <w:t>3,009</w:t>
            </w:r>
          </w:p>
        </w:tc>
        <w:tc>
          <w:tcPr>
            <w:tcW w:w="360" w:type="dxa"/>
            <w:vAlign w:val="bottom"/>
            <w:tcBorders>
              <w:top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0.24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w w:val="97"/>
              </w:rPr>
              <w:t>Assumed exercise or issuance of shares relating to stock plans</w:t>
            </w:r>
          </w:p>
        </w:tc>
        <w:tc>
          <w:tcPr>
            <w:tcW w:w="5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80"/>
              <w:spacing w:after="0"/>
              <w:rPr>
                <w:sz w:val="20"/>
                <w:szCs w:val="20"/>
                <w:color w:val="auto"/>
              </w:rPr>
            </w:pPr>
            <w:r>
              <w:rPr>
                <w:rFonts w:ascii="Arial" w:cs="Arial" w:eastAsia="Arial" w:hAnsi="Arial"/>
                <w:sz w:val="18"/>
                <w:szCs w:val="18"/>
                <w:color w:val="auto"/>
              </w:rPr>
              <w:t>5</w:t>
            </w:r>
          </w:p>
        </w:tc>
        <w:tc>
          <w:tcPr>
            <w:tcW w:w="4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140"/>
              <w:spacing w:after="0"/>
              <w:rPr>
                <w:sz w:val="20"/>
                <w:szCs w:val="20"/>
                <w:color w:val="auto"/>
              </w:rPr>
            </w:pPr>
            <w:r>
              <w:rPr>
                <w:rFonts w:ascii="Arial" w:cs="Arial" w:eastAsia="Arial" w:hAnsi="Arial"/>
                <w:sz w:val="18"/>
                <w:szCs w:val="18"/>
                <w:color w:val="auto"/>
              </w:rPr>
              <w:t>8</w:t>
            </w:r>
          </w:p>
        </w:tc>
        <w:tc>
          <w:tcPr>
            <w:tcW w:w="36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Diluted EPS attributable to Comcast Corporation stockholders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b w:val="1"/>
                <w:bCs w:val="1"/>
                <w:color w:val="auto"/>
              </w:rPr>
              <w:t>772</w:t>
            </w: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8"/>
                <w:szCs w:val="18"/>
                <w:b w:val="1"/>
                <w:bCs w:val="1"/>
                <w:color w:val="auto"/>
              </w:rPr>
              <w:t>2,890</w:t>
            </w:r>
          </w:p>
        </w:tc>
        <w:tc>
          <w:tcPr>
            <w:tcW w:w="4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0.27</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b w:val="1"/>
                <w:bCs w:val="1"/>
                <w:color w:val="auto"/>
              </w:rPr>
              <w:t>732</w:t>
            </w:r>
          </w:p>
        </w:tc>
        <w:tc>
          <w:tcPr>
            <w:tcW w:w="880" w:type="dxa"/>
            <w:vAlign w:val="bottom"/>
            <w:tcBorders>
              <w:bottom w:val="single" w:sz="8" w:color="auto"/>
            </w:tcBorders>
          </w:tcPr>
          <w:p>
            <w:pPr>
              <w:jc w:val="right"/>
              <w:ind w:right="140"/>
              <w:spacing w:after="0"/>
              <w:rPr>
                <w:sz w:val="20"/>
                <w:szCs w:val="20"/>
                <w:color w:val="auto"/>
              </w:rPr>
            </w:pPr>
            <w:r>
              <w:rPr>
                <w:rFonts w:ascii="Arial" w:cs="Arial" w:eastAsia="Arial" w:hAnsi="Arial"/>
                <w:sz w:val="18"/>
                <w:szCs w:val="18"/>
                <w:b w:val="1"/>
                <w:bCs w:val="1"/>
                <w:color w:val="auto"/>
              </w:rPr>
              <w:t>3,017</w:t>
            </w:r>
          </w:p>
        </w:tc>
        <w:tc>
          <w:tcPr>
            <w:tcW w:w="3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0.24</w:t>
            </w:r>
          </w:p>
        </w:tc>
        <w:tc>
          <w:tcPr>
            <w:tcW w:w="20" w:type="dxa"/>
            <w:vAlign w:val="bottom"/>
          </w:tcPr>
          <w:p>
            <w:pPr>
              <w:spacing w:after="0"/>
              <w:rPr>
                <w:sz w:val="18"/>
                <w:szCs w:val="18"/>
                <w:color w:val="auto"/>
              </w:rPr>
            </w:pPr>
          </w:p>
        </w:tc>
      </w:tr>
      <w:tr>
        <w:trPr>
          <w:trHeight w:val="511"/>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540" w:type="dxa"/>
            <w:vAlign w:val="bottom"/>
          </w:tcPr>
          <w:p>
            <w:pPr>
              <w:jc w:val="right"/>
              <w:ind w:right="82"/>
              <w:spacing w:after="0"/>
              <w:rPr>
                <w:sz w:val="20"/>
                <w:szCs w:val="20"/>
                <w:color w:val="auto"/>
              </w:rPr>
            </w:pPr>
            <w:r>
              <w:rPr>
                <w:rFonts w:ascii="Arial" w:cs="Arial" w:eastAsia="Arial" w:hAnsi="Arial"/>
                <w:sz w:val="18"/>
                <w:szCs w:val="18"/>
                <w:color w:val="auto"/>
              </w:rPr>
              <w:t>8</w:t>
            </w: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Investments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240" w:type="dxa"/>
            <w:vAlign w:val="bottom"/>
            <w:gridSpan w:val="2"/>
          </w:tcPr>
          <w:p>
            <w:pPr>
              <w:ind w:left="480"/>
              <w:spacing w:after="0"/>
              <w:rPr>
                <w:sz w:val="20"/>
                <w:szCs w:val="20"/>
                <w:color w:val="auto"/>
              </w:rPr>
            </w:pPr>
            <w:r>
              <w:rPr>
                <w:rFonts w:ascii="Arial" w:cs="Arial" w:eastAsia="Arial" w:hAnsi="Arial"/>
                <w:sz w:val="14"/>
                <w:szCs w:val="14"/>
                <w:color w:val="auto"/>
              </w:rPr>
              <w:t>March 31,</w:t>
            </w:r>
          </w:p>
        </w:tc>
        <w:tc>
          <w:tcPr>
            <w:tcW w:w="1260" w:type="dxa"/>
            <w:vAlign w:val="bottom"/>
            <w:gridSpan w:val="3"/>
          </w:tcPr>
          <w:p>
            <w:pPr>
              <w:ind w:left="480"/>
              <w:spacing w:after="0"/>
              <w:rPr>
                <w:sz w:val="20"/>
                <w:szCs w:val="20"/>
                <w:color w:val="auto"/>
              </w:rPr>
            </w:pPr>
            <w:r>
              <w:rPr>
                <w:rFonts w:ascii="Arial" w:cs="Arial" w:eastAsia="Arial" w:hAnsi="Arial"/>
                <w:sz w:val="14"/>
                <w:szCs w:val="14"/>
                <w:color w:val="auto"/>
                <w:w w:val="86"/>
              </w:rPr>
              <w:t>December 31,</w:t>
            </w:r>
          </w:p>
        </w:tc>
        <w:tc>
          <w:tcPr>
            <w:tcW w:w="0" w:type="dxa"/>
            <w:vAlign w:val="bottom"/>
          </w:tcPr>
          <w:p>
            <w:pPr>
              <w:spacing w:after="0"/>
              <w:rPr>
                <w:sz w:val="1"/>
                <w:szCs w:val="1"/>
                <w:color w:val="auto"/>
              </w:rPr>
            </w:pPr>
          </w:p>
        </w:tc>
      </w:tr>
      <w:tr>
        <w:trPr>
          <w:trHeight w:val="159"/>
        </w:trPr>
        <w:tc>
          <w:tcPr>
            <w:tcW w:w="894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240" w:type="dxa"/>
            <w:vAlign w:val="bottom"/>
            <w:gridSpan w:val="2"/>
          </w:tcPr>
          <w:p>
            <w:pPr>
              <w:ind w:left="620"/>
              <w:spacing w:after="0" w:line="159" w:lineRule="exact"/>
              <w:rPr>
                <w:sz w:val="20"/>
                <w:szCs w:val="20"/>
                <w:color w:val="auto"/>
              </w:rPr>
            </w:pPr>
            <w:r>
              <w:rPr>
                <w:rFonts w:ascii="Arial" w:cs="Arial" w:eastAsia="Arial" w:hAnsi="Arial"/>
                <w:sz w:val="14"/>
                <w:szCs w:val="14"/>
                <w:color w:val="auto"/>
              </w:rPr>
              <w:t>2009</w:t>
            </w:r>
          </w:p>
        </w:tc>
        <w:tc>
          <w:tcPr>
            <w:tcW w:w="720" w:type="dxa"/>
            <w:vAlign w:val="bottom"/>
          </w:tcPr>
          <w:p>
            <w:pPr>
              <w:spacing w:after="0"/>
              <w:rPr>
                <w:sz w:val="13"/>
                <w:szCs w:val="13"/>
                <w:color w:val="auto"/>
              </w:rPr>
            </w:pPr>
          </w:p>
        </w:tc>
        <w:tc>
          <w:tcPr>
            <w:tcW w:w="520" w:type="dxa"/>
            <w:vAlign w:val="bottom"/>
          </w:tcPr>
          <w:p>
            <w:pPr>
              <w:jc w:val="right"/>
              <w:ind w:right="155"/>
              <w:spacing w:after="0" w:line="159" w:lineRule="exact"/>
              <w:rPr>
                <w:sz w:val="20"/>
                <w:szCs w:val="20"/>
                <w:color w:val="auto"/>
              </w:rPr>
            </w:pPr>
            <w:r>
              <w:rPr>
                <w:rFonts w:ascii="Arial" w:cs="Arial" w:eastAsia="Arial" w:hAnsi="Arial"/>
                <w:sz w:val="14"/>
                <w:szCs w:val="14"/>
                <w:color w:val="auto"/>
                <w:w w:val="83"/>
              </w:rPr>
              <w:t>2008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Fair value method</w:t>
            </w:r>
          </w:p>
        </w:tc>
        <w:tc>
          <w:tcPr>
            <w:tcW w:w="740" w:type="dxa"/>
            <w:vAlign w:val="bottom"/>
            <w:tcBorders>
              <w:top w:val="single" w:sz="8" w:color="auto"/>
            </w:tcBorders>
            <w:shd w:val="clear" w:color="auto" w:fill="E5E5E5"/>
          </w:tcPr>
          <w:p>
            <w:pPr>
              <w:ind w:left="48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w w:val="93"/>
              </w:rPr>
              <w:t>981</w:t>
            </w:r>
          </w:p>
        </w:tc>
        <w:tc>
          <w:tcPr>
            <w:tcW w:w="720" w:type="dxa"/>
            <w:vAlign w:val="bottom"/>
            <w:tcBorders>
              <w:top w:val="single" w:sz="8" w:color="auto"/>
            </w:tcBorders>
            <w:shd w:val="clear" w:color="auto" w:fill="E5E5E5"/>
          </w:tcPr>
          <w:p>
            <w:pPr>
              <w:ind w:left="48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Equity method, primarily SpectrumCo and Clearwire</w:t>
            </w:r>
          </w:p>
        </w:tc>
        <w:tc>
          <w:tcPr>
            <w:tcW w:w="1240" w:type="dxa"/>
            <w:vAlign w:val="bottom"/>
            <w:gridSpan w:val="2"/>
          </w:tcPr>
          <w:p>
            <w:pPr>
              <w:jc w:val="right"/>
              <w:ind w:right="116"/>
              <w:spacing w:after="0"/>
              <w:rPr>
                <w:sz w:val="20"/>
                <w:szCs w:val="20"/>
                <w:color w:val="auto"/>
              </w:rPr>
            </w:pPr>
            <w:r>
              <w:rPr>
                <w:rFonts w:ascii="Arial" w:cs="Arial" w:eastAsia="Arial" w:hAnsi="Arial"/>
                <w:sz w:val="18"/>
                <w:szCs w:val="18"/>
                <w:color w:val="auto"/>
              </w:rPr>
              <w:t>2,234</w:t>
            </w:r>
          </w:p>
        </w:tc>
        <w:tc>
          <w:tcPr>
            <w:tcW w:w="7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Cost method, primarily AirTouch redeemable preferred shares</w:t>
            </w:r>
          </w:p>
        </w:tc>
        <w:tc>
          <w:tcPr>
            <w:tcW w:w="1240" w:type="dxa"/>
            <w:vAlign w:val="bottom"/>
            <w:tcBorders>
              <w:bottom w:val="single" w:sz="8" w:color="auto"/>
            </w:tcBorders>
            <w:gridSpan w:val="2"/>
            <w:shd w:val="clear" w:color="auto" w:fill="E5E5E5"/>
          </w:tcPr>
          <w:p>
            <w:pPr>
              <w:jc w:val="right"/>
              <w:ind w:right="116"/>
              <w:spacing w:after="0"/>
              <w:rPr>
                <w:sz w:val="20"/>
                <w:szCs w:val="20"/>
                <w:color w:val="auto"/>
              </w:rPr>
            </w:pPr>
            <w:r>
              <w:rPr>
                <w:rFonts w:ascii="Arial" w:cs="Arial" w:eastAsia="Arial" w:hAnsi="Arial"/>
                <w:sz w:val="18"/>
                <w:szCs w:val="18"/>
                <w:color w:val="auto"/>
              </w:rPr>
              <w:t>1,716</w:t>
            </w:r>
          </w:p>
        </w:tc>
        <w:tc>
          <w:tcPr>
            <w:tcW w:w="7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Total investments</w:t>
            </w:r>
          </w:p>
        </w:tc>
        <w:tc>
          <w:tcPr>
            <w:tcW w:w="1240" w:type="dxa"/>
            <w:vAlign w:val="bottom"/>
            <w:gridSpan w:val="2"/>
          </w:tcPr>
          <w:p>
            <w:pPr>
              <w:jc w:val="right"/>
              <w:ind w:right="116"/>
              <w:spacing w:after="0"/>
              <w:rPr>
                <w:sz w:val="20"/>
                <w:szCs w:val="20"/>
                <w:color w:val="auto"/>
              </w:rPr>
            </w:pPr>
            <w:r>
              <w:rPr>
                <w:rFonts w:ascii="Arial" w:cs="Arial" w:eastAsia="Arial" w:hAnsi="Arial"/>
                <w:sz w:val="18"/>
                <w:szCs w:val="18"/>
                <w:color w:val="auto"/>
              </w:rPr>
              <w:t>4,931</w:t>
            </w:r>
          </w:p>
        </w:tc>
        <w:tc>
          <w:tcPr>
            <w:tcW w:w="7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Current investments</w:t>
            </w:r>
          </w:p>
        </w:tc>
        <w:tc>
          <w:tcPr>
            <w:tcW w:w="7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59</w:t>
            </w:r>
          </w:p>
        </w:tc>
        <w:tc>
          <w:tcPr>
            <w:tcW w:w="7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Noncurrent investments</w:t>
            </w:r>
          </w:p>
        </w:tc>
        <w:tc>
          <w:tcPr>
            <w:tcW w:w="1240" w:type="dxa"/>
            <w:vAlign w:val="bottom"/>
            <w:tcBorders>
              <w:bottom w:val="single" w:sz="8" w:color="auto"/>
            </w:tcBorders>
            <w:gridSpan w:val="2"/>
          </w:tcPr>
          <w:p>
            <w:pPr>
              <w:jc w:val="right"/>
              <w:ind w:right="116"/>
              <w:spacing w:after="0"/>
              <w:rPr>
                <w:sz w:val="20"/>
                <w:szCs w:val="20"/>
                <w:color w:val="auto"/>
              </w:rPr>
            </w:pPr>
            <w:r>
              <w:rPr>
                <w:rFonts w:ascii="Arial" w:cs="Arial" w:eastAsia="Arial" w:hAnsi="Arial"/>
                <w:sz w:val="18"/>
                <w:szCs w:val="18"/>
                <w:b w:val="1"/>
                <w:bCs w:val="1"/>
                <w:color w:val="auto"/>
              </w:rPr>
              <w:t>$ 4,872</w:t>
            </w: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8920" w:type="dxa"/>
            <w:vAlign w:val="bottom"/>
          </w:tcPr>
          <w:p>
            <w:pPr>
              <w:ind w:left="3760"/>
              <w:spacing w:after="0"/>
              <w:rPr>
                <w:sz w:val="20"/>
                <w:szCs w:val="20"/>
                <w:color w:val="auto"/>
              </w:rPr>
            </w:pPr>
            <w:r>
              <w:rPr>
                <w:rFonts w:ascii="Arial" w:cs="Arial" w:eastAsia="Arial" w:hAnsi="Arial"/>
                <w:sz w:val="18"/>
                <w:szCs w:val="18"/>
                <w:b w:val="1"/>
                <w:bCs w:val="1"/>
                <w:color w:val="auto"/>
              </w:rPr>
              <w:t>Components of Investment Income (Loss), Net</w:t>
            </w: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760" w:type="dxa"/>
            <w:vAlign w:val="bottom"/>
            <w:gridSpan w:val="4"/>
          </w:tcPr>
          <w:p>
            <w:pPr>
              <w:jc w:val="center"/>
              <w:ind w:right="180"/>
              <w:spacing w:after="0"/>
              <w:rPr>
                <w:sz w:val="20"/>
                <w:szCs w:val="20"/>
                <w:color w:val="auto"/>
              </w:rPr>
            </w:pPr>
            <w:r>
              <w:rPr>
                <w:rFonts w:ascii="Arial" w:cs="Arial" w:eastAsia="Arial" w:hAnsi="Arial"/>
                <w:sz w:val="14"/>
                <w:szCs w:val="14"/>
                <w:color w:val="auto"/>
                <w:w w:val="87"/>
              </w:rPr>
              <w:t>Three Months Ended</w:t>
            </w:r>
          </w:p>
        </w:tc>
        <w:tc>
          <w:tcPr>
            <w:tcW w:w="0" w:type="dxa"/>
            <w:vAlign w:val="bottom"/>
          </w:tcPr>
          <w:p>
            <w:pPr>
              <w:spacing w:after="0"/>
              <w:rPr>
                <w:sz w:val="1"/>
                <w:szCs w:val="1"/>
                <w:color w:val="auto"/>
              </w:rPr>
            </w:pPr>
          </w:p>
        </w:tc>
      </w:tr>
      <w:tr>
        <w:trPr>
          <w:trHeight w:val="159"/>
        </w:trPr>
        <w:tc>
          <w:tcPr>
            <w:tcW w:w="89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7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79"/>
              <w:spacing w:after="0" w:line="159" w:lineRule="exact"/>
              <w:rPr>
                <w:sz w:val="20"/>
                <w:szCs w:val="20"/>
                <w:color w:val="auto"/>
              </w:rPr>
            </w:pPr>
            <w:r>
              <w:rPr>
                <w:rFonts w:ascii="Arial" w:cs="Arial" w:eastAsia="Arial" w:hAnsi="Arial"/>
                <w:sz w:val="14"/>
                <w:szCs w:val="14"/>
                <w:color w:val="auto"/>
                <w:w w:val="89"/>
              </w:rPr>
              <w:t>March 31</w:t>
            </w:r>
          </w:p>
        </w:tc>
        <w:tc>
          <w:tcPr>
            <w:tcW w:w="5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94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jc w:val="right"/>
              <w:ind w:right="116"/>
              <w:spacing w:after="0" w:line="142" w:lineRule="exact"/>
              <w:rPr>
                <w:sz w:val="20"/>
                <w:szCs w:val="20"/>
                <w:color w:val="auto"/>
              </w:rPr>
            </w:pPr>
            <w:r>
              <w:rPr>
                <w:rFonts w:ascii="Arial" w:cs="Arial" w:eastAsia="Arial" w:hAnsi="Arial"/>
                <w:sz w:val="14"/>
                <w:szCs w:val="14"/>
                <w:color w:val="auto"/>
                <w:w w:val="89"/>
              </w:rPr>
              <w:t>2009</w:t>
            </w:r>
          </w:p>
        </w:tc>
        <w:tc>
          <w:tcPr>
            <w:tcW w:w="720" w:type="dxa"/>
            <w:vAlign w:val="bottom"/>
          </w:tcPr>
          <w:p>
            <w:pPr>
              <w:spacing w:after="0"/>
              <w:rPr>
                <w:sz w:val="12"/>
                <w:szCs w:val="12"/>
                <w:color w:val="auto"/>
              </w:rPr>
            </w:pPr>
          </w:p>
        </w:tc>
        <w:tc>
          <w:tcPr>
            <w:tcW w:w="520" w:type="dxa"/>
            <w:vAlign w:val="bottom"/>
          </w:tcPr>
          <w:p>
            <w:pPr>
              <w:jc w:val="right"/>
              <w:ind w:right="115"/>
              <w:spacing w:after="0" w:line="142" w:lineRule="exact"/>
              <w:rPr>
                <w:sz w:val="20"/>
                <w:szCs w:val="20"/>
                <w:color w:val="auto"/>
              </w:rPr>
            </w:pPr>
            <w:r>
              <w:rPr>
                <w:rFonts w:ascii="Arial" w:cs="Arial" w:eastAsia="Arial" w:hAnsi="Arial"/>
                <w:sz w:val="14"/>
                <w:szCs w:val="14"/>
                <w:color w:val="auto"/>
                <w:w w:val="96"/>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Gains on sales and exchanges of investments, net</w:t>
            </w:r>
          </w:p>
        </w:tc>
        <w:tc>
          <w:tcPr>
            <w:tcW w:w="740" w:type="dxa"/>
            <w:vAlign w:val="bottom"/>
            <w:tcBorders>
              <w:top w:val="single" w:sz="8" w:color="auto"/>
            </w:tcBorders>
            <w:shd w:val="clear" w:color="auto" w:fill="E5E5E5"/>
          </w:tcPr>
          <w:p>
            <w:pPr>
              <w:ind w:left="62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7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Investment impairment losses</w:t>
            </w: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7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E5E5E5"/>
          </w:tcPr>
          <w:p>
            <w:pPr>
              <w:spacing w:after="0"/>
              <w:rPr>
                <w:sz w:val="20"/>
                <w:szCs w:val="20"/>
                <w:color w:val="auto"/>
              </w:rPr>
            </w:pPr>
            <w:r>
              <w:rPr>
                <w:rFonts w:ascii="Arial" w:cs="Arial" w:eastAsia="Arial" w:hAnsi="Arial"/>
                <w:sz w:val="18"/>
                <w:szCs w:val="18"/>
                <w:color w:val="auto"/>
              </w:rPr>
              <w:t>Unrealized gains (losses) on trading securities and hedged items</w:t>
            </w:r>
          </w:p>
        </w:tc>
        <w:tc>
          <w:tcPr>
            <w:tcW w:w="74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38</w:t>
            </w:r>
          </w:p>
        </w:tc>
        <w:tc>
          <w:tcPr>
            <w:tcW w:w="7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Mark to market adjustments on derivatives related to trading securities and hedged items</w:t>
            </w: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7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E5E5E5"/>
          </w:tcPr>
          <w:p>
            <w:pPr>
              <w:spacing w:after="0"/>
              <w:rPr>
                <w:sz w:val="20"/>
                <w:szCs w:val="20"/>
                <w:color w:val="auto"/>
              </w:rPr>
            </w:pPr>
            <w:r>
              <w:rPr>
                <w:rFonts w:ascii="Arial" w:cs="Arial" w:eastAsia="Arial" w:hAnsi="Arial"/>
                <w:sz w:val="18"/>
                <w:szCs w:val="18"/>
                <w:color w:val="auto"/>
              </w:rPr>
              <w:t>Mark to market adjustments on derivatives</w:t>
            </w:r>
          </w:p>
        </w:tc>
        <w:tc>
          <w:tcPr>
            <w:tcW w:w="74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w:t>
            </w:r>
          </w:p>
        </w:tc>
        <w:tc>
          <w:tcPr>
            <w:tcW w:w="7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Interest and dividend income</w:t>
            </w: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c>
          <w:tcPr>
            <w:tcW w:w="7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(19)</w:t>
            </w:r>
          </w:p>
        </w:tc>
        <w:tc>
          <w:tcPr>
            <w:tcW w:w="7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8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 income (loss), net</w:t>
            </w:r>
          </w:p>
        </w:tc>
        <w:tc>
          <w:tcPr>
            <w:tcW w:w="74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Derivative Financial Instruments and Fair Value Measurements</w:t>
      </w:r>
    </w:p>
    <w:p>
      <w:pPr>
        <w:spacing w:after="0" w:line="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use derivative financial instruments to manage our exposure to the risks associated with fluctuations in interest rates and equity prices. Our objective is to manage the financial and operational exposure arising from these risks by offsetting gains and losses on the underlying exposures with gains and losses on the derivatives used to economically hedge them. Our risk management control system is used to assist us in monitoring the hedging program, derivative positions and hedging strategies. Hedges that receive designated hedge accounting treatment are evaluated for effectiveness at the time they are designated, as well as throughout the hedging period. We do not engage in any speculative or leveraged derivative transactions. All derivative transactions must comply with a derivatives policy authorized by our Board of Directors.</w:t>
      </w:r>
    </w:p>
    <w:p>
      <w:pPr>
        <w:spacing w:after="0" w:line="5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manage the credit risks associated with our derivative financial instruments through the evaluation and monitoring of the creditworthiness of the counterparties. Although we may be exposed to losses in the event of nonperformance by the counterparties, we do not expect such losses, if any, to be significant. The valuation adjustments we recorded against the derivative assets to reflect counterparty credit risk are not significant.</w:t>
      </w:r>
    </w:p>
    <w:p>
      <w:pPr>
        <w:spacing w:after="0" w:line="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periodically examine the instruments we use to hedge exposure to interest rate and equity price risks to ensure that the instruments are matched with underlying assets or liabilities, to reduce our risks relating to changes in interest rates or equity prices and, through market value and sensitivity analysis, to maintain a high correlation to the risk inherent in the hedged item. For those instruments that do not meet the above conditions, and for those derivative instruments that are not designated as a hedge, changes in fair value are recognized on a current basis in earnings in the line item in which the underlying hedged items are recorded.</w:t>
      </w:r>
    </w:p>
    <w:p>
      <w:pPr>
        <w:spacing w:after="0" w:line="4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of March 31, 2009, our derivatives designated as hedges include (i) the derivative component of our prepaid forward sale agreements, which are reflected in other noncurrent liabilities, and (ii) the derivative component of our interest rate swap agreements, which are reflected in other noncurrent assets. As of March 31, 2009, our derivatives not designated as hedges include the derivative component of our indexed debt instruments, which are reflected in long term debt.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financial instruments that are accounted for at fair value on a recurring basis are presented in the table below.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Recurring Fair Value Measures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w w:val="89"/>
              </w:rPr>
              <w:t>Fair value as of March 31, 2009</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40" w:type="dxa"/>
            <w:vAlign w:val="bottom"/>
            <w:gridSpan w:val="2"/>
            <w:vMerge w:val="continue"/>
          </w:tcPr>
          <w:p>
            <w:pPr>
              <w:spacing w:after="0"/>
              <w:rPr>
                <w:sz w:val="12"/>
                <w:szCs w:val="12"/>
                <w:color w:val="auto"/>
              </w:rPr>
            </w:pPr>
          </w:p>
        </w:tc>
        <w:tc>
          <w:tcPr>
            <w:tcW w:w="800" w:type="dxa"/>
            <w:vAlign w:val="bottom"/>
            <w:gridSpan w:val="2"/>
          </w:tcPr>
          <w:p>
            <w:pPr>
              <w:ind w:left="320"/>
              <w:spacing w:after="0" w:line="142" w:lineRule="exact"/>
              <w:rPr>
                <w:sz w:val="20"/>
                <w:szCs w:val="20"/>
                <w:color w:val="auto"/>
              </w:rPr>
            </w:pPr>
            <w:r>
              <w:rPr>
                <w:rFonts w:ascii="Arial" w:cs="Arial" w:eastAsia="Arial" w:hAnsi="Arial"/>
                <w:sz w:val="14"/>
                <w:szCs w:val="14"/>
                <w:color w:val="auto"/>
              </w:rPr>
              <w:t>Level 1</w:t>
            </w:r>
          </w:p>
        </w:tc>
        <w:tc>
          <w:tcPr>
            <w:tcW w:w="900" w:type="dxa"/>
            <w:vAlign w:val="bottom"/>
            <w:gridSpan w:val="2"/>
          </w:tcPr>
          <w:p>
            <w:pPr>
              <w:ind w:left="260"/>
              <w:spacing w:after="0" w:line="142" w:lineRule="exact"/>
              <w:rPr>
                <w:sz w:val="20"/>
                <w:szCs w:val="20"/>
                <w:color w:val="auto"/>
              </w:rPr>
            </w:pPr>
            <w:r>
              <w:rPr>
                <w:rFonts w:ascii="Arial" w:cs="Arial" w:eastAsia="Arial" w:hAnsi="Arial"/>
                <w:sz w:val="14"/>
                <w:szCs w:val="14"/>
                <w:color w:val="auto"/>
              </w:rPr>
              <w:t>Level 2</w:t>
            </w:r>
          </w:p>
        </w:tc>
        <w:tc>
          <w:tcPr>
            <w:tcW w:w="900" w:type="dxa"/>
            <w:vAlign w:val="bottom"/>
            <w:gridSpan w:val="2"/>
          </w:tcPr>
          <w:p>
            <w:pPr>
              <w:ind w:left="180"/>
              <w:spacing w:after="0" w:line="142" w:lineRule="exact"/>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12"/>
                <w:szCs w:val="12"/>
                <w:color w:val="auto"/>
              </w:rPr>
            </w:pPr>
          </w:p>
        </w:tc>
        <w:tc>
          <w:tcPr>
            <w:tcW w:w="480" w:type="dxa"/>
            <w:vAlign w:val="bottom"/>
          </w:tcPr>
          <w:p>
            <w:pPr>
              <w:jc w:val="right"/>
              <w:ind w:right="94"/>
              <w:spacing w:after="0" w:line="142" w:lineRule="exact"/>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10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Trading securities</w:t>
            </w:r>
          </w:p>
        </w:tc>
        <w:tc>
          <w:tcPr>
            <w:tcW w:w="440" w:type="dxa"/>
            <w:vAlign w:val="bottom"/>
          </w:tcPr>
          <w:p>
            <w:pPr>
              <w:ind w:left="320"/>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3"/>
              </w:rPr>
              <w:t>970</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5E5E5"/>
          </w:tcPr>
          <w:p>
            <w:pPr>
              <w:spacing w:after="0"/>
              <w:rPr>
                <w:sz w:val="20"/>
                <w:szCs w:val="20"/>
                <w:color w:val="auto"/>
              </w:rPr>
            </w:pPr>
            <w:r>
              <w:rPr>
                <w:rFonts w:ascii="Arial" w:cs="Arial" w:eastAsia="Arial" w:hAnsi="Arial"/>
                <w:sz w:val="18"/>
                <w:szCs w:val="18"/>
                <w:color w:val="auto"/>
              </w:rPr>
              <w:t>Available-for-sale securities</w:t>
            </w:r>
          </w:p>
        </w:tc>
        <w:tc>
          <w:tcPr>
            <w:tcW w:w="440" w:type="dxa"/>
            <w:vAlign w:val="bottom"/>
            <w:shd w:val="clear" w:color="auto" w:fill="E5E5E5"/>
          </w:tcPr>
          <w:p>
            <w:pPr>
              <w:spacing w:after="0"/>
              <w:rPr>
                <w:sz w:val="18"/>
                <w:szCs w:val="18"/>
                <w:color w:val="auto"/>
              </w:rPr>
            </w:pP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w:t>
            </w:r>
          </w:p>
        </w:tc>
        <w:tc>
          <w:tcPr>
            <w:tcW w:w="3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Equity warrants</w:t>
            </w:r>
          </w:p>
        </w:tc>
        <w:tc>
          <w:tcPr>
            <w:tcW w:w="4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60" w:type="dxa"/>
            <w:vAlign w:val="bottom"/>
          </w:tcPr>
          <w:p>
            <w:pPr>
              <w:jc w:val="right"/>
              <w:ind w:right="2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5E5E5"/>
          </w:tcPr>
          <w:p>
            <w:pPr>
              <w:spacing w:after="0"/>
              <w:rPr>
                <w:sz w:val="20"/>
                <w:szCs w:val="20"/>
                <w:color w:val="auto"/>
              </w:rPr>
            </w:pPr>
            <w:r>
              <w:rPr>
                <w:rFonts w:ascii="Arial" w:cs="Arial" w:eastAsia="Arial" w:hAnsi="Arial"/>
                <w:sz w:val="18"/>
                <w:szCs w:val="18"/>
                <w:color w:val="auto"/>
              </w:rPr>
              <w:t>Cash surrender value of life insurance policies</w:t>
            </w:r>
          </w:p>
        </w:tc>
        <w:tc>
          <w:tcPr>
            <w:tcW w:w="440" w:type="dxa"/>
            <w:vAlign w:val="bottom"/>
            <w:shd w:val="clear" w:color="auto" w:fill="E5E5E5"/>
          </w:tcPr>
          <w:p>
            <w:pPr>
              <w:spacing w:after="0"/>
              <w:rPr>
                <w:sz w:val="18"/>
                <w:szCs w:val="18"/>
                <w:color w:val="auto"/>
              </w:rPr>
            </w:pP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99"/>
              </w:rPr>
              <w:t>139</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rate swap agreements</w:t>
            </w:r>
          </w:p>
        </w:tc>
        <w:tc>
          <w:tcPr>
            <w:tcW w:w="4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253</w:t>
            </w: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2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ind w:left="32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3"/>
              </w:rPr>
              <w:t>980</w:t>
            </w:r>
          </w:p>
        </w:tc>
        <w:tc>
          <w:tcPr>
            <w:tcW w:w="36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99"/>
              </w:rPr>
              <w:t>392</w:t>
            </w:r>
          </w:p>
        </w:tc>
        <w:tc>
          <w:tcPr>
            <w:tcW w:w="34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ind w:right="232"/>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8"/>
              </w:rPr>
              <w:t>1,373</w:t>
            </w:r>
          </w:p>
        </w:tc>
        <w:tc>
          <w:tcPr>
            <w:tcW w:w="0" w:type="dxa"/>
            <w:vAlign w:val="bottom"/>
          </w:tcPr>
          <w:p>
            <w:pPr>
              <w:spacing w:after="0"/>
              <w:rPr>
                <w:sz w:val="1"/>
                <w:szCs w:val="1"/>
                <w:color w:val="auto"/>
              </w:rPr>
            </w:pPr>
          </w:p>
        </w:tc>
      </w:tr>
      <w:tr>
        <w:trPr>
          <w:trHeight w:val="322"/>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20" w:type="dxa"/>
            <w:vAlign w:val="bottom"/>
            <w:shd w:val="clear" w:color="auto" w:fill="E5E5E5"/>
          </w:tcPr>
          <w:p>
            <w:pPr>
              <w:spacing w:after="0"/>
              <w:rPr>
                <w:sz w:val="20"/>
                <w:szCs w:val="20"/>
                <w:color w:val="auto"/>
              </w:rPr>
            </w:pPr>
            <w:r>
              <w:rPr>
                <w:rFonts w:ascii="Arial" w:cs="Arial" w:eastAsia="Arial" w:hAnsi="Arial"/>
                <w:sz w:val="18"/>
                <w:szCs w:val="18"/>
                <w:color w:val="auto"/>
              </w:rPr>
              <w:t>Derivative component of indexed debt instruments</w:t>
            </w:r>
          </w:p>
        </w:tc>
        <w:tc>
          <w:tcPr>
            <w:tcW w:w="440" w:type="dxa"/>
            <w:vAlign w:val="bottom"/>
            <w:shd w:val="clear" w:color="auto" w:fill="E5E5E5"/>
          </w:tcPr>
          <w:p>
            <w:pPr>
              <w:ind w:left="32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ind w:left="2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14</w:t>
            </w:r>
          </w:p>
        </w:tc>
        <w:tc>
          <w:tcPr>
            <w:tcW w:w="340" w:type="dxa"/>
            <w:vAlign w:val="bottom"/>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Derivative component of prepaid forward sale agreements</w:t>
            </w:r>
          </w:p>
        </w:tc>
        <w:tc>
          <w:tcPr>
            <w:tcW w:w="4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8"/>
                <w:szCs w:val="18"/>
                <w:color w:val="auto"/>
                <w:w w:val="85"/>
              </w:rPr>
              <w:t>(438)</w:t>
            </w:r>
          </w:p>
        </w:tc>
        <w:tc>
          <w:tcPr>
            <w:tcW w:w="340" w:type="dxa"/>
            <w:vAlign w:val="bottom"/>
          </w:tcPr>
          <w:p>
            <w:pPr>
              <w:spacing w:after="0"/>
              <w:rPr>
                <w:sz w:val="18"/>
                <w:szCs w:val="18"/>
                <w:color w:val="auto"/>
              </w:rPr>
            </w:pPr>
          </w:p>
        </w:tc>
        <w:tc>
          <w:tcPr>
            <w:tcW w:w="5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Interest rate swap agreements</w:t>
            </w:r>
          </w:p>
        </w:tc>
        <w:tc>
          <w:tcPr>
            <w:tcW w:w="44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2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5"/>
              </w:rPr>
              <w:t>(423)</w:t>
            </w: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(423)</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gains (losses) recognized on our interest rate swap agreements are recorded to interest expense. The gains (losses) recognized on the derivative component of our prepaid forward sale agreements and indexed debt instruments are recorded to investment income (loss). The gain (loss) recognized in our consolidated statement of operations for the three months ended March 31, 2009 related to our derivative instruments is presented in the table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5860" w:type="dxa"/>
            <w:vAlign w:val="bottom"/>
          </w:tcPr>
          <w:p>
            <w:pPr>
              <w:ind w:left="300"/>
              <w:spacing w:after="0"/>
              <w:rPr>
                <w:sz w:val="20"/>
                <w:szCs w:val="20"/>
                <w:color w:val="auto"/>
              </w:rPr>
            </w:pPr>
            <w:r>
              <w:rPr>
                <w:rFonts w:ascii="Arial" w:cs="Arial" w:eastAsia="Arial" w:hAnsi="Arial"/>
                <w:sz w:val="18"/>
                <w:szCs w:val="18"/>
                <w:b w:val="1"/>
                <w:bCs w:val="1"/>
                <w:color w:val="auto"/>
              </w:rPr>
              <w:t>Statement of Operations</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7020" w:type="dxa"/>
            <w:vAlign w:val="bottom"/>
            <w:gridSpan w:val="2"/>
          </w:tcPr>
          <w:p>
            <w:pPr>
              <w:ind w:left="5680"/>
              <w:spacing w:after="0"/>
              <w:rPr>
                <w:sz w:val="20"/>
                <w:szCs w:val="20"/>
                <w:color w:val="auto"/>
              </w:rPr>
            </w:pPr>
            <w:r>
              <w:rPr>
                <w:rFonts w:ascii="Arial" w:cs="Arial" w:eastAsia="Arial" w:hAnsi="Arial"/>
                <w:sz w:val="14"/>
                <w:szCs w:val="14"/>
                <w:color w:val="auto"/>
                <w:w w:val="94"/>
              </w:rPr>
              <w:t>Amount of Gain (Loss)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7020" w:type="dxa"/>
            <w:vAlign w:val="bottom"/>
            <w:gridSpan w:val="2"/>
          </w:tcPr>
          <w:p>
            <w:pPr>
              <w:jc w:val="center"/>
              <w:ind w:left="5539"/>
              <w:spacing w:after="0" w:line="149" w:lineRule="exact"/>
              <w:rPr>
                <w:sz w:val="20"/>
                <w:szCs w:val="20"/>
                <w:color w:val="auto"/>
              </w:rPr>
            </w:pPr>
            <w:r>
              <w:rPr>
                <w:rFonts w:ascii="Arial" w:cs="Arial" w:eastAsia="Arial" w:hAnsi="Arial"/>
                <w:sz w:val="14"/>
                <w:szCs w:val="14"/>
                <w:color w:val="auto"/>
                <w:w w:val="86"/>
              </w:rPr>
              <w:t>Recognized in 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160" w:type="dxa"/>
            <w:vAlign w:val="bottom"/>
          </w:tcPr>
          <w:p>
            <w:pPr>
              <w:jc w:val="center"/>
              <w:ind w:right="179"/>
              <w:spacing w:after="0" w:line="149" w:lineRule="exact"/>
              <w:rPr>
                <w:sz w:val="20"/>
                <w:szCs w:val="20"/>
                <w:color w:val="auto"/>
              </w:rPr>
            </w:pPr>
            <w:r>
              <w:rPr>
                <w:rFonts w:ascii="Arial" w:cs="Arial" w:eastAsia="Arial" w:hAnsi="Arial"/>
                <w:sz w:val="14"/>
                <w:szCs w:val="14"/>
                <w:color w:val="auto"/>
                <w:w w:val="90"/>
              </w:rPr>
              <w:t>on Derivative</w:t>
            </w:r>
          </w:p>
        </w:tc>
        <w:tc>
          <w:tcPr>
            <w:tcW w:w="0" w:type="dxa"/>
            <w:vAlign w:val="bottom"/>
          </w:tcPr>
          <w:p>
            <w:pPr>
              <w:spacing w:after="0"/>
              <w:rPr>
                <w:sz w:val="1"/>
                <w:szCs w:val="1"/>
                <w:color w:val="auto"/>
              </w:rPr>
            </w:pPr>
          </w:p>
        </w:tc>
      </w:tr>
      <w:tr>
        <w:trPr>
          <w:trHeight w:val="159"/>
        </w:trPr>
        <w:tc>
          <w:tcPr>
            <w:tcW w:w="4400" w:type="dxa"/>
            <w:vAlign w:val="bottom"/>
            <w:gridSpan w:val="2"/>
          </w:tcPr>
          <w:p>
            <w:pPr>
              <w:spacing w:after="0" w:line="159" w:lineRule="exact"/>
              <w:rPr>
                <w:sz w:val="20"/>
                <w:szCs w:val="20"/>
                <w:color w:val="auto"/>
              </w:rPr>
            </w:pPr>
            <w:r>
              <w:rPr>
                <w:rFonts w:ascii="Arial" w:cs="Arial" w:eastAsia="Arial" w:hAnsi="Arial"/>
                <w:sz w:val="14"/>
                <w:szCs w:val="14"/>
                <w:color w:val="auto"/>
              </w:rPr>
              <w:t>Three Months Ended March 31, 2009 (in millions)</w:t>
            </w:r>
          </w:p>
        </w:tc>
        <w:tc>
          <w:tcPr>
            <w:tcW w:w="5860" w:type="dxa"/>
            <w:vAlign w:val="bottom"/>
          </w:tcPr>
          <w:p>
            <w:pPr>
              <w:spacing w:after="0"/>
              <w:rPr>
                <w:sz w:val="13"/>
                <w:szCs w:val="13"/>
                <w:color w:val="auto"/>
              </w:rPr>
            </w:pPr>
          </w:p>
        </w:tc>
        <w:tc>
          <w:tcPr>
            <w:tcW w:w="1160" w:type="dxa"/>
            <w:vAlign w:val="bottom"/>
          </w:tcPr>
          <w:p>
            <w:pPr>
              <w:jc w:val="center"/>
              <w:ind w:right="159"/>
              <w:spacing w:after="0" w:line="159" w:lineRule="exact"/>
              <w:rPr>
                <w:sz w:val="20"/>
                <w:szCs w:val="20"/>
                <w:color w:val="auto"/>
              </w:rPr>
            </w:pPr>
            <w:r>
              <w:rPr>
                <w:rFonts w:ascii="Arial" w:cs="Arial" w:eastAsia="Arial" w:hAnsi="Arial"/>
                <w:sz w:val="14"/>
                <w:szCs w:val="14"/>
                <w:color w:val="auto"/>
                <w:w w:val="87"/>
              </w:rPr>
              <w:t>Instruments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Fair Value Hedging Relationships</w:t>
            </w:r>
          </w:p>
        </w:tc>
        <w:tc>
          <w:tcPr>
            <w:tcW w:w="5860" w:type="dxa"/>
            <w:vAlign w:val="bottom"/>
            <w:tcBorders>
              <w:top w:val="single" w:sz="8" w:color="auto"/>
            </w:tcBorders>
            <w:shd w:val="clear" w:color="auto" w:fill="E5E5E5"/>
          </w:tcPr>
          <w:p>
            <w:pPr>
              <w:spacing w:after="0"/>
              <w:rPr>
                <w:sz w:val="18"/>
                <w:szCs w:val="18"/>
                <w:color w:val="auto"/>
              </w:rPr>
            </w:pPr>
          </w:p>
        </w:tc>
        <w:tc>
          <w:tcPr>
            <w:tcW w:w="116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Interest rate swap agreements (fixed-to-variable)</w:t>
            </w:r>
          </w:p>
        </w:tc>
        <w:tc>
          <w:tcPr>
            <w:tcW w:w="5860" w:type="dxa"/>
            <w:vAlign w:val="bottom"/>
          </w:tcPr>
          <w:p>
            <w:pPr>
              <w:ind w:left="56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w w:val="94"/>
              </w:rPr>
              <w:t>Derivative component of prepaid forward sale agreements</w:t>
            </w:r>
          </w:p>
        </w:tc>
        <w:tc>
          <w:tcPr>
            <w:tcW w:w="5860" w:type="dxa"/>
            <w:vAlign w:val="bottom"/>
            <w:tcBorders>
              <w:bottom w:val="single" w:sz="8" w:color="auto"/>
            </w:tcBorders>
            <w:shd w:val="clear" w:color="auto" w:fill="E5E5E5"/>
          </w:tcPr>
          <w:p>
            <w:pPr>
              <w:spacing w:after="0"/>
              <w:rPr>
                <w:sz w:val="18"/>
                <w:szCs w:val="18"/>
                <w:color w:val="auto"/>
              </w:rPr>
            </w:pP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5860" w:type="dxa"/>
            <w:vAlign w:val="bottom"/>
            <w:tcBorders>
              <w:bottom w:val="single" w:sz="8" w:color="auto"/>
            </w:tcBorders>
          </w:tcPr>
          <w:p>
            <w:pPr>
              <w:ind w:left="568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380" w:type="dxa"/>
            <w:vAlign w:val="bottom"/>
          </w:tcPr>
          <w:p>
            <w:pPr>
              <w:spacing w:after="0"/>
              <w:rPr>
                <w:sz w:val="9"/>
                <w:szCs w:val="9"/>
                <w:color w:val="auto"/>
              </w:rPr>
            </w:pPr>
          </w:p>
        </w:tc>
        <w:tc>
          <w:tcPr>
            <w:tcW w:w="58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Non-Designated Hedging Relationships</w:t>
            </w:r>
          </w:p>
        </w:tc>
        <w:tc>
          <w:tcPr>
            <w:tcW w:w="5860" w:type="dxa"/>
            <w:vAlign w:val="bottom"/>
            <w:shd w:val="clear" w:color="auto" w:fill="E5E5E5"/>
          </w:tcPr>
          <w:p>
            <w:pPr>
              <w:spacing w:after="0"/>
              <w:rPr>
                <w:sz w:val="18"/>
                <w:szCs w:val="18"/>
                <w:color w:val="auto"/>
              </w:rPr>
            </w:pPr>
          </w:p>
        </w:tc>
        <w:tc>
          <w:tcPr>
            <w:tcW w:w="11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Derivative component of indexed debt instruments</w:t>
            </w:r>
          </w:p>
        </w:tc>
        <w:tc>
          <w:tcPr>
            <w:tcW w:w="5860" w:type="dxa"/>
            <w:vAlign w:val="bottom"/>
            <w:tcBorders>
              <w:bottom w:val="single" w:sz="8" w:color="auto"/>
            </w:tcBorders>
          </w:tcPr>
          <w:p>
            <w:pPr>
              <w:ind w:left="56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Noncontrolling Interests</w:t>
      </w:r>
    </w:p>
    <w:p>
      <w:pPr>
        <w:spacing w:after="0" w:line="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of our subsidiaries that we consolidate are not wholly owned. Some of the agreements with the minority partners of these subsidiaries contain redemption features that are redeemable either (i) at the option of the holder or (ii) upon the occurrence of an event that is not solely within our control. If securities were to be redeemed under these agreements, we would generally be required to purchase the security at fair value on the date of redemption. In accordance with Emerging Issues Task Force Topic No. D-98, “Classification and Measurement of Redeemable Securities,” these securities are presented on the balance sheet outside of equity under the caption “Redeemable noncontrolling interests.” Noncontrolling interests that do not contain such redemption features are presented in equity.</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March 31, 2009, we purchased all of the noncontrolling interest of one of our technology ventures, which had a carrying value of approximately $35 million, for approximately $5 million. The difference between the amount paid and the carrying value of the noncontrolling interest resulted in an increase of approximately $30 million to additional paid-in capital of Comcast Corporation.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changes in equity resulting from net income attributable to Comcast Corporation and transfers to or from noncontrolling interests.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Three Months Ended March 31, 2009 (in millions)</w:t>
      </w: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94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attributable to Comcast Corporation</w:t>
            </w:r>
          </w:p>
        </w:tc>
        <w:tc>
          <w:tcPr>
            <w:tcW w:w="19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$772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Transfers from (to) noncontrolling interests:</w:t>
            </w: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Increase in Comcast Corporation additional paid-in capital resulting from the purchase of noncontrolling interest</w:t>
            </w:r>
          </w:p>
        </w:tc>
        <w:tc>
          <w:tcPr>
            <w:tcW w:w="1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9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 from net income attributable to Comcast Corporation and transfers from (to) noncontrolling interests</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20" w:type="dxa"/>
            <w:vAlign w:val="bottom"/>
            <w:tcBorders>
              <w:bottom w:val="single" w:sz="8" w:color="auto"/>
            </w:tcBorders>
          </w:tcPr>
          <w:p>
            <w:pPr>
              <w:spacing w:after="0"/>
              <w:rPr>
                <w:sz w:val="18"/>
                <w:szCs w:val="18"/>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Equity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Board of Directors may grant share-based awards, in the form of stock options and RSUs, to certain employees and directors. Additionally, through our employee stock purchase plan, employees are able to purchase shares of Comcast Class A common stock at a discount through payroll deductions. The employee cost associated with participation in the employee stock purchase plan was satisfied with payroll deductions of approximately $17 million for each of the three months ended March 31, 2009 and 2008.</w:t>
      </w:r>
    </w:p>
    <w:p>
      <w:pPr>
        <w:spacing w:after="0" w:line="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March 2009, we granted 29.5 million stock options and 10.0 million RSUs related to our annual management grant program. The fair values associated with these grants were $4.94 per stock option and $13.48 per RSU.</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 Under SFAS No. 123R</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0" w:type="dxa"/>
            <w:vAlign w:val="bottom"/>
            <w:gridSpan w:val="4"/>
          </w:tcPr>
          <w:p>
            <w:pPr>
              <w:ind w:left="18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91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7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79"/>
              <w:spacing w:after="0" w:line="159" w:lineRule="exact"/>
              <w:rPr>
                <w:sz w:val="20"/>
                <w:szCs w:val="20"/>
                <w:color w:val="auto"/>
              </w:rPr>
            </w:pPr>
            <w:r>
              <w:rPr>
                <w:rFonts w:ascii="Arial" w:cs="Arial" w:eastAsia="Arial" w:hAnsi="Arial"/>
                <w:sz w:val="14"/>
                <w:szCs w:val="14"/>
                <w:color w:val="auto"/>
                <w:w w:val="92"/>
              </w:rPr>
              <w:t>March 31</w:t>
            </w:r>
          </w:p>
        </w:tc>
        <w:tc>
          <w:tcPr>
            <w:tcW w:w="4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10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jc w:val="right"/>
              <w:ind w:right="59"/>
              <w:spacing w:after="0" w:line="142" w:lineRule="exact"/>
              <w:rPr>
                <w:sz w:val="20"/>
                <w:szCs w:val="20"/>
                <w:color w:val="auto"/>
              </w:rPr>
            </w:pPr>
            <w:r>
              <w:rPr>
                <w:rFonts w:ascii="Arial" w:cs="Arial" w:eastAsia="Arial" w:hAnsi="Arial"/>
                <w:sz w:val="14"/>
                <w:szCs w:val="14"/>
                <w:color w:val="auto"/>
                <w:w w:val="89"/>
              </w:rPr>
              <w:t>2009</w:t>
            </w:r>
          </w:p>
        </w:tc>
        <w:tc>
          <w:tcPr>
            <w:tcW w:w="720" w:type="dxa"/>
            <w:vAlign w:val="bottom"/>
          </w:tcPr>
          <w:p>
            <w:pPr>
              <w:spacing w:after="0"/>
              <w:rPr>
                <w:sz w:val="12"/>
                <w:szCs w:val="12"/>
                <w:color w:val="auto"/>
              </w:rPr>
            </w:pPr>
          </w:p>
        </w:tc>
        <w:tc>
          <w:tcPr>
            <w:tcW w:w="420" w:type="dxa"/>
            <w:vAlign w:val="bottom"/>
          </w:tcPr>
          <w:p>
            <w:pPr>
              <w:jc w:val="right"/>
              <w:ind w:right="36"/>
              <w:spacing w:after="0" w:line="142" w:lineRule="exact"/>
              <w:rPr>
                <w:sz w:val="20"/>
                <w:szCs w:val="20"/>
                <w:color w:val="auto"/>
              </w:rPr>
            </w:pPr>
            <w:r>
              <w:rPr>
                <w:rFonts w:ascii="Arial" w:cs="Arial" w:eastAsia="Arial" w:hAnsi="Arial"/>
                <w:sz w:val="14"/>
                <w:szCs w:val="14"/>
                <w:color w:val="auto"/>
                <w:w w:val="89"/>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Stock options</w:t>
            </w:r>
          </w:p>
        </w:tc>
        <w:tc>
          <w:tcPr>
            <w:tcW w:w="7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19</w:t>
            </w:r>
          </w:p>
        </w:tc>
        <w:tc>
          <w:tcPr>
            <w:tcW w:w="7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Restricted share units</w:t>
            </w:r>
          </w:p>
        </w:tc>
        <w:tc>
          <w:tcPr>
            <w:tcW w:w="7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Employee stock purchase plan</w:t>
            </w:r>
          </w:p>
        </w:tc>
        <w:tc>
          <w:tcPr>
            <w:tcW w:w="7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w:t>
            </w:r>
          </w:p>
        </w:tc>
        <w:tc>
          <w:tcPr>
            <w:tcW w:w="72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9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March 31, 2009, there was $390 million and $361 million of unrecognized pretax compensation cost related to nonvested stock options and nonvested RSUs,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table below presents our accumulated other comprehensive income (loss), net of deferred taxes.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40" w:type="dxa"/>
            <w:vAlign w:val="bottom"/>
            <w:gridSpan w:val="3"/>
          </w:tcPr>
          <w:p>
            <w:pPr>
              <w:jc w:val="right"/>
              <w:ind w:right="296"/>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89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7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19"/>
              <w:spacing w:after="0" w:line="159" w:lineRule="exact"/>
              <w:rPr>
                <w:sz w:val="20"/>
                <w:szCs w:val="20"/>
                <w:color w:val="auto"/>
              </w:rPr>
            </w:pPr>
            <w:r>
              <w:rPr>
                <w:rFonts w:ascii="Arial" w:cs="Arial" w:eastAsia="Arial" w:hAnsi="Arial"/>
                <w:sz w:val="14"/>
                <w:szCs w:val="14"/>
                <w:color w:val="auto"/>
                <w:w w:val="89"/>
              </w:rPr>
              <w:t>March 31</w:t>
            </w: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94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jc w:val="right"/>
              <w:ind w:right="118"/>
              <w:spacing w:after="0" w:line="142" w:lineRule="exact"/>
              <w:rPr>
                <w:sz w:val="20"/>
                <w:szCs w:val="20"/>
                <w:color w:val="auto"/>
              </w:rPr>
            </w:pPr>
            <w:r>
              <w:rPr>
                <w:rFonts w:ascii="Arial" w:cs="Arial" w:eastAsia="Arial" w:hAnsi="Arial"/>
                <w:sz w:val="14"/>
                <w:szCs w:val="14"/>
                <w:color w:val="auto"/>
                <w:w w:val="89"/>
              </w:rPr>
              <w:t>2009</w:t>
            </w:r>
          </w:p>
        </w:tc>
        <w:tc>
          <w:tcPr>
            <w:tcW w:w="740" w:type="dxa"/>
            <w:vAlign w:val="bottom"/>
          </w:tcPr>
          <w:p>
            <w:pPr>
              <w:spacing w:after="0"/>
              <w:rPr>
                <w:sz w:val="12"/>
                <w:szCs w:val="12"/>
                <w:color w:val="auto"/>
              </w:rPr>
            </w:pPr>
          </w:p>
        </w:tc>
        <w:tc>
          <w:tcPr>
            <w:tcW w:w="500" w:type="dxa"/>
            <w:vAlign w:val="bottom"/>
          </w:tcPr>
          <w:p>
            <w:pPr>
              <w:jc w:val="right"/>
              <w:ind w:right="116"/>
              <w:spacing w:after="0" w:line="142" w:lineRule="exact"/>
              <w:rPr>
                <w:sz w:val="20"/>
                <w:szCs w:val="20"/>
                <w:color w:val="auto"/>
              </w:rPr>
            </w:pPr>
            <w:r>
              <w:rPr>
                <w:rFonts w:ascii="Arial" w:cs="Arial" w:eastAsia="Arial" w:hAnsi="Arial"/>
                <w:sz w:val="14"/>
                <w:szCs w:val="14"/>
                <w:color w:val="auto"/>
                <w:w w:val="89"/>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Unrealized gains (losses) on marketable securities</w:t>
            </w:r>
          </w:p>
        </w:tc>
        <w:tc>
          <w:tcPr>
            <w:tcW w:w="7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22</w:t>
            </w:r>
          </w:p>
        </w:tc>
        <w:tc>
          <w:tcPr>
            <w:tcW w:w="7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Unrealized gains (losses) on cash flow hedges</w:t>
            </w: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E5E5E5"/>
          </w:tcPr>
          <w:p>
            <w:pPr>
              <w:spacing w:after="0"/>
              <w:rPr>
                <w:sz w:val="20"/>
                <w:szCs w:val="20"/>
                <w:color w:val="auto"/>
              </w:rPr>
            </w:pPr>
            <w:r>
              <w:rPr>
                <w:rFonts w:ascii="Arial" w:cs="Arial" w:eastAsia="Arial" w:hAnsi="Arial"/>
                <w:sz w:val="18"/>
                <w:szCs w:val="18"/>
                <w:color w:val="auto"/>
              </w:rPr>
              <w:t>Unrealized gains (losses) on employee benefit obligations</w:t>
            </w:r>
          </w:p>
        </w:tc>
        <w:tc>
          <w:tcPr>
            <w:tcW w:w="74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(31)</w:t>
            </w:r>
          </w:p>
        </w:tc>
        <w:tc>
          <w:tcPr>
            <w:tcW w:w="74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Cumulative translation adjustments</w:t>
            </w:r>
          </w:p>
        </w:tc>
        <w:tc>
          <w:tcPr>
            <w:tcW w:w="7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7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Accumulated other comprehensive income (loss)</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(93)</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Unrealized losses on cash flow hedges in the table above relate to our interest rate lock agreements. As of March 31, 2009, we expect $19 million of unrealized losses, $12 million net of deferred taxes, to be reclassified as an adjustment to interest expense over the next 12 months.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Statement of Cash Flows—Supplemental Information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adjustments to reconcile net income from consolidated operations to net cash provided by operating activities.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60" w:type="dxa"/>
            <w:vAlign w:val="bottom"/>
            <w:gridSpan w:val="4"/>
          </w:tcPr>
          <w:p>
            <w:pPr>
              <w:ind w:left="10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9320" w:type="dxa"/>
            <w:vAlign w:val="bottom"/>
            <w:gridSpan w:val="3"/>
            <w:vMerge w:val="restart"/>
          </w:tcPr>
          <w:p>
            <w:pPr>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ind w:right="96"/>
              <w:spacing w:after="0" w:line="159" w:lineRule="exact"/>
              <w:rPr>
                <w:sz w:val="20"/>
                <w:szCs w:val="20"/>
                <w:color w:val="auto"/>
              </w:rPr>
            </w:pPr>
            <w:r>
              <w:rPr>
                <w:rFonts w:ascii="Arial" w:cs="Arial" w:eastAsia="Arial" w:hAnsi="Arial"/>
                <w:sz w:val="14"/>
                <w:szCs w:val="14"/>
                <w:color w:val="auto"/>
              </w:rPr>
              <w:t>March 31</w:t>
            </w:r>
          </w:p>
        </w:tc>
        <w:tc>
          <w:tcPr>
            <w:tcW w:w="4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32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jc w:val="right"/>
              <w:ind w:right="338"/>
              <w:spacing w:after="0" w:line="142" w:lineRule="exact"/>
              <w:rPr>
                <w:sz w:val="20"/>
                <w:szCs w:val="20"/>
                <w:color w:val="auto"/>
              </w:rPr>
            </w:pPr>
            <w:r>
              <w:rPr>
                <w:rFonts w:ascii="Arial" w:cs="Arial" w:eastAsia="Arial" w:hAnsi="Arial"/>
                <w:sz w:val="14"/>
                <w:szCs w:val="14"/>
                <w:color w:val="auto"/>
                <w:w w:val="83"/>
              </w:rPr>
              <w:t>2009</w:t>
            </w:r>
          </w:p>
        </w:tc>
        <w:tc>
          <w:tcPr>
            <w:tcW w:w="840" w:type="dxa"/>
            <w:vAlign w:val="bottom"/>
            <w:gridSpan w:val="2"/>
          </w:tcPr>
          <w:p>
            <w:pPr>
              <w:jc w:val="right"/>
              <w:ind w:right="114"/>
              <w:spacing w:after="0" w:line="142" w:lineRule="exact"/>
              <w:rPr>
                <w:sz w:val="20"/>
                <w:szCs w:val="20"/>
                <w:color w:val="auto"/>
              </w:rPr>
            </w:pPr>
            <w:r>
              <w:rPr>
                <w:rFonts w:ascii="Arial" w:cs="Arial" w:eastAsia="Arial" w:hAnsi="Arial"/>
                <w:sz w:val="14"/>
                <w:szCs w:val="14"/>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Net income from consolidated operations</w:t>
            </w:r>
          </w:p>
        </w:tc>
        <w:tc>
          <w:tcPr>
            <w:tcW w:w="5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198"/>
              <w:spacing w:after="0"/>
              <w:rPr>
                <w:sz w:val="20"/>
                <w:szCs w:val="20"/>
                <w:color w:val="auto"/>
              </w:rPr>
            </w:pPr>
            <w:r>
              <w:rPr>
                <w:rFonts w:ascii="Arial" w:cs="Arial" w:eastAsia="Arial" w:hAnsi="Arial"/>
                <w:sz w:val="18"/>
                <w:szCs w:val="18"/>
                <w:color w:val="auto"/>
              </w:rPr>
              <w:t>778</w:t>
            </w:r>
          </w:p>
        </w:tc>
        <w:tc>
          <w:tcPr>
            <w:tcW w:w="420" w:type="dxa"/>
            <w:vAlign w:val="bottom"/>
            <w:tcBorders>
              <w:top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Adjustments to reconcile net income from consolidated operations to net cash provided by operating activities:</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Depreciation</w:t>
            </w:r>
          </w:p>
        </w:tc>
        <w:tc>
          <w:tcPr>
            <w:tcW w:w="5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98"/>
              <w:spacing w:after="0"/>
              <w:rPr>
                <w:sz w:val="20"/>
                <w:szCs w:val="20"/>
                <w:color w:val="auto"/>
              </w:rPr>
            </w:pPr>
            <w:r>
              <w:rPr>
                <w:rFonts w:ascii="Arial" w:cs="Arial" w:eastAsia="Arial" w:hAnsi="Arial"/>
                <w:sz w:val="18"/>
                <w:szCs w:val="18"/>
                <w:color w:val="auto"/>
                <w:w w:val="88"/>
              </w:rPr>
              <w:t>1,380</w:t>
            </w:r>
          </w:p>
        </w:tc>
        <w:tc>
          <w:tcPr>
            <w:tcW w:w="84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1,390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Amortization</w:t>
            </w:r>
          </w:p>
        </w:tc>
        <w:tc>
          <w:tcPr>
            <w:tcW w:w="560" w:type="dxa"/>
            <w:vAlign w:val="bottom"/>
          </w:tcPr>
          <w:p>
            <w:pPr>
              <w:spacing w:after="0"/>
              <w:rPr>
                <w:sz w:val="18"/>
                <w:szCs w:val="18"/>
                <w:color w:val="auto"/>
              </w:rPr>
            </w:pPr>
          </w:p>
        </w:tc>
        <w:tc>
          <w:tcPr>
            <w:tcW w:w="700" w:type="dxa"/>
            <w:vAlign w:val="bottom"/>
          </w:tcPr>
          <w:p>
            <w:pPr>
              <w:jc w:val="right"/>
              <w:ind w:right="198"/>
              <w:spacing w:after="0"/>
              <w:rPr>
                <w:sz w:val="20"/>
                <w:szCs w:val="20"/>
                <w:color w:val="auto"/>
              </w:rPr>
            </w:pPr>
            <w:r>
              <w:rPr>
                <w:rFonts w:ascii="Arial" w:cs="Arial" w:eastAsia="Arial" w:hAnsi="Arial"/>
                <w:sz w:val="18"/>
                <w:szCs w:val="18"/>
                <w:color w:val="auto"/>
              </w:rPr>
              <w:t>253</w:t>
            </w: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Share-based compensation</w:t>
            </w:r>
          </w:p>
        </w:tc>
        <w:tc>
          <w:tcPr>
            <w:tcW w:w="5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98"/>
              <w:spacing w:after="0"/>
              <w:rPr>
                <w:sz w:val="20"/>
                <w:szCs w:val="20"/>
                <w:color w:val="auto"/>
              </w:rPr>
            </w:pPr>
            <w:r>
              <w:rPr>
                <w:rFonts w:ascii="Arial" w:cs="Arial" w:eastAsia="Arial" w:hAnsi="Arial"/>
                <w:sz w:val="18"/>
                <w:szCs w:val="18"/>
                <w:color w:val="auto"/>
              </w:rPr>
              <w:t>54</w:t>
            </w:r>
          </w:p>
        </w:tc>
        <w:tc>
          <w:tcPr>
            <w:tcW w:w="420" w:type="dxa"/>
            <w:vAlign w:val="bottom"/>
            <w:shd w:val="clear" w:color="auto" w:fill="E5E5E5"/>
          </w:tcPr>
          <w:p>
            <w:pPr>
              <w:spacing w:after="0"/>
              <w:rPr>
                <w:sz w:val="18"/>
                <w:szCs w:val="18"/>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Noncash interest expense (income), net</w:t>
            </w:r>
          </w:p>
        </w:tc>
        <w:tc>
          <w:tcPr>
            <w:tcW w:w="560" w:type="dxa"/>
            <w:vAlign w:val="bottom"/>
          </w:tcPr>
          <w:p>
            <w:pPr>
              <w:spacing w:after="0"/>
              <w:rPr>
                <w:sz w:val="18"/>
                <w:szCs w:val="18"/>
                <w:color w:val="auto"/>
              </w:rPr>
            </w:pPr>
          </w:p>
        </w:tc>
        <w:tc>
          <w:tcPr>
            <w:tcW w:w="700" w:type="dxa"/>
            <w:vAlign w:val="bottom"/>
          </w:tcPr>
          <w:p>
            <w:pPr>
              <w:jc w:val="right"/>
              <w:ind w:right="198"/>
              <w:spacing w:after="0"/>
              <w:rPr>
                <w:sz w:val="20"/>
                <w:szCs w:val="20"/>
                <w:color w:val="auto"/>
              </w:rPr>
            </w:pPr>
            <w:r>
              <w:rPr>
                <w:rFonts w:ascii="Arial" w:cs="Arial" w:eastAsia="Arial" w:hAnsi="Arial"/>
                <w:sz w:val="18"/>
                <w:szCs w:val="18"/>
                <w:color w:val="auto"/>
              </w:rPr>
              <w:t>44</w:t>
            </w: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Equity in net (income) losses of affiliates, net</w:t>
            </w:r>
          </w:p>
        </w:tc>
        <w:tc>
          <w:tcPr>
            <w:tcW w:w="5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98"/>
              <w:spacing w:after="0"/>
              <w:rPr>
                <w:sz w:val="20"/>
                <w:szCs w:val="20"/>
                <w:color w:val="auto"/>
              </w:rPr>
            </w:pPr>
            <w:r>
              <w:rPr>
                <w:rFonts w:ascii="Arial" w:cs="Arial" w:eastAsia="Arial" w:hAnsi="Arial"/>
                <w:sz w:val="18"/>
                <w:szCs w:val="18"/>
                <w:color w:val="auto"/>
              </w:rPr>
              <w:t>14</w:t>
            </w:r>
          </w:p>
        </w:tc>
        <w:tc>
          <w:tcPr>
            <w:tcW w:w="420" w:type="dxa"/>
            <w:vAlign w:val="bottom"/>
            <w:shd w:val="clear" w:color="auto" w:fill="E5E5E5"/>
          </w:tcPr>
          <w:p>
            <w:pPr>
              <w:spacing w:after="0"/>
              <w:rPr>
                <w:sz w:val="18"/>
                <w:szCs w:val="18"/>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(Gains) losses on investments and noncash other (income) expense, net</w:t>
            </w:r>
          </w:p>
        </w:tc>
        <w:tc>
          <w:tcPr>
            <w:tcW w:w="560" w:type="dxa"/>
            <w:vAlign w:val="bottom"/>
          </w:tcPr>
          <w:p>
            <w:pPr>
              <w:spacing w:after="0"/>
              <w:rPr>
                <w:sz w:val="18"/>
                <w:szCs w:val="18"/>
                <w:color w:val="auto"/>
              </w:rPr>
            </w:pPr>
          </w:p>
        </w:tc>
        <w:tc>
          <w:tcPr>
            <w:tcW w:w="700" w:type="dxa"/>
            <w:vAlign w:val="bottom"/>
          </w:tcPr>
          <w:p>
            <w:pPr>
              <w:jc w:val="right"/>
              <w:ind w:right="198"/>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5"/>
              </w:rPr>
              <w:t>(316)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Deferred income taxes</w:t>
            </w:r>
          </w:p>
        </w:tc>
        <w:tc>
          <w:tcPr>
            <w:tcW w:w="5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98"/>
              <w:spacing w:after="0"/>
              <w:rPr>
                <w:sz w:val="20"/>
                <w:szCs w:val="20"/>
                <w:color w:val="auto"/>
              </w:rPr>
            </w:pPr>
            <w:r>
              <w:rPr>
                <w:rFonts w:ascii="Arial" w:cs="Arial" w:eastAsia="Arial" w:hAnsi="Arial"/>
                <w:sz w:val="18"/>
                <w:szCs w:val="18"/>
                <w:color w:val="auto"/>
              </w:rPr>
              <w:t>214</w:t>
            </w:r>
          </w:p>
        </w:tc>
        <w:tc>
          <w:tcPr>
            <w:tcW w:w="420" w:type="dxa"/>
            <w:vAlign w:val="bottom"/>
            <w:shd w:val="clear" w:color="auto" w:fill="E5E5E5"/>
          </w:tcPr>
          <w:p>
            <w:pPr>
              <w:spacing w:after="0"/>
              <w:rPr>
                <w:sz w:val="18"/>
                <w:szCs w:val="18"/>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Change in accounts receivable, net</w:t>
            </w:r>
          </w:p>
        </w:tc>
        <w:tc>
          <w:tcPr>
            <w:tcW w:w="5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98"/>
              <w:spacing w:after="0"/>
              <w:rPr>
                <w:sz w:val="20"/>
                <w:szCs w:val="20"/>
                <w:color w:val="auto"/>
              </w:rPr>
            </w:pPr>
            <w:r>
              <w:rPr>
                <w:rFonts w:ascii="Arial" w:cs="Arial" w:eastAsia="Arial" w:hAnsi="Arial"/>
                <w:sz w:val="18"/>
                <w:szCs w:val="18"/>
                <w:color w:val="auto"/>
              </w:rPr>
              <w:t>143</w:t>
            </w:r>
          </w:p>
        </w:tc>
        <w:tc>
          <w:tcPr>
            <w:tcW w:w="420" w:type="dxa"/>
            <w:vAlign w:val="bottom"/>
            <w:shd w:val="clear" w:color="auto" w:fill="E5E5E5"/>
          </w:tcPr>
          <w:p>
            <w:pPr>
              <w:spacing w:after="0"/>
              <w:rPr>
                <w:sz w:val="18"/>
                <w:szCs w:val="18"/>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Change in accounts payable and accrued expenses related to trade creditors</w:t>
            </w:r>
          </w:p>
        </w:tc>
        <w:tc>
          <w:tcPr>
            <w:tcW w:w="560" w:type="dxa"/>
            <w:vAlign w:val="bottom"/>
          </w:tcPr>
          <w:p>
            <w:pPr>
              <w:spacing w:after="0"/>
              <w:rPr>
                <w:sz w:val="18"/>
                <w:szCs w:val="18"/>
                <w:color w:val="auto"/>
              </w:rPr>
            </w:pPr>
          </w:p>
        </w:tc>
        <w:tc>
          <w:tcPr>
            <w:tcW w:w="700" w:type="dxa"/>
            <w:vAlign w:val="bottom"/>
          </w:tcPr>
          <w:p>
            <w:pPr>
              <w:jc w:val="right"/>
              <w:ind w:right="138"/>
              <w:spacing w:after="0"/>
              <w:rPr>
                <w:sz w:val="20"/>
                <w:szCs w:val="20"/>
                <w:color w:val="auto"/>
              </w:rPr>
            </w:pPr>
            <w:r>
              <w:rPr>
                <w:rFonts w:ascii="Arial" w:cs="Arial" w:eastAsia="Arial" w:hAnsi="Arial"/>
                <w:sz w:val="18"/>
                <w:szCs w:val="18"/>
                <w:color w:val="auto"/>
              </w:rPr>
              <w:t>(94)</w:t>
            </w: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5"/>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Borders>
              <w:bottom w:val="single" w:sz="8" w:color="auto"/>
            </w:tcBorders>
            <w:gridSpan w:val="2"/>
            <w:shd w:val="clear" w:color="auto" w:fill="E5E5E5"/>
          </w:tcPr>
          <w:p>
            <w:pPr>
              <w:ind w:left="420"/>
              <w:spacing w:after="0"/>
              <w:rPr>
                <w:sz w:val="20"/>
                <w:szCs w:val="20"/>
                <w:color w:val="auto"/>
              </w:rPr>
            </w:pPr>
            <w:r>
              <w:rPr>
                <w:rFonts w:ascii="Arial" w:cs="Arial" w:eastAsia="Arial" w:hAnsi="Arial"/>
                <w:sz w:val="18"/>
                <w:szCs w:val="18"/>
                <w:color w:val="auto"/>
              </w:rPr>
              <w:t>Change in other operating assets and liabilities</w:t>
            </w:r>
          </w:p>
        </w:tc>
        <w:tc>
          <w:tcPr>
            <w:tcW w:w="5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8"/>
              <w:spacing w:after="0"/>
              <w:rPr>
                <w:sz w:val="20"/>
                <w:szCs w:val="20"/>
                <w:color w:val="auto"/>
              </w:rPr>
            </w:pPr>
            <w:r>
              <w:rPr>
                <w:rFonts w:ascii="Arial" w:cs="Arial" w:eastAsia="Arial" w:hAnsi="Arial"/>
                <w:sz w:val="18"/>
                <w:szCs w:val="18"/>
                <w:color w:val="auto"/>
              </w:rPr>
              <w:t>(289)</w:t>
            </w:r>
          </w:p>
        </w:tc>
        <w:tc>
          <w:tcPr>
            <w:tcW w:w="42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5"/>
              </w:rPr>
              <w:t>(186)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98"/>
              <w:spacing w:after="0"/>
              <w:rPr>
                <w:sz w:val="20"/>
                <w:szCs w:val="20"/>
                <w:color w:val="auto"/>
              </w:rPr>
            </w:pPr>
            <w:r>
              <w:rPr>
                <w:rFonts w:ascii="Arial" w:cs="Arial" w:eastAsia="Arial" w:hAnsi="Arial"/>
                <w:sz w:val="18"/>
                <w:szCs w:val="18"/>
                <w:b w:val="1"/>
                <w:bCs w:val="1"/>
                <w:color w:val="auto"/>
                <w:w w:val="88"/>
              </w:rPr>
              <w:t>2,512</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$ 2,259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9300" w:type="dxa"/>
            <w:vAlign w:val="bottom"/>
            <w:gridSpan w:val="2"/>
          </w:tcPr>
          <w:p>
            <w:pPr>
              <w:ind w:left="3780"/>
              <w:spacing w:after="0"/>
              <w:rPr>
                <w:sz w:val="20"/>
                <w:szCs w:val="20"/>
                <w:color w:val="auto"/>
              </w:rPr>
            </w:pPr>
            <w:r>
              <w:rPr>
                <w:rFonts w:ascii="Arial" w:cs="Arial" w:eastAsia="Arial" w:hAnsi="Arial"/>
                <w:sz w:val="18"/>
                <w:szCs w:val="18"/>
                <w:b w:val="1"/>
                <w:bCs w:val="1"/>
                <w:color w:val="auto"/>
              </w:rPr>
              <w:t>Cash Payments for Interest and Income Taxes</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60" w:type="dxa"/>
            <w:vAlign w:val="bottom"/>
            <w:gridSpan w:val="4"/>
          </w:tcPr>
          <w:p>
            <w:pPr>
              <w:ind w:left="16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ind w:right="56"/>
              <w:spacing w:after="0" w:line="159" w:lineRule="exact"/>
              <w:rPr>
                <w:sz w:val="20"/>
                <w:szCs w:val="20"/>
                <w:color w:val="auto"/>
              </w:rPr>
            </w:pPr>
            <w:r>
              <w:rPr>
                <w:rFonts w:ascii="Arial" w:cs="Arial" w:eastAsia="Arial" w:hAnsi="Arial"/>
                <w:sz w:val="14"/>
                <w:szCs w:val="14"/>
                <w:color w:val="auto"/>
              </w:rPr>
              <w:t>March 31</w:t>
            </w:r>
          </w:p>
        </w:tc>
        <w:tc>
          <w:tcPr>
            <w:tcW w:w="4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24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jc w:val="right"/>
              <w:ind w:right="298"/>
              <w:spacing w:after="0" w:line="142" w:lineRule="exact"/>
              <w:rPr>
                <w:sz w:val="20"/>
                <w:szCs w:val="20"/>
                <w:color w:val="auto"/>
              </w:rPr>
            </w:pPr>
            <w:r>
              <w:rPr>
                <w:rFonts w:ascii="Arial" w:cs="Arial" w:eastAsia="Arial" w:hAnsi="Arial"/>
                <w:sz w:val="14"/>
                <w:szCs w:val="14"/>
                <w:color w:val="auto"/>
                <w:w w:val="96"/>
              </w:rPr>
              <w:t>2009</w:t>
            </w:r>
          </w:p>
        </w:tc>
        <w:tc>
          <w:tcPr>
            <w:tcW w:w="420" w:type="dxa"/>
            <w:vAlign w:val="bottom"/>
          </w:tcPr>
          <w:p>
            <w:pPr>
              <w:spacing w:after="0"/>
              <w:rPr>
                <w:sz w:val="12"/>
                <w:szCs w:val="12"/>
                <w:color w:val="auto"/>
              </w:rPr>
            </w:pPr>
          </w:p>
        </w:tc>
        <w:tc>
          <w:tcPr>
            <w:tcW w:w="420" w:type="dxa"/>
            <w:vAlign w:val="bottom"/>
          </w:tcPr>
          <w:p>
            <w:pPr>
              <w:jc w:val="right"/>
              <w:ind w:right="54"/>
              <w:spacing w:after="0" w:line="142" w:lineRule="exact"/>
              <w:rPr>
                <w:sz w:val="20"/>
                <w:szCs w:val="20"/>
                <w:color w:val="auto"/>
              </w:rPr>
            </w:pPr>
            <w:r>
              <w:rPr>
                <w:rFonts w:ascii="Arial" w:cs="Arial" w:eastAsia="Arial" w:hAnsi="Arial"/>
                <w:sz w:val="14"/>
                <w:szCs w:val="14"/>
                <w:color w:val="auto"/>
                <w:w w:val="83"/>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Interest</w:t>
            </w:r>
          </w:p>
        </w:tc>
        <w:tc>
          <w:tcPr>
            <w:tcW w:w="5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178"/>
              <w:spacing w:after="0"/>
              <w:rPr>
                <w:sz w:val="20"/>
                <w:szCs w:val="20"/>
                <w:color w:val="auto"/>
              </w:rPr>
            </w:pPr>
            <w:r>
              <w:rPr>
                <w:rFonts w:ascii="Arial" w:cs="Arial" w:eastAsia="Arial" w:hAnsi="Arial"/>
                <w:sz w:val="18"/>
                <w:szCs w:val="18"/>
                <w:color w:val="auto"/>
              </w:rPr>
              <w:t>664</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9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taxes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78"/>
              <w:spacing w:after="0"/>
              <w:rPr>
                <w:sz w:val="20"/>
                <w:szCs w:val="20"/>
                <w:color w:val="auto"/>
              </w:rPr>
            </w:pPr>
            <w:r>
              <w:rPr>
                <w:rFonts w:ascii="Arial" w:cs="Arial" w:eastAsia="Arial" w:hAnsi="Arial"/>
                <w:sz w:val="18"/>
                <w:szCs w:val="18"/>
                <w:color w:val="auto"/>
              </w:rPr>
              <w:t>161</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Financing and Investing Activities</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During the three months ended March 31, 2009, we:</w:t>
      </w:r>
    </w:p>
    <w:p>
      <w:pPr>
        <w:spacing w:after="0" w:line="77" w:lineRule="exact"/>
        <w:rPr>
          <w:sz w:val="20"/>
          <w:szCs w:val="20"/>
          <w:color w:val="auto"/>
        </w:rPr>
      </w:pPr>
    </w:p>
    <w:p>
      <w:pPr>
        <w:ind w:left="1020" w:right="1260" w:hanging="215"/>
        <w:spacing w:after="0" w:line="26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recorded a liability of approximately $195 million for a quarterly cash dividend of $0.0675 per common share paid in April 2009, which is a noncash financing activity</w:t>
      </w:r>
    </w:p>
    <w:p>
      <w:pPr>
        <w:spacing w:after="0" w:line="37"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acquired approximately $383 million of property and equipment and software that are accrued but unpaid, which is a noncash investing activity</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Commitments and Contingencies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One of our subsidiaries supports debt compliance with respect to obligations of a cable system in which we hold an ownership interest. The obligation expires March 2011. Although there can be no assurance, we believe that we will not be required to meet our obligation under this commitment. The total notional amount of our commitment was $410 million as of March 31, 2009, at which time there were no quoted market prices for similar agreements.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Antitrust Cases</w:t>
      </w:r>
    </w:p>
    <w:p>
      <w:pPr>
        <w:spacing w:after="0" w:line="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are defendants in two purported class actions originally filed in December 2003 in the United States District Courts for the District of Massachusetts and the Eastern District of Pennsylvania. The potential class in the Massachusetts case is our subscriber base in the “Boston Cluster” area, and the potential class in the Pennsylvania case is our subscriber base in the “Philadelphia and Chicago Clusters,” as those terms are defined in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complaints. In each case, the plaintiffs allege that certain subscriber exchange transactions with other cable providers resulted in unlawful horizontal market restraints in those areas and seek damages under antitrust statutes, including treble damages.</w:t>
      </w:r>
    </w:p>
    <w:p>
      <w:pPr>
        <w:spacing w:after="0" w:line="3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motion to dismiss the Pennsylvania case on the pleadings was denied in December 2006 and classes of Philadelphia Cluster and Chicago Cluster subscribers were certified in May 2007 and October 2007, respectively. In March 2009, as a result of a Third Circuit Court of Appeal decision clarifying the standards for class certification, the order certifying the Philadelphia Cluster class was vacated without prejudice to the plaintiffs filing a new motion. A hearing on the plaintiffs’ new motion, which was filed in April 2009, is scheduled for June 2009. Our motion to dismiss the Massachusetts case, which was transferred to the Eastern District of Pennsylvania in December 2006, was denied in July 2007. We are proceeding with discovery on the plaintiffs’ claims concerning the Philadelphia Cluster. The plaintiffs’ claims concerning the other two clusters are stayed pending determination of the Philadelphia Cluster claims.</w:t>
      </w:r>
    </w:p>
    <w:p>
      <w:pPr>
        <w:spacing w:after="0" w:line="2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addition, we are among the defendants in a purported class action filed in the United States District Court for the Central District of California (“Central District”) in September 2007. The plaintiffs allege that the defendants who produce video programming have entered into agreements with the defendants who distribute video programming via cable and satellite (including us, among others), which preclude the distributors from reselling channels to subscribers on an “unbundled” basis in violation of federal antitrust laws. The plaintiffs seek treble damages for the loss of their ability to pick and choose the specific “bundled” channels to which they wish to subscribe, and injunctive relief requiring each distributor defendant to resell certain channels to its subscribers on an “unbundled” basis. The potential class is comprised of all persons residing in the United States who have subscribed to an expanded basic level of video service provided by one of the distributor defendants. We and the other defendants filed motions to dismiss an amended complaint in April 2008. In June 2008, the Central District denied the motions to dismiss. In July 2008, we and the other defendants filed motions to certify certain issues decided in the Central District’s June 2008 order for interlocutory appeal to the Ninth Circuit Court of Appeals. On August 8, 2008, the Central District denied the certification motions. In January 2009, the Central District approved a stipulation between the parties dismissing the action as to one of the two plaintiffs identified in the amended complaint as a Comcast subscriber. On March 5, 2009, the plaintiffs and defendants filed a joint report, advising the Central District that the plaintiffs proposed to file a motion in May 2009 for adjudication as to the plaintiffs’ position that foreclosure of independent producers of video programming is not a necessary element of the plaintiffs’ claims (the “foreclosure motion”). A hearing on the foreclosure motion is scheduled for July 2009. The parties further agreed that, if the plaintiffs prevail on the foreclosure motion, the parties will jointly request that the ruling be certified to the Ninth Circuit Court of Appeals; if the defendants prevail, the parties agreed that the plaintiffs’ complaint should be dismissed on a procedurally appropriate basis. On March 10, 2009, the Central District entered an order vacating all deadlines previously in place and deferred further scheduling on discovery and class certification matters until the Central District rules on the foreclosure motion. Discovery relevant to the plaintiffs’ anticipated motion for class certification, which plaintiffs had been scheduled to file in April 2009, began in November 2008, but the parties stipulated in their joint motion to stay further discovery pending the Court’s ruling on the foreclosure motion.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ERISA Litigation</w:t>
      </w:r>
    </w:p>
    <w:p>
      <w:pPr>
        <w:spacing w:after="0" w:line="7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and several of our current officers have been named as defendants in a purported class action lawsuit filed in the United States District Court for the Eastern District of Pennsylvania in February 2008. The alleged class comprises participants in our retirement investment (401(k)) plan that invested in the plan’s company stock account. The plaintiff asserts that the defendants breached their fiduciary duties under the Employee Retirement Income Security Act of 1974 (ERISA) in managing the plan by allowing participants to continue to invest in the company stock account during a time in 2007 when we allegedly knew (but had not disclosed) that we would not meet our forecasted results. The plaintiff seeks unspecified damages. The plaintiff filed an amended complaint in June 2008, and in July 2008 we filed a motion to dismiss the amended complaint. On October 29, 2008, the Court granted in part and denied in part that motion. The Court dismissed a claim alleging that defendants failed to provide complete and accurate disclosures concerning the plan, but did not dismiss claims alleging that plan assets were imprudently invested in company stock. We filed an answer to the amended complaint on December 11, 2008, and discovery is proceeding in the action.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Litigation</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vendors under applicable contractual indemnification provisions.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believe the claims in each of the actions described above in this item are without merit and intend to defend the actions vigorously. Although we cannot predict the outcome of any of the actions described above or how the final resolution of any such actions would impact our results of operations or cash flows for any one period or our consolidated financial condition, the final disposition of any of the above actions is not expected to have a material adverse effect on our consolidated financial position, but could possibly be material to our consolidated results of operations or cash flows for any one period.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other legal proceedings and claims that arise in the ordinary course of our business. While the amount of ultimate liability with respect to such actions is not expected to materially affect our financial position, results of operations or cash flows, any litigation resulting from any such legal proceedings or claims could be time consuming, costly and injure our reputation.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Financial Data by Business Segment</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reportable segments consist of our Cable and Programming businesses. In evaluating the profitability of our segments, the components of net income (loss) below operating income (loss) before depreciation and amortization are not separately evaluated by our management. Assets are not allocated to segments for management reporting, although approximately 95% of our assets relate to our Cable segment. Our financial data by business segment is presented in the table below.</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gridSpan w:val="2"/>
          </w:tcPr>
          <w:p>
            <w:pPr>
              <w:ind w:left="300"/>
              <w:spacing w:after="0"/>
              <w:rPr>
                <w:sz w:val="20"/>
                <w:szCs w:val="20"/>
                <w:color w:val="auto"/>
              </w:rPr>
            </w:pPr>
            <w:r>
              <w:rPr>
                <w:rFonts w:ascii="Arial" w:cs="Arial" w:eastAsia="Arial" w:hAnsi="Arial"/>
                <w:sz w:val="14"/>
                <w:szCs w:val="14"/>
                <w:color w:val="auto"/>
              </w:rPr>
              <w:t>Corporate and</w:t>
            </w: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26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780" w:type="dxa"/>
            <w:vAlign w:val="bottom"/>
            <w:gridSpan w:val="2"/>
          </w:tcPr>
          <w:p>
            <w:pPr>
              <w:jc w:val="right"/>
              <w:ind w:right="212"/>
              <w:spacing w:after="0" w:line="159" w:lineRule="exact"/>
              <w:rPr>
                <w:sz w:val="20"/>
                <w:szCs w:val="20"/>
                <w:color w:val="auto"/>
              </w:rPr>
            </w:pPr>
            <w:r>
              <w:rPr>
                <w:rFonts w:ascii="Arial" w:cs="Arial" w:eastAsia="Arial" w:hAnsi="Arial"/>
                <w:sz w:val="14"/>
                <w:szCs w:val="14"/>
                <w:color w:val="auto"/>
              </w:rPr>
              <w:t>Cable(a)(b)</w:t>
            </w:r>
          </w:p>
        </w:tc>
        <w:tc>
          <w:tcPr>
            <w:tcW w:w="1500" w:type="dxa"/>
            <w:vAlign w:val="bottom"/>
            <w:gridSpan w:val="2"/>
          </w:tcPr>
          <w:p>
            <w:pPr>
              <w:ind w:left="300"/>
              <w:spacing w:after="0" w:line="159" w:lineRule="exact"/>
              <w:rPr>
                <w:sz w:val="20"/>
                <w:szCs w:val="20"/>
                <w:color w:val="auto"/>
              </w:rPr>
            </w:pPr>
            <w:r>
              <w:rPr>
                <w:rFonts w:ascii="Arial" w:cs="Arial" w:eastAsia="Arial" w:hAnsi="Arial"/>
                <w:sz w:val="14"/>
                <w:szCs w:val="14"/>
                <w:color w:val="auto"/>
              </w:rPr>
              <w:t>Programming(c)</w:t>
            </w:r>
          </w:p>
        </w:tc>
        <w:tc>
          <w:tcPr>
            <w:tcW w:w="1440" w:type="dxa"/>
            <w:vAlign w:val="bottom"/>
            <w:gridSpan w:val="2"/>
          </w:tcPr>
          <w:p>
            <w:pPr>
              <w:jc w:val="right"/>
              <w:ind w:right="352"/>
              <w:spacing w:after="0" w:line="159" w:lineRule="exact"/>
              <w:rPr>
                <w:sz w:val="20"/>
                <w:szCs w:val="20"/>
                <w:color w:val="auto"/>
              </w:rPr>
            </w:pPr>
            <w:r>
              <w:rPr>
                <w:rFonts w:ascii="Arial" w:cs="Arial" w:eastAsia="Arial" w:hAnsi="Arial"/>
                <w:sz w:val="14"/>
                <w:szCs w:val="14"/>
                <w:color w:val="auto"/>
              </w:rPr>
              <w:t>Other(d)(e)</w:t>
            </w:r>
          </w:p>
        </w:tc>
        <w:tc>
          <w:tcPr>
            <w:tcW w:w="1640" w:type="dxa"/>
            <w:vAlign w:val="bottom"/>
            <w:gridSpan w:val="2"/>
          </w:tcPr>
          <w:p>
            <w:pPr>
              <w:ind w:left="300"/>
              <w:spacing w:after="0" w:line="159" w:lineRule="exact"/>
              <w:rPr>
                <w:sz w:val="20"/>
                <w:szCs w:val="20"/>
                <w:color w:val="auto"/>
              </w:rPr>
            </w:pPr>
            <w:r>
              <w:rPr>
                <w:rFonts w:ascii="Arial" w:cs="Arial" w:eastAsia="Arial" w:hAnsi="Arial"/>
                <w:sz w:val="14"/>
                <w:szCs w:val="14"/>
                <w:color w:val="auto"/>
              </w:rPr>
              <w:t>Eliminations(e)(f)</w:t>
            </w:r>
          </w:p>
        </w:tc>
        <w:tc>
          <w:tcPr>
            <w:tcW w:w="800" w:type="dxa"/>
            <w:vAlign w:val="bottom"/>
          </w:tcPr>
          <w:p>
            <w:pPr>
              <w:jc w:val="right"/>
              <w:ind w:right="34"/>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Three months ended March 31, 2009</w:t>
            </w:r>
          </w:p>
        </w:tc>
        <w:tc>
          <w:tcPr>
            <w:tcW w:w="102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88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92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Revenue(g)</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12"/>
              <w:spacing w:after="0"/>
              <w:rPr>
                <w:sz w:val="20"/>
                <w:szCs w:val="20"/>
                <w:color w:val="auto"/>
              </w:rPr>
            </w:pPr>
            <w:r>
              <w:rPr>
                <w:rFonts w:ascii="Arial" w:cs="Arial" w:eastAsia="Arial" w:hAnsi="Arial"/>
                <w:sz w:val="18"/>
                <w:szCs w:val="18"/>
                <w:color w:val="auto"/>
                <w:w w:val="97"/>
              </w:rPr>
              <w:t>8,349</w:t>
            </w:r>
          </w:p>
        </w:tc>
        <w:tc>
          <w:tcPr>
            <w:tcW w:w="660" w:type="dxa"/>
            <w:vAlign w:val="bottom"/>
          </w:tcPr>
          <w:p>
            <w:pPr>
              <w:ind w:left="3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12"/>
              <w:spacing w:after="0"/>
              <w:rPr>
                <w:sz w:val="20"/>
                <w:szCs w:val="20"/>
                <w:color w:val="auto"/>
              </w:rPr>
            </w:pPr>
            <w:r>
              <w:rPr>
                <w:rFonts w:ascii="Arial" w:cs="Arial" w:eastAsia="Arial" w:hAnsi="Arial"/>
                <w:sz w:val="18"/>
                <w:szCs w:val="18"/>
                <w:color w:val="auto"/>
              </w:rPr>
              <w:t>361</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72"/>
              <w:spacing w:after="0"/>
              <w:rPr>
                <w:sz w:val="20"/>
                <w:szCs w:val="20"/>
                <w:color w:val="auto"/>
              </w:rPr>
            </w:pPr>
            <w:r>
              <w:rPr>
                <w:rFonts w:ascii="Arial" w:cs="Arial" w:eastAsia="Arial" w:hAnsi="Arial"/>
                <w:sz w:val="18"/>
                <w:szCs w:val="18"/>
                <w:color w:val="auto"/>
              </w:rPr>
              <w:t>208</w:t>
            </w:r>
          </w:p>
        </w:tc>
        <w:tc>
          <w:tcPr>
            <w:tcW w:w="720" w:type="dxa"/>
            <w:vAlign w:val="bottom"/>
          </w:tcPr>
          <w:p>
            <w:pPr>
              <w:ind w:left="3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(83)</w:t>
            </w:r>
          </w:p>
        </w:tc>
        <w:tc>
          <w:tcPr>
            <w:tcW w:w="800" w:type="dxa"/>
            <w:vAlign w:val="bottom"/>
          </w:tcPr>
          <w:p>
            <w:pPr>
              <w:jc w:val="right"/>
              <w:spacing w:after="0"/>
              <w:rPr>
                <w:sz w:val="20"/>
                <w:szCs w:val="20"/>
                <w:color w:val="auto"/>
              </w:rPr>
            </w:pPr>
            <w:r>
              <w:rPr>
                <w:rFonts w:ascii="Arial" w:cs="Arial" w:eastAsia="Arial" w:hAnsi="Arial"/>
                <w:sz w:val="18"/>
                <w:szCs w:val="18"/>
                <w:color w:val="auto"/>
              </w:rPr>
              <w:t>$8,835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4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 before depreciation and</w:t>
            </w:r>
          </w:p>
        </w:tc>
        <w:tc>
          <w:tcPr>
            <w:tcW w:w="10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amortization(h)</w:t>
            </w:r>
          </w:p>
        </w:tc>
        <w:tc>
          <w:tcPr>
            <w:tcW w:w="102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w w:val="97"/>
              </w:rPr>
              <w:t>3,406</w:t>
            </w:r>
          </w:p>
        </w:tc>
        <w:tc>
          <w:tcPr>
            <w:tcW w:w="66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112</w:t>
            </w:r>
          </w:p>
        </w:tc>
        <w:tc>
          <w:tcPr>
            <w:tcW w:w="560" w:type="dxa"/>
            <w:vAlign w:val="bottom"/>
            <w:shd w:val="clear" w:color="auto" w:fill="E5E5E5"/>
          </w:tcPr>
          <w:p>
            <w:pPr>
              <w:spacing w:after="0"/>
              <w:rPr>
                <w:sz w:val="19"/>
                <w:szCs w:val="19"/>
                <w:color w:val="auto"/>
              </w:rPr>
            </w:pPr>
          </w:p>
        </w:tc>
        <w:tc>
          <w:tcPr>
            <w:tcW w:w="88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(71)</w:t>
            </w:r>
          </w:p>
        </w:tc>
        <w:tc>
          <w:tcPr>
            <w:tcW w:w="720" w:type="dxa"/>
            <w:vAlign w:val="bottom"/>
            <w:shd w:val="clear" w:color="auto" w:fill="E5E5E5"/>
          </w:tcPr>
          <w:p>
            <w:pPr>
              <w:spacing w:after="0"/>
              <w:rPr>
                <w:sz w:val="19"/>
                <w:szCs w:val="19"/>
                <w:color w:val="auto"/>
              </w:rPr>
            </w:pPr>
          </w:p>
        </w:tc>
        <w:tc>
          <w:tcPr>
            <w:tcW w:w="92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(3)</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18"/>
                <w:szCs w:val="18"/>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color w:val="auto"/>
                <w:w w:val="97"/>
              </w:rPr>
              <w:t>1,562</w:t>
            </w:r>
          </w:p>
        </w:tc>
        <w:tc>
          <w:tcPr>
            <w:tcW w:w="660" w:type="dxa"/>
            <w:vAlign w:val="bottom"/>
          </w:tcPr>
          <w:p>
            <w:pPr>
              <w:spacing w:after="0"/>
              <w:rPr>
                <w:sz w:val="18"/>
                <w:szCs w:val="18"/>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color w:val="auto"/>
              </w:rPr>
              <w:t>49</w:t>
            </w:r>
          </w:p>
        </w:tc>
        <w:tc>
          <w:tcPr>
            <w:tcW w:w="560" w:type="dxa"/>
            <w:vAlign w:val="bottom"/>
          </w:tcPr>
          <w:p>
            <w:pPr>
              <w:spacing w:after="0"/>
              <w:rPr>
                <w:sz w:val="18"/>
                <w:szCs w:val="18"/>
                <w:color w:val="auto"/>
              </w:rPr>
            </w:pPr>
          </w:p>
        </w:tc>
        <w:tc>
          <w:tcPr>
            <w:tcW w:w="880" w:type="dxa"/>
            <w:vAlign w:val="bottom"/>
          </w:tcPr>
          <w:p>
            <w:pPr>
              <w:jc w:val="right"/>
              <w:ind w:right="272"/>
              <w:spacing w:after="0"/>
              <w:rPr>
                <w:sz w:val="20"/>
                <w:szCs w:val="20"/>
                <w:color w:val="auto"/>
              </w:rPr>
            </w:pPr>
            <w:r>
              <w:rPr>
                <w:rFonts w:ascii="Arial" w:cs="Arial" w:eastAsia="Arial" w:hAnsi="Arial"/>
                <w:sz w:val="18"/>
                <w:szCs w:val="18"/>
                <w:color w:val="auto"/>
              </w:rPr>
              <w:t>30</w:t>
            </w:r>
          </w:p>
        </w:tc>
        <w:tc>
          <w:tcPr>
            <w:tcW w:w="720" w:type="dxa"/>
            <w:vAlign w:val="bottom"/>
          </w:tcPr>
          <w:p>
            <w:pPr>
              <w:spacing w:after="0"/>
              <w:rPr>
                <w:sz w:val="18"/>
                <w:szCs w:val="18"/>
                <w:color w:val="auto"/>
              </w:rPr>
            </w:pP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(8)</w:t>
            </w:r>
          </w:p>
        </w:tc>
        <w:tc>
          <w:tcPr>
            <w:tcW w:w="800" w:type="dxa"/>
            <w:vAlign w:val="bottom"/>
          </w:tcPr>
          <w:p>
            <w:pPr>
              <w:jc w:val="right"/>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10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w w:val="97"/>
              </w:rPr>
              <w:t>1,844</w:t>
            </w:r>
          </w:p>
        </w:tc>
        <w:tc>
          <w:tcPr>
            <w:tcW w:w="6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63</w:t>
            </w:r>
          </w:p>
        </w:tc>
        <w:tc>
          <w:tcPr>
            <w:tcW w:w="56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(101)</w:t>
            </w:r>
          </w:p>
        </w:tc>
        <w:tc>
          <w:tcPr>
            <w:tcW w:w="72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272"/>
              <w:spacing w:after="0"/>
              <w:rPr>
                <w:sz w:val="20"/>
                <w:szCs w:val="20"/>
                <w:color w:val="auto"/>
              </w:rPr>
            </w:pPr>
            <w:r>
              <w:rPr>
                <w:rFonts w:ascii="Arial" w:cs="Arial" w:eastAsia="Arial" w:hAnsi="Arial"/>
                <w:sz w:val="18"/>
                <w:szCs w:val="18"/>
                <w:color w:val="auto"/>
              </w:rPr>
              <w:t>5</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Capital expenditures</w:t>
            </w:r>
          </w:p>
        </w:tc>
        <w:tc>
          <w:tcPr>
            <w:tcW w:w="1020" w:type="dxa"/>
            <w:vAlign w:val="bottom"/>
          </w:tcPr>
          <w:p>
            <w:pPr>
              <w:spacing w:after="0"/>
              <w:rPr>
                <w:sz w:val="19"/>
                <w:szCs w:val="19"/>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color w:val="auto"/>
                <w:w w:val="97"/>
              </w:rPr>
              <w:t>1,130</w:t>
            </w:r>
          </w:p>
        </w:tc>
        <w:tc>
          <w:tcPr>
            <w:tcW w:w="660" w:type="dxa"/>
            <w:vAlign w:val="bottom"/>
          </w:tcPr>
          <w:p>
            <w:pPr>
              <w:spacing w:after="0"/>
              <w:rPr>
                <w:sz w:val="19"/>
                <w:szCs w:val="19"/>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color w:val="auto"/>
              </w:rPr>
              <w:t>8</w:t>
            </w:r>
          </w:p>
        </w:tc>
        <w:tc>
          <w:tcPr>
            <w:tcW w:w="560" w:type="dxa"/>
            <w:vAlign w:val="bottom"/>
          </w:tcPr>
          <w:p>
            <w:pPr>
              <w:spacing w:after="0"/>
              <w:rPr>
                <w:sz w:val="19"/>
                <w:szCs w:val="19"/>
                <w:color w:val="auto"/>
              </w:rPr>
            </w:pPr>
          </w:p>
        </w:tc>
        <w:tc>
          <w:tcPr>
            <w:tcW w:w="880" w:type="dxa"/>
            <w:vAlign w:val="bottom"/>
          </w:tcPr>
          <w:p>
            <w:pPr>
              <w:jc w:val="right"/>
              <w:ind w:right="272"/>
              <w:spacing w:after="0"/>
              <w:rPr>
                <w:sz w:val="20"/>
                <w:szCs w:val="20"/>
                <w:color w:val="auto"/>
              </w:rPr>
            </w:pPr>
            <w:r>
              <w:rPr>
                <w:rFonts w:ascii="Arial" w:cs="Arial" w:eastAsia="Arial" w:hAnsi="Arial"/>
                <w:sz w:val="18"/>
                <w:szCs w:val="18"/>
                <w:color w:val="auto"/>
              </w:rPr>
              <w:t>22</w:t>
            </w:r>
          </w:p>
        </w:tc>
        <w:tc>
          <w:tcPr>
            <w:tcW w:w="720" w:type="dxa"/>
            <w:vAlign w:val="bottom"/>
          </w:tcPr>
          <w:p>
            <w:pPr>
              <w:spacing w:after="0"/>
              <w:rPr>
                <w:sz w:val="19"/>
                <w:szCs w:val="19"/>
                <w:color w:val="auto"/>
              </w:rPr>
            </w:pPr>
          </w:p>
        </w:tc>
        <w:tc>
          <w:tcPr>
            <w:tcW w:w="9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Three months ended March 31, 2008</w:t>
            </w:r>
          </w:p>
        </w:tc>
        <w:tc>
          <w:tcPr>
            <w:tcW w:w="10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Revenue(g)</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12"/>
              <w:spacing w:after="0"/>
              <w:rPr>
                <w:sz w:val="20"/>
                <w:szCs w:val="20"/>
                <w:color w:val="auto"/>
              </w:rPr>
            </w:pPr>
            <w:r>
              <w:rPr>
                <w:rFonts w:ascii="Arial" w:cs="Arial" w:eastAsia="Arial" w:hAnsi="Arial"/>
                <w:sz w:val="18"/>
                <w:szCs w:val="18"/>
                <w:color w:val="auto"/>
                <w:w w:val="97"/>
              </w:rPr>
              <w:t>7,916</w:t>
            </w:r>
          </w:p>
        </w:tc>
        <w:tc>
          <w:tcPr>
            <w:tcW w:w="660" w:type="dxa"/>
            <w:vAlign w:val="bottom"/>
          </w:tcPr>
          <w:p>
            <w:pPr>
              <w:ind w:left="3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12"/>
              <w:spacing w:after="0"/>
              <w:rPr>
                <w:sz w:val="20"/>
                <w:szCs w:val="20"/>
                <w:color w:val="auto"/>
              </w:rPr>
            </w:pPr>
            <w:r>
              <w:rPr>
                <w:rFonts w:ascii="Arial" w:cs="Arial" w:eastAsia="Arial" w:hAnsi="Arial"/>
                <w:sz w:val="18"/>
                <w:szCs w:val="18"/>
                <w:color w:val="auto"/>
              </w:rPr>
              <w:t>363</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72"/>
              <w:spacing w:after="0"/>
              <w:rPr>
                <w:sz w:val="20"/>
                <w:szCs w:val="20"/>
                <w:color w:val="auto"/>
              </w:rPr>
            </w:pPr>
            <w:r>
              <w:rPr>
                <w:rFonts w:ascii="Arial" w:cs="Arial" w:eastAsia="Arial" w:hAnsi="Arial"/>
                <w:sz w:val="18"/>
                <w:szCs w:val="18"/>
                <w:color w:val="auto"/>
              </w:rPr>
              <w:t>183</w:t>
            </w:r>
          </w:p>
        </w:tc>
        <w:tc>
          <w:tcPr>
            <w:tcW w:w="720" w:type="dxa"/>
            <w:vAlign w:val="bottom"/>
          </w:tcPr>
          <w:p>
            <w:pPr>
              <w:ind w:left="3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(73)</w:t>
            </w:r>
          </w:p>
        </w:tc>
        <w:tc>
          <w:tcPr>
            <w:tcW w:w="800" w:type="dxa"/>
            <w:vAlign w:val="bottom"/>
          </w:tcPr>
          <w:p>
            <w:pPr>
              <w:jc w:val="right"/>
              <w:spacing w:after="0"/>
              <w:rPr>
                <w:sz w:val="20"/>
                <w:szCs w:val="20"/>
                <w:color w:val="auto"/>
              </w:rPr>
            </w:pPr>
            <w:r>
              <w:rPr>
                <w:rFonts w:ascii="Arial" w:cs="Arial" w:eastAsia="Arial" w:hAnsi="Arial"/>
                <w:sz w:val="18"/>
                <w:szCs w:val="18"/>
                <w:color w:val="auto"/>
              </w:rPr>
              <w:t>$8,389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4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 before depreciation and</w:t>
            </w:r>
          </w:p>
        </w:tc>
        <w:tc>
          <w:tcPr>
            <w:tcW w:w="10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amortization(h)</w:t>
            </w:r>
          </w:p>
        </w:tc>
        <w:tc>
          <w:tcPr>
            <w:tcW w:w="102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w w:val="97"/>
              </w:rPr>
              <w:t>3,142</w:t>
            </w:r>
          </w:p>
        </w:tc>
        <w:tc>
          <w:tcPr>
            <w:tcW w:w="66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113</w:t>
            </w:r>
          </w:p>
        </w:tc>
        <w:tc>
          <w:tcPr>
            <w:tcW w:w="560" w:type="dxa"/>
            <w:vAlign w:val="bottom"/>
            <w:shd w:val="clear" w:color="auto" w:fill="E5E5E5"/>
          </w:tcPr>
          <w:p>
            <w:pPr>
              <w:spacing w:after="0"/>
              <w:rPr>
                <w:sz w:val="19"/>
                <w:szCs w:val="19"/>
                <w:color w:val="auto"/>
              </w:rPr>
            </w:pPr>
          </w:p>
        </w:tc>
        <w:tc>
          <w:tcPr>
            <w:tcW w:w="88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(82)</w:t>
            </w:r>
          </w:p>
        </w:tc>
        <w:tc>
          <w:tcPr>
            <w:tcW w:w="720" w:type="dxa"/>
            <w:vAlign w:val="bottom"/>
            <w:shd w:val="clear" w:color="auto" w:fill="E5E5E5"/>
          </w:tcPr>
          <w:p>
            <w:pPr>
              <w:spacing w:after="0"/>
              <w:rPr>
                <w:sz w:val="19"/>
                <w:szCs w:val="19"/>
                <w:color w:val="auto"/>
              </w:rPr>
            </w:pPr>
          </w:p>
        </w:tc>
        <w:tc>
          <w:tcPr>
            <w:tcW w:w="920" w:type="dxa"/>
            <w:vAlign w:val="bottom"/>
            <w:shd w:val="clear" w:color="auto" w:fill="E5E5E5"/>
          </w:tcPr>
          <w:p>
            <w:pPr>
              <w:jc w:val="right"/>
              <w:ind w:right="272"/>
              <w:spacing w:after="0"/>
              <w:rPr>
                <w:sz w:val="20"/>
                <w:szCs w:val="20"/>
                <w:color w:val="auto"/>
              </w:rPr>
            </w:pPr>
            <w:r>
              <w:rPr>
                <w:rFonts w:ascii="Arial" w:cs="Arial" w:eastAsia="Arial" w:hAnsi="Arial"/>
                <w:sz w:val="18"/>
                <w:szCs w:val="18"/>
                <w:color w:val="auto"/>
              </w:rPr>
              <w:t>1</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18"/>
                <w:szCs w:val="18"/>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color w:val="auto"/>
                <w:w w:val="97"/>
              </w:rPr>
              <w:t>1,548</w:t>
            </w:r>
          </w:p>
        </w:tc>
        <w:tc>
          <w:tcPr>
            <w:tcW w:w="660" w:type="dxa"/>
            <w:vAlign w:val="bottom"/>
          </w:tcPr>
          <w:p>
            <w:pPr>
              <w:spacing w:after="0"/>
              <w:rPr>
                <w:sz w:val="18"/>
                <w:szCs w:val="18"/>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color w:val="auto"/>
              </w:rPr>
              <w:t>54</w:t>
            </w:r>
          </w:p>
        </w:tc>
        <w:tc>
          <w:tcPr>
            <w:tcW w:w="560" w:type="dxa"/>
            <w:vAlign w:val="bottom"/>
          </w:tcPr>
          <w:p>
            <w:pPr>
              <w:spacing w:after="0"/>
              <w:rPr>
                <w:sz w:val="18"/>
                <w:szCs w:val="18"/>
                <w:color w:val="auto"/>
              </w:rPr>
            </w:pPr>
          </w:p>
        </w:tc>
        <w:tc>
          <w:tcPr>
            <w:tcW w:w="880" w:type="dxa"/>
            <w:vAlign w:val="bottom"/>
          </w:tcPr>
          <w:p>
            <w:pPr>
              <w:jc w:val="right"/>
              <w:ind w:right="272"/>
              <w:spacing w:after="0"/>
              <w:rPr>
                <w:sz w:val="20"/>
                <w:szCs w:val="20"/>
                <w:color w:val="auto"/>
              </w:rPr>
            </w:pPr>
            <w:r>
              <w:rPr>
                <w:rFonts w:ascii="Arial" w:cs="Arial" w:eastAsia="Arial" w:hAnsi="Arial"/>
                <w:sz w:val="18"/>
                <w:szCs w:val="18"/>
                <w:color w:val="auto"/>
              </w:rPr>
              <w:t>24</w:t>
            </w:r>
          </w:p>
        </w:tc>
        <w:tc>
          <w:tcPr>
            <w:tcW w:w="720" w:type="dxa"/>
            <w:vAlign w:val="bottom"/>
          </w:tcPr>
          <w:p>
            <w:pPr>
              <w:spacing w:after="0"/>
              <w:rPr>
                <w:sz w:val="18"/>
                <w:szCs w:val="18"/>
                <w:color w:val="auto"/>
              </w:rPr>
            </w:pP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(7)</w:t>
            </w:r>
          </w:p>
        </w:tc>
        <w:tc>
          <w:tcPr>
            <w:tcW w:w="800" w:type="dxa"/>
            <w:vAlign w:val="bottom"/>
          </w:tcPr>
          <w:p>
            <w:pPr>
              <w:jc w:val="right"/>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10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w w:val="97"/>
              </w:rPr>
              <w:t>1,594</w:t>
            </w:r>
          </w:p>
        </w:tc>
        <w:tc>
          <w:tcPr>
            <w:tcW w:w="6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59</w:t>
            </w:r>
          </w:p>
        </w:tc>
        <w:tc>
          <w:tcPr>
            <w:tcW w:w="56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(106)</w:t>
            </w:r>
          </w:p>
        </w:tc>
        <w:tc>
          <w:tcPr>
            <w:tcW w:w="72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272"/>
              <w:spacing w:after="0"/>
              <w:rPr>
                <w:sz w:val="20"/>
                <w:szCs w:val="20"/>
                <w:color w:val="auto"/>
              </w:rPr>
            </w:pPr>
            <w:r>
              <w:rPr>
                <w:rFonts w:ascii="Arial" w:cs="Arial" w:eastAsia="Arial" w:hAnsi="Arial"/>
                <w:sz w:val="18"/>
                <w:szCs w:val="18"/>
                <w:color w:val="auto"/>
              </w:rPr>
              <w:t>8</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Capital expenditures</w:t>
            </w:r>
          </w:p>
        </w:tc>
        <w:tc>
          <w:tcPr>
            <w:tcW w:w="10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7"/>
              </w:rPr>
              <w:t>1,355</w:t>
            </w:r>
          </w:p>
        </w:tc>
        <w:tc>
          <w:tcPr>
            <w:tcW w:w="6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4</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72</w:t>
            </w:r>
          </w:p>
        </w:tc>
        <w:tc>
          <w:tcPr>
            <w:tcW w:w="7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For the three months ended March 31, 2009 and 2008, Cable segment revenue was derived from the following services:</w:t>
      </w:r>
    </w:p>
    <w:p>
      <w:pPr>
        <w:spacing w:after="0" w:line="55" w:lineRule="exact"/>
        <w:rPr>
          <w:sz w:val="20"/>
          <w:szCs w:val="20"/>
          <w:color w:val="auto"/>
        </w:rPr>
      </w:pPr>
    </w:p>
    <w:p>
      <w:pPr>
        <w:jc w:val="center"/>
        <w:ind w:left="9440"/>
        <w:spacing w:after="0"/>
        <w:rPr>
          <w:sz w:val="20"/>
          <w:szCs w:val="20"/>
          <w:color w:val="auto"/>
        </w:rPr>
      </w:pPr>
      <w:r>
        <w:rPr>
          <w:rFonts w:ascii="Arial" w:cs="Arial" w:eastAsia="Arial" w:hAnsi="Arial"/>
          <w:sz w:val="14"/>
          <w:szCs w:val="14"/>
          <w:color w:val="auto"/>
        </w:rPr>
        <w:t>Three Months Ended</w:t>
      </w:r>
    </w:p>
    <w:p>
      <w:pPr>
        <w:jc w:val="center"/>
        <w:ind w:left="9440"/>
        <w:spacing w:after="0"/>
        <w:rPr>
          <w:sz w:val="20"/>
          <w:szCs w:val="20"/>
          <w:color w:val="auto"/>
        </w:rPr>
      </w:pPr>
      <w:r>
        <w:rPr>
          <w:rFonts w:ascii="Arial" w:cs="Arial" w:eastAsia="Arial" w:hAnsi="Arial"/>
          <w:sz w:val="14"/>
          <w:szCs w:val="14"/>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5682615</wp:posOffset>
            </wp:positionH>
            <wp:positionV relativeFrom="paragraph">
              <wp:posOffset>-8255</wp:posOffset>
            </wp:positionV>
            <wp:extent cx="15690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62"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5180" w:type="dxa"/>
            <w:vAlign w:val="bottom"/>
            <w:tcBorders>
              <w:bottom w:val="single" w:sz="8" w:color="auto"/>
            </w:tcBorders>
          </w:tcPr>
          <w:p>
            <w:pPr>
              <w:spacing w:after="0"/>
              <w:rPr>
                <w:sz w:val="14"/>
                <w:szCs w:val="14"/>
                <w:color w:val="auto"/>
              </w:rPr>
            </w:pPr>
          </w:p>
        </w:tc>
        <w:tc>
          <w:tcPr>
            <w:tcW w:w="50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rPr>
              <w:t>2009</w:t>
            </w:r>
          </w:p>
        </w:tc>
        <w:tc>
          <w:tcPr>
            <w:tcW w:w="8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2008</w:t>
            </w:r>
          </w:p>
        </w:tc>
        <w:tc>
          <w:tcPr>
            <w:tcW w:w="20" w:type="dxa"/>
            <w:vAlign w:val="bottom"/>
          </w:tcPr>
          <w:p>
            <w:pPr>
              <w:spacing w:after="0"/>
              <w:rPr>
                <w:sz w:val="14"/>
                <w:szCs w:val="14"/>
                <w:color w:val="auto"/>
              </w:rPr>
            </w:pPr>
          </w:p>
        </w:tc>
      </w:tr>
      <w:tr>
        <w:trPr>
          <w:trHeight w:val="142"/>
        </w:trPr>
        <w:tc>
          <w:tcPr>
            <w:tcW w:w="518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Video</w:t>
            </w:r>
          </w:p>
        </w:tc>
        <w:tc>
          <w:tcPr>
            <w:tcW w:w="5000" w:type="dxa"/>
            <w:vAlign w:val="bottom"/>
            <w:shd w:val="clear" w:color="auto" w:fill="E5E5E5"/>
          </w:tcPr>
          <w:p>
            <w:pPr>
              <w:jc w:val="right"/>
              <w:ind w:right="352"/>
              <w:spacing w:after="0" w:line="142" w:lineRule="exact"/>
              <w:rPr>
                <w:sz w:val="20"/>
                <w:szCs w:val="20"/>
                <w:color w:val="auto"/>
              </w:rPr>
            </w:pPr>
            <w:r>
              <w:rPr>
                <w:rFonts w:ascii="Arial" w:cs="Arial" w:eastAsia="Arial" w:hAnsi="Arial"/>
                <w:sz w:val="14"/>
                <w:szCs w:val="14"/>
                <w:color w:val="auto"/>
              </w:rPr>
              <w:t>59.0%</w:t>
            </w:r>
          </w:p>
        </w:tc>
        <w:tc>
          <w:tcPr>
            <w:tcW w:w="880" w:type="dxa"/>
            <w:vAlign w:val="bottom"/>
            <w:shd w:val="clear" w:color="auto" w:fill="E5E5E5"/>
          </w:tcPr>
          <w:p>
            <w:pPr>
              <w:jc w:val="right"/>
              <w:spacing w:after="0" w:line="142" w:lineRule="exact"/>
              <w:rPr>
                <w:sz w:val="20"/>
                <w:szCs w:val="20"/>
                <w:color w:val="auto"/>
              </w:rPr>
            </w:pPr>
            <w:r>
              <w:rPr>
                <w:rFonts w:ascii="Arial" w:cs="Arial" w:eastAsia="Arial" w:hAnsi="Arial"/>
                <w:sz w:val="14"/>
                <w:szCs w:val="14"/>
                <w:color w:val="auto"/>
              </w:rPr>
              <w:t>60.4%</w:t>
            </w:r>
          </w:p>
        </w:tc>
        <w:tc>
          <w:tcPr>
            <w:tcW w:w="20" w:type="dxa"/>
            <w:vAlign w:val="bottom"/>
          </w:tcPr>
          <w:p>
            <w:pPr>
              <w:spacing w:after="0"/>
              <w:rPr>
                <w:sz w:val="12"/>
                <w:szCs w:val="12"/>
                <w:color w:val="auto"/>
              </w:rPr>
            </w:pP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High-speed Internet</w:t>
            </w:r>
          </w:p>
        </w:tc>
        <w:tc>
          <w:tcPr>
            <w:tcW w:w="5000" w:type="dxa"/>
            <w:vAlign w:val="bottom"/>
          </w:tcPr>
          <w:p>
            <w:pPr>
              <w:jc w:val="right"/>
              <w:ind w:right="472"/>
              <w:spacing w:after="0" w:line="149" w:lineRule="exact"/>
              <w:rPr>
                <w:sz w:val="20"/>
                <w:szCs w:val="20"/>
                <w:color w:val="auto"/>
              </w:rPr>
            </w:pPr>
            <w:r>
              <w:rPr>
                <w:rFonts w:ascii="Arial" w:cs="Arial" w:eastAsia="Arial" w:hAnsi="Arial"/>
                <w:sz w:val="14"/>
                <w:szCs w:val="14"/>
                <w:color w:val="auto"/>
              </w:rPr>
              <w:t>22.9</w:t>
            </w: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22.1</w:t>
            </w:r>
          </w:p>
        </w:tc>
        <w:tc>
          <w:tcPr>
            <w:tcW w:w="20" w:type="dxa"/>
            <w:vAlign w:val="bottom"/>
          </w:tcPr>
          <w:p>
            <w:pPr>
              <w:spacing w:after="0"/>
              <w:rPr>
                <w:sz w:val="12"/>
                <w:szCs w:val="12"/>
                <w:color w:val="auto"/>
              </w:rPr>
            </w:pPr>
          </w:p>
        </w:tc>
      </w:tr>
      <w:tr>
        <w:trPr>
          <w:trHeight w:val="149"/>
        </w:trPr>
        <w:tc>
          <w:tcPr>
            <w:tcW w:w="518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Phone</w:t>
            </w:r>
          </w:p>
        </w:tc>
        <w:tc>
          <w:tcPr>
            <w:tcW w:w="5000" w:type="dxa"/>
            <w:vAlign w:val="bottom"/>
            <w:shd w:val="clear" w:color="auto" w:fill="E5E5E5"/>
          </w:tcPr>
          <w:p>
            <w:pPr>
              <w:jc w:val="right"/>
              <w:ind w:right="472"/>
              <w:spacing w:after="0" w:line="149" w:lineRule="exact"/>
              <w:rPr>
                <w:sz w:val="20"/>
                <w:szCs w:val="20"/>
                <w:color w:val="auto"/>
              </w:rPr>
            </w:pPr>
            <w:r>
              <w:rPr>
                <w:rFonts w:ascii="Arial" w:cs="Arial" w:eastAsia="Arial" w:hAnsi="Arial"/>
                <w:sz w:val="14"/>
                <w:szCs w:val="14"/>
                <w:color w:val="auto"/>
              </w:rPr>
              <w:t>9.3</w:t>
            </w:r>
          </w:p>
        </w:tc>
        <w:tc>
          <w:tcPr>
            <w:tcW w:w="8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7.4</w:t>
            </w:r>
          </w:p>
        </w:tc>
        <w:tc>
          <w:tcPr>
            <w:tcW w:w="20" w:type="dxa"/>
            <w:vAlign w:val="bottom"/>
          </w:tcPr>
          <w:p>
            <w:pPr>
              <w:spacing w:after="0"/>
              <w:rPr>
                <w:sz w:val="12"/>
                <w:szCs w:val="12"/>
                <w:color w:val="auto"/>
              </w:rPr>
            </w:pP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Advertising</w:t>
            </w:r>
          </w:p>
        </w:tc>
        <w:tc>
          <w:tcPr>
            <w:tcW w:w="5000" w:type="dxa"/>
            <w:vAlign w:val="bottom"/>
          </w:tcPr>
          <w:p>
            <w:pPr>
              <w:jc w:val="right"/>
              <w:ind w:right="472"/>
              <w:spacing w:after="0" w:line="149" w:lineRule="exact"/>
              <w:rPr>
                <w:sz w:val="20"/>
                <w:szCs w:val="20"/>
                <w:color w:val="auto"/>
              </w:rPr>
            </w:pPr>
            <w:r>
              <w:rPr>
                <w:rFonts w:ascii="Arial" w:cs="Arial" w:eastAsia="Arial" w:hAnsi="Arial"/>
                <w:sz w:val="14"/>
                <w:szCs w:val="14"/>
                <w:color w:val="auto"/>
              </w:rPr>
              <w:t>3.1</w:t>
            </w: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4.3</w:t>
            </w:r>
          </w:p>
        </w:tc>
        <w:tc>
          <w:tcPr>
            <w:tcW w:w="20" w:type="dxa"/>
            <w:vAlign w:val="bottom"/>
          </w:tcPr>
          <w:p>
            <w:pPr>
              <w:spacing w:after="0"/>
              <w:rPr>
                <w:sz w:val="12"/>
                <w:szCs w:val="12"/>
                <w:color w:val="auto"/>
              </w:rPr>
            </w:pPr>
          </w:p>
        </w:tc>
      </w:tr>
      <w:tr>
        <w:trPr>
          <w:trHeight w:val="149"/>
        </w:trPr>
        <w:tc>
          <w:tcPr>
            <w:tcW w:w="518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Franchise fees</w:t>
            </w:r>
          </w:p>
        </w:tc>
        <w:tc>
          <w:tcPr>
            <w:tcW w:w="5000" w:type="dxa"/>
            <w:vAlign w:val="bottom"/>
            <w:shd w:val="clear" w:color="auto" w:fill="E5E5E5"/>
          </w:tcPr>
          <w:p>
            <w:pPr>
              <w:jc w:val="right"/>
              <w:ind w:right="472"/>
              <w:spacing w:after="0" w:line="149" w:lineRule="exact"/>
              <w:rPr>
                <w:sz w:val="20"/>
                <w:szCs w:val="20"/>
                <w:color w:val="auto"/>
              </w:rPr>
            </w:pPr>
            <w:r>
              <w:rPr>
                <w:rFonts w:ascii="Arial" w:cs="Arial" w:eastAsia="Arial" w:hAnsi="Arial"/>
                <w:sz w:val="14"/>
                <w:szCs w:val="14"/>
                <w:color w:val="auto"/>
              </w:rPr>
              <w:t>2.8</w:t>
            </w:r>
          </w:p>
        </w:tc>
        <w:tc>
          <w:tcPr>
            <w:tcW w:w="8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2.8</w:t>
            </w:r>
          </w:p>
        </w:tc>
        <w:tc>
          <w:tcPr>
            <w:tcW w:w="20" w:type="dxa"/>
            <w:vAlign w:val="bottom"/>
          </w:tcPr>
          <w:p>
            <w:pPr>
              <w:spacing w:after="0"/>
              <w:rPr>
                <w:sz w:val="12"/>
                <w:szCs w:val="12"/>
                <w:color w:val="auto"/>
              </w:rPr>
            </w:pPr>
          </w:p>
        </w:tc>
      </w:tr>
      <w:tr>
        <w:trPr>
          <w:trHeight w:val="149"/>
        </w:trPr>
        <w:tc>
          <w:tcPr>
            <w:tcW w:w="51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Other</w:t>
            </w:r>
          </w:p>
        </w:tc>
        <w:tc>
          <w:tcPr>
            <w:tcW w:w="5000" w:type="dxa"/>
            <w:vAlign w:val="bottom"/>
            <w:tcBorders>
              <w:bottom w:val="single" w:sz="8" w:color="auto"/>
            </w:tcBorders>
          </w:tcPr>
          <w:p>
            <w:pPr>
              <w:jc w:val="right"/>
              <w:ind w:right="472"/>
              <w:spacing w:after="0" w:line="149" w:lineRule="exact"/>
              <w:rPr>
                <w:sz w:val="20"/>
                <w:szCs w:val="20"/>
                <w:color w:val="auto"/>
              </w:rPr>
            </w:pPr>
            <w:r>
              <w:rPr>
                <w:rFonts w:ascii="Arial" w:cs="Arial" w:eastAsia="Arial" w:hAnsi="Arial"/>
                <w:sz w:val="14"/>
                <w:szCs w:val="14"/>
                <w:color w:val="auto"/>
              </w:rPr>
              <w:t>2.9</w:t>
            </w:r>
          </w:p>
        </w:tc>
        <w:tc>
          <w:tcPr>
            <w:tcW w:w="8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3.0</w:t>
            </w:r>
          </w:p>
        </w:tc>
        <w:tc>
          <w:tcPr>
            <w:tcW w:w="20" w:type="dxa"/>
            <w:vAlign w:val="bottom"/>
          </w:tcPr>
          <w:p>
            <w:pPr>
              <w:spacing w:after="0"/>
              <w:rPr>
                <w:sz w:val="12"/>
                <w:szCs w:val="12"/>
                <w:color w:val="auto"/>
              </w:rPr>
            </w:pPr>
          </w:p>
        </w:tc>
      </w:tr>
      <w:tr>
        <w:trPr>
          <w:trHeight w:val="149"/>
        </w:trPr>
        <w:tc>
          <w:tcPr>
            <w:tcW w:w="518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Total</w:t>
            </w:r>
          </w:p>
        </w:tc>
        <w:tc>
          <w:tcPr>
            <w:tcW w:w="5000" w:type="dxa"/>
            <w:vAlign w:val="bottom"/>
            <w:tcBorders>
              <w:bottom w:val="single" w:sz="8" w:color="auto"/>
            </w:tcBorders>
            <w:shd w:val="clear" w:color="auto" w:fill="E5E5E5"/>
          </w:tcPr>
          <w:p>
            <w:pPr>
              <w:jc w:val="right"/>
              <w:ind w:right="332"/>
              <w:spacing w:after="0" w:line="142" w:lineRule="exact"/>
              <w:rPr>
                <w:sz w:val="20"/>
                <w:szCs w:val="20"/>
                <w:color w:val="auto"/>
              </w:rPr>
            </w:pPr>
            <w:r>
              <w:rPr>
                <w:rFonts w:ascii="Arial" w:cs="Arial" w:eastAsia="Arial" w:hAnsi="Arial"/>
                <w:sz w:val="14"/>
                <w:szCs w:val="14"/>
                <w:b w:val="1"/>
                <w:bCs w:val="1"/>
                <w:color w:val="auto"/>
              </w:rPr>
              <w:t>100%</w:t>
            </w:r>
          </w:p>
        </w:tc>
        <w:tc>
          <w:tcPr>
            <w:tcW w:w="88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100%</w:t>
            </w:r>
          </w:p>
        </w:tc>
        <w:tc>
          <w:tcPr>
            <w:tcW w:w="20" w:type="dxa"/>
            <w:vAlign w:val="bottom"/>
          </w:tcPr>
          <w:p>
            <w:pPr>
              <w:spacing w:after="0"/>
              <w:rPr>
                <w:sz w:val="12"/>
                <w:szCs w:val="12"/>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60"/>
        <w:spacing w:after="0"/>
        <w:rPr>
          <w:sz w:val="20"/>
          <w:szCs w:val="20"/>
          <w:color w:val="auto"/>
        </w:rPr>
      </w:pPr>
      <w:r>
        <w:rPr>
          <w:rFonts w:ascii="Arial" w:cs="Arial" w:eastAsia="Arial" w:hAnsi="Arial"/>
          <w:sz w:val="12"/>
          <w:szCs w:val="12"/>
          <w:color w:val="auto"/>
        </w:rPr>
        <w:t>Subscription revenue received from customers who purchase bundled services at a discounted rate is allocated proportionately to each service based on the individual service’s price on a stand-alone basis.</w:t>
      </w:r>
    </w:p>
    <w:p>
      <w:pPr>
        <w:spacing w:after="0" w:line="78"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Cable segment includes our regional sports networks.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Programming segment consists primarily of our consolidated national programming networks, including E!, Golf Channel, VERSUS, G4 and Style.</w:t>
      </w:r>
    </w:p>
    <w:p>
      <w:pPr>
        <w:spacing w:after="0" w:line="55"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Corporate and Other activities include Comcast Interactive Media, Comcast Spectacor, a portion of the operating results of our less than wholly owned technology development ventures (see “(e)” below), corporate activities and all other businesses not presented in our Cable or Programming segments.</w:t>
      </w:r>
    </w:p>
    <w:p>
      <w:pPr>
        <w:spacing w:after="0" w:line="43" w:lineRule="exact"/>
        <w:rPr>
          <w:rFonts w:ascii="Arial" w:cs="Arial" w:eastAsia="Arial" w:hAnsi="Arial"/>
          <w:sz w:val="14"/>
          <w:szCs w:val="14"/>
          <w:color w:val="auto"/>
        </w:rPr>
      </w:pPr>
    </w:p>
    <w:p>
      <w:pPr>
        <w:jc w:val="both"/>
        <w:ind w:left="340" w:right="20" w:hanging="332"/>
        <w:spacing w:after="0" w:line="288" w:lineRule="auto"/>
        <w:tabs>
          <w:tab w:leader="none" w:pos="340" w:val="left"/>
        </w:tabs>
        <w:numPr>
          <w:ilvl w:val="0"/>
          <w:numId w:val="5"/>
        </w:numPr>
        <w:rPr>
          <w:rFonts w:ascii="Arial" w:cs="Arial" w:eastAsia="Arial" w:hAnsi="Arial"/>
          <w:sz w:val="12"/>
          <w:szCs w:val="12"/>
          <w:color w:val="auto"/>
        </w:rPr>
      </w:pPr>
      <w:r>
        <w:rPr>
          <w:rFonts w:ascii="Arial" w:cs="Arial" w:eastAsia="Arial" w:hAnsi="Arial"/>
          <w:sz w:val="12"/>
          <w:szCs w:val="12"/>
          <w:color w:val="auto"/>
        </w:rPr>
        <w:t>We consolidate our less than wholly owned technology development ventures that we control or of which we are considered the primary beneficiary. These ventures are with various corporate partners, such as Motorola and Gemstar. The ventures have been created to share the costs of development of new technologies for set-top boxes and other devices. The results of these entities are included within Corporate and Other except for cost allocations, which are made to the Cable segment based on our percentage ownership in each entity.</w:t>
      </w:r>
    </w:p>
    <w:p>
      <w:pPr>
        <w:spacing w:after="0" w:line="16" w:lineRule="exact"/>
        <w:rPr>
          <w:rFonts w:ascii="Arial" w:cs="Arial" w:eastAsia="Arial" w:hAnsi="Arial"/>
          <w:sz w:val="12"/>
          <w:szCs w:val="12"/>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the Eliminations column are transactions that our segments enter into with one another. The most common types of transactions are the following:</w:t>
      </w:r>
    </w:p>
    <w:p>
      <w:pPr>
        <w:spacing w:after="0" w:line="55" w:lineRule="exact"/>
        <w:rPr>
          <w:rFonts w:ascii="Arial" w:cs="Arial" w:eastAsia="Arial" w:hAnsi="Arial"/>
          <w:sz w:val="14"/>
          <w:szCs w:val="14"/>
          <w:color w:val="auto"/>
        </w:rPr>
      </w:pPr>
    </w:p>
    <w:p>
      <w:pPr>
        <w:ind w:left="1020" w:right="1260" w:hanging="215"/>
        <w:spacing w:after="0" w:line="239" w:lineRule="auto"/>
        <w:tabs>
          <w:tab w:leader="none" w:pos="1020" w:val="left"/>
        </w:tabs>
        <w:numPr>
          <w:ilvl w:val="1"/>
          <w:numId w:val="5"/>
        </w:numPr>
        <w:rPr>
          <w:rFonts w:ascii="Arial" w:cs="Arial" w:eastAsia="Arial" w:hAnsi="Arial"/>
          <w:sz w:val="14"/>
          <w:szCs w:val="14"/>
          <w:color w:val="auto"/>
        </w:rPr>
      </w:pPr>
      <w:r>
        <w:rPr>
          <w:rFonts w:ascii="Arial" w:cs="Arial" w:eastAsia="Arial" w:hAnsi="Arial"/>
          <w:sz w:val="14"/>
          <w:szCs w:val="14"/>
          <w:color w:val="auto"/>
        </w:rPr>
        <w:t>our Programming segment generates revenue by selling cable network programming to our Cable segment, which represents a substantial majority of the revenue elimination amount</w:t>
      </w:r>
    </w:p>
    <w:p>
      <w:pPr>
        <w:spacing w:after="0" w:line="43"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1"/>
          <w:numId w:val="5"/>
        </w:numPr>
        <w:rPr>
          <w:rFonts w:ascii="Arial" w:cs="Arial" w:eastAsia="Arial" w:hAnsi="Arial"/>
          <w:sz w:val="14"/>
          <w:szCs w:val="14"/>
          <w:color w:val="auto"/>
        </w:rPr>
      </w:pPr>
      <w:r>
        <w:rPr>
          <w:rFonts w:ascii="Arial" w:cs="Arial" w:eastAsia="Arial" w:hAnsi="Arial"/>
          <w:sz w:val="14"/>
          <w:szCs w:val="14"/>
          <w:color w:val="auto"/>
        </w:rPr>
        <w:t>our Cable segment receives incentives offered by our Programming segment when negotiating programming contracts that are recorded as a reduction of programming expenses</w:t>
      </w:r>
    </w:p>
    <w:p>
      <w:pPr>
        <w:spacing w:after="0" w:line="43" w:lineRule="exact"/>
        <w:rPr>
          <w:rFonts w:ascii="Arial" w:cs="Arial" w:eastAsia="Arial" w:hAnsi="Arial"/>
          <w:sz w:val="14"/>
          <w:szCs w:val="14"/>
          <w:color w:val="auto"/>
        </w:rPr>
      </w:pPr>
    </w:p>
    <w:p>
      <w:pPr>
        <w:ind w:left="1020" w:hanging="215"/>
        <w:spacing w:after="0"/>
        <w:tabs>
          <w:tab w:leader="none" w:pos="1020" w:val="left"/>
        </w:tabs>
        <w:numPr>
          <w:ilvl w:val="1"/>
          <w:numId w:val="5"/>
        </w:numPr>
        <w:rPr>
          <w:rFonts w:ascii="Arial" w:cs="Arial" w:eastAsia="Arial" w:hAnsi="Arial"/>
          <w:sz w:val="14"/>
          <w:szCs w:val="14"/>
          <w:color w:val="auto"/>
        </w:rPr>
      </w:pPr>
      <w:r>
        <w:rPr>
          <w:rFonts w:ascii="Arial" w:cs="Arial" w:eastAsia="Arial" w:hAnsi="Arial"/>
          <w:sz w:val="14"/>
          <w:szCs w:val="14"/>
          <w:color w:val="auto"/>
        </w:rPr>
        <w:t>our Cable segment generates revenue by selling advertising and by selling the use of satellite feeds to our Programming segment</w:t>
      </w:r>
    </w:p>
    <w:p>
      <w:pPr>
        <w:spacing w:after="0" w:line="68" w:lineRule="exact"/>
        <w:rPr>
          <w:rFonts w:ascii="Arial" w:cs="Arial" w:eastAsia="Arial" w:hAnsi="Arial"/>
          <w:sz w:val="14"/>
          <w:szCs w:val="14"/>
          <w:color w:val="auto"/>
        </w:rPr>
      </w:pPr>
    </w:p>
    <w:p>
      <w:pPr>
        <w:ind w:left="1020" w:hanging="215"/>
        <w:spacing w:after="0"/>
        <w:tabs>
          <w:tab w:leader="none" w:pos="1020" w:val="left"/>
        </w:tabs>
        <w:numPr>
          <w:ilvl w:val="1"/>
          <w:numId w:val="5"/>
        </w:numPr>
        <w:rPr>
          <w:rFonts w:ascii="Arial" w:cs="Arial" w:eastAsia="Arial" w:hAnsi="Arial"/>
          <w:sz w:val="14"/>
          <w:szCs w:val="14"/>
          <w:color w:val="auto"/>
        </w:rPr>
      </w:pPr>
      <w:r>
        <w:rPr>
          <w:rFonts w:ascii="Arial" w:cs="Arial" w:eastAsia="Arial" w:hAnsi="Arial"/>
          <w:sz w:val="14"/>
          <w:szCs w:val="14"/>
          <w:color w:val="auto"/>
        </w:rPr>
        <w:t>our Cable segment generates revenue by providing network services to Comcast Interactive Media</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Non-U.S. revenue was not significant in any period. No single customer accounted for a significant amount of our revenue in any period.</w:t>
      </w:r>
    </w:p>
    <w:p>
      <w:pPr>
        <w:spacing w:after="0" w:line="55" w:lineRule="exact"/>
        <w:rPr>
          <w:rFonts w:ascii="Arial" w:cs="Arial" w:eastAsia="Arial" w:hAnsi="Arial"/>
          <w:sz w:val="14"/>
          <w:szCs w:val="14"/>
          <w:color w:val="auto"/>
        </w:rPr>
      </w:pPr>
    </w:p>
    <w:p>
      <w:pPr>
        <w:jc w:val="both"/>
        <w:ind w:left="340" w:hanging="332"/>
        <w:spacing w:after="0" w:line="268" w:lineRule="auto"/>
        <w:tabs>
          <w:tab w:leader="none" w:pos="340" w:val="left"/>
        </w:tabs>
        <w:numPr>
          <w:ilvl w:val="0"/>
          <w:numId w:val="5"/>
        </w:numPr>
        <w:rPr>
          <w:rFonts w:ascii="Arial" w:cs="Arial" w:eastAsia="Arial" w:hAnsi="Arial"/>
          <w:sz w:val="12"/>
          <w:szCs w:val="12"/>
          <w:color w:val="auto"/>
        </w:rPr>
      </w:pPr>
      <w:r>
        <w:rPr>
          <w:rFonts w:ascii="Arial" w:cs="Arial" w:eastAsia="Arial" w:hAnsi="Arial"/>
          <w:sz w:val="12"/>
          <w:szCs w:val="12"/>
          <w:color w:val="auto"/>
        </w:rPr>
        <w:t>To measure the performance of our operating segments, we use operating income before depreciation and amortization, excluding impairments related to fixed and intangible assets, and gains or losses from the sale of assets, if any. This measure eliminates the significant level of noncash depreciation and amortization expense that results from the capital-intensive nature of our businesses and from intangible assets recognized in business combinations. It is also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This measure should not be considered a substitute for operating income (loss), net income (loss) attributable to Comcast Corporation, net cash provided by operating activities or other measures of performance or liquidity reported in accordance with GAAP.</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Condensed Consolidating Financial Information</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Corporation and five of our cable holding company subsidiaries, Comcast Cable Communications, LLC (“CCCL”), Comcast Cable Communications Holdings, Inc. (“CCCH”), Comcast MO Group, Inc. (“Comcast MO Group”), Comcast Cable Holdings, LLC (“CCH”) and Comcast MO of Delaware, LLC (“Comcast MO of Delaware”), have fully and unconditionally guaranteed each other’s debt securities. Comcast MO Group, CCH and Comcast MO of Delaware are collectively referred to as the “Combined CCHMO Parents.”</w:t>
      </w:r>
    </w:p>
    <w:p>
      <w:pPr>
        <w:spacing w:after="0" w:line="4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Comcast Corporation unconditionally guarantees the $213 million principal amount currently outstanding of Comcast Holdings’ ZONES due October 2029 and the $202 million principal amount currently outstanding of Comcast Holdings’ 10 </w:t>
      </w:r>
      <w:r>
        <w:rPr>
          <w:rFonts w:ascii="Arial" w:cs="Arial" w:eastAsia="Arial" w:hAnsi="Arial"/>
          <w:sz w:val="20"/>
          <w:szCs w:val="20"/>
          <w:color w:val="auto"/>
          <w:vertAlign w:val="superscript"/>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senior subordinated debentures due 2012. Comcast Corporation does not guarantee the $83 million principal amount outstanding of Comcast Holdings’ ZONES due November 2029. Accordingly, we have included Comcast Holdings’ condensed consolidated financial information for all periods presented. Our condensed consolidating financial information is presented below.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jc w:val="center"/>
        <w:spacing w:after="0"/>
        <w:rPr>
          <w:sz w:val="20"/>
          <w:szCs w:val="20"/>
          <w:color w:val="auto"/>
        </w:rPr>
      </w:pPr>
      <w:r>
        <w:rPr>
          <w:rFonts w:ascii="Arial" w:cs="Arial" w:eastAsia="Arial" w:hAnsi="Arial"/>
          <w:sz w:val="18"/>
          <w:szCs w:val="18"/>
          <w:b w:val="1"/>
          <w:bCs w:val="1"/>
          <w:color w:val="auto"/>
        </w:rPr>
        <w:t>March 31, 2009</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Combined</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Non-</w:t>
            </w:r>
          </w:p>
        </w:tc>
        <w:tc>
          <w:tcPr>
            <w:tcW w:w="220" w:type="dxa"/>
            <w:vAlign w:val="bottom"/>
          </w:tcPr>
          <w:p>
            <w:pPr>
              <w:spacing w:after="0"/>
              <w:rPr>
                <w:sz w:val="12"/>
                <w:szCs w:val="12"/>
                <w:color w:val="auto"/>
              </w:rPr>
            </w:pPr>
          </w:p>
        </w:tc>
        <w:tc>
          <w:tcPr>
            <w:tcW w:w="840" w:type="dxa"/>
            <w:vAlign w:val="bottom"/>
          </w:tcPr>
          <w:p>
            <w:pPr>
              <w:jc w:val="center"/>
              <w:ind w:right="193"/>
              <w:spacing w:after="0" w:line="149" w:lineRule="exact"/>
              <w:rPr>
                <w:sz w:val="20"/>
                <w:szCs w:val="20"/>
                <w:color w:val="auto"/>
              </w:rPr>
            </w:pPr>
            <w:r>
              <w:rPr>
                <w:rFonts w:ascii="Arial" w:cs="Arial" w:eastAsia="Arial" w:hAnsi="Arial"/>
                <w:sz w:val="14"/>
                <w:szCs w:val="14"/>
                <w:color w:val="auto"/>
                <w:w w:val="85"/>
              </w:rPr>
              <w:t>and</w:t>
            </w:r>
          </w:p>
        </w:tc>
        <w:tc>
          <w:tcPr>
            <w:tcW w:w="84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88"/>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920" w:type="dxa"/>
            <w:vAlign w:val="bottom"/>
            <w:gridSpan w:val="2"/>
          </w:tcPr>
          <w:p>
            <w:pPr>
              <w:jc w:val="right"/>
              <w:ind w:right="73"/>
              <w:spacing w:after="0" w:line="149" w:lineRule="exact"/>
              <w:rPr>
                <w:sz w:val="20"/>
                <w:szCs w:val="20"/>
                <w:color w:val="auto"/>
              </w:rPr>
            </w:pPr>
            <w:r>
              <w:rPr>
                <w:rFonts w:ascii="Arial" w:cs="Arial" w:eastAsia="Arial" w:hAnsi="Arial"/>
                <w:sz w:val="14"/>
                <w:szCs w:val="14"/>
                <w:color w:val="auto"/>
              </w:rPr>
              <w:t>Comcast</w:t>
            </w:r>
          </w:p>
        </w:tc>
        <w:tc>
          <w:tcPr>
            <w:tcW w:w="200" w:type="dxa"/>
            <w:vAlign w:val="bottom"/>
          </w:tcPr>
          <w:p>
            <w:pPr>
              <w:spacing w:after="0"/>
              <w:rPr>
                <w:sz w:val="12"/>
                <w:szCs w:val="12"/>
                <w:color w:val="auto"/>
              </w:rPr>
            </w:pPr>
          </w:p>
        </w:tc>
        <w:tc>
          <w:tcPr>
            <w:tcW w:w="600" w:type="dxa"/>
            <w:vAlign w:val="bottom"/>
          </w:tcPr>
          <w:p>
            <w:pPr>
              <w:jc w:val="right"/>
              <w:ind w:right="134"/>
              <w:spacing w:after="0" w:line="149" w:lineRule="exact"/>
              <w:rPr>
                <w:sz w:val="20"/>
                <w:szCs w:val="20"/>
                <w:color w:val="auto"/>
              </w:rPr>
            </w:pPr>
            <w:r>
              <w:rPr>
                <w:rFonts w:ascii="Arial" w:cs="Arial" w:eastAsia="Arial" w:hAnsi="Arial"/>
                <w:sz w:val="14"/>
                <w:szCs w:val="14"/>
                <w:color w:val="auto"/>
                <w:w w:val="94"/>
              </w:rPr>
              <w:t>CCCL</w:t>
            </w:r>
          </w:p>
        </w:tc>
        <w:tc>
          <w:tcPr>
            <w:tcW w:w="200" w:type="dxa"/>
            <w:vAlign w:val="bottom"/>
          </w:tcPr>
          <w:p>
            <w:pPr>
              <w:spacing w:after="0"/>
              <w:rPr>
                <w:sz w:val="12"/>
                <w:szCs w:val="12"/>
                <w:color w:val="auto"/>
              </w:rPr>
            </w:pPr>
          </w:p>
        </w:tc>
        <w:tc>
          <w:tcPr>
            <w:tcW w:w="600" w:type="dxa"/>
            <w:vAlign w:val="bottom"/>
          </w:tcPr>
          <w:p>
            <w:pPr>
              <w:jc w:val="right"/>
              <w:ind w:right="134"/>
              <w:spacing w:after="0" w:line="149" w:lineRule="exact"/>
              <w:rPr>
                <w:sz w:val="20"/>
                <w:szCs w:val="20"/>
                <w:color w:val="auto"/>
              </w:rPr>
            </w:pPr>
            <w:r>
              <w:rPr>
                <w:rFonts w:ascii="Arial" w:cs="Arial" w:eastAsia="Arial" w:hAnsi="Arial"/>
                <w:sz w:val="14"/>
                <w:szCs w:val="14"/>
                <w:color w:val="auto"/>
                <w:w w:val="88"/>
              </w:rPr>
              <w:t>CCCH</w:t>
            </w:r>
          </w:p>
        </w:tc>
        <w:tc>
          <w:tcPr>
            <w:tcW w:w="780" w:type="dxa"/>
            <w:vAlign w:val="bottom"/>
            <w:gridSpan w:val="2"/>
          </w:tcPr>
          <w:p>
            <w:pPr>
              <w:jc w:val="right"/>
              <w:ind w:right="53"/>
              <w:spacing w:after="0" w:line="149" w:lineRule="exact"/>
              <w:rPr>
                <w:sz w:val="20"/>
                <w:szCs w:val="20"/>
                <w:color w:val="auto"/>
              </w:rPr>
            </w:pPr>
            <w:r>
              <w:rPr>
                <w:rFonts w:ascii="Arial" w:cs="Arial" w:eastAsia="Arial" w:hAnsi="Arial"/>
                <w:sz w:val="14"/>
                <w:szCs w:val="14"/>
                <w:color w:val="auto"/>
              </w:rPr>
              <w:t>CCHMO</w:t>
            </w:r>
          </w:p>
        </w:tc>
        <w:tc>
          <w:tcPr>
            <w:tcW w:w="8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Comcast</w:t>
            </w:r>
          </w:p>
        </w:tc>
        <w:tc>
          <w:tcPr>
            <w:tcW w:w="880" w:type="dxa"/>
            <w:vAlign w:val="bottom"/>
            <w:gridSpan w:val="2"/>
          </w:tcPr>
          <w:p>
            <w:pPr>
              <w:jc w:val="right"/>
              <w:ind w:right="73"/>
              <w:spacing w:after="0" w:line="149" w:lineRule="exact"/>
              <w:rPr>
                <w:sz w:val="20"/>
                <w:szCs w:val="20"/>
                <w:color w:val="auto"/>
              </w:rPr>
            </w:pPr>
            <w:r>
              <w:rPr>
                <w:rFonts w:ascii="Arial" w:cs="Arial" w:eastAsia="Arial" w:hAnsi="Arial"/>
                <w:sz w:val="14"/>
                <w:szCs w:val="14"/>
                <w:color w:val="auto"/>
              </w:rPr>
              <w:t>Guarantor</w:t>
            </w:r>
          </w:p>
        </w:tc>
        <w:tc>
          <w:tcPr>
            <w:tcW w:w="10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Consolidation</w:t>
            </w:r>
          </w:p>
        </w:tc>
        <w:tc>
          <w:tcPr>
            <w:tcW w:w="2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6"/>
              </w:rPr>
              <w:t>Comcast</w:t>
            </w:r>
          </w:p>
        </w:tc>
        <w:tc>
          <w:tcPr>
            <w:tcW w:w="0" w:type="dxa"/>
            <w:vAlign w:val="bottom"/>
          </w:tcPr>
          <w:p>
            <w:pPr>
              <w:spacing w:after="0"/>
              <w:rPr>
                <w:sz w:val="1"/>
                <w:szCs w:val="1"/>
                <w:color w:val="auto"/>
              </w:rPr>
            </w:pPr>
          </w:p>
        </w:tc>
      </w:tr>
      <w:tr>
        <w:trPr>
          <w:trHeight w:val="159"/>
        </w:trPr>
        <w:tc>
          <w:tcPr>
            <w:tcW w:w="456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13"/>
                <w:szCs w:val="13"/>
                <w:color w:val="auto"/>
              </w:rPr>
            </w:pPr>
          </w:p>
        </w:tc>
        <w:tc>
          <w:tcPr>
            <w:tcW w:w="600" w:type="dxa"/>
            <w:vAlign w:val="bottom"/>
          </w:tcPr>
          <w:p>
            <w:pPr>
              <w:jc w:val="right"/>
              <w:ind w:right="133"/>
              <w:spacing w:after="0" w:line="159" w:lineRule="exact"/>
              <w:rPr>
                <w:sz w:val="20"/>
                <w:szCs w:val="20"/>
                <w:color w:val="auto"/>
              </w:rPr>
            </w:pPr>
            <w:r>
              <w:rPr>
                <w:rFonts w:ascii="Arial" w:cs="Arial" w:eastAsia="Arial" w:hAnsi="Arial"/>
                <w:sz w:val="14"/>
                <w:szCs w:val="14"/>
                <w:color w:val="auto"/>
                <w:w w:val="87"/>
              </w:rPr>
              <w:t>Parent</w:t>
            </w:r>
          </w:p>
        </w:tc>
        <w:tc>
          <w:tcPr>
            <w:tcW w:w="200" w:type="dxa"/>
            <w:vAlign w:val="bottom"/>
          </w:tcPr>
          <w:p>
            <w:pPr>
              <w:spacing w:after="0"/>
              <w:rPr>
                <w:sz w:val="13"/>
                <w:szCs w:val="13"/>
                <w:color w:val="auto"/>
              </w:rPr>
            </w:pPr>
          </w:p>
        </w:tc>
        <w:tc>
          <w:tcPr>
            <w:tcW w:w="600" w:type="dxa"/>
            <w:vAlign w:val="bottom"/>
          </w:tcPr>
          <w:p>
            <w:pPr>
              <w:jc w:val="right"/>
              <w:ind w:right="154"/>
              <w:spacing w:after="0" w:line="159" w:lineRule="exact"/>
              <w:rPr>
                <w:sz w:val="20"/>
                <w:szCs w:val="20"/>
                <w:color w:val="auto"/>
              </w:rPr>
            </w:pPr>
            <w:r>
              <w:rPr>
                <w:rFonts w:ascii="Arial" w:cs="Arial" w:eastAsia="Arial" w:hAnsi="Arial"/>
                <w:sz w:val="14"/>
                <w:szCs w:val="14"/>
                <w:color w:val="auto"/>
                <w:w w:val="82"/>
              </w:rPr>
              <w:t>Parent</w:t>
            </w:r>
          </w:p>
        </w:tc>
        <w:tc>
          <w:tcPr>
            <w:tcW w:w="200" w:type="dxa"/>
            <w:vAlign w:val="bottom"/>
          </w:tcPr>
          <w:p>
            <w:pPr>
              <w:spacing w:after="0"/>
              <w:rPr>
                <w:sz w:val="13"/>
                <w:szCs w:val="13"/>
                <w:color w:val="auto"/>
              </w:rPr>
            </w:pPr>
          </w:p>
        </w:tc>
        <w:tc>
          <w:tcPr>
            <w:tcW w:w="600" w:type="dxa"/>
            <w:vAlign w:val="bottom"/>
          </w:tcPr>
          <w:p>
            <w:pPr>
              <w:jc w:val="right"/>
              <w:ind w:right="154"/>
              <w:spacing w:after="0" w:line="159" w:lineRule="exact"/>
              <w:rPr>
                <w:sz w:val="20"/>
                <w:szCs w:val="20"/>
                <w:color w:val="auto"/>
              </w:rPr>
            </w:pPr>
            <w:r>
              <w:rPr>
                <w:rFonts w:ascii="Arial" w:cs="Arial" w:eastAsia="Arial" w:hAnsi="Arial"/>
                <w:sz w:val="14"/>
                <w:szCs w:val="14"/>
                <w:color w:val="auto"/>
                <w:w w:val="82"/>
              </w:rPr>
              <w:t>Parent</w:t>
            </w:r>
          </w:p>
        </w:tc>
        <w:tc>
          <w:tcPr>
            <w:tcW w:w="180" w:type="dxa"/>
            <w:vAlign w:val="bottom"/>
          </w:tcPr>
          <w:p>
            <w:pPr>
              <w:spacing w:after="0"/>
              <w:rPr>
                <w:sz w:val="13"/>
                <w:szCs w:val="13"/>
                <w:color w:val="auto"/>
              </w:rPr>
            </w:pPr>
          </w:p>
        </w:tc>
        <w:tc>
          <w:tcPr>
            <w:tcW w:w="600" w:type="dxa"/>
            <w:vAlign w:val="bottom"/>
          </w:tcPr>
          <w:p>
            <w:pPr>
              <w:jc w:val="right"/>
              <w:ind w:right="113"/>
              <w:spacing w:after="0" w:line="159" w:lineRule="exact"/>
              <w:rPr>
                <w:sz w:val="20"/>
                <w:szCs w:val="20"/>
                <w:color w:val="auto"/>
              </w:rPr>
            </w:pPr>
            <w:r>
              <w:rPr>
                <w:rFonts w:ascii="Arial" w:cs="Arial" w:eastAsia="Arial" w:hAnsi="Arial"/>
                <w:sz w:val="14"/>
                <w:szCs w:val="14"/>
                <w:color w:val="auto"/>
                <w:w w:val="78"/>
              </w:rPr>
              <w:t>Parents</w:t>
            </w:r>
          </w:p>
        </w:tc>
        <w:tc>
          <w:tcPr>
            <w:tcW w:w="800" w:type="dxa"/>
            <w:vAlign w:val="bottom"/>
            <w:gridSpan w:val="2"/>
          </w:tcPr>
          <w:p>
            <w:pPr>
              <w:jc w:val="right"/>
              <w:ind w:right="52"/>
              <w:spacing w:after="0" w:line="159" w:lineRule="exact"/>
              <w:rPr>
                <w:sz w:val="20"/>
                <w:szCs w:val="20"/>
                <w:color w:val="auto"/>
              </w:rPr>
            </w:pPr>
            <w:r>
              <w:rPr>
                <w:rFonts w:ascii="Arial" w:cs="Arial" w:eastAsia="Arial" w:hAnsi="Arial"/>
                <w:sz w:val="14"/>
                <w:szCs w:val="14"/>
                <w:color w:val="auto"/>
              </w:rPr>
              <w:t>Holdings</w:t>
            </w:r>
          </w:p>
        </w:tc>
        <w:tc>
          <w:tcPr>
            <w:tcW w:w="880" w:type="dxa"/>
            <w:vAlign w:val="bottom"/>
            <w:gridSpan w:val="2"/>
          </w:tcPr>
          <w:p>
            <w:pPr>
              <w:ind w:left="120"/>
              <w:spacing w:after="0" w:line="159" w:lineRule="exact"/>
              <w:rPr>
                <w:sz w:val="20"/>
                <w:szCs w:val="20"/>
                <w:color w:val="auto"/>
              </w:rPr>
            </w:pPr>
            <w:r>
              <w:rPr>
                <w:rFonts w:ascii="Arial" w:cs="Arial" w:eastAsia="Arial" w:hAnsi="Arial"/>
                <w:sz w:val="14"/>
                <w:szCs w:val="14"/>
                <w:color w:val="auto"/>
                <w:w w:val="96"/>
              </w:rPr>
              <w:t>Subsidiaries</w:t>
            </w:r>
          </w:p>
        </w:tc>
        <w:tc>
          <w:tcPr>
            <w:tcW w:w="106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840" w:type="dxa"/>
            <w:vAlign w:val="bottom"/>
            <w:gridSpan w:val="3"/>
          </w:tcPr>
          <w:p>
            <w:pPr>
              <w:ind w:left="140"/>
              <w:spacing w:after="0" w:line="159" w:lineRule="exact"/>
              <w:rPr>
                <w:sz w:val="20"/>
                <w:szCs w:val="20"/>
                <w:color w:val="auto"/>
              </w:rPr>
            </w:pPr>
            <w:r>
              <w:rPr>
                <w:rFonts w:ascii="Arial" w:cs="Arial" w:eastAsia="Arial" w:hAnsi="Arial"/>
                <w:sz w:val="14"/>
                <w:szCs w:val="14"/>
                <w:color w:val="auto"/>
                <w:w w:val="92"/>
              </w:rPr>
              <w:t>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18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1,879</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Investments</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59</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1,483</w:t>
            </w:r>
          </w:p>
        </w:tc>
        <w:tc>
          <w:tcPr>
            <w:tcW w:w="22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194</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631</w:t>
            </w:r>
          </w:p>
        </w:tc>
        <w:tc>
          <w:tcPr>
            <w:tcW w:w="2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194</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4,052</w:t>
            </w:r>
          </w:p>
        </w:tc>
        <w:tc>
          <w:tcPr>
            <w:tcW w:w="22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4,872</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4,872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2"/>
              </w:rPr>
              <w:t>Investments in and amounts due from subsidiaries eliminated</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upon consolidation</w:t>
            </w:r>
          </w:p>
        </w:tc>
        <w:tc>
          <w:tcPr>
            <w:tcW w:w="320" w:type="dxa"/>
            <w:vAlign w:val="bottom"/>
          </w:tcPr>
          <w:p>
            <w:pPr>
              <w:spacing w:after="0"/>
              <w:rPr>
                <w:sz w:val="19"/>
                <w:szCs w:val="19"/>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w w:val="83"/>
              </w:rPr>
              <w:t>70,616</w:t>
            </w:r>
          </w:p>
        </w:tc>
        <w:tc>
          <w:tcPr>
            <w:tcW w:w="200" w:type="dxa"/>
            <w:vAlign w:val="bottom"/>
          </w:tcPr>
          <w:p>
            <w:pPr>
              <w:spacing w:after="0"/>
              <w:rPr>
                <w:sz w:val="19"/>
                <w:szCs w:val="19"/>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w w:val="83"/>
              </w:rPr>
              <w:t>35,091</w:t>
            </w:r>
          </w:p>
        </w:tc>
        <w:tc>
          <w:tcPr>
            <w:tcW w:w="200" w:type="dxa"/>
            <w:vAlign w:val="bottom"/>
          </w:tcPr>
          <w:p>
            <w:pPr>
              <w:spacing w:after="0"/>
              <w:rPr>
                <w:sz w:val="19"/>
                <w:szCs w:val="19"/>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w w:val="83"/>
              </w:rPr>
              <w:t>44,167</w:t>
            </w:r>
          </w:p>
        </w:tc>
        <w:tc>
          <w:tcPr>
            <w:tcW w:w="180" w:type="dxa"/>
            <w:vAlign w:val="bottom"/>
          </w:tcPr>
          <w:p>
            <w:pPr>
              <w:spacing w:after="0"/>
              <w:rPr>
                <w:sz w:val="19"/>
                <w:szCs w:val="19"/>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w w:val="87"/>
              </w:rPr>
              <w:t>46,890</w:t>
            </w:r>
          </w:p>
        </w:tc>
        <w:tc>
          <w:tcPr>
            <w:tcW w:w="20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27,218</w:t>
            </w:r>
          </w:p>
        </w:tc>
        <w:tc>
          <w:tcPr>
            <w:tcW w:w="200" w:type="dxa"/>
            <w:vAlign w:val="bottom"/>
          </w:tcPr>
          <w:p>
            <w:pPr>
              <w:spacing w:after="0"/>
              <w:rPr>
                <w:sz w:val="19"/>
                <w:szCs w:val="19"/>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4,369</w:t>
            </w:r>
          </w:p>
        </w:tc>
        <w:tc>
          <w:tcPr>
            <w:tcW w:w="22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w w:val="90"/>
              </w:rPr>
              <w:t>(228,351)</w:t>
            </w:r>
          </w:p>
        </w:tc>
        <w:tc>
          <w:tcPr>
            <w:tcW w:w="2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315</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23,723</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Franchise rights</w:t>
            </w:r>
          </w:p>
        </w:tc>
        <w:tc>
          <w:tcPr>
            <w:tcW w:w="32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59,446</w:t>
            </w:r>
          </w:p>
        </w:tc>
        <w:tc>
          <w:tcPr>
            <w:tcW w:w="22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14,893</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32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4,445</w:t>
            </w:r>
          </w:p>
        </w:tc>
        <w:tc>
          <w:tcPr>
            <w:tcW w:w="22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554</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545</w:t>
            </w:r>
          </w:p>
        </w:tc>
        <w:tc>
          <w:tcPr>
            <w:tcW w:w="2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83"/>
              </w:rPr>
              <w:t>71,680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83"/>
              </w:rPr>
              <w:t>35,101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83"/>
              </w:rPr>
              <w:t>44,179</w:t>
            </w:r>
          </w:p>
        </w:tc>
        <w:tc>
          <w:tcPr>
            <w:tcW w:w="1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7"/>
              </w:rPr>
              <w:t>46,890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7"/>
              </w:rPr>
              <w:t>27,227</w:t>
            </w: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6"/>
              </w:rPr>
              <w:t>116,345</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0"/>
              </w:rPr>
              <w:t>(228,351)</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113,071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Accounts payable and accrued expenses related</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to trade creditors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216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2,905</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3,121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739</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217</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48</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37</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1,958</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1,816</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796</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2,771</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1,013</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48</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37</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4,898</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8,887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32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w w:val="83"/>
              </w:rPr>
              <w:t>19,200</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2,501</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4,407</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2,686</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327</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294</w:t>
            </w:r>
          </w:p>
        </w:tc>
        <w:tc>
          <w:tcPr>
            <w:tcW w:w="22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29,415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7,180</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659</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19,349</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27,188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2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1,434</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4,666</w:t>
            </w:r>
          </w:p>
        </w:tc>
        <w:tc>
          <w:tcPr>
            <w:tcW w:w="22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173</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Equity:</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Common stock</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33</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stockholders’ equity</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83"/>
              </w:rPr>
              <w:t>41,062</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83"/>
              </w:rPr>
              <w:t>31,587</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83"/>
              </w:rPr>
              <w:t>39,724</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7"/>
              </w:rPr>
              <w:t>44,167</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7"/>
              </w:rPr>
              <w:t>26,002</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86,871</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0"/>
              </w:rPr>
              <w:t>(228,351)</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Arial" w:cs="Arial" w:eastAsia="Arial" w:hAnsi="Arial"/>
                <w:sz w:val="18"/>
                <w:szCs w:val="18"/>
                <w:color w:val="auto"/>
              </w:rPr>
              <w:t>Total Comcast Corporation stockholders’ equity</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83"/>
              </w:rPr>
              <w:t>41,095</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w w:val="83"/>
              </w:rPr>
              <w:t>31,587</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w w:val="83"/>
              </w:rPr>
              <w:t>39,724</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87"/>
              </w:rPr>
              <w:t>44,167</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87"/>
              </w:rPr>
              <w:t>26,002</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86,871</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0"/>
              </w:rPr>
              <w:t>(228,351)</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41,095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94</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83"/>
              </w:rPr>
              <w:t>41,095</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w w:val="83"/>
              </w:rPr>
              <w:t>31,587</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w w:val="83"/>
              </w:rPr>
              <w:t>39,724</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7"/>
              </w:rPr>
              <w:t>44,167</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w w:val="87"/>
              </w:rPr>
              <w:t>26,002</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86,965</w:t>
            </w:r>
          </w:p>
        </w:tc>
        <w:tc>
          <w:tcPr>
            <w:tcW w:w="2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0"/>
              </w:rPr>
              <w:t>(228,351)</w:t>
            </w:r>
          </w:p>
        </w:tc>
        <w:tc>
          <w:tcPr>
            <w:tcW w:w="2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41,189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83"/>
              </w:rPr>
              <w:t>71,680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83"/>
              </w:rPr>
              <w:t>35,101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83"/>
              </w:rPr>
              <w:t>44,179</w:t>
            </w:r>
          </w:p>
        </w:tc>
        <w:tc>
          <w:tcPr>
            <w:tcW w:w="1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7"/>
              </w:rPr>
              <w:t>46,890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7"/>
              </w:rPr>
              <w:t>27,227</w:t>
            </w: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6"/>
              </w:rPr>
              <w:t>116,345</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0"/>
              </w:rPr>
              <w:t>(228,351)</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113,071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jc w:val="center"/>
        <w:spacing w:after="0"/>
        <w:rPr>
          <w:sz w:val="20"/>
          <w:szCs w:val="20"/>
          <w:color w:val="auto"/>
        </w:rPr>
      </w:pPr>
      <w:r>
        <w:rPr>
          <w:rFonts w:ascii="Arial" w:cs="Arial" w:eastAsia="Arial" w:hAnsi="Arial"/>
          <w:sz w:val="18"/>
          <w:szCs w:val="18"/>
          <w:b w:val="1"/>
          <w:bCs w:val="1"/>
          <w:color w:val="auto"/>
        </w:rPr>
        <w:t>December 31, 2008</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Combined</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Non-</w:t>
            </w:r>
          </w:p>
        </w:tc>
        <w:tc>
          <w:tcPr>
            <w:tcW w:w="220" w:type="dxa"/>
            <w:vAlign w:val="bottom"/>
          </w:tcPr>
          <w:p>
            <w:pPr>
              <w:spacing w:after="0"/>
              <w:rPr>
                <w:sz w:val="12"/>
                <w:szCs w:val="12"/>
                <w:color w:val="auto"/>
              </w:rPr>
            </w:pPr>
          </w:p>
        </w:tc>
        <w:tc>
          <w:tcPr>
            <w:tcW w:w="840" w:type="dxa"/>
            <w:vAlign w:val="bottom"/>
          </w:tcPr>
          <w:p>
            <w:pPr>
              <w:jc w:val="center"/>
              <w:ind w:right="193"/>
              <w:spacing w:after="0" w:line="149" w:lineRule="exact"/>
              <w:rPr>
                <w:sz w:val="20"/>
                <w:szCs w:val="20"/>
                <w:color w:val="auto"/>
              </w:rPr>
            </w:pPr>
            <w:r>
              <w:rPr>
                <w:rFonts w:ascii="Arial" w:cs="Arial" w:eastAsia="Arial" w:hAnsi="Arial"/>
                <w:sz w:val="14"/>
                <w:szCs w:val="14"/>
                <w:color w:val="auto"/>
                <w:w w:val="85"/>
              </w:rPr>
              <w:t>and</w:t>
            </w:r>
          </w:p>
        </w:tc>
        <w:tc>
          <w:tcPr>
            <w:tcW w:w="84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88"/>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920" w:type="dxa"/>
            <w:vAlign w:val="bottom"/>
            <w:gridSpan w:val="2"/>
          </w:tcPr>
          <w:p>
            <w:pPr>
              <w:jc w:val="right"/>
              <w:ind w:right="73"/>
              <w:spacing w:after="0" w:line="149" w:lineRule="exact"/>
              <w:rPr>
                <w:sz w:val="20"/>
                <w:szCs w:val="20"/>
                <w:color w:val="auto"/>
              </w:rPr>
            </w:pPr>
            <w:r>
              <w:rPr>
                <w:rFonts w:ascii="Arial" w:cs="Arial" w:eastAsia="Arial" w:hAnsi="Arial"/>
                <w:sz w:val="14"/>
                <w:szCs w:val="14"/>
                <w:color w:val="auto"/>
              </w:rPr>
              <w:t>Comcast</w:t>
            </w:r>
          </w:p>
        </w:tc>
        <w:tc>
          <w:tcPr>
            <w:tcW w:w="200" w:type="dxa"/>
            <w:vAlign w:val="bottom"/>
          </w:tcPr>
          <w:p>
            <w:pPr>
              <w:spacing w:after="0"/>
              <w:rPr>
                <w:sz w:val="12"/>
                <w:szCs w:val="12"/>
                <w:color w:val="auto"/>
              </w:rPr>
            </w:pPr>
          </w:p>
        </w:tc>
        <w:tc>
          <w:tcPr>
            <w:tcW w:w="600" w:type="dxa"/>
            <w:vAlign w:val="bottom"/>
          </w:tcPr>
          <w:p>
            <w:pPr>
              <w:jc w:val="right"/>
              <w:ind w:right="134"/>
              <w:spacing w:after="0" w:line="149" w:lineRule="exact"/>
              <w:rPr>
                <w:sz w:val="20"/>
                <w:szCs w:val="20"/>
                <w:color w:val="auto"/>
              </w:rPr>
            </w:pPr>
            <w:r>
              <w:rPr>
                <w:rFonts w:ascii="Arial" w:cs="Arial" w:eastAsia="Arial" w:hAnsi="Arial"/>
                <w:sz w:val="14"/>
                <w:szCs w:val="14"/>
                <w:color w:val="auto"/>
                <w:w w:val="94"/>
              </w:rPr>
              <w:t>CCCL</w:t>
            </w:r>
          </w:p>
        </w:tc>
        <w:tc>
          <w:tcPr>
            <w:tcW w:w="200" w:type="dxa"/>
            <w:vAlign w:val="bottom"/>
          </w:tcPr>
          <w:p>
            <w:pPr>
              <w:spacing w:after="0"/>
              <w:rPr>
                <w:sz w:val="12"/>
                <w:szCs w:val="12"/>
                <w:color w:val="auto"/>
              </w:rPr>
            </w:pPr>
          </w:p>
        </w:tc>
        <w:tc>
          <w:tcPr>
            <w:tcW w:w="600" w:type="dxa"/>
            <w:vAlign w:val="bottom"/>
          </w:tcPr>
          <w:p>
            <w:pPr>
              <w:jc w:val="right"/>
              <w:ind w:right="134"/>
              <w:spacing w:after="0" w:line="149" w:lineRule="exact"/>
              <w:rPr>
                <w:sz w:val="20"/>
                <w:szCs w:val="20"/>
                <w:color w:val="auto"/>
              </w:rPr>
            </w:pPr>
            <w:r>
              <w:rPr>
                <w:rFonts w:ascii="Arial" w:cs="Arial" w:eastAsia="Arial" w:hAnsi="Arial"/>
                <w:sz w:val="14"/>
                <w:szCs w:val="14"/>
                <w:color w:val="auto"/>
                <w:w w:val="88"/>
              </w:rPr>
              <w:t>CCCH</w:t>
            </w:r>
          </w:p>
        </w:tc>
        <w:tc>
          <w:tcPr>
            <w:tcW w:w="780" w:type="dxa"/>
            <w:vAlign w:val="bottom"/>
            <w:gridSpan w:val="2"/>
          </w:tcPr>
          <w:p>
            <w:pPr>
              <w:jc w:val="right"/>
              <w:ind w:right="53"/>
              <w:spacing w:after="0" w:line="149" w:lineRule="exact"/>
              <w:rPr>
                <w:sz w:val="20"/>
                <w:szCs w:val="20"/>
                <w:color w:val="auto"/>
              </w:rPr>
            </w:pPr>
            <w:r>
              <w:rPr>
                <w:rFonts w:ascii="Arial" w:cs="Arial" w:eastAsia="Arial" w:hAnsi="Arial"/>
                <w:sz w:val="14"/>
                <w:szCs w:val="14"/>
                <w:color w:val="auto"/>
              </w:rPr>
              <w:t>CCHMO</w:t>
            </w:r>
          </w:p>
        </w:tc>
        <w:tc>
          <w:tcPr>
            <w:tcW w:w="8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Comcast</w:t>
            </w:r>
          </w:p>
        </w:tc>
        <w:tc>
          <w:tcPr>
            <w:tcW w:w="880" w:type="dxa"/>
            <w:vAlign w:val="bottom"/>
            <w:gridSpan w:val="2"/>
          </w:tcPr>
          <w:p>
            <w:pPr>
              <w:jc w:val="right"/>
              <w:ind w:right="73"/>
              <w:spacing w:after="0" w:line="149" w:lineRule="exact"/>
              <w:rPr>
                <w:sz w:val="20"/>
                <w:szCs w:val="20"/>
                <w:color w:val="auto"/>
              </w:rPr>
            </w:pPr>
            <w:r>
              <w:rPr>
                <w:rFonts w:ascii="Arial" w:cs="Arial" w:eastAsia="Arial" w:hAnsi="Arial"/>
                <w:sz w:val="14"/>
                <w:szCs w:val="14"/>
                <w:color w:val="auto"/>
              </w:rPr>
              <w:t>Guarantor</w:t>
            </w:r>
          </w:p>
        </w:tc>
        <w:tc>
          <w:tcPr>
            <w:tcW w:w="10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Consolidation</w:t>
            </w:r>
          </w:p>
        </w:tc>
        <w:tc>
          <w:tcPr>
            <w:tcW w:w="2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6"/>
              </w:rPr>
              <w:t>Comcast</w:t>
            </w:r>
          </w:p>
        </w:tc>
        <w:tc>
          <w:tcPr>
            <w:tcW w:w="0" w:type="dxa"/>
            <w:vAlign w:val="bottom"/>
          </w:tcPr>
          <w:p>
            <w:pPr>
              <w:spacing w:after="0"/>
              <w:rPr>
                <w:sz w:val="1"/>
                <w:szCs w:val="1"/>
                <w:color w:val="auto"/>
              </w:rPr>
            </w:pPr>
          </w:p>
        </w:tc>
      </w:tr>
      <w:tr>
        <w:trPr>
          <w:trHeight w:val="159"/>
        </w:trPr>
        <w:tc>
          <w:tcPr>
            <w:tcW w:w="456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13"/>
                <w:szCs w:val="13"/>
                <w:color w:val="auto"/>
              </w:rPr>
            </w:pPr>
          </w:p>
        </w:tc>
        <w:tc>
          <w:tcPr>
            <w:tcW w:w="600" w:type="dxa"/>
            <w:vAlign w:val="bottom"/>
          </w:tcPr>
          <w:p>
            <w:pPr>
              <w:jc w:val="right"/>
              <w:ind w:right="133"/>
              <w:spacing w:after="0" w:line="159" w:lineRule="exact"/>
              <w:rPr>
                <w:sz w:val="20"/>
                <w:szCs w:val="20"/>
                <w:color w:val="auto"/>
              </w:rPr>
            </w:pPr>
            <w:r>
              <w:rPr>
                <w:rFonts w:ascii="Arial" w:cs="Arial" w:eastAsia="Arial" w:hAnsi="Arial"/>
                <w:sz w:val="14"/>
                <w:szCs w:val="14"/>
                <w:color w:val="auto"/>
                <w:w w:val="87"/>
              </w:rPr>
              <w:t>Parent</w:t>
            </w:r>
          </w:p>
        </w:tc>
        <w:tc>
          <w:tcPr>
            <w:tcW w:w="200" w:type="dxa"/>
            <w:vAlign w:val="bottom"/>
          </w:tcPr>
          <w:p>
            <w:pPr>
              <w:spacing w:after="0"/>
              <w:rPr>
                <w:sz w:val="13"/>
                <w:szCs w:val="13"/>
                <w:color w:val="auto"/>
              </w:rPr>
            </w:pPr>
          </w:p>
        </w:tc>
        <w:tc>
          <w:tcPr>
            <w:tcW w:w="600" w:type="dxa"/>
            <w:vAlign w:val="bottom"/>
          </w:tcPr>
          <w:p>
            <w:pPr>
              <w:jc w:val="right"/>
              <w:ind w:right="154"/>
              <w:spacing w:after="0" w:line="159" w:lineRule="exact"/>
              <w:rPr>
                <w:sz w:val="20"/>
                <w:szCs w:val="20"/>
                <w:color w:val="auto"/>
              </w:rPr>
            </w:pPr>
            <w:r>
              <w:rPr>
                <w:rFonts w:ascii="Arial" w:cs="Arial" w:eastAsia="Arial" w:hAnsi="Arial"/>
                <w:sz w:val="14"/>
                <w:szCs w:val="14"/>
                <w:color w:val="auto"/>
                <w:w w:val="82"/>
              </w:rPr>
              <w:t>Parent</w:t>
            </w:r>
          </w:p>
        </w:tc>
        <w:tc>
          <w:tcPr>
            <w:tcW w:w="200" w:type="dxa"/>
            <w:vAlign w:val="bottom"/>
          </w:tcPr>
          <w:p>
            <w:pPr>
              <w:spacing w:after="0"/>
              <w:rPr>
                <w:sz w:val="13"/>
                <w:szCs w:val="13"/>
                <w:color w:val="auto"/>
              </w:rPr>
            </w:pPr>
          </w:p>
        </w:tc>
        <w:tc>
          <w:tcPr>
            <w:tcW w:w="600" w:type="dxa"/>
            <w:vAlign w:val="bottom"/>
          </w:tcPr>
          <w:p>
            <w:pPr>
              <w:jc w:val="right"/>
              <w:ind w:right="154"/>
              <w:spacing w:after="0" w:line="159" w:lineRule="exact"/>
              <w:rPr>
                <w:sz w:val="20"/>
                <w:szCs w:val="20"/>
                <w:color w:val="auto"/>
              </w:rPr>
            </w:pPr>
            <w:r>
              <w:rPr>
                <w:rFonts w:ascii="Arial" w:cs="Arial" w:eastAsia="Arial" w:hAnsi="Arial"/>
                <w:sz w:val="14"/>
                <w:szCs w:val="14"/>
                <w:color w:val="auto"/>
                <w:w w:val="82"/>
              </w:rPr>
              <w:t>Parent</w:t>
            </w:r>
          </w:p>
        </w:tc>
        <w:tc>
          <w:tcPr>
            <w:tcW w:w="180" w:type="dxa"/>
            <w:vAlign w:val="bottom"/>
          </w:tcPr>
          <w:p>
            <w:pPr>
              <w:spacing w:after="0"/>
              <w:rPr>
                <w:sz w:val="13"/>
                <w:szCs w:val="13"/>
                <w:color w:val="auto"/>
              </w:rPr>
            </w:pPr>
          </w:p>
        </w:tc>
        <w:tc>
          <w:tcPr>
            <w:tcW w:w="600" w:type="dxa"/>
            <w:vAlign w:val="bottom"/>
          </w:tcPr>
          <w:p>
            <w:pPr>
              <w:jc w:val="right"/>
              <w:ind w:right="113"/>
              <w:spacing w:after="0" w:line="159" w:lineRule="exact"/>
              <w:rPr>
                <w:sz w:val="20"/>
                <w:szCs w:val="20"/>
                <w:color w:val="auto"/>
              </w:rPr>
            </w:pPr>
            <w:r>
              <w:rPr>
                <w:rFonts w:ascii="Arial" w:cs="Arial" w:eastAsia="Arial" w:hAnsi="Arial"/>
                <w:sz w:val="14"/>
                <w:szCs w:val="14"/>
                <w:color w:val="auto"/>
                <w:w w:val="78"/>
              </w:rPr>
              <w:t>Parents</w:t>
            </w:r>
          </w:p>
        </w:tc>
        <w:tc>
          <w:tcPr>
            <w:tcW w:w="800" w:type="dxa"/>
            <w:vAlign w:val="bottom"/>
            <w:gridSpan w:val="2"/>
          </w:tcPr>
          <w:p>
            <w:pPr>
              <w:jc w:val="right"/>
              <w:ind w:right="52"/>
              <w:spacing w:after="0" w:line="159" w:lineRule="exact"/>
              <w:rPr>
                <w:sz w:val="20"/>
                <w:szCs w:val="20"/>
                <w:color w:val="auto"/>
              </w:rPr>
            </w:pPr>
            <w:r>
              <w:rPr>
                <w:rFonts w:ascii="Arial" w:cs="Arial" w:eastAsia="Arial" w:hAnsi="Arial"/>
                <w:sz w:val="14"/>
                <w:szCs w:val="14"/>
                <w:color w:val="auto"/>
              </w:rPr>
              <w:t>Holdings</w:t>
            </w:r>
          </w:p>
        </w:tc>
        <w:tc>
          <w:tcPr>
            <w:tcW w:w="880" w:type="dxa"/>
            <w:vAlign w:val="bottom"/>
            <w:gridSpan w:val="2"/>
          </w:tcPr>
          <w:p>
            <w:pPr>
              <w:ind w:left="120"/>
              <w:spacing w:after="0" w:line="159" w:lineRule="exact"/>
              <w:rPr>
                <w:sz w:val="20"/>
                <w:szCs w:val="20"/>
                <w:color w:val="auto"/>
              </w:rPr>
            </w:pPr>
            <w:r>
              <w:rPr>
                <w:rFonts w:ascii="Arial" w:cs="Arial" w:eastAsia="Arial" w:hAnsi="Arial"/>
                <w:sz w:val="14"/>
                <w:szCs w:val="14"/>
                <w:color w:val="auto"/>
                <w:w w:val="96"/>
              </w:rPr>
              <w:t>Subsidiaries</w:t>
            </w:r>
          </w:p>
        </w:tc>
        <w:tc>
          <w:tcPr>
            <w:tcW w:w="106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840" w:type="dxa"/>
            <w:vAlign w:val="bottom"/>
            <w:gridSpan w:val="3"/>
          </w:tcPr>
          <w:p>
            <w:pPr>
              <w:ind w:left="140"/>
              <w:spacing w:after="0" w:line="159" w:lineRule="exact"/>
              <w:rPr>
                <w:sz w:val="20"/>
                <w:szCs w:val="20"/>
                <w:color w:val="auto"/>
              </w:rPr>
            </w:pPr>
            <w:r>
              <w:rPr>
                <w:rFonts w:ascii="Arial" w:cs="Arial" w:eastAsia="Arial" w:hAnsi="Arial"/>
                <w:sz w:val="14"/>
                <w:szCs w:val="14"/>
                <w:color w:val="auto"/>
                <w:w w:val="92"/>
              </w:rPr>
              <w:t>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18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1,195</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Investments</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59</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1,626</w:t>
            </w:r>
          </w:p>
        </w:tc>
        <w:tc>
          <w:tcPr>
            <w:tcW w:w="22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171</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657</w:t>
            </w:r>
          </w:p>
        </w:tc>
        <w:tc>
          <w:tcPr>
            <w:tcW w:w="2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171</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3,537</w:t>
            </w:r>
          </w:p>
        </w:tc>
        <w:tc>
          <w:tcPr>
            <w:tcW w:w="22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4,783</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4,783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2"/>
              </w:rPr>
              <w:t>Investments in and amounts due from subsidiaries eliminated</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upon consolidation</w:t>
            </w:r>
          </w:p>
        </w:tc>
        <w:tc>
          <w:tcPr>
            <w:tcW w:w="320" w:type="dxa"/>
            <w:vAlign w:val="bottom"/>
          </w:tcPr>
          <w:p>
            <w:pPr>
              <w:spacing w:after="0"/>
              <w:rPr>
                <w:sz w:val="19"/>
                <w:szCs w:val="19"/>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w w:val="83"/>
              </w:rPr>
              <w:t>70,076</w:t>
            </w:r>
          </w:p>
        </w:tc>
        <w:tc>
          <w:tcPr>
            <w:tcW w:w="200" w:type="dxa"/>
            <w:vAlign w:val="bottom"/>
          </w:tcPr>
          <w:p>
            <w:pPr>
              <w:spacing w:after="0"/>
              <w:rPr>
                <w:sz w:val="19"/>
                <w:szCs w:val="19"/>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w w:val="83"/>
              </w:rPr>
              <w:t>34,499</w:t>
            </w:r>
          </w:p>
        </w:tc>
        <w:tc>
          <w:tcPr>
            <w:tcW w:w="200" w:type="dxa"/>
            <w:vAlign w:val="bottom"/>
          </w:tcPr>
          <w:p>
            <w:pPr>
              <w:spacing w:after="0"/>
              <w:rPr>
                <w:sz w:val="19"/>
                <w:szCs w:val="19"/>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w w:val="83"/>
              </w:rPr>
              <w:t>43,536</w:t>
            </w:r>
          </w:p>
        </w:tc>
        <w:tc>
          <w:tcPr>
            <w:tcW w:w="180" w:type="dxa"/>
            <w:vAlign w:val="bottom"/>
          </w:tcPr>
          <w:p>
            <w:pPr>
              <w:spacing w:after="0"/>
              <w:rPr>
                <w:sz w:val="19"/>
                <w:szCs w:val="19"/>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w w:val="87"/>
              </w:rPr>
              <w:t>46,314</w:t>
            </w:r>
          </w:p>
        </w:tc>
        <w:tc>
          <w:tcPr>
            <w:tcW w:w="20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26,519</w:t>
            </w:r>
          </w:p>
        </w:tc>
        <w:tc>
          <w:tcPr>
            <w:tcW w:w="200" w:type="dxa"/>
            <w:vAlign w:val="bottom"/>
          </w:tcPr>
          <w:p>
            <w:pPr>
              <w:spacing w:after="0"/>
              <w:rPr>
                <w:sz w:val="19"/>
                <w:szCs w:val="19"/>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4,471</w:t>
            </w:r>
          </w:p>
        </w:tc>
        <w:tc>
          <w:tcPr>
            <w:tcW w:w="22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w w:val="90"/>
              </w:rPr>
              <w:t>(225,415)</w:t>
            </w:r>
          </w:p>
        </w:tc>
        <w:tc>
          <w:tcPr>
            <w:tcW w:w="2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306</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24,138</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24,444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Franchise rights</w:t>
            </w:r>
          </w:p>
        </w:tc>
        <w:tc>
          <w:tcPr>
            <w:tcW w:w="32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59,449</w:t>
            </w:r>
          </w:p>
        </w:tc>
        <w:tc>
          <w:tcPr>
            <w:tcW w:w="22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59,449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14,889</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14,889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32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4,557</w:t>
            </w:r>
          </w:p>
        </w:tc>
        <w:tc>
          <w:tcPr>
            <w:tcW w:w="22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603</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537</w:t>
            </w:r>
          </w:p>
        </w:tc>
        <w:tc>
          <w:tcPr>
            <w:tcW w:w="2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83"/>
              </w:rPr>
              <w:t>71,157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83"/>
              </w:rPr>
              <w:t>34,514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83"/>
              </w:rPr>
              <w:t>43,550</w:t>
            </w:r>
          </w:p>
        </w:tc>
        <w:tc>
          <w:tcPr>
            <w:tcW w:w="1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7"/>
              </w:rPr>
              <w:t>46,314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7"/>
              </w:rPr>
              <w:t>26,536</w:t>
            </w: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6"/>
              </w:rPr>
              <w:t>116,361</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0"/>
              </w:rPr>
              <w:t>(225,415)</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113,017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Accounts payable and accrued expenses related</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to trade creditors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196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3,197</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3,393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810</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224</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73</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87</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1,945</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1,242</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1,006</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2,248</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1,230</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73</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87</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5,172</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8,939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32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w w:val="83"/>
              </w:rPr>
              <w:t>19,839</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2,294</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4,462</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2,691</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610</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282</w:t>
            </w:r>
          </w:p>
        </w:tc>
        <w:tc>
          <w:tcPr>
            <w:tcW w:w="22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7,160</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656</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19,166</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26,982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2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1,460</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4,592</w:t>
            </w:r>
          </w:p>
        </w:tc>
        <w:tc>
          <w:tcPr>
            <w:tcW w:w="22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Equity:</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Common stock</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33</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stockholders’ equity</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83"/>
              </w:rPr>
              <w:t>40,417</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83"/>
              </w:rPr>
              <w:t>30,990</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83"/>
              </w:rPr>
              <w:t>39,015</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7"/>
              </w:rPr>
              <w:t>43,536</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7"/>
              </w:rPr>
              <w:t>25,022</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86,852</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0"/>
              </w:rPr>
              <w:t>(225,415)</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Arial" w:cs="Arial" w:eastAsia="Arial" w:hAnsi="Arial"/>
                <w:sz w:val="18"/>
                <w:szCs w:val="18"/>
                <w:color w:val="auto"/>
              </w:rPr>
              <w:t>Total Comcast Corporation stockholders’ equity</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83"/>
              </w:rPr>
              <w:t>40,450</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w w:val="83"/>
              </w:rPr>
              <w:t>30,990</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w w:val="83"/>
              </w:rPr>
              <w:t>39,015</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87"/>
              </w:rPr>
              <w:t>43,536</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87"/>
              </w:rPr>
              <w:t>25,022</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86,852</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0"/>
              </w:rPr>
              <w:t>(225,415)</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40,450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126</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83"/>
              </w:rPr>
              <w:t>40,450</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w w:val="83"/>
              </w:rPr>
              <w:t>30,990</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w w:val="83"/>
              </w:rPr>
              <w:t>39,015</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7"/>
              </w:rPr>
              <w:t>43,536</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w w:val="87"/>
              </w:rPr>
              <w:t>25,022</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86,978</w:t>
            </w:r>
          </w:p>
        </w:tc>
        <w:tc>
          <w:tcPr>
            <w:tcW w:w="2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0"/>
              </w:rPr>
              <w:t>(225,415)</w:t>
            </w:r>
          </w:p>
        </w:tc>
        <w:tc>
          <w:tcPr>
            <w:tcW w:w="2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40,576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83"/>
              </w:rPr>
              <w:t>71,157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83"/>
              </w:rPr>
              <w:t>34,514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83"/>
              </w:rPr>
              <w:t>43,550</w:t>
            </w:r>
          </w:p>
        </w:tc>
        <w:tc>
          <w:tcPr>
            <w:tcW w:w="1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7"/>
              </w:rPr>
              <w:t>46,314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7"/>
              </w:rPr>
              <w:t>26,536</w:t>
            </w: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6"/>
              </w:rPr>
              <w:t>116,361</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0"/>
              </w:rPr>
              <w:t>(225,415)</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113,017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jc w:val="center"/>
        <w:spacing w:after="0"/>
        <w:rPr>
          <w:sz w:val="20"/>
          <w:szCs w:val="20"/>
          <w:color w:val="auto"/>
        </w:rPr>
      </w:pPr>
      <w:r>
        <w:rPr>
          <w:rFonts w:ascii="Arial" w:cs="Arial" w:eastAsia="Arial" w:hAnsi="Arial"/>
          <w:sz w:val="18"/>
          <w:szCs w:val="18"/>
          <w:b w:val="1"/>
          <w:bCs w:val="1"/>
          <w:color w:val="auto"/>
        </w:rPr>
        <w:t>For the Three Months Ended March 31, 2009</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ind w:right="293"/>
              <w:spacing w:after="0" w:line="149" w:lineRule="exact"/>
              <w:rPr>
                <w:sz w:val="20"/>
                <w:szCs w:val="20"/>
                <w:color w:val="auto"/>
              </w:rPr>
            </w:pPr>
            <w:r>
              <w:rPr>
                <w:rFonts w:ascii="Arial" w:cs="Arial" w:eastAsia="Arial" w:hAnsi="Arial"/>
                <w:sz w:val="14"/>
                <w:szCs w:val="14"/>
                <w:color w:val="auto"/>
              </w:rPr>
              <w:t>Non-</w:t>
            </w:r>
          </w:p>
        </w:tc>
        <w:tc>
          <w:tcPr>
            <w:tcW w:w="340" w:type="dxa"/>
            <w:vAlign w:val="bottom"/>
          </w:tcPr>
          <w:p>
            <w:pPr>
              <w:spacing w:after="0"/>
              <w:rPr>
                <w:sz w:val="12"/>
                <w:szCs w:val="12"/>
                <w:color w:val="auto"/>
              </w:rPr>
            </w:pPr>
          </w:p>
        </w:tc>
        <w:tc>
          <w:tcPr>
            <w:tcW w:w="780" w:type="dxa"/>
            <w:vAlign w:val="bottom"/>
          </w:tcPr>
          <w:p>
            <w:pPr>
              <w:jc w:val="center"/>
              <w:ind w:right="293"/>
              <w:spacing w:after="0" w:line="149" w:lineRule="exact"/>
              <w:rPr>
                <w:sz w:val="20"/>
                <w:szCs w:val="20"/>
                <w:color w:val="auto"/>
              </w:rPr>
            </w:pPr>
            <w:r>
              <w:rPr>
                <w:rFonts w:ascii="Arial" w:cs="Arial" w:eastAsia="Arial" w:hAnsi="Arial"/>
                <w:sz w:val="14"/>
                <w:szCs w:val="14"/>
                <w:color w:val="auto"/>
                <w:w w:val="85"/>
              </w:rPr>
              <w:t>and</w:t>
            </w:r>
          </w:p>
        </w:tc>
        <w:tc>
          <w:tcPr>
            <w:tcW w:w="92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8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Comcast</w:t>
            </w:r>
          </w:p>
        </w:tc>
        <w:tc>
          <w:tcPr>
            <w:tcW w:w="7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CCCL</w:t>
            </w:r>
          </w:p>
        </w:tc>
        <w:tc>
          <w:tcPr>
            <w:tcW w:w="72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CCCH</w:t>
            </w:r>
          </w:p>
        </w:tc>
        <w:tc>
          <w:tcPr>
            <w:tcW w:w="92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CCHMO</w:t>
            </w:r>
          </w:p>
        </w:tc>
        <w:tc>
          <w:tcPr>
            <w:tcW w:w="8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Comcast</w:t>
            </w:r>
          </w:p>
        </w:tc>
        <w:tc>
          <w:tcPr>
            <w:tcW w:w="980" w:type="dxa"/>
            <w:vAlign w:val="bottom"/>
            <w:gridSpan w:val="2"/>
          </w:tcPr>
          <w:p>
            <w:pPr>
              <w:jc w:val="right"/>
              <w:ind w:right="153"/>
              <w:spacing w:after="0" w:line="149" w:lineRule="exact"/>
              <w:rPr>
                <w:sz w:val="20"/>
                <w:szCs w:val="20"/>
                <w:color w:val="auto"/>
              </w:rPr>
            </w:pPr>
            <w:r>
              <w:rPr>
                <w:rFonts w:ascii="Arial" w:cs="Arial" w:eastAsia="Arial" w:hAnsi="Arial"/>
                <w:sz w:val="14"/>
                <w:szCs w:val="14"/>
                <w:color w:val="auto"/>
              </w:rPr>
              <w:t>Guarantor</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Consolidation</w:t>
            </w:r>
          </w:p>
        </w:tc>
        <w:tc>
          <w:tcPr>
            <w:tcW w:w="240" w:type="dxa"/>
            <w:vAlign w:val="bottom"/>
          </w:tcPr>
          <w:p>
            <w:pPr>
              <w:spacing w:after="0"/>
              <w:rPr>
                <w:sz w:val="12"/>
                <w:szCs w:val="12"/>
                <w:color w:val="auto"/>
              </w:rPr>
            </w:pPr>
          </w:p>
        </w:tc>
        <w:tc>
          <w:tcPr>
            <w:tcW w:w="680" w:type="dxa"/>
            <w:vAlign w:val="bottom"/>
          </w:tcPr>
          <w:p>
            <w:pPr>
              <w:jc w:val="right"/>
              <w:ind w:right="93"/>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430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880" w:type="dxa"/>
            <w:vAlign w:val="bottom"/>
            <w:gridSpan w:val="2"/>
          </w:tcPr>
          <w:p>
            <w:pPr>
              <w:jc w:val="right"/>
              <w:ind w:right="172"/>
              <w:spacing w:after="0" w:line="159" w:lineRule="exact"/>
              <w:rPr>
                <w:sz w:val="20"/>
                <w:szCs w:val="20"/>
                <w:color w:val="auto"/>
              </w:rPr>
            </w:pPr>
            <w:r>
              <w:rPr>
                <w:rFonts w:ascii="Arial" w:cs="Arial" w:eastAsia="Arial" w:hAnsi="Arial"/>
                <w:sz w:val="14"/>
                <w:szCs w:val="14"/>
                <w:color w:val="auto"/>
              </w:rPr>
              <w:t>Parent</w:t>
            </w:r>
          </w:p>
        </w:tc>
        <w:tc>
          <w:tcPr>
            <w:tcW w:w="74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Parent</w:t>
            </w:r>
          </w:p>
        </w:tc>
        <w:tc>
          <w:tcPr>
            <w:tcW w:w="720" w:type="dxa"/>
            <w:vAlign w:val="bottom"/>
            <w:gridSpan w:val="2"/>
          </w:tcPr>
          <w:p>
            <w:pPr>
              <w:jc w:val="right"/>
              <w:ind w:right="132"/>
              <w:spacing w:after="0" w:line="159" w:lineRule="exact"/>
              <w:rPr>
                <w:sz w:val="20"/>
                <w:szCs w:val="20"/>
                <w:color w:val="auto"/>
              </w:rPr>
            </w:pPr>
            <w:r>
              <w:rPr>
                <w:rFonts w:ascii="Arial" w:cs="Arial" w:eastAsia="Arial" w:hAnsi="Arial"/>
                <w:sz w:val="14"/>
                <w:szCs w:val="14"/>
                <w:color w:val="auto"/>
              </w:rPr>
              <w:t>Parent</w:t>
            </w:r>
          </w:p>
        </w:tc>
        <w:tc>
          <w:tcPr>
            <w:tcW w:w="920" w:type="dxa"/>
            <w:vAlign w:val="bottom"/>
            <w:gridSpan w:val="2"/>
          </w:tcPr>
          <w:p>
            <w:pPr>
              <w:jc w:val="right"/>
              <w:ind w:right="192"/>
              <w:spacing w:after="0" w:line="159" w:lineRule="exact"/>
              <w:rPr>
                <w:sz w:val="20"/>
                <w:szCs w:val="20"/>
                <w:color w:val="auto"/>
              </w:rPr>
            </w:pPr>
            <w:r>
              <w:rPr>
                <w:rFonts w:ascii="Arial" w:cs="Arial" w:eastAsia="Arial" w:hAnsi="Arial"/>
                <w:sz w:val="14"/>
                <w:szCs w:val="14"/>
                <w:color w:val="auto"/>
              </w:rPr>
              <w:t>Parents</w:t>
            </w:r>
          </w:p>
        </w:tc>
        <w:tc>
          <w:tcPr>
            <w:tcW w:w="84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Holdings</w:t>
            </w:r>
          </w:p>
        </w:tc>
        <w:tc>
          <w:tcPr>
            <w:tcW w:w="98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Subsidiaries</w:t>
            </w:r>
          </w:p>
        </w:tc>
        <w:tc>
          <w:tcPr>
            <w:tcW w:w="112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920" w:type="dxa"/>
            <w:vAlign w:val="bottom"/>
            <w:gridSpan w:val="2"/>
          </w:tcPr>
          <w:p>
            <w:pPr>
              <w:jc w:val="right"/>
              <w:ind w:right="13"/>
              <w:spacing w:after="0" w:line="159" w:lineRule="exact"/>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2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34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34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8,835</w:t>
            </w:r>
          </w:p>
        </w:tc>
        <w:tc>
          <w:tcPr>
            <w:tcW w:w="34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8,835</w:t>
            </w:r>
          </w:p>
        </w:tc>
      </w:tr>
      <w:tr>
        <w:trPr>
          <w:trHeight w:val="216"/>
        </w:trPr>
        <w:tc>
          <w:tcPr>
            <w:tcW w:w="20" w:type="dxa"/>
            <w:vAlign w:val="bottom"/>
          </w:tcPr>
          <w:p>
            <w:pPr>
              <w:spacing w:after="0"/>
              <w:rPr>
                <w:sz w:val="18"/>
                <w:szCs w:val="18"/>
                <w:color w:val="auto"/>
              </w:rPr>
            </w:pPr>
          </w:p>
        </w:tc>
        <w:tc>
          <w:tcPr>
            <w:tcW w:w="42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34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191</w:t>
            </w:r>
          </w:p>
        </w:tc>
        <w:tc>
          <w:tcPr>
            <w:tcW w:w="2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60</w:t>
            </w:r>
          </w:p>
        </w:tc>
        <w:tc>
          <w:tcPr>
            <w:tcW w:w="2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107</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107</w:t>
            </w:r>
          </w:p>
        </w:tc>
        <w:tc>
          <w:tcPr>
            <w:tcW w:w="30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(465)</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2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191</w:t>
            </w: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60</w:t>
            </w: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107</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107</w:t>
            </w: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8,835</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(465)</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8,835</w:t>
            </w:r>
          </w:p>
        </w:tc>
      </w:tr>
      <w:tr>
        <w:trPr>
          <w:trHeight w:val="210"/>
        </w:trPr>
        <w:tc>
          <w:tcPr>
            <w:tcW w:w="20" w:type="dxa"/>
            <w:vAlign w:val="bottom"/>
          </w:tcPr>
          <w:p>
            <w:pPr>
              <w:spacing w:after="0"/>
              <w:rPr>
                <w:sz w:val="18"/>
                <w:szCs w:val="18"/>
                <w:color w:val="auto"/>
              </w:rPr>
            </w:pPr>
          </w:p>
        </w:tc>
        <w:tc>
          <w:tcPr>
            <w:tcW w:w="4280" w:type="dxa"/>
            <w:vAlign w:val="bottom"/>
            <w:shd w:val="clear" w:color="auto" w:fill="E5E5E5"/>
          </w:tcPr>
          <w:p>
            <w:pPr>
              <w:spacing w:after="0"/>
              <w:rPr>
                <w:sz w:val="20"/>
                <w:szCs w:val="20"/>
                <w:color w:val="auto"/>
              </w:rPr>
            </w:pPr>
            <w:r>
              <w:rPr>
                <w:rFonts w:ascii="Arial" w:cs="Arial" w:eastAsia="Arial" w:hAnsi="Arial"/>
                <w:sz w:val="18"/>
                <w:szCs w:val="18"/>
                <w:color w:val="auto"/>
              </w:rPr>
              <w:t>Costs and Expenses:</w:t>
            </w:r>
          </w:p>
        </w:tc>
        <w:tc>
          <w:tcPr>
            <w:tcW w:w="34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w w:val="98"/>
              </w:rPr>
              <w:t>Operating (excluding depreciation and amortization)</w:t>
            </w:r>
          </w:p>
        </w:tc>
        <w:tc>
          <w:tcPr>
            <w:tcW w:w="340" w:type="dxa"/>
            <w:vAlign w:val="bottom"/>
          </w:tcPr>
          <w:p>
            <w:pPr>
              <w:spacing w:after="0"/>
              <w:rPr>
                <w:sz w:val="18"/>
                <w:szCs w:val="18"/>
                <w:color w:val="auto"/>
              </w:rPr>
            </w:pPr>
          </w:p>
        </w:tc>
        <w:tc>
          <w:tcPr>
            <w:tcW w:w="5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3,565</w:t>
            </w:r>
          </w:p>
        </w:tc>
        <w:tc>
          <w:tcPr>
            <w:tcW w:w="3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3,565</w:t>
            </w:r>
          </w:p>
        </w:tc>
      </w:tr>
      <w:tr>
        <w:trPr>
          <w:trHeight w:val="216"/>
        </w:trPr>
        <w:tc>
          <w:tcPr>
            <w:tcW w:w="20" w:type="dxa"/>
            <w:vAlign w:val="bottom"/>
          </w:tcPr>
          <w:p>
            <w:pPr>
              <w:spacing w:after="0"/>
              <w:rPr>
                <w:sz w:val="18"/>
                <w:szCs w:val="18"/>
                <w:color w:val="auto"/>
              </w:rPr>
            </w:pPr>
          </w:p>
        </w:tc>
        <w:tc>
          <w:tcPr>
            <w:tcW w:w="42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78</w:t>
            </w:r>
          </w:p>
        </w:tc>
        <w:tc>
          <w:tcPr>
            <w:tcW w:w="24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60</w:t>
            </w:r>
          </w:p>
        </w:tc>
        <w:tc>
          <w:tcPr>
            <w:tcW w:w="2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107</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107</w:t>
            </w:r>
          </w:p>
        </w:tc>
        <w:tc>
          <w:tcPr>
            <w:tcW w:w="30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14</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1,925</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(465)</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1,826</w:t>
            </w: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18"/>
                <w:szCs w:val="18"/>
                <w:color w:val="auto"/>
              </w:rPr>
            </w:pPr>
          </w:p>
        </w:tc>
        <w:tc>
          <w:tcPr>
            <w:tcW w:w="540" w:type="dxa"/>
            <w:vAlign w:val="bottom"/>
          </w:tcPr>
          <w:p>
            <w:pPr>
              <w:jc w:val="right"/>
              <w:ind w:right="92"/>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1,373</w:t>
            </w:r>
          </w:p>
        </w:tc>
        <w:tc>
          <w:tcPr>
            <w:tcW w:w="3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1,380</w:t>
            </w:r>
          </w:p>
        </w:tc>
      </w:tr>
      <w:tr>
        <w:trPr>
          <w:trHeight w:val="216"/>
        </w:trPr>
        <w:tc>
          <w:tcPr>
            <w:tcW w:w="20" w:type="dxa"/>
            <w:vAlign w:val="bottom"/>
          </w:tcPr>
          <w:p>
            <w:pPr>
              <w:spacing w:after="0"/>
              <w:rPr>
                <w:sz w:val="18"/>
                <w:szCs w:val="18"/>
                <w:color w:val="auto"/>
              </w:rPr>
            </w:pPr>
          </w:p>
        </w:tc>
        <w:tc>
          <w:tcPr>
            <w:tcW w:w="42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Amortization</w:t>
            </w:r>
          </w:p>
        </w:tc>
        <w:tc>
          <w:tcPr>
            <w:tcW w:w="34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253</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253</w:t>
            </w:r>
          </w:p>
        </w:tc>
      </w:tr>
      <w:tr>
        <w:trPr>
          <w:trHeight w:val="210"/>
        </w:trPr>
        <w:tc>
          <w:tcPr>
            <w:tcW w:w="20" w:type="dxa"/>
            <w:vAlign w:val="bottom"/>
          </w:tcPr>
          <w:p>
            <w:pPr>
              <w:spacing w:after="0"/>
              <w:rPr>
                <w:sz w:val="18"/>
                <w:szCs w:val="18"/>
                <w:color w:val="auto"/>
              </w:rPr>
            </w:pPr>
          </w:p>
        </w:tc>
        <w:tc>
          <w:tcPr>
            <w:tcW w:w="42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85</w:t>
            </w: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60</w:t>
            </w: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107</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107</w:t>
            </w: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7,116</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(465)</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7,024</w:t>
            </w:r>
          </w:p>
        </w:tc>
      </w:tr>
      <w:tr>
        <w:trPr>
          <w:trHeight w:val="210"/>
        </w:trPr>
        <w:tc>
          <w:tcPr>
            <w:tcW w:w="20" w:type="dxa"/>
            <w:vAlign w:val="bottom"/>
          </w:tcPr>
          <w:p>
            <w:pPr>
              <w:spacing w:after="0"/>
              <w:rPr>
                <w:sz w:val="18"/>
                <w:szCs w:val="18"/>
                <w:color w:val="auto"/>
              </w:rPr>
            </w:pPr>
          </w:p>
        </w:tc>
        <w:tc>
          <w:tcPr>
            <w:tcW w:w="428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34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(14)</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1,719</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1,811</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w w:val="95"/>
              </w:rPr>
              <w:t>(319)</w:t>
            </w:r>
          </w:p>
        </w:tc>
        <w:tc>
          <w:tcPr>
            <w:tcW w:w="24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99"/>
              </w:rPr>
              <w:t>(58)</w:t>
            </w:r>
          </w:p>
        </w:tc>
        <w:tc>
          <w:tcPr>
            <w:tcW w:w="2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85"/>
              </w:rPr>
              <w:t>(110)</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(50)</w:t>
            </w:r>
          </w:p>
        </w:tc>
        <w:tc>
          <w:tcPr>
            <w:tcW w:w="30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(2)</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(31)</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(570)</w:t>
            </w: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Investment income (loss), net</w:t>
            </w:r>
          </w:p>
        </w:tc>
        <w:tc>
          <w:tcPr>
            <w:tcW w:w="340" w:type="dxa"/>
            <w:vAlign w:val="bottom"/>
          </w:tcPr>
          <w:p>
            <w:pPr>
              <w:spacing w:after="0"/>
              <w:rPr>
                <w:sz w:val="18"/>
                <w:szCs w:val="18"/>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42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Equity in net income (losses) of affiliates, net</w:t>
            </w:r>
          </w:p>
        </w:tc>
        <w:tc>
          <w:tcPr>
            <w:tcW w:w="34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915</w:t>
            </w:r>
          </w:p>
        </w:tc>
        <w:tc>
          <w:tcPr>
            <w:tcW w:w="24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6"/>
              </w:rPr>
              <w:t>367</w:t>
            </w:r>
          </w:p>
        </w:tc>
        <w:tc>
          <w:tcPr>
            <w:tcW w:w="2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712</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744</w:t>
            </w:r>
          </w:p>
        </w:tc>
        <w:tc>
          <w:tcPr>
            <w:tcW w:w="30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351</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(36)</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(3,067)</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42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income (expense)</w:t>
            </w: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20" w:type="dxa"/>
            <w:vAlign w:val="bottom"/>
          </w:tcPr>
          <w:p>
            <w:pPr>
              <w:spacing w:after="0"/>
              <w:rPr>
                <w:sz w:val="18"/>
                <w:szCs w:val="18"/>
                <w:color w:val="auto"/>
              </w:rPr>
            </w:pPr>
          </w:p>
        </w:tc>
        <w:tc>
          <w:tcPr>
            <w:tcW w:w="428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589</w:t>
            </w:r>
          </w:p>
        </w:tc>
        <w:tc>
          <w:tcPr>
            <w:tcW w:w="2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w w:val="86"/>
              </w:rPr>
              <w:t>309</w:t>
            </w:r>
          </w:p>
        </w:tc>
        <w:tc>
          <w:tcPr>
            <w:tcW w:w="2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602</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694</w:t>
            </w:r>
          </w:p>
        </w:tc>
        <w:tc>
          <w:tcPr>
            <w:tcW w:w="30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358</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(57)</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(3,067)</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(572)</w:t>
            </w:r>
          </w:p>
        </w:tc>
      </w:tr>
      <w:tr>
        <w:trPr>
          <w:trHeight w:val="210"/>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340" w:type="dxa"/>
            <w:vAlign w:val="bottom"/>
          </w:tcPr>
          <w:p>
            <w:pPr>
              <w:spacing w:after="0"/>
              <w:rPr>
                <w:sz w:val="18"/>
                <w:szCs w:val="18"/>
                <w:color w:val="auto"/>
              </w:rPr>
            </w:pPr>
          </w:p>
        </w:tc>
        <w:tc>
          <w:tcPr>
            <w:tcW w:w="540" w:type="dxa"/>
            <w:vAlign w:val="bottom"/>
          </w:tcPr>
          <w:p>
            <w:pPr>
              <w:jc w:val="right"/>
              <w:ind w:right="92"/>
              <w:spacing w:after="0"/>
              <w:rPr>
                <w:sz w:val="20"/>
                <w:szCs w:val="20"/>
                <w:color w:val="auto"/>
              </w:rPr>
            </w:pPr>
            <w:r>
              <w:rPr>
                <w:rFonts w:ascii="Arial" w:cs="Arial" w:eastAsia="Arial" w:hAnsi="Arial"/>
                <w:sz w:val="18"/>
                <w:szCs w:val="18"/>
                <w:color w:val="auto"/>
              </w:rPr>
              <w:t>695</w:t>
            </w:r>
          </w:p>
        </w:tc>
        <w:tc>
          <w:tcPr>
            <w:tcW w:w="240" w:type="dxa"/>
            <w:vAlign w:val="bottom"/>
          </w:tcPr>
          <w:p>
            <w:pPr>
              <w:spacing w:after="0"/>
              <w:rPr>
                <w:sz w:val="18"/>
                <w:szCs w:val="18"/>
                <w:color w:val="auto"/>
              </w:rPr>
            </w:pPr>
          </w:p>
        </w:tc>
        <w:tc>
          <w:tcPr>
            <w:tcW w:w="500" w:type="dxa"/>
            <w:vAlign w:val="bottom"/>
          </w:tcPr>
          <w:p>
            <w:pPr>
              <w:jc w:val="right"/>
              <w:ind w:right="132"/>
              <w:spacing w:after="0"/>
              <w:rPr>
                <w:sz w:val="20"/>
                <w:szCs w:val="20"/>
                <w:color w:val="auto"/>
              </w:rPr>
            </w:pPr>
            <w:r>
              <w:rPr>
                <w:rFonts w:ascii="Arial" w:cs="Arial" w:eastAsia="Arial" w:hAnsi="Arial"/>
                <w:sz w:val="18"/>
                <w:szCs w:val="18"/>
                <w:color w:val="auto"/>
                <w:w w:val="86"/>
              </w:rPr>
              <w:t>309</w:t>
            </w:r>
          </w:p>
        </w:tc>
        <w:tc>
          <w:tcPr>
            <w:tcW w:w="20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602</w:t>
            </w:r>
          </w:p>
        </w:tc>
        <w:tc>
          <w:tcPr>
            <w:tcW w:w="34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694</w:t>
            </w:r>
          </w:p>
        </w:tc>
        <w:tc>
          <w:tcPr>
            <w:tcW w:w="30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344</w:t>
            </w:r>
          </w:p>
        </w:tc>
        <w:tc>
          <w:tcPr>
            <w:tcW w:w="26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1,662</w:t>
            </w:r>
          </w:p>
        </w:tc>
        <w:tc>
          <w:tcPr>
            <w:tcW w:w="34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(3,067)</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1,239</w:t>
            </w:r>
          </w:p>
        </w:tc>
      </w:tr>
      <w:tr>
        <w:trPr>
          <w:trHeight w:val="216"/>
        </w:trPr>
        <w:tc>
          <w:tcPr>
            <w:tcW w:w="20" w:type="dxa"/>
            <w:vAlign w:val="bottom"/>
          </w:tcPr>
          <w:p>
            <w:pPr>
              <w:spacing w:after="0"/>
              <w:rPr>
                <w:sz w:val="18"/>
                <w:szCs w:val="18"/>
                <w:color w:val="auto"/>
              </w:rPr>
            </w:pPr>
          </w:p>
        </w:tc>
        <w:tc>
          <w:tcPr>
            <w:tcW w:w="42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77</w:t>
            </w:r>
          </w:p>
        </w:tc>
        <w:tc>
          <w:tcPr>
            <w:tcW w:w="2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39</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18</w:t>
            </w:r>
          </w:p>
        </w:tc>
        <w:tc>
          <w:tcPr>
            <w:tcW w:w="30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(617)</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(461)</w:t>
            </w:r>
          </w:p>
        </w:tc>
      </w:tr>
      <w:tr>
        <w:trPr>
          <w:trHeight w:val="210"/>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Net income (loss) from consolidated operations</w:t>
            </w:r>
          </w:p>
        </w:tc>
        <w:tc>
          <w:tcPr>
            <w:tcW w:w="340" w:type="dxa"/>
            <w:vAlign w:val="bottom"/>
          </w:tcPr>
          <w:p>
            <w:pPr>
              <w:spacing w:after="0"/>
              <w:rPr>
                <w:sz w:val="18"/>
                <w:szCs w:val="18"/>
                <w:color w:val="auto"/>
              </w:rPr>
            </w:pPr>
          </w:p>
        </w:tc>
        <w:tc>
          <w:tcPr>
            <w:tcW w:w="540" w:type="dxa"/>
            <w:vAlign w:val="bottom"/>
          </w:tcPr>
          <w:p>
            <w:pPr>
              <w:jc w:val="right"/>
              <w:ind w:right="92"/>
              <w:spacing w:after="0"/>
              <w:rPr>
                <w:sz w:val="20"/>
                <w:szCs w:val="20"/>
                <w:color w:val="auto"/>
              </w:rPr>
            </w:pPr>
            <w:r>
              <w:rPr>
                <w:rFonts w:ascii="Arial" w:cs="Arial" w:eastAsia="Arial" w:hAnsi="Arial"/>
                <w:sz w:val="18"/>
                <w:szCs w:val="18"/>
                <w:color w:val="auto"/>
              </w:rPr>
              <w:t>772</w:t>
            </w:r>
          </w:p>
        </w:tc>
        <w:tc>
          <w:tcPr>
            <w:tcW w:w="240" w:type="dxa"/>
            <w:vAlign w:val="bottom"/>
          </w:tcPr>
          <w:p>
            <w:pPr>
              <w:spacing w:after="0"/>
              <w:rPr>
                <w:sz w:val="18"/>
                <w:szCs w:val="18"/>
                <w:color w:val="auto"/>
              </w:rPr>
            </w:pPr>
          </w:p>
        </w:tc>
        <w:tc>
          <w:tcPr>
            <w:tcW w:w="500" w:type="dxa"/>
            <w:vAlign w:val="bottom"/>
          </w:tcPr>
          <w:p>
            <w:pPr>
              <w:jc w:val="right"/>
              <w:ind w:right="132"/>
              <w:spacing w:after="0"/>
              <w:rPr>
                <w:sz w:val="20"/>
                <w:szCs w:val="20"/>
                <w:color w:val="auto"/>
              </w:rPr>
            </w:pPr>
            <w:r>
              <w:rPr>
                <w:rFonts w:ascii="Arial" w:cs="Arial" w:eastAsia="Arial" w:hAnsi="Arial"/>
                <w:sz w:val="18"/>
                <w:szCs w:val="18"/>
                <w:color w:val="auto"/>
                <w:w w:val="86"/>
              </w:rPr>
              <w:t>329</w:t>
            </w:r>
          </w:p>
        </w:tc>
        <w:tc>
          <w:tcPr>
            <w:tcW w:w="20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641</w:t>
            </w:r>
          </w:p>
        </w:tc>
        <w:tc>
          <w:tcPr>
            <w:tcW w:w="34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712</w:t>
            </w:r>
          </w:p>
        </w:tc>
        <w:tc>
          <w:tcPr>
            <w:tcW w:w="30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346</w:t>
            </w:r>
          </w:p>
        </w:tc>
        <w:tc>
          <w:tcPr>
            <w:tcW w:w="26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1,045</w:t>
            </w:r>
          </w:p>
        </w:tc>
        <w:tc>
          <w:tcPr>
            <w:tcW w:w="34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(3,067)</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778</w:t>
            </w:r>
          </w:p>
        </w:tc>
      </w:tr>
      <w:tr>
        <w:trPr>
          <w:trHeight w:val="208"/>
        </w:trPr>
        <w:tc>
          <w:tcPr>
            <w:tcW w:w="20" w:type="dxa"/>
            <w:vAlign w:val="bottom"/>
          </w:tcPr>
          <w:p>
            <w:pPr>
              <w:spacing w:after="0"/>
              <w:rPr>
                <w:sz w:val="18"/>
                <w:szCs w:val="18"/>
                <w:color w:val="auto"/>
              </w:rPr>
            </w:pPr>
          </w:p>
        </w:tc>
        <w:tc>
          <w:tcPr>
            <w:tcW w:w="4280" w:type="dxa"/>
            <w:vAlign w:val="bottom"/>
            <w:shd w:val="clear" w:color="auto" w:fill="E5E5E5"/>
          </w:tcPr>
          <w:p>
            <w:pPr>
              <w:spacing w:after="0"/>
              <w:rPr>
                <w:sz w:val="20"/>
                <w:szCs w:val="20"/>
                <w:color w:val="auto"/>
              </w:rPr>
            </w:pPr>
            <w:r>
              <w:rPr>
                <w:rFonts w:ascii="Arial" w:cs="Arial" w:eastAsia="Arial" w:hAnsi="Arial"/>
                <w:sz w:val="18"/>
                <w:szCs w:val="18"/>
                <w:color w:val="auto"/>
              </w:rPr>
              <w:t>Less: Net income (loss) attributable to noncontrolling</w:t>
            </w:r>
          </w:p>
        </w:tc>
        <w:tc>
          <w:tcPr>
            <w:tcW w:w="34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interests</w:t>
            </w:r>
          </w:p>
        </w:tc>
        <w:tc>
          <w:tcPr>
            <w:tcW w:w="340" w:type="dxa"/>
            <w:vAlign w:val="bottom"/>
            <w:tcBorders>
              <w:bottom w:val="single" w:sz="8" w:color="auto"/>
            </w:tcBorders>
            <w:shd w:val="clear" w:color="auto" w:fill="E5E5E5"/>
          </w:tcPr>
          <w:p>
            <w:pPr>
              <w:spacing w:after="0"/>
              <w:rPr>
                <w:sz w:val="19"/>
                <w:szCs w:val="19"/>
                <w:color w:val="auto"/>
              </w:rPr>
            </w:pPr>
          </w:p>
        </w:tc>
        <w:tc>
          <w:tcPr>
            <w:tcW w:w="5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9"/>
                <w:szCs w:val="19"/>
                <w:color w:val="auto"/>
              </w:rPr>
            </w:pPr>
          </w:p>
        </w:tc>
        <w:tc>
          <w:tcPr>
            <w:tcW w:w="5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9"/>
                <w:szCs w:val="19"/>
                <w:color w:val="auto"/>
              </w:rPr>
            </w:pPr>
          </w:p>
        </w:tc>
        <w:tc>
          <w:tcPr>
            <w:tcW w:w="5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9"/>
                <w:szCs w:val="19"/>
                <w:color w:val="auto"/>
              </w:rPr>
            </w:pPr>
          </w:p>
        </w:tc>
        <w:tc>
          <w:tcPr>
            <w:tcW w:w="5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9"/>
                <w:szCs w:val="19"/>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6</w:t>
            </w:r>
          </w:p>
        </w:tc>
        <w:tc>
          <w:tcPr>
            <w:tcW w:w="340" w:type="dxa"/>
            <w:vAlign w:val="bottom"/>
            <w:tcBorders>
              <w:bottom w:val="single" w:sz="8" w:color="auto"/>
            </w:tcBorders>
            <w:shd w:val="clear" w:color="auto" w:fill="E5E5E5"/>
          </w:tcPr>
          <w:p>
            <w:pPr>
              <w:spacing w:after="0"/>
              <w:rPr>
                <w:sz w:val="19"/>
                <w:szCs w:val="19"/>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9"/>
                <w:szCs w:val="19"/>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w:t>
            </w:r>
          </w:p>
        </w:tc>
      </w:tr>
      <w:tr>
        <w:trPr>
          <w:trHeight w:val="218"/>
        </w:trPr>
        <w:tc>
          <w:tcPr>
            <w:tcW w:w="20" w:type="dxa"/>
            <w:vAlign w:val="bottom"/>
          </w:tcPr>
          <w:p>
            <w:pPr>
              <w:spacing w:after="0"/>
              <w:rPr>
                <w:sz w:val="18"/>
                <w:szCs w:val="18"/>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Net income (loss) attributable to Comcast Corporation</w:t>
            </w:r>
          </w:p>
        </w:tc>
        <w:tc>
          <w:tcPr>
            <w:tcW w:w="3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772</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6"/>
              </w:rPr>
              <w:t>329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641</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712</w:t>
            </w:r>
          </w:p>
        </w:tc>
        <w:tc>
          <w:tcPr>
            <w:tcW w:w="3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346</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1,039</w:t>
            </w:r>
          </w:p>
        </w:tc>
        <w:tc>
          <w:tcPr>
            <w:tcW w:w="34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(3,067)</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772</w:t>
            </w:r>
          </w:p>
        </w:tc>
      </w:tr>
      <w:tr>
        <w:trPr>
          <w:trHeight w:val="363"/>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jc w:val="center"/>
        <w:spacing w:after="0"/>
        <w:rPr>
          <w:sz w:val="20"/>
          <w:szCs w:val="20"/>
          <w:color w:val="auto"/>
        </w:rPr>
      </w:pPr>
      <w:r>
        <w:rPr>
          <w:rFonts w:ascii="Arial" w:cs="Arial" w:eastAsia="Arial" w:hAnsi="Arial"/>
          <w:sz w:val="18"/>
          <w:szCs w:val="18"/>
          <w:b w:val="1"/>
          <w:bCs w:val="1"/>
          <w:color w:val="auto"/>
        </w:rPr>
        <w:t>For the Three Months Ended March 31, 2008</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ind w:right="293"/>
              <w:spacing w:after="0" w:line="149" w:lineRule="exact"/>
              <w:rPr>
                <w:sz w:val="20"/>
                <w:szCs w:val="20"/>
                <w:color w:val="auto"/>
              </w:rPr>
            </w:pPr>
            <w:r>
              <w:rPr>
                <w:rFonts w:ascii="Arial" w:cs="Arial" w:eastAsia="Arial" w:hAnsi="Arial"/>
                <w:sz w:val="14"/>
                <w:szCs w:val="14"/>
                <w:color w:val="auto"/>
              </w:rPr>
              <w:t>Non-</w:t>
            </w:r>
          </w:p>
        </w:tc>
        <w:tc>
          <w:tcPr>
            <w:tcW w:w="340" w:type="dxa"/>
            <w:vAlign w:val="bottom"/>
          </w:tcPr>
          <w:p>
            <w:pPr>
              <w:spacing w:after="0"/>
              <w:rPr>
                <w:sz w:val="12"/>
                <w:szCs w:val="12"/>
                <w:color w:val="auto"/>
              </w:rPr>
            </w:pPr>
          </w:p>
        </w:tc>
        <w:tc>
          <w:tcPr>
            <w:tcW w:w="780" w:type="dxa"/>
            <w:vAlign w:val="bottom"/>
          </w:tcPr>
          <w:p>
            <w:pPr>
              <w:jc w:val="center"/>
              <w:ind w:right="293"/>
              <w:spacing w:after="0" w:line="149" w:lineRule="exact"/>
              <w:rPr>
                <w:sz w:val="20"/>
                <w:szCs w:val="20"/>
                <w:color w:val="auto"/>
              </w:rPr>
            </w:pPr>
            <w:r>
              <w:rPr>
                <w:rFonts w:ascii="Arial" w:cs="Arial" w:eastAsia="Arial" w:hAnsi="Arial"/>
                <w:sz w:val="14"/>
                <w:szCs w:val="14"/>
                <w:color w:val="auto"/>
                <w:w w:val="85"/>
              </w:rPr>
              <w:t>and</w:t>
            </w:r>
          </w:p>
        </w:tc>
        <w:tc>
          <w:tcPr>
            <w:tcW w:w="92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Comcast</w:t>
            </w:r>
          </w:p>
        </w:tc>
        <w:tc>
          <w:tcPr>
            <w:tcW w:w="7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CCCL</w:t>
            </w:r>
          </w:p>
        </w:tc>
        <w:tc>
          <w:tcPr>
            <w:tcW w:w="7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CCCH</w:t>
            </w:r>
          </w:p>
        </w:tc>
        <w:tc>
          <w:tcPr>
            <w:tcW w:w="92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CCHMO</w:t>
            </w:r>
          </w:p>
        </w:tc>
        <w:tc>
          <w:tcPr>
            <w:tcW w:w="8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Comcast</w:t>
            </w:r>
          </w:p>
        </w:tc>
        <w:tc>
          <w:tcPr>
            <w:tcW w:w="980" w:type="dxa"/>
            <w:vAlign w:val="bottom"/>
            <w:gridSpan w:val="2"/>
          </w:tcPr>
          <w:p>
            <w:pPr>
              <w:jc w:val="right"/>
              <w:ind w:right="153"/>
              <w:spacing w:after="0" w:line="149" w:lineRule="exact"/>
              <w:rPr>
                <w:sz w:val="20"/>
                <w:szCs w:val="20"/>
                <w:color w:val="auto"/>
              </w:rPr>
            </w:pPr>
            <w:r>
              <w:rPr>
                <w:rFonts w:ascii="Arial" w:cs="Arial" w:eastAsia="Arial" w:hAnsi="Arial"/>
                <w:sz w:val="14"/>
                <w:szCs w:val="14"/>
                <w:color w:val="auto"/>
              </w:rPr>
              <w:t>Guarantor</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Consolidation</w:t>
            </w:r>
          </w:p>
        </w:tc>
        <w:tc>
          <w:tcPr>
            <w:tcW w:w="240" w:type="dxa"/>
            <w:vAlign w:val="bottom"/>
          </w:tcPr>
          <w:p>
            <w:pPr>
              <w:spacing w:after="0"/>
              <w:rPr>
                <w:sz w:val="12"/>
                <w:szCs w:val="12"/>
                <w:color w:val="auto"/>
              </w:rPr>
            </w:pPr>
          </w:p>
        </w:tc>
        <w:tc>
          <w:tcPr>
            <w:tcW w:w="680" w:type="dxa"/>
            <w:vAlign w:val="bottom"/>
          </w:tcPr>
          <w:p>
            <w:pPr>
              <w:jc w:val="right"/>
              <w:ind w:right="93"/>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432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920" w:type="dxa"/>
            <w:vAlign w:val="bottom"/>
            <w:gridSpan w:val="2"/>
          </w:tcPr>
          <w:p>
            <w:pPr>
              <w:jc w:val="right"/>
              <w:ind w:right="192"/>
              <w:spacing w:after="0" w:line="159" w:lineRule="exact"/>
              <w:rPr>
                <w:sz w:val="20"/>
                <w:szCs w:val="20"/>
                <w:color w:val="auto"/>
              </w:rPr>
            </w:pPr>
            <w:r>
              <w:rPr>
                <w:rFonts w:ascii="Arial" w:cs="Arial" w:eastAsia="Arial" w:hAnsi="Arial"/>
                <w:sz w:val="14"/>
                <w:szCs w:val="14"/>
                <w:color w:val="auto"/>
              </w:rPr>
              <w:t>Parent</w:t>
            </w:r>
          </w:p>
        </w:tc>
        <w:tc>
          <w:tcPr>
            <w:tcW w:w="70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Parent</w:t>
            </w:r>
          </w:p>
        </w:tc>
        <w:tc>
          <w:tcPr>
            <w:tcW w:w="70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Parent</w:t>
            </w:r>
          </w:p>
        </w:tc>
        <w:tc>
          <w:tcPr>
            <w:tcW w:w="920" w:type="dxa"/>
            <w:vAlign w:val="bottom"/>
            <w:gridSpan w:val="2"/>
          </w:tcPr>
          <w:p>
            <w:pPr>
              <w:jc w:val="right"/>
              <w:ind w:right="192"/>
              <w:spacing w:after="0" w:line="159" w:lineRule="exact"/>
              <w:rPr>
                <w:sz w:val="20"/>
                <w:szCs w:val="20"/>
                <w:color w:val="auto"/>
              </w:rPr>
            </w:pPr>
            <w:r>
              <w:rPr>
                <w:rFonts w:ascii="Arial" w:cs="Arial" w:eastAsia="Arial" w:hAnsi="Arial"/>
                <w:sz w:val="14"/>
                <w:szCs w:val="14"/>
                <w:color w:val="auto"/>
              </w:rPr>
              <w:t>Parents</w:t>
            </w:r>
          </w:p>
        </w:tc>
        <w:tc>
          <w:tcPr>
            <w:tcW w:w="84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Holdings</w:t>
            </w:r>
          </w:p>
        </w:tc>
        <w:tc>
          <w:tcPr>
            <w:tcW w:w="98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Subsidiaries</w:t>
            </w:r>
          </w:p>
        </w:tc>
        <w:tc>
          <w:tcPr>
            <w:tcW w:w="112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920" w:type="dxa"/>
            <w:vAlign w:val="bottom"/>
            <w:gridSpan w:val="2"/>
          </w:tcPr>
          <w:p>
            <w:pPr>
              <w:jc w:val="right"/>
              <w:ind w:right="13"/>
              <w:spacing w:after="0" w:line="159" w:lineRule="exact"/>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3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36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36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8,389</w:t>
            </w:r>
          </w:p>
        </w:tc>
        <w:tc>
          <w:tcPr>
            <w:tcW w:w="34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8,389</w:t>
            </w:r>
          </w:p>
        </w:tc>
      </w:tr>
      <w:tr>
        <w:trPr>
          <w:trHeight w:val="216"/>
        </w:trPr>
        <w:tc>
          <w:tcPr>
            <w:tcW w:w="20" w:type="dxa"/>
            <w:vAlign w:val="bottom"/>
          </w:tcPr>
          <w:p>
            <w:pPr>
              <w:spacing w:after="0"/>
              <w:rPr>
                <w:sz w:val="18"/>
                <w:szCs w:val="18"/>
                <w:color w:val="auto"/>
              </w:rPr>
            </w:pPr>
          </w:p>
        </w:tc>
        <w:tc>
          <w:tcPr>
            <w:tcW w:w="43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3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168</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53</w:t>
            </w:r>
          </w:p>
        </w:tc>
        <w:tc>
          <w:tcPr>
            <w:tcW w:w="24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99</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99</w:t>
            </w:r>
          </w:p>
        </w:tc>
        <w:tc>
          <w:tcPr>
            <w:tcW w:w="30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(419)</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3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168</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53</w:t>
            </w: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99</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99</w:t>
            </w: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8,389</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(419)</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8,389</w:t>
            </w:r>
          </w:p>
        </w:tc>
      </w:tr>
      <w:tr>
        <w:trPr>
          <w:trHeight w:val="210"/>
        </w:trPr>
        <w:tc>
          <w:tcPr>
            <w:tcW w:w="20" w:type="dxa"/>
            <w:vAlign w:val="bottom"/>
          </w:tcPr>
          <w:p>
            <w:pPr>
              <w:spacing w:after="0"/>
              <w:rPr>
                <w:sz w:val="18"/>
                <w:szCs w:val="18"/>
                <w:color w:val="auto"/>
              </w:rPr>
            </w:pPr>
          </w:p>
        </w:tc>
        <w:tc>
          <w:tcPr>
            <w:tcW w:w="4300" w:type="dxa"/>
            <w:vAlign w:val="bottom"/>
            <w:shd w:val="clear" w:color="auto" w:fill="E5E5E5"/>
          </w:tcPr>
          <w:p>
            <w:pPr>
              <w:spacing w:after="0"/>
              <w:rPr>
                <w:sz w:val="20"/>
                <w:szCs w:val="20"/>
                <w:color w:val="auto"/>
              </w:rPr>
            </w:pPr>
            <w:r>
              <w:rPr>
                <w:rFonts w:ascii="Arial" w:cs="Arial" w:eastAsia="Arial" w:hAnsi="Arial"/>
                <w:sz w:val="18"/>
                <w:szCs w:val="18"/>
                <w:color w:val="auto"/>
              </w:rPr>
              <w:t>Costs and Expenses:</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w w:val="98"/>
              </w:rPr>
              <w:t>Operating (excluding depreciation and amortization)</w:t>
            </w:r>
          </w:p>
        </w:tc>
        <w:tc>
          <w:tcPr>
            <w:tcW w:w="36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3,361</w:t>
            </w:r>
          </w:p>
        </w:tc>
        <w:tc>
          <w:tcPr>
            <w:tcW w:w="3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3,361</w:t>
            </w:r>
          </w:p>
        </w:tc>
      </w:tr>
      <w:tr>
        <w:trPr>
          <w:trHeight w:val="216"/>
        </w:trPr>
        <w:tc>
          <w:tcPr>
            <w:tcW w:w="20" w:type="dxa"/>
            <w:vAlign w:val="bottom"/>
          </w:tcPr>
          <w:p>
            <w:pPr>
              <w:spacing w:after="0"/>
              <w:rPr>
                <w:sz w:val="18"/>
                <w:szCs w:val="18"/>
                <w:color w:val="auto"/>
              </w:rPr>
            </w:pPr>
          </w:p>
        </w:tc>
        <w:tc>
          <w:tcPr>
            <w:tcW w:w="43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84</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53</w:t>
            </w:r>
          </w:p>
        </w:tc>
        <w:tc>
          <w:tcPr>
            <w:tcW w:w="24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99</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99</w:t>
            </w:r>
          </w:p>
        </w:tc>
        <w:tc>
          <w:tcPr>
            <w:tcW w:w="30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4</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1,934</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(419)</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1,854</w:t>
            </w: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1,385</w:t>
            </w:r>
          </w:p>
        </w:tc>
        <w:tc>
          <w:tcPr>
            <w:tcW w:w="3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1,390</w:t>
            </w:r>
          </w:p>
        </w:tc>
      </w:tr>
      <w:tr>
        <w:trPr>
          <w:trHeight w:val="216"/>
        </w:trPr>
        <w:tc>
          <w:tcPr>
            <w:tcW w:w="20" w:type="dxa"/>
            <w:vAlign w:val="bottom"/>
          </w:tcPr>
          <w:p>
            <w:pPr>
              <w:spacing w:after="0"/>
              <w:rPr>
                <w:sz w:val="18"/>
                <w:szCs w:val="18"/>
                <w:color w:val="auto"/>
              </w:rPr>
            </w:pPr>
          </w:p>
        </w:tc>
        <w:tc>
          <w:tcPr>
            <w:tcW w:w="43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Amortization</w:t>
            </w:r>
          </w:p>
        </w:tc>
        <w:tc>
          <w:tcPr>
            <w:tcW w:w="3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229</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229</w:t>
            </w:r>
          </w:p>
        </w:tc>
      </w:tr>
      <w:tr>
        <w:trPr>
          <w:trHeight w:val="210"/>
        </w:trPr>
        <w:tc>
          <w:tcPr>
            <w:tcW w:w="20" w:type="dxa"/>
            <w:vAlign w:val="bottom"/>
          </w:tcPr>
          <w:p>
            <w:pPr>
              <w:spacing w:after="0"/>
              <w:rPr>
                <w:sz w:val="18"/>
                <w:szCs w:val="18"/>
                <w:color w:val="auto"/>
              </w:rPr>
            </w:pPr>
          </w:p>
        </w:tc>
        <w:tc>
          <w:tcPr>
            <w:tcW w:w="43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89</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53</w:t>
            </w: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99</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99</w:t>
            </w: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6,909</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(419)</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6,834</w:t>
            </w:r>
          </w:p>
        </w:tc>
      </w:tr>
      <w:tr>
        <w:trPr>
          <w:trHeight w:val="210"/>
        </w:trPr>
        <w:tc>
          <w:tcPr>
            <w:tcW w:w="20" w:type="dxa"/>
            <w:vAlign w:val="bottom"/>
          </w:tcPr>
          <w:p>
            <w:pPr>
              <w:spacing w:after="0"/>
              <w:rPr>
                <w:sz w:val="18"/>
                <w:szCs w:val="18"/>
                <w:color w:val="auto"/>
              </w:rPr>
            </w:pPr>
          </w:p>
        </w:tc>
        <w:tc>
          <w:tcPr>
            <w:tcW w:w="430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79</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(4)</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1,480</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1,555</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95"/>
              </w:rPr>
              <w:t>(323)</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99"/>
              </w:rPr>
              <w:t>(82)</w:t>
            </w:r>
          </w:p>
        </w:tc>
        <w:tc>
          <w:tcPr>
            <w:tcW w:w="24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93"/>
              </w:rPr>
              <w:t>(80)</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(56)</w:t>
            </w:r>
          </w:p>
        </w:tc>
        <w:tc>
          <w:tcPr>
            <w:tcW w:w="30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(43)</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(37)</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(621)</w:t>
            </w: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Investment income (loss), net</w:t>
            </w:r>
          </w:p>
        </w:tc>
        <w:tc>
          <w:tcPr>
            <w:tcW w:w="360" w:type="dxa"/>
            <w:vAlign w:val="bottom"/>
          </w:tcPr>
          <w:p>
            <w:pPr>
              <w:spacing w:after="0"/>
              <w:rPr>
                <w:sz w:val="18"/>
                <w:szCs w:val="18"/>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20" w:type="dxa"/>
            <w:vAlign w:val="bottom"/>
          </w:tcPr>
          <w:p>
            <w:pPr>
              <w:spacing w:after="0"/>
              <w:rPr>
                <w:sz w:val="18"/>
                <w:szCs w:val="18"/>
                <w:color w:val="auto"/>
              </w:rPr>
            </w:pPr>
          </w:p>
        </w:tc>
        <w:tc>
          <w:tcPr>
            <w:tcW w:w="43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Equity in net income (losses) of affiliates, net</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895</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86"/>
              </w:rPr>
              <w:t>407</w:t>
            </w:r>
          </w:p>
        </w:tc>
        <w:tc>
          <w:tcPr>
            <w:tcW w:w="24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6"/>
              </w:rPr>
              <w:t>659</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696</w:t>
            </w:r>
          </w:p>
        </w:tc>
        <w:tc>
          <w:tcPr>
            <w:tcW w:w="30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394</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(77)</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(3,009)</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43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income (expense)</w:t>
            </w:r>
          </w:p>
        </w:tc>
        <w:tc>
          <w:tcPr>
            <w:tcW w:w="3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268</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r>
      <w:tr>
        <w:trPr>
          <w:trHeight w:val="210"/>
        </w:trPr>
        <w:tc>
          <w:tcPr>
            <w:tcW w:w="20" w:type="dxa"/>
            <w:vAlign w:val="bottom"/>
          </w:tcPr>
          <w:p>
            <w:pPr>
              <w:spacing w:after="0"/>
              <w:rPr>
                <w:sz w:val="18"/>
                <w:szCs w:val="18"/>
                <w:color w:val="auto"/>
              </w:rPr>
            </w:pPr>
          </w:p>
        </w:tc>
        <w:tc>
          <w:tcPr>
            <w:tcW w:w="430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565</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86"/>
              </w:rPr>
              <w:t>325</w:t>
            </w:r>
          </w:p>
        </w:tc>
        <w:tc>
          <w:tcPr>
            <w:tcW w:w="24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w w:val="86"/>
              </w:rPr>
              <w:t>579</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640</w:t>
            </w:r>
          </w:p>
        </w:tc>
        <w:tc>
          <w:tcPr>
            <w:tcW w:w="30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372</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219</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(3,009)</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(309)</w:t>
            </w:r>
          </w:p>
        </w:tc>
      </w:tr>
      <w:tr>
        <w:trPr>
          <w:trHeight w:val="210"/>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36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644</w:t>
            </w:r>
          </w:p>
        </w:tc>
        <w:tc>
          <w:tcPr>
            <w:tcW w:w="22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w w:val="86"/>
              </w:rPr>
              <w:t>325</w:t>
            </w:r>
          </w:p>
        </w:tc>
        <w:tc>
          <w:tcPr>
            <w:tcW w:w="240" w:type="dxa"/>
            <w:vAlign w:val="bottom"/>
          </w:tcPr>
          <w:p>
            <w:pPr>
              <w:spacing w:after="0"/>
              <w:rPr>
                <w:sz w:val="18"/>
                <w:szCs w:val="18"/>
                <w:color w:val="auto"/>
              </w:rPr>
            </w:pPr>
          </w:p>
        </w:tc>
        <w:tc>
          <w:tcPr>
            <w:tcW w:w="460" w:type="dxa"/>
            <w:vAlign w:val="bottom"/>
          </w:tcPr>
          <w:p>
            <w:pPr>
              <w:jc w:val="right"/>
              <w:ind w:right="92"/>
              <w:spacing w:after="0"/>
              <w:rPr>
                <w:sz w:val="20"/>
                <w:szCs w:val="20"/>
                <w:color w:val="auto"/>
              </w:rPr>
            </w:pPr>
            <w:r>
              <w:rPr>
                <w:rFonts w:ascii="Arial" w:cs="Arial" w:eastAsia="Arial" w:hAnsi="Arial"/>
                <w:sz w:val="18"/>
                <w:szCs w:val="18"/>
                <w:color w:val="auto"/>
                <w:w w:val="86"/>
              </w:rPr>
              <w:t>579</w:t>
            </w:r>
          </w:p>
        </w:tc>
        <w:tc>
          <w:tcPr>
            <w:tcW w:w="34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640</w:t>
            </w:r>
          </w:p>
        </w:tc>
        <w:tc>
          <w:tcPr>
            <w:tcW w:w="30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368</w:t>
            </w:r>
          </w:p>
        </w:tc>
        <w:tc>
          <w:tcPr>
            <w:tcW w:w="26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1,699</w:t>
            </w:r>
          </w:p>
        </w:tc>
        <w:tc>
          <w:tcPr>
            <w:tcW w:w="34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(3,009)</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1,246</w:t>
            </w:r>
          </w:p>
        </w:tc>
      </w:tr>
      <w:tr>
        <w:trPr>
          <w:trHeight w:val="216"/>
        </w:trPr>
        <w:tc>
          <w:tcPr>
            <w:tcW w:w="20" w:type="dxa"/>
            <w:vAlign w:val="bottom"/>
          </w:tcPr>
          <w:p>
            <w:pPr>
              <w:spacing w:after="0"/>
              <w:rPr>
                <w:sz w:val="18"/>
                <w:szCs w:val="18"/>
                <w:color w:val="auto"/>
              </w:rPr>
            </w:pPr>
          </w:p>
        </w:tc>
        <w:tc>
          <w:tcPr>
            <w:tcW w:w="4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3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88</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27</w:t>
            </w:r>
          </w:p>
        </w:tc>
        <w:tc>
          <w:tcPr>
            <w:tcW w:w="24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28</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(679)</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(508)</w:t>
            </w:r>
          </w:p>
        </w:tc>
      </w:tr>
      <w:tr>
        <w:trPr>
          <w:trHeight w:val="210"/>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Net income (loss) from consolidated operations</w:t>
            </w:r>
          </w:p>
        </w:tc>
        <w:tc>
          <w:tcPr>
            <w:tcW w:w="36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732</w:t>
            </w:r>
          </w:p>
        </w:tc>
        <w:tc>
          <w:tcPr>
            <w:tcW w:w="22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w w:val="86"/>
              </w:rPr>
              <w:t>352</w:t>
            </w:r>
          </w:p>
        </w:tc>
        <w:tc>
          <w:tcPr>
            <w:tcW w:w="240" w:type="dxa"/>
            <w:vAlign w:val="bottom"/>
          </w:tcPr>
          <w:p>
            <w:pPr>
              <w:spacing w:after="0"/>
              <w:rPr>
                <w:sz w:val="18"/>
                <w:szCs w:val="18"/>
                <w:color w:val="auto"/>
              </w:rPr>
            </w:pPr>
          </w:p>
        </w:tc>
        <w:tc>
          <w:tcPr>
            <w:tcW w:w="460" w:type="dxa"/>
            <w:vAlign w:val="bottom"/>
          </w:tcPr>
          <w:p>
            <w:pPr>
              <w:jc w:val="right"/>
              <w:ind w:right="92"/>
              <w:spacing w:after="0"/>
              <w:rPr>
                <w:sz w:val="20"/>
                <w:szCs w:val="20"/>
                <w:color w:val="auto"/>
              </w:rPr>
            </w:pPr>
            <w:r>
              <w:rPr>
                <w:rFonts w:ascii="Arial" w:cs="Arial" w:eastAsia="Arial" w:hAnsi="Arial"/>
                <w:sz w:val="18"/>
                <w:szCs w:val="18"/>
                <w:color w:val="auto"/>
                <w:w w:val="86"/>
              </w:rPr>
              <w:t>607</w:t>
            </w:r>
          </w:p>
        </w:tc>
        <w:tc>
          <w:tcPr>
            <w:tcW w:w="34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659</w:t>
            </w:r>
          </w:p>
        </w:tc>
        <w:tc>
          <w:tcPr>
            <w:tcW w:w="30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377</w:t>
            </w:r>
          </w:p>
        </w:tc>
        <w:tc>
          <w:tcPr>
            <w:tcW w:w="26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1,020</w:t>
            </w:r>
          </w:p>
        </w:tc>
        <w:tc>
          <w:tcPr>
            <w:tcW w:w="34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(3,009)</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738</w:t>
            </w:r>
          </w:p>
        </w:tc>
      </w:tr>
      <w:tr>
        <w:trPr>
          <w:trHeight w:val="208"/>
        </w:trPr>
        <w:tc>
          <w:tcPr>
            <w:tcW w:w="20" w:type="dxa"/>
            <w:vAlign w:val="bottom"/>
          </w:tcPr>
          <w:p>
            <w:pPr>
              <w:spacing w:after="0"/>
              <w:rPr>
                <w:sz w:val="18"/>
                <w:szCs w:val="18"/>
                <w:color w:val="auto"/>
              </w:rPr>
            </w:pPr>
          </w:p>
        </w:tc>
        <w:tc>
          <w:tcPr>
            <w:tcW w:w="4300" w:type="dxa"/>
            <w:vAlign w:val="bottom"/>
            <w:shd w:val="clear" w:color="auto" w:fill="E5E5E5"/>
          </w:tcPr>
          <w:p>
            <w:pPr>
              <w:spacing w:after="0"/>
              <w:rPr>
                <w:sz w:val="20"/>
                <w:szCs w:val="20"/>
                <w:color w:val="auto"/>
              </w:rPr>
            </w:pPr>
            <w:r>
              <w:rPr>
                <w:rFonts w:ascii="Arial" w:cs="Arial" w:eastAsia="Arial" w:hAnsi="Arial"/>
                <w:sz w:val="18"/>
                <w:szCs w:val="18"/>
                <w:color w:val="auto"/>
              </w:rPr>
              <w:t>Less: Net income (loss) attributable to noncontrolling</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interests</w:t>
            </w:r>
          </w:p>
        </w:tc>
        <w:tc>
          <w:tcPr>
            <w:tcW w:w="360" w:type="dxa"/>
            <w:vAlign w:val="bottom"/>
            <w:tcBorders>
              <w:bottom w:val="single" w:sz="8" w:color="auto"/>
            </w:tcBorders>
            <w:shd w:val="clear" w:color="auto" w:fill="E5E5E5"/>
          </w:tcPr>
          <w:p>
            <w:pPr>
              <w:spacing w:after="0"/>
              <w:rPr>
                <w:sz w:val="19"/>
                <w:szCs w:val="19"/>
                <w:color w:val="auto"/>
              </w:rPr>
            </w:pP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9"/>
                <w:szCs w:val="19"/>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9"/>
                <w:szCs w:val="19"/>
                <w:color w:val="auto"/>
              </w:rPr>
            </w:pPr>
          </w:p>
        </w:tc>
        <w:tc>
          <w:tcPr>
            <w:tcW w:w="4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9"/>
                <w:szCs w:val="19"/>
                <w:color w:val="auto"/>
              </w:rPr>
            </w:pPr>
          </w:p>
        </w:tc>
        <w:tc>
          <w:tcPr>
            <w:tcW w:w="5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9"/>
                <w:szCs w:val="19"/>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6</w:t>
            </w:r>
          </w:p>
        </w:tc>
        <w:tc>
          <w:tcPr>
            <w:tcW w:w="340" w:type="dxa"/>
            <w:vAlign w:val="bottom"/>
            <w:tcBorders>
              <w:bottom w:val="single" w:sz="8" w:color="auto"/>
            </w:tcBorders>
            <w:shd w:val="clear" w:color="auto" w:fill="E5E5E5"/>
          </w:tcPr>
          <w:p>
            <w:pPr>
              <w:spacing w:after="0"/>
              <w:rPr>
                <w:sz w:val="19"/>
                <w:szCs w:val="19"/>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9"/>
                <w:szCs w:val="19"/>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w:t>
            </w:r>
          </w:p>
        </w:tc>
      </w:tr>
      <w:tr>
        <w:trPr>
          <w:trHeight w:val="218"/>
        </w:trPr>
        <w:tc>
          <w:tcPr>
            <w:tcW w:w="20" w:type="dxa"/>
            <w:vAlign w:val="bottom"/>
          </w:tcPr>
          <w:p>
            <w:pPr>
              <w:spacing w:after="0"/>
              <w:rPr>
                <w:sz w:val="18"/>
                <w:szCs w:val="18"/>
                <w:color w:val="auto"/>
              </w:rPr>
            </w:pP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Net income (loss) attributable to Comcast Corporation</w:t>
            </w:r>
          </w:p>
        </w:tc>
        <w:tc>
          <w:tcPr>
            <w:tcW w:w="3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732</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86"/>
              </w:rPr>
              <w:t>352</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6"/>
              </w:rPr>
              <w:t>607</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659</w:t>
            </w:r>
          </w:p>
        </w:tc>
        <w:tc>
          <w:tcPr>
            <w:tcW w:w="3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377</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1,014</w:t>
            </w:r>
          </w:p>
        </w:tc>
        <w:tc>
          <w:tcPr>
            <w:tcW w:w="34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(3,009)</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732</w:t>
            </w:r>
          </w:p>
        </w:tc>
      </w:tr>
      <w:tr>
        <w:trPr>
          <w:trHeight w:val="363"/>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jc w:val="center"/>
        <w:spacing w:after="0"/>
        <w:rPr>
          <w:sz w:val="20"/>
          <w:szCs w:val="20"/>
          <w:color w:val="auto"/>
        </w:rPr>
      </w:pPr>
      <w:r>
        <w:rPr>
          <w:rFonts w:ascii="Arial" w:cs="Arial" w:eastAsia="Arial" w:hAnsi="Arial"/>
          <w:sz w:val="18"/>
          <w:szCs w:val="18"/>
          <w:b w:val="1"/>
          <w:bCs w:val="1"/>
          <w:color w:val="auto"/>
        </w:rPr>
        <w:t>For the Three Months Ended March 31, 2009</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Combined</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ind w:right="313"/>
              <w:spacing w:after="0" w:line="149" w:lineRule="exact"/>
              <w:rPr>
                <w:sz w:val="20"/>
                <w:szCs w:val="20"/>
                <w:color w:val="auto"/>
              </w:rPr>
            </w:pPr>
            <w:r>
              <w:rPr>
                <w:rFonts w:ascii="Arial" w:cs="Arial" w:eastAsia="Arial" w:hAnsi="Arial"/>
                <w:sz w:val="14"/>
                <w:szCs w:val="14"/>
                <w:color w:val="auto"/>
                <w:w w:val="98"/>
              </w:rPr>
              <w:t>Non-</w:t>
            </w:r>
          </w:p>
        </w:tc>
        <w:tc>
          <w:tcPr>
            <w:tcW w:w="320" w:type="dxa"/>
            <w:vAlign w:val="bottom"/>
          </w:tcPr>
          <w:p>
            <w:pPr>
              <w:spacing w:after="0"/>
              <w:rPr>
                <w:sz w:val="12"/>
                <w:szCs w:val="12"/>
                <w:color w:val="auto"/>
              </w:rPr>
            </w:pPr>
          </w:p>
        </w:tc>
        <w:tc>
          <w:tcPr>
            <w:tcW w:w="720" w:type="dxa"/>
            <w:vAlign w:val="bottom"/>
          </w:tcPr>
          <w:p>
            <w:pPr>
              <w:jc w:val="center"/>
              <w:ind w:right="233"/>
              <w:spacing w:after="0" w:line="149" w:lineRule="exact"/>
              <w:rPr>
                <w:sz w:val="20"/>
                <w:szCs w:val="20"/>
                <w:color w:val="auto"/>
              </w:rPr>
            </w:pPr>
            <w:r>
              <w:rPr>
                <w:rFonts w:ascii="Arial" w:cs="Arial" w:eastAsia="Arial" w:hAnsi="Arial"/>
                <w:sz w:val="14"/>
                <w:szCs w:val="14"/>
                <w:color w:val="auto"/>
                <w:w w:val="85"/>
              </w:rPr>
              <w:t>and</w:t>
            </w:r>
          </w:p>
        </w:tc>
        <w:tc>
          <w:tcPr>
            <w:tcW w:w="92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Comcast</w:t>
            </w:r>
          </w:p>
        </w:tc>
        <w:tc>
          <w:tcPr>
            <w:tcW w:w="7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CCCL</w:t>
            </w:r>
          </w:p>
        </w:tc>
        <w:tc>
          <w:tcPr>
            <w:tcW w:w="7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CCCH</w:t>
            </w:r>
          </w:p>
        </w:tc>
        <w:tc>
          <w:tcPr>
            <w:tcW w:w="90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CCHMO</w:t>
            </w:r>
          </w:p>
        </w:tc>
        <w:tc>
          <w:tcPr>
            <w:tcW w:w="8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Comcast</w:t>
            </w:r>
          </w:p>
        </w:tc>
        <w:tc>
          <w:tcPr>
            <w:tcW w:w="1000" w:type="dxa"/>
            <w:vAlign w:val="bottom"/>
            <w:gridSpan w:val="2"/>
          </w:tcPr>
          <w:p>
            <w:pPr>
              <w:jc w:val="right"/>
              <w:ind w:right="173"/>
              <w:spacing w:after="0" w:line="149" w:lineRule="exact"/>
              <w:rPr>
                <w:sz w:val="20"/>
                <w:szCs w:val="20"/>
                <w:color w:val="auto"/>
              </w:rPr>
            </w:pPr>
            <w:r>
              <w:rPr>
                <w:rFonts w:ascii="Arial" w:cs="Arial" w:eastAsia="Arial" w:hAnsi="Arial"/>
                <w:sz w:val="14"/>
                <w:szCs w:val="14"/>
                <w:color w:val="auto"/>
              </w:rPr>
              <w:t>Guarantor</w:t>
            </w:r>
          </w:p>
        </w:tc>
        <w:tc>
          <w:tcPr>
            <w:tcW w:w="1040" w:type="dxa"/>
            <w:vAlign w:val="bottom"/>
            <w:gridSpan w:val="2"/>
          </w:tcPr>
          <w:p>
            <w:pPr>
              <w:jc w:val="right"/>
              <w:ind w:right="53"/>
              <w:spacing w:after="0" w:line="149" w:lineRule="exact"/>
              <w:rPr>
                <w:sz w:val="20"/>
                <w:szCs w:val="20"/>
                <w:color w:val="auto"/>
              </w:rPr>
            </w:pPr>
            <w:r>
              <w:rPr>
                <w:rFonts w:ascii="Arial" w:cs="Arial" w:eastAsia="Arial" w:hAnsi="Arial"/>
                <w:sz w:val="14"/>
                <w:szCs w:val="14"/>
                <w:color w:val="auto"/>
              </w:rPr>
              <w:t>Consolidation</w:t>
            </w:r>
          </w:p>
        </w:tc>
        <w:tc>
          <w:tcPr>
            <w:tcW w:w="240" w:type="dxa"/>
            <w:vAlign w:val="bottom"/>
          </w:tcPr>
          <w:p>
            <w:pPr>
              <w:spacing w:after="0"/>
              <w:rPr>
                <w:sz w:val="12"/>
                <w:szCs w:val="12"/>
                <w:color w:val="auto"/>
              </w:rPr>
            </w:pPr>
          </w:p>
        </w:tc>
        <w:tc>
          <w:tcPr>
            <w:tcW w:w="680" w:type="dxa"/>
            <w:vAlign w:val="bottom"/>
          </w:tcPr>
          <w:p>
            <w:pPr>
              <w:jc w:val="right"/>
              <w:ind w:right="93"/>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420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100" w:type="dxa"/>
            <w:vAlign w:val="bottom"/>
            <w:gridSpan w:val="2"/>
          </w:tcPr>
          <w:p>
            <w:pPr>
              <w:jc w:val="right"/>
              <w:ind w:right="172"/>
              <w:spacing w:after="0" w:line="159" w:lineRule="exact"/>
              <w:rPr>
                <w:sz w:val="20"/>
                <w:szCs w:val="20"/>
                <w:color w:val="auto"/>
              </w:rPr>
            </w:pPr>
            <w:r>
              <w:rPr>
                <w:rFonts w:ascii="Arial" w:cs="Arial" w:eastAsia="Arial" w:hAnsi="Arial"/>
                <w:sz w:val="14"/>
                <w:szCs w:val="14"/>
                <w:color w:val="auto"/>
              </w:rPr>
              <w:t>Parent</w:t>
            </w:r>
          </w:p>
        </w:tc>
        <w:tc>
          <w:tcPr>
            <w:tcW w:w="70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Parent</w:t>
            </w:r>
          </w:p>
        </w:tc>
        <w:tc>
          <w:tcPr>
            <w:tcW w:w="72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Parent</w:t>
            </w:r>
          </w:p>
        </w:tc>
        <w:tc>
          <w:tcPr>
            <w:tcW w:w="900" w:type="dxa"/>
            <w:vAlign w:val="bottom"/>
            <w:gridSpan w:val="2"/>
          </w:tcPr>
          <w:p>
            <w:pPr>
              <w:jc w:val="right"/>
              <w:ind w:right="192"/>
              <w:spacing w:after="0" w:line="159" w:lineRule="exact"/>
              <w:rPr>
                <w:sz w:val="20"/>
                <w:szCs w:val="20"/>
                <w:color w:val="auto"/>
              </w:rPr>
            </w:pPr>
            <w:r>
              <w:rPr>
                <w:rFonts w:ascii="Arial" w:cs="Arial" w:eastAsia="Arial" w:hAnsi="Arial"/>
                <w:sz w:val="14"/>
                <w:szCs w:val="14"/>
                <w:color w:val="auto"/>
              </w:rPr>
              <w:t>Parents</w:t>
            </w:r>
          </w:p>
        </w:tc>
        <w:tc>
          <w:tcPr>
            <w:tcW w:w="84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Holdings</w:t>
            </w:r>
          </w:p>
        </w:tc>
        <w:tc>
          <w:tcPr>
            <w:tcW w:w="100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Subsidiaries</w:t>
            </w:r>
          </w:p>
        </w:tc>
        <w:tc>
          <w:tcPr>
            <w:tcW w:w="104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920" w:type="dxa"/>
            <w:vAlign w:val="bottom"/>
            <w:gridSpan w:val="2"/>
          </w:tcPr>
          <w:p>
            <w:pPr>
              <w:jc w:val="right"/>
              <w:ind w:right="13"/>
              <w:spacing w:after="0" w:line="159" w:lineRule="exact"/>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180" w:type="dxa"/>
            <w:vAlign w:val="bottom"/>
            <w:tcBorders>
              <w:top w:val="single" w:sz="8" w:color="auto"/>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w w:val="99"/>
              </w:rPr>
              <w:t>Net cash provided by (used in) operating activities</w:t>
            </w:r>
          </w:p>
        </w:tc>
        <w:tc>
          <w:tcPr>
            <w:tcW w:w="540" w:type="dxa"/>
            <w:vAlign w:val="bottom"/>
            <w:tcBorders>
              <w:top w:val="single" w:sz="8" w:color="auto"/>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w w:val="95"/>
              </w:rPr>
              <w:t>(154)</w:t>
            </w:r>
          </w:p>
        </w:tc>
        <w:tc>
          <w:tcPr>
            <w:tcW w:w="240" w:type="dxa"/>
            <w:vAlign w:val="bottom"/>
            <w:tcBorders>
              <w:top w:val="single" w:sz="8" w:color="auto"/>
              <w:bottom w:val="single" w:sz="8" w:color="auto"/>
            </w:tcBorders>
            <w:shd w:val="clear" w:color="auto" w:fill="E5E5E5"/>
          </w:tcPr>
          <w:p>
            <w:pPr>
              <w:ind w:left="14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E5E5E5"/>
          </w:tcPr>
          <w:p>
            <w:pPr>
              <w:jc w:val="center"/>
              <w:ind w:right="32"/>
              <w:spacing w:after="0"/>
              <w:rPr>
                <w:sz w:val="20"/>
                <w:szCs w:val="20"/>
                <w:color w:val="auto"/>
              </w:rPr>
            </w:pPr>
            <w:r>
              <w:rPr>
                <w:rFonts w:ascii="Arial" w:cs="Arial" w:eastAsia="Arial" w:hAnsi="Arial"/>
                <w:sz w:val="18"/>
                <w:szCs w:val="18"/>
                <w:color w:val="auto"/>
                <w:w w:val="93"/>
              </w:rPr>
              <w:t>(39)</w:t>
            </w:r>
          </w:p>
        </w:tc>
        <w:tc>
          <w:tcPr>
            <w:tcW w:w="240" w:type="dxa"/>
            <w:vAlign w:val="bottom"/>
            <w:tcBorders>
              <w:top w:val="single" w:sz="8" w:color="auto"/>
              <w:bottom w:val="single" w:sz="8" w:color="auto"/>
            </w:tcBorders>
            <w:shd w:val="clear" w:color="auto" w:fill="E5E5E5"/>
          </w:tcPr>
          <w:p>
            <w:pPr>
              <w:ind w:left="14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w w:val="99"/>
              </w:rPr>
              <w:t>(65)</w:t>
            </w:r>
          </w:p>
        </w:tc>
        <w:tc>
          <w:tcPr>
            <w:tcW w:w="340" w:type="dxa"/>
            <w:vAlign w:val="bottom"/>
            <w:tcBorders>
              <w:top w:val="single" w:sz="8" w:color="auto"/>
              <w:bottom w:val="single" w:sz="8" w:color="auto"/>
            </w:tcBorders>
            <w:shd w:val="clear" w:color="auto" w:fill="E5E5E5"/>
          </w:tcPr>
          <w:p>
            <w:pPr>
              <w:ind w:left="14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(87)</w:t>
            </w:r>
          </w:p>
        </w:tc>
        <w:tc>
          <w:tcPr>
            <w:tcW w:w="280" w:type="dxa"/>
            <w:vAlign w:val="bottom"/>
            <w:tcBorders>
              <w:top w:val="single" w:sz="8" w:color="auto"/>
              <w:bottom w:val="single" w:sz="8" w:color="auto"/>
            </w:tcBorders>
            <w:shd w:val="clear" w:color="auto" w:fill="E5E5E5"/>
          </w:tcPr>
          <w:p>
            <w:pPr>
              <w:ind w:left="14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(24)</w:t>
            </w:r>
          </w:p>
        </w:tc>
        <w:tc>
          <w:tcPr>
            <w:tcW w:w="280" w:type="dxa"/>
            <w:vAlign w:val="bottom"/>
            <w:tcBorders>
              <w:top w:val="single" w:sz="8" w:color="auto"/>
              <w:bottom w:val="single" w:sz="8" w:color="auto"/>
            </w:tcBorders>
            <w:shd w:val="clear" w:color="auto" w:fill="E5E5E5"/>
          </w:tcPr>
          <w:p>
            <w:pPr>
              <w:ind w:left="14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2,881</w:t>
            </w:r>
          </w:p>
        </w:tc>
        <w:tc>
          <w:tcPr>
            <w:tcW w:w="320" w:type="dxa"/>
            <w:vAlign w:val="bottom"/>
            <w:tcBorders>
              <w:top w:val="single" w:sz="8" w:color="auto"/>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shd w:val="clear" w:color="auto" w:fill="E5E5E5"/>
          </w:tcPr>
          <w:p>
            <w:pPr>
              <w:ind w:left="14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2,512</w:t>
            </w: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Financing Activities:</w:t>
            </w: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borrowings</w:t>
            </w:r>
          </w:p>
        </w:tc>
        <w:tc>
          <w:tcPr>
            <w:tcW w:w="5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460" w:type="dxa"/>
            <w:vAlign w:val="bottom"/>
            <w:shd w:val="clear" w:color="auto" w:fill="E5E5E5"/>
          </w:tcPr>
          <w:p>
            <w:pPr>
              <w:jc w:val="center"/>
              <w:ind w:right="32"/>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20</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Repurchases and repayments of debt</w:t>
            </w:r>
          </w:p>
        </w:tc>
        <w:tc>
          <w:tcPr>
            <w:tcW w:w="540" w:type="dxa"/>
            <w:vAlign w:val="bottom"/>
          </w:tcPr>
          <w:p>
            <w:pPr>
              <w:spacing w:after="0"/>
              <w:rPr>
                <w:sz w:val="18"/>
                <w:szCs w:val="18"/>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460" w:type="dxa"/>
            <w:vAlign w:val="bottom"/>
          </w:tcPr>
          <w:p>
            <w:pPr>
              <w:jc w:val="center"/>
              <w:ind w:right="32"/>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480" w:type="dxa"/>
            <w:vAlign w:val="bottom"/>
          </w:tcPr>
          <w:p>
            <w:pPr>
              <w:jc w:val="right"/>
              <w:ind w:right="52"/>
              <w:spacing w:after="0"/>
              <w:rPr>
                <w:sz w:val="20"/>
                <w:szCs w:val="20"/>
                <w:color w:val="auto"/>
              </w:rPr>
            </w:pPr>
            <w:r>
              <w:rPr>
                <w:rFonts w:ascii="Arial" w:cs="Arial" w:eastAsia="Arial" w:hAnsi="Arial"/>
                <w:sz w:val="18"/>
                <w:szCs w:val="18"/>
                <w:color w:val="auto"/>
                <w:w w:val="99"/>
              </w:rPr>
              <w:t>(55)</w:t>
            </w:r>
          </w:p>
        </w:tc>
        <w:tc>
          <w:tcPr>
            <w:tcW w:w="34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w w:val="95"/>
              </w:rPr>
              <w:t>(257)</w:t>
            </w:r>
          </w:p>
        </w:tc>
        <w:tc>
          <w:tcPr>
            <w:tcW w:w="2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16"/>
        </w:trPr>
        <w:tc>
          <w:tcPr>
            <w:tcW w:w="20" w:type="dxa"/>
            <w:vAlign w:val="bottom"/>
          </w:tcPr>
          <w:p>
            <w:pPr>
              <w:spacing w:after="0"/>
              <w:rPr>
                <w:sz w:val="18"/>
                <w:szCs w:val="18"/>
                <w:color w:val="auto"/>
              </w:rPr>
            </w:pPr>
          </w:p>
        </w:tc>
        <w:tc>
          <w:tcPr>
            <w:tcW w:w="41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Repurchases of common stock</w:t>
            </w:r>
          </w:p>
        </w:tc>
        <w:tc>
          <w:tcPr>
            <w:tcW w:w="5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460" w:type="dxa"/>
            <w:vAlign w:val="bottom"/>
            <w:shd w:val="clear" w:color="auto" w:fill="E5E5E5"/>
          </w:tcPr>
          <w:p>
            <w:pPr>
              <w:jc w:val="center"/>
              <w:ind w:right="32"/>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Dividends paid</w:t>
            </w:r>
          </w:p>
        </w:tc>
        <w:tc>
          <w:tcPr>
            <w:tcW w:w="540" w:type="dxa"/>
            <w:vAlign w:val="bottom"/>
          </w:tcPr>
          <w:p>
            <w:pPr>
              <w:spacing w:after="0"/>
              <w:rPr>
                <w:sz w:val="18"/>
                <w:szCs w:val="18"/>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w w:val="95"/>
              </w:rPr>
              <w:t>(180)</w:t>
            </w:r>
          </w:p>
        </w:tc>
        <w:tc>
          <w:tcPr>
            <w:tcW w:w="240" w:type="dxa"/>
            <w:vAlign w:val="bottom"/>
          </w:tcPr>
          <w:p>
            <w:pPr>
              <w:spacing w:after="0"/>
              <w:rPr>
                <w:sz w:val="18"/>
                <w:szCs w:val="18"/>
                <w:color w:val="auto"/>
              </w:rPr>
            </w:pPr>
          </w:p>
        </w:tc>
        <w:tc>
          <w:tcPr>
            <w:tcW w:w="460" w:type="dxa"/>
            <w:vAlign w:val="bottom"/>
          </w:tcPr>
          <w:p>
            <w:pPr>
              <w:jc w:val="center"/>
              <w:ind w:right="32"/>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16"/>
        </w:trPr>
        <w:tc>
          <w:tcPr>
            <w:tcW w:w="20" w:type="dxa"/>
            <w:vAlign w:val="bottom"/>
          </w:tcPr>
          <w:p>
            <w:pPr>
              <w:spacing w:after="0"/>
              <w:rPr>
                <w:sz w:val="18"/>
                <w:szCs w:val="18"/>
                <w:color w:val="auto"/>
              </w:rPr>
            </w:pPr>
          </w:p>
        </w:tc>
        <w:tc>
          <w:tcPr>
            <w:tcW w:w="41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Issuances of common stock</w:t>
            </w:r>
          </w:p>
        </w:tc>
        <w:tc>
          <w:tcPr>
            <w:tcW w:w="5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460" w:type="dxa"/>
            <w:vAlign w:val="bottom"/>
            <w:shd w:val="clear" w:color="auto" w:fill="E5E5E5"/>
          </w:tcPr>
          <w:p>
            <w:pPr>
              <w:jc w:val="center"/>
              <w:ind w:right="32"/>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1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Net cash provided by (used in) financing activities</w:t>
            </w:r>
          </w:p>
        </w:tc>
        <w:tc>
          <w:tcPr>
            <w:tcW w:w="5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w w:val="95"/>
              </w:rPr>
              <w:t>(210)</w:t>
            </w:r>
          </w:p>
        </w:tc>
        <w:tc>
          <w:tcPr>
            <w:tcW w:w="24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center"/>
              <w:ind w:right="32"/>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w w:val="99"/>
              </w:rPr>
              <w:t>(55)</w:t>
            </w:r>
          </w:p>
        </w:tc>
        <w:tc>
          <w:tcPr>
            <w:tcW w:w="3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w w:val="95"/>
              </w:rPr>
              <w:t>(257)</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10</w:t>
            </w:r>
          </w:p>
        </w:tc>
        <w:tc>
          <w:tcPr>
            <w:tcW w:w="3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(512)</w:t>
            </w: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Investing Activities:</w:t>
            </w: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 transactions with affiliates</w:t>
            </w:r>
          </w:p>
        </w:tc>
        <w:tc>
          <w:tcPr>
            <w:tcW w:w="5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383</w:t>
            </w:r>
          </w:p>
        </w:tc>
        <w:tc>
          <w:tcPr>
            <w:tcW w:w="240" w:type="dxa"/>
            <w:vAlign w:val="bottom"/>
            <w:shd w:val="clear" w:color="auto" w:fill="E5E5E5"/>
          </w:tcPr>
          <w:p>
            <w:pPr>
              <w:spacing w:after="0"/>
              <w:rPr>
                <w:sz w:val="18"/>
                <w:szCs w:val="18"/>
                <w:color w:val="auto"/>
              </w:rPr>
            </w:pPr>
          </w:p>
        </w:tc>
        <w:tc>
          <w:tcPr>
            <w:tcW w:w="460" w:type="dxa"/>
            <w:vAlign w:val="bottom"/>
            <w:shd w:val="clear" w:color="auto" w:fill="E5E5E5"/>
          </w:tcPr>
          <w:p>
            <w:pPr>
              <w:jc w:val="center"/>
              <w:ind w:right="32"/>
              <w:spacing w:after="0"/>
              <w:rPr>
                <w:sz w:val="20"/>
                <w:szCs w:val="20"/>
                <w:color w:val="auto"/>
              </w:rPr>
            </w:pPr>
            <w:r>
              <w:rPr>
                <w:rFonts w:ascii="Arial" w:cs="Arial" w:eastAsia="Arial" w:hAnsi="Arial"/>
                <w:sz w:val="18"/>
                <w:szCs w:val="18"/>
                <w:color w:val="auto"/>
                <w:w w:val="89"/>
              </w:rPr>
              <w:t>39</w:t>
            </w:r>
          </w:p>
        </w:tc>
        <w:tc>
          <w:tcPr>
            <w:tcW w:w="24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86"/>
              </w:rPr>
              <w:t>120</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87</w:t>
            </w:r>
          </w:p>
        </w:tc>
        <w:tc>
          <w:tcPr>
            <w:tcW w:w="2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281</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(910)</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540" w:type="dxa"/>
            <w:vAlign w:val="bottom"/>
          </w:tcPr>
          <w:p>
            <w:pPr>
              <w:spacing w:after="0"/>
              <w:rPr>
                <w:sz w:val="18"/>
                <w:szCs w:val="18"/>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460" w:type="dxa"/>
            <w:vAlign w:val="bottom"/>
          </w:tcPr>
          <w:p>
            <w:pPr>
              <w:jc w:val="center"/>
              <w:ind w:right="32"/>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w w:val="98"/>
              </w:rPr>
              <w:t>(1,141)</w:t>
            </w:r>
          </w:p>
        </w:tc>
        <w:tc>
          <w:tcPr>
            <w:tcW w:w="32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(1,160)</w:t>
            </w:r>
          </w:p>
        </w:tc>
      </w:tr>
      <w:tr>
        <w:trPr>
          <w:trHeight w:val="216"/>
        </w:trPr>
        <w:tc>
          <w:tcPr>
            <w:tcW w:w="20" w:type="dxa"/>
            <w:vAlign w:val="bottom"/>
          </w:tcPr>
          <w:p>
            <w:pPr>
              <w:spacing w:after="0"/>
              <w:rPr>
                <w:sz w:val="18"/>
                <w:szCs w:val="18"/>
                <w:color w:val="auto"/>
              </w:rPr>
            </w:pPr>
          </w:p>
        </w:tc>
        <w:tc>
          <w:tcPr>
            <w:tcW w:w="41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intangible assets</w:t>
            </w:r>
          </w:p>
        </w:tc>
        <w:tc>
          <w:tcPr>
            <w:tcW w:w="5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460" w:type="dxa"/>
            <w:vAlign w:val="bottom"/>
            <w:shd w:val="clear" w:color="auto" w:fill="E5E5E5"/>
          </w:tcPr>
          <w:p>
            <w:pPr>
              <w:jc w:val="center"/>
              <w:ind w:right="32"/>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(133)</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2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54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60" w:type="dxa"/>
            <w:vAlign w:val="bottom"/>
          </w:tcPr>
          <w:p>
            <w:pPr>
              <w:jc w:val="center"/>
              <w:ind w:right="32"/>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41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sales of investments</w:t>
            </w:r>
          </w:p>
        </w:tc>
        <w:tc>
          <w:tcPr>
            <w:tcW w:w="5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460" w:type="dxa"/>
            <w:vAlign w:val="bottom"/>
            <w:shd w:val="clear" w:color="auto" w:fill="E5E5E5"/>
          </w:tcPr>
          <w:p>
            <w:pPr>
              <w:jc w:val="center"/>
              <w:ind w:right="32"/>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7</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54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60" w:type="dxa"/>
            <w:vAlign w:val="bottom"/>
          </w:tcPr>
          <w:p>
            <w:pPr>
              <w:jc w:val="center"/>
              <w:ind w:right="32"/>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20" w:type="dxa"/>
            <w:vAlign w:val="bottom"/>
          </w:tcPr>
          <w:p>
            <w:pPr>
              <w:spacing w:after="0"/>
              <w:rPr>
                <w:sz w:val="18"/>
                <w:szCs w:val="18"/>
                <w:color w:val="auto"/>
              </w:rPr>
            </w:pPr>
          </w:p>
        </w:tc>
        <w:tc>
          <w:tcPr>
            <w:tcW w:w="41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center"/>
              <w:ind w:right="32"/>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24</w:t>
            </w:r>
          </w:p>
        </w:tc>
        <w:tc>
          <w:tcPr>
            <w:tcW w:w="3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24</w:t>
            </w:r>
          </w:p>
        </w:tc>
      </w:tr>
      <w:tr>
        <w:trPr>
          <w:trHeight w:val="210"/>
        </w:trPr>
        <w:tc>
          <w:tcPr>
            <w:tcW w:w="20" w:type="dxa"/>
            <w:vAlign w:val="bottom"/>
          </w:tcPr>
          <w:p>
            <w:pPr>
              <w:spacing w:after="0"/>
              <w:rPr>
                <w:sz w:val="18"/>
                <w:szCs w:val="18"/>
                <w:color w:val="auto"/>
              </w:rPr>
            </w:pPr>
          </w:p>
        </w:tc>
        <w:tc>
          <w:tcPr>
            <w:tcW w:w="41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Net cash provided by (used in) investing activities</w:t>
            </w:r>
          </w:p>
        </w:tc>
        <w:tc>
          <w:tcPr>
            <w:tcW w:w="5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364</w:t>
            </w: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9"/>
              </w:rPr>
              <w:t>39</w:t>
            </w:r>
          </w:p>
        </w:tc>
        <w:tc>
          <w:tcPr>
            <w:tcW w:w="2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86"/>
              </w:rPr>
              <w:t>120</w:t>
            </w: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87</w:t>
            </w: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281</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8"/>
              </w:rPr>
              <w:t>(2,207)</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w:t>
            </w:r>
          </w:p>
        </w:tc>
      </w:tr>
      <w:tr>
        <w:trPr>
          <w:trHeight w:val="210"/>
        </w:trPr>
        <w:tc>
          <w:tcPr>
            <w:tcW w:w="20" w:type="dxa"/>
            <w:vAlign w:val="bottom"/>
          </w:tcPr>
          <w:p>
            <w:pPr>
              <w:spacing w:after="0"/>
              <w:rPr>
                <w:sz w:val="18"/>
                <w:szCs w:val="18"/>
                <w:color w:val="auto"/>
              </w:rPr>
            </w:pPr>
          </w:p>
        </w:tc>
        <w:tc>
          <w:tcPr>
            <w:tcW w:w="4180" w:type="dxa"/>
            <w:vAlign w:val="bottom"/>
            <w:shd w:val="clear" w:color="auto" w:fill="E5E5E5"/>
          </w:tcPr>
          <w:p>
            <w:pPr>
              <w:spacing w:after="0"/>
              <w:rPr>
                <w:sz w:val="20"/>
                <w:szCs w:val="20"/>
                <w:color w:val="auto"/>
              </w:rPr>
            </w:pPr>
            <w:r>
              <w:rPr>
                <w:rFonts w:ascii="Arial" w:cs="Arial" w:eastAsia="Arial" w:hAnsi="Arial"/>
                <w:sz w:val="18"/>
                <w:szCs w:val="18"/>
                <w:color w:val="auto"/>
              </w:rPr>
              <w:t>Increase (decrease) in cash and cash equivalents</w:t>
            </w:r>
          </w:p>
        </w:tc>
        <w:tc>
          <w:tcPr>
            <w:tcW w:w="5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460" w:type="dxa"/>
            <w:vAlign w:val="bottom"/>
            <w:shd w:val="clear" w:color="auto" w:fill="E5E5E5"/>
          </w:tcPr>
          <w:p>
            <w:pPr>
              <w:jc w:val="center"/>
              <w:ind w:right="32"/>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684</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684</w:t>
            </w:r>
          </w:p>
        </w:tc>
      </w:tr>
      <w:tr>
        <w:trPr>
          <w:trHeight w:val="216"/>
        </w:trPr>
        <w:tc>
          <w:tcPr>
            <w:tcW w:w="20" w:type="dxa"/>
            <w:vAlign w:val="bottom"/>
          </w:tcPr>
          <w:p>
            <w:pPr>
              <w:spacing w:after="0"/>
              <w:rPr>
                <w:sz w:val="18"/>
                <w:szCs w:val="18"/>
                <w:color w:val="auto"/>
              </w:rPr>
            </w:pP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5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1,195</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w:t>
            </w:r>
          </w:p>
        </w:tc>
      </w:tr>
      <w:tr>
        <w:trPr>
          <w:trHeight w:val="217"/>
        </w:trPr>
        <w:tc>
          <w:tcPr>
            <w:tcW w:w="20" w:type="dxa"/>
            <w:vAlign w:val="bottom"/>
          </w:tcPr>
          <w:p>
            <w:pPr>
              <w:spacing w:after="0"/>
              <w:rPr>
                <w:sz w:val="18"/>
                <w:szCs w:val="18"/>
                <w:color w:val="auto"/>
              </w:rPr>
            </w:pPr>
          </w:p>
        </w:tc>
        <w:tc>
          <w:tcPr>
            <w:tcW w:w="41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54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shd w:val="clear" w:color="auto" w:fill="E5E5E5"/>
          </w:tcPr>
          <w:p>
            <w:pPr>
              <w:jc w:val="center"/>
              <w:ind w:right="32"/>
              <w:spacing w:after="0"/>
              <w:rPr>
                <w:sz w:val="20"/>
                <w:szCs w:val="20"/>
                <w:color w:val="auto"/>
              </w:rPr>
            </w:pPr>
            <w:r>
              <w:rPr>
                <w:rFonts w:ascii="Arial" w:cs="Arial" w:eastAsia="Arial" w:hAnsi="Arial"/>
                <w:sz w:val="18"/>
                <w:szCs w:val="18"/>
                <w:b w:val="1"/>
                <w:bCs w:val="1"/>
                <w:color w:val="auto"/>
                <w:w w:val="99"/>
              </w:rPr>
              <w:t>—</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b w:val="1"/>
                <w:bCs w:val="1"/>
                <w:color w:val="auto"/>
              </w:rPr>
              <w:t>1,879</w:t>
            </w:r>
          </w:p>
        </w:tc>
        <w:tc>
          <w:tcPr>
            <w:tcW w:w="32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1,879</w:t>
            </w:r>
          </w:p>
        </w:tc>
      </w:tr>
      <w:tr>
        <w:trPr>
          <w:trHeight w:val="363"/>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jc w:val="center"/>
              <w:ind w:right="12"/>
              <w:spacing w:after="0"/>
              <w:rPr>
                <w:sz w:val="20"/>
                <w:szCs w:val="20"/>
                <w:color w:val="auto"/>
              </w:rPr>
            </w:pPr>
            <w:r>
              <w:rPr>
                <w:rFonts w:ascii="Arial" w:cs="Arial" w:eastAsia="Arial" w:hAnsi="Arial"/>
                <w:sz w:val="18"/>
                <w:szCs w:val="18"/>
                <w:color w:val="auto"/>
                <w:w w:val="99"/>
              </w:rPr>
              <w:t>20</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jc w:val="center"/>
        <w:spacing w:after="0"/>
        <w:rPr>
          <w:sz w:val="20"/>
          <w:szCs w:val="20"/>
          <w:color w:val="auto"/>
        </w:rPr>
      </w:pPr>
      <w:r>
        <w:rPr>
          <w:rFonts w:ascii="Arial" w:cs="Arial" w:eastAsia="Arial" w:hAnsi="Arial"/>
          <w:sz w:val="18"/>
          <w:szCs w:val="18"/>
          <w:b w:val="1"/>
          <w:bCs w:val="1"/>
          <w:color w:val="auto"/>
        </w:rPr>
        <w:t>For the Three Months Ended March 31, 2008</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Combined</w:t>
            </w: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ind w:right="313"/>
              <w:spacing w:after="0" w:line="149" w:lineRule="exact"/>
              <w:rPr>
                <w:sz w:val="20"/>
                <w:szCs w:val="20"/>
                <w:color w:val="auto"/>
              </w:rPr>
            </w:pPr>
            <w:r>
              <w:rPr>
                <w:rFonts w:ascii="Arial" w:cs="Arial" w:eastAsia="Arial" w:hAnsi="Arial"/>
                <w:sz w:val="14"/>
                <w:szCs w:val="14"/>
                <w:color w:val="auto"/>
                <w:w w:val="98"/>
              </w:rPr>
              <w:t>Non-</w:t>
            </w:r>
          </w:p>
        </w:tc>
        <w:tc>
          <w:tcPr>
            <w:tcW w:w="320" w:type="dxa"/>
            <w:vAlign w:val="bottom"/>
          </w:tcPr>
          <w:p>
            <w:pPr>
              <w:spacing w:after="0"/>
              <w:rPr>
                <w:sz w:val="12"/>
                <w:szCs w:val="12"/>
                <w:color w:val="auto"/>
              </w:rPr>
            </w:pPr>
          </w:p>
        </w:tc>
        <w:tc>
          <w:tcPr>
            <w:tcW w:w="720" w:type="dxa"/>
            <w:vAlign w:val="bottom"/>
          </w:tcPr>
          <w:p>
            <w:pPr>
              <w:jc w:val="center"/>
              <w:ind w:right="233"/>
              <w:spacing w:after="0" w:line="149" w:lineRule="exact"/>
              <w:rPr>
                <w:sz w:val="20"/>
                <w:szCs w:val="20"/>
                <w:color w:val="auto"/>
              </w:rPr>
            </w:pPr>
            <w:r>
              <w:rPr>
                <w:rFonts w:ascii="Arial" w:cs="Arial" w:eastAsia="Arial" w:hAnsi="Arial"/>
                <w:sz w:val="14"/>
                <w:szCs w:val="14"/>
                <w:color w:val="auto"/>
                <w:w w:val="85"/>
              </w:rPr>
              <w:t>and</w:t>
            </w:r>
          </w:p>
        </w:tc>
        <w:tc>
          <w:tcPr>
            <w:tcW w:w="92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100" w:type="dxa"/>
            <w:vAlign w:val="bottom"/>
            <w:gridSpan w:val="2"/>
          </w:tcPr>
          <w:p>
            <w:pPr>
              <w:jc w:val="right"/>
              <w:ind w:right="153"/>
              <w:spacing w:after="0" w:line="149" w:lineRule="exact"/>
              <w:rPr>
                <w:sz w:val="20"/>
                <w:szCs w:val="20"/>
                <w:color w:val="auto"/>
              </w:rPr>
            </w:pPr>
            <w:r>
              <w:rPr>
                <w:rFonts w:ascii="Arial" w:cs="Arial" w:eastAsia="Arial" w:hAnsi="Arial"/>
                <w:sz w:val="14"/>
                <w:szCs w:val="14"/>
                <w:color w:val="auto"/>
              </w:rPr>
              <w:t>Comcast</w:t>
            </w:r>
          </w:p>
        </w:tc>
        <w:tc>
          <w:tcPr>
            <w:tcW w:w="76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CCCL</w:t>
            </w:r>
          </w:p>
        </w:tc>
        <w:tc>
          <w:tcPr>
            <w:tcW w:w="7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CCCH</w:t>
            </w:r>
          </w:p>
        </w:tc>
        <w:tc>
          <w:tcPr>
            <w:tcW w:w="90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CCHMO</w:t>
            </w:r>
          </w:p>
        </w:tc>
        <w:tc>
          <w:tcPr>
            <w:tcW w:w="8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Comcast</w:t>
            </w:r>
          </w:p>
        </w:tc>
        <w:tc>
          <w:tcPr>
            <w:tcW w:w="1000" w:type="dxa"/>
            <w:vAlign w:val="bottom"/>
            <w:gridSpan w:val="2"/>
          </w:tcPr>
          <w:p>
            <w:pPr>
              <w:jc w:val="right"/>
              <w:ind w:right="173"/>
              <w:spacing w:after="0" w:line="149" w:lineRule="exact"/>
              <w:rPr>
                <w:sz w:val="20"/>
                <w:szCs w:val="20"/>
                <w:color w:val="auto"/>
              </w:rPr>
            </w:pPr>
            <w:r>
              <w:rPr>
                <w:rFonts w:ascii="Arial" w:cs="Arial" w:eastAsia="Arial" w:hAnsi="Arial"/>
                <w:sz w:val="14"/>
                <w:szCs w:val="14"/>
                <w:color w:val="auto"/>
              </w:rPr>
              <w:t>Guarantor</w:t>
            </w:r>
          </w:p>
        </w:tc>
        <w:tc>
          <w:tcPr>
            <w:tcW w:w="1040" w:type="dxa"/>
            <w:vAlign w:val="bottom"/>
            <w:gridSpan w:val="2"/>
          </w:tcPr>
          <w:p>
            <w:pPr>
              <w:jc w:val="right"/>
              <w:ind w:right="53"/>
              <w:spacing w:after="0" w:line="149" w:lineRule="exact"/>
              <w:rPr>
                <w:sz w:val="20"/>
                <w:szCs w:val="20"/>
                <w:color w:val="auto"/>
              </w:rPr>
            </w:pPr>
            <w:r>
              <w:rPr>
                <w:rFonts w:ascii="Arial" w:cs="Arial" w:eastAsia="Arial" w:hAnsi="Arial"/>
                <w:sz w:val="14"/>
                <w:szCs w:val="14"/>
                <w:color w:val="auto"/>
              </w:rPr>
              <w:t>Consolidation</w:t>
            </w:r>
          </w:p>
        </w:tc>
        <w:tc>
          <w:tcPr>
            <w:tcW w:w="240" w:type="dxa"/>
            <w:vAlign w:val="bottom"/>
          </w:tcPr>
          <w:p>
            <w:pPr>
              <w:spacing w:after="0"/>
              <w:rPr>
                <w:sz w:val="12"/>
                <w:szCs w:val="12"/>
                <w:color w:val="auto"/>
              </w:rPr>
            </w:pPr>
          </w:p>
        </w:tc>
        <w:tc>
          <w:tcPr>
            <w:tcW w:w="680" w:type="dxa"/>
            <w:vAlign w:val="bottom"/>
          </w:tcPr>
          <w:p>
            <w:pPr>
              <w:jc w:val="right"/>
              <w:ind w:right="93"/>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414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440" w:type="dxa"/>
            <w:vAlign w:val="bottom"/>
          </w:tcPr>
          <w:p>
            <w:pPr>
              <w:spacing w:after="0"/>
              <w:rPr>
                <w:sz w:val="13"/>
                <w:szCs w:val="13"/>
                <w:color w:val="auto"/>
              </w:rPr>
            </w:pPr>
          </w:p>
        </w:tc>
        <w:tc>
          <w:tcPr>
            <w:tcW w:w="660" w:type="dxa"/>
            <w:vAlign w:val="bottom"/>
          </w:tcPr>
          <w:p>
            <w:pPr>
              <w:jc w:val="right"/>
              <w:ind w:right="213"/>
              <w:spacing w:after="0" w:line="159" w:lineRule="exact"/>
              <w:rPr>
                <w:sz w:val="20"/>
                <w:szCs w:val="20"/>
                <w:color w:val="auto"/>
              </w:rPr>
            </w:pPr>
            <w:r>
              <w:rPr>
                <w:rFonts w:ascii="Arial" w:cs="Arial" w:eastAsia="Arial" w:hAnsi="Arial"/>
                <w:sz w:val="14"/>
                <w:szCs w:val="14"/>
                <w:color w:val="auto"/>
                <w:w w:val="82"/>
              </w:rPr>
              <w:t>Parent</w:t>
            </w:r>
          </w:p>
        </w:tc>
        <w:tc>
          <w:tcPr>
            <w:tcW w:w="760" w:type="dxa"/>
            <w:vAlign w:val="bottom"/>
            <w:gridSpan w:val="2"/>
          </w:tcPr>
          <w:p>
            <w:pPr>
              <w:jc w:val="right"/>
              <w:ind w:right="152"/>
              <w:spacing w:after="0" w:line="159" w:lineRule="exact"/>
              <w:rPr>
                <w:sz w:val="20"/>
                <w:szCs w:val="20"/>
                <w:color w:val="auto"/>
              </w:rPr>
            </w:pPr>
            <w:r>
              <w:rPr>
                <w:rFonts w:ascii="Arial" w:cs="Arial" w:eastAsia="Arial" w:hAnsi="Arial"/>
                <w:sz w:val="14"/>
                <w:szCs w:val="14"/>
                <w:color w:val="auto"/>
              </w:rPr>
              <w:t>Parent</w:t>
            </w:r>
          </w:p>
        </w:tc>
        <w:tc>
          <w:tcPr>
            <w:tcW w:w="72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Parent</w:t>
            </w:r>
          </w:p>
        </w:tc>
        <w:tc>
          <w:tcPr>
            <w:tcW w:w="900" w:type="dxa"/>
            <w:vAlign w:val="bottom"/>
            <w:gridSpan w:val="2"/>
          </w:tcPr>
          <w:p>
            <w:pPr>
              <w:jc w:val="right"/>
              <w:ind w:right="192"/>
              <w:spacing w:after="0" w:line="159" w:lineRule="exact"/>
              <w:rPr>
                <w:sz w:val="20"/>
                <w:szCs w:val="20"/>
                <w:color w:val="auto"/>
              </w:rPr>
            </w:pPr>
            <w:r>
              <w:rPr>
                <w:rFonts w:ascii="Arial" w:cs="Arial" w:eastAsia="Arial" w:hAnsi="Arial"/>
                <w:sz w:val="14"/>
                <w:szCs w:val="14"/>
                <w:color w:val="auto"/>
              </w:rPr>
              <w:t>Parents</w:t>
            </w:r>
          </w:p>
        </w:tc>
        <w:tc>
          <w:tcPr>
            <w:tcW w:w="84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Holdings</w:t>
            </w:r>
          </w:p>
        </w:tc>
        <w:tc>
          <w:tcPr>
            <w:tcW w:w="100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Subsidiaries</w:t>
            </w:r>
          </w:p>
        </w:tc>
        <w:tc>
          <w:tcPr>
            <w:tcW w:w="104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920" w:type="dxa"/>
            <w:vAlign w:val="bottom"/>
            <w:gridSpan w:val="2"/>
          </w:tcPr>
          <w:p>
            <w:pPr>
              <w:jc w:val="right"/>
              <w:ind w:right="13"/>
              <w:spacing w:after="0" w:line="159" w:lineRule="exact"/>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120" w:type="dxa"/>
            <w:vAlign w:val="bottom"/>
            <w:tcBorders>
              <w:top w:val="single" w:sz="8" w:color="auto"/>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w w:val="97"/>
              </w:rPr>
              <w:t>Net cash provided by (used in) operating activities</w:t>
            </w:r>
          </w:p>
        </w:tc>
        <w:tc>
          <w:tcPr>
            <w:tcW w:w="44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(202)</w:t>
            </w:r>
          </w:p>
        </w:tc>
        <w:tc>
          <w:tcPr>
            <w:tcW w:w="24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w w:val="85"/>
              </w:rPr>
              <w:t>(116)</w:t>
            </w:r>
          </w:p>
        </w:tc>
        <w:tc>
          <w:tcPr>
            <w:tcW w:w="260" w:type="dxa"/>
            <w:vAlign w:val="bottom"/>
            <w:tcBorders>
              <w:top w:val="single" w:sz="8" w:color="auto"/>
              <w:bottom w:val="single" w:sz="8" w:color="auto"/>
            </w:tcBorders>
            <w:shd w:val="clear" w:color="auto" w:fill="E5E5E5"/>
          </w:tcPr>
          <w:p>
            <w:pPr>
              <w:ind w:left="14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w w:val="93"/>
              </w:rPr>
              <w:t>(73)</w:t>
            </w:r>
          </w:p>
        </w:tc>
        <w:tc>
          <w:tcPr>
            <w:tcW w:w="340" w:type="dxa"/>
            <w:vAlign w:val="bottom"/>
            <w:tcBorders>
              <w:top w:val="single" w:sz="8" w:color="auto"/>
              <w:bottom w:val="single" w:sz="8" w:color="auto"/>
            </w:tcBorders>
            <w:shd w:val="clear" w:color="auto" w:fill="E5E5E5"/>
          </w:tcPr>
          <w:p>
            <w:pPr>
              <w:ind w:left="14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(99)</w:t>
            </w:r>
          </w:p>
        </w:tc>
        <w:tc>
          <w:tcPr>
            <w:tcW w:w="320" w:type="dxa"/>
            <w:vAlign w:val="bottom"/>
            <w:tcBorders>
              <w:top w:val="single" w:sz="8" w:color="auto"/>
              <w:bottom w:val="single" w:sz="8" w:color="auto"/>
            </w:tcBorders>
            <w:shd w:val="clear" w:color="auto" w:fill="E5E5E5"/>
          </w:tcPr>
          <w:p>
            <w:pPr>
              <w:ind w:left="14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(12)</w:t>
            </w:r>
          </w:p>
        </w:tc>
        <w:tc>
          <w:tcPr>
            <w:tcW w:w="280" w:type="dxa"/>
            <w:vAlign w:val="bottom"/>
            <w:tcBorders>
              <w:top w:val="single" w:sz="8" w:color="auto"/>
              <w:bottom w:val="single" w:sz="8" w:color="auto"/>
            </w:tcBorders>
            <w:shd w:val="clear" w:color="auto" w:fill="E5E5E5"/>
          </w:tcPr>
          <w:p>
            <w:pPr>
              <w:ind w:left="14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2,761</w:t>
            </w:r>
          </w:p>
        </w:tc>
        <w:tc>
          <w:tcPr>
            <w:tcW w:w="320" w:type="dxa"/>
            <w:vAlign w:val="bottom"/>
            <w:tcBorders>
              <w:top w:val="single" w:sz="8" w:color="auto"/>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shd w:val="clear" w:color="auto" w:fill="E5E5E5"/>
          </w:tcPr>
          <w:p>
            <w:pPr>
              <w:ind w:left="14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2,259</w:t>
            </w:r>
          </w:p>
        </w:tc>
      </w:tr>
      <w:tr>
        <w:trPr>
          <w:trHeight w:val="210"/>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Financing Activities:</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borrowings</w:t>
            </w:r>
          </w:p>
        </w:tc>
        <w:tc>
          <w:tcPr>
            <w:tcW w:w="4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189</w:t>
            </w:r>
          </w:p>
        </w:tc>
        <w:tc>
          <w:tcPr>
            <w:tcW w:w="24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3</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Repurchases and repayments of debt</w:t>
            </w:r>
          </w:p>
        </w:tc>
        <w:tc>
          <w:tcPr>
            <w:tcW w:w="440" w:type="dxa"/>
            <w:vAlign w:val="bottom"/>
          </w:tcPr>
          <w:p>
            <w:pPr>
              <w:spacing w:after="0"/>
              <w:rPr>
                <w:sz w:val="18"/>
                <w:szCs w:val="18"/>
                <w:color w:val="auto"/>
              </w:rPr>
            </w:pPr>
          </w:p>
        </w:tc>
        <w:tc>
          <w:tcPr>
            <w:tcW w:w="6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color w:val="auto"/>
                <w:w w:val="85"/>
              </w:rPr>
              <w:t>(150)</w:t>
            </w:r>
          </w:p>
        </w:tc>
        <w:tc>
          <w:tcPr>
            <w:tcW w:w="260" w:type="dxa"/>
            <w:vAlign w:val="bottom"/>
          </w:tcPr>
          <w:p>
            <w:pPr>
              <w:spacing w:after="0"/>
              <w:rPr>
                <w:sz w:val="18"/>
                <w:szCs w:val="18"/>
                <w:color w:val="auto"/>
              </w:rPr>
            </w:pP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16"/>
        </w:trPr>
        <w:tc>
          <w:tcPr>
            <w:tcW w:w="20" w:type="dxa"/>
            <w:vAlign w:val="bottom"/>
          </w:tcPr>
          <w:p>
            <w:pPr>
              <w:spacing w:after="0"/>
              <w:rPr>
                <w:sz w:val="18"/>
                <w:szCs w:val="18"/>
                <w:color w:val="auto"/>
              </w:rPr>
            </w:pPr>
          </w:p>
        </w:tc>
        <w:tc>
          <w:tcPr>
            <w:tcW w:w="41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Repurchases of common stock</w:t>
            </w:r>
          </w:p>
        </w:tc>
        <w:tc>
          <w:tcPr>
            <w:tcW w:w="4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7"/>
              </w:rPr>
              <w:t>(1,000)</w:t>
            </w:r>
          </w:p>
        </w:tc>
        <w:tc>
          <w:tcPr>
            <w:tcW w:w="24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Issuances of common stock</w:t>
            </w:r>
          </w:p>
        </w:tc>
        <w:tc>
          <w:tcPr>
            <w:tcW w:w="440" w:type="dxa"/>
            <w:vAlign w:val="bottom"/>
          </w:tcPr>
          <w:p>
            <w:pPr>
              <w:spacing w:after="0"/>
              <w:rPr>
                <w:sz w:val="18"/>
                <w:szCs w:val="18"/>
                <w:color w:val="auto"/>
              </w:rPr>
            </w:pPr>
          </w:p>
        </w:tc>
        <w:tc>
          <w:tcPr>
            <w:tcW w:w="660" w:type="dxa"/>
            <w:vAlign w:val="bottom"/>
          </w:tcPr>
          <w:p>
            <w:pPr>
              <w:jc w:val="right"/>
              <w:ind w:right="113"/>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41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(19)</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(19)</w:t>
            </w:r>
          </w:p>
        </w:tc>
        <w:tc>
          <w:tcPr>
            <w:tcW w:w="3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(28)</w:t>
            </w:r>
          </w:p>
        </w:tc>
      </w:tr>
      <w:tr>
        <w:trPr>
          <w:trHeight w:val="210"/>
        </w:trPr>
        <w:tc>
          <w:tcPr>
            <w:tcW w:w="20" w:type="dxa"/>
            <w:vAlign w:val="bottom"/>
          </w:tcPr>
          <w:p>
            <w:pPr>
              <w:spacing w:after="0"/>
              <w:rPr>
                <w:sz w:val="18"/>
                <w:szCs w:val="18"/>
                <w:color w:val="auto"/>
              </w:rPr>
            </w:pPr>
          </w:p>
        </w:tc>
        <w:tc>
          <w:tcPr>
            <w:tcW w:w="41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8"/>
              </w:rPr>
              <w:t>Net cash provided by (used in) financing activities</w:t>
            </w:r>
          </w:p>
        </w:tc>
        <w:tc>
          <w:tcPr>
            <w:tcW w:w="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(791)</w:t>
            </w: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85"/>
              </w:rPr>
              <w:t>(150)</w:t>
            </w: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(74)</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(29)</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w:t>
            </w:r>
          </w:p>
        </w:tc>
      </w:tr>
      <w:tr>
        <w:trPr>
          <w:trHeight w:val="210"/>
        </w:trPr>
        <w:tc>
          <w:tcPr>
            <w:tcW w:w="20" w:type="dxa"/>
            <w:vAlign w:val="bottom"/>
          </w:tcPr>
          <w:p>
            <w:pPr>
              <w:spacing w:after="0"/>
              <w:rPr>
                <w:sz w:val="18"/>
                <w:szCs w:val="18"/>
                <w:color w:val="auto"/>
              </w:rPr>
            </w:pPr>
          </w:p>
        </w:tc>
        <w:tc>
          <w:tcPr>
            <w:tcW w:w="4120" w:type="dxa"/>
            <w:vAlign w:val="bottom"/>
            <w:shd w:val="clear" w:color="auto" w:fill="E5E5E5"/>
          </w:tcPr>
          <w:p>
            <w:pPr>
              <w:spacing w:after="0"/>
              <w:rPr>
                <w:sz w:val="20"/>
                <w:szCs w:val="20"/>
                <w:color w:val="auto"/>
              </w:rPr>
            </w:pPr>
            <w:r>
              <w:rPr>
                <w:rFonts w:ascii="Arial" w:cs="Arial" w:eastAsia="Arial" w:hAnsi="Arial"/>
                <w:sz w:val="18"/>
                <w:szCs w:val="18"/>
                <w:color w:val="auto"/>
              </w:rPr>
              <w:t>Investing Activities:</w:t>
            </w:r>
          </w:p>
        </w:tc>
        <w:tc>
          <w:tcPr>
            <w:tcW w:w="4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Net transactions with affiliates</w:t>
            </w:r>
          </w:p>
        </w:tc>
        <w:tc>
          <w:tcPr>
            <w:tcW w:w="440" w:type="dxa"/>
            <w:vAlign w:val="bottom"/>
          </w:tcPr>
          <w:p>
            <w:pPr>
              <w:spacing w:after="0"/>
              <w:rPr>
                <w:sz w:val="18"/>
                <w:szCs w:val="18"/>
                <w:color w:val="auto"/>
              </w:rPr>
            </w:pPr>
          </w:p>
        </w:tc>
        <w:tc>
          <w:tcPr>
            <w:tcW w:w="660" w:type="dxa"/>
            <w:vAlign w:val="bottom"/>
          </w:tcPr>
          <w:p>
            <w:pPr>
              <w:jc w:val="right"/>
              <w:ind w:right="113"/>
              <w:spacing w:after="0"/>
              <w:rPr>
                <w:sz w:val="20"/>
                <w:szCs w:val="20"/>
                <w:color w:val="auto"/>
              </w:rPr>
            </w:pPr>
            <w:r>
              <w:rPr>
                <w:rFonts w:ascii="Arial" w:cs="Arial" w:eastAsia="Arial" w:hAnsi="Arial"/>
                <w:sz w:val="18"/>
                <w:szCs w:val="18"/>
                <w:color w:val="auto"/>
                <w:w w:val="97"/>
              </w:rPr>
              <w:t>1,062</w:t>
            </w:r>
          </w:p>
        </w:tc>
        <w:tc>
          <w:tcPr>
            <w:tcW w:w="24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w w:val="99"/>
              </w:rPr>
              <w:t>266</w:t>
            </w:r>
          </w:p>
        </w:tc>
        <w:tc>
          <w:tcPr>
            <w:tcW w:w="260" w:type="dxa"/>
            <w:vAlign w:val="bottom"/>
          </w:tcPr>
          <w:p>
            <w:pPr>
              <w:spacing w:after="0"/>
              <w:rPr>
                <w:sz w:val="18"/>
                <w:szCs w:val="18"/>
                <w:color w:val="auto"/>
              </w:rPr>
            </w:pP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73</w:t>
            </w:r>
          </w:p>
        </w:tc>
        <w:tc>
          <w:tcPr>
            <w:tcW w:w="34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99</w:t>
            </w:r>
          </w:p>
        </w:tc>
        <w:tc>
          <w:tcPr>
            <w:tcW w:w="32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w w:val="98"/>
              </w:rPr>
              <w:t>(1,586)</w:t>
            </w:r>
          </w:p>
        </w:tc>
        <w:tc>
          <w:tcPr>
            <w:tcW w:w="32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Capital expenditures</w:t>
            </w:r>
          </w:p>
        </w:tc>
        <w:tc>
          <w:tcPr>
            <w:tcW w:w="4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(69)</w:t>
            </w:r>
          </w:p>
        </w:tc>
        <w:tc>
          <w:tcPr>
            <w:tcW w:w="24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98"/>
              </w:rPr>
              <w:t>(1,362)</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(1,431)</w:t>
            </w:r>
          </w:p>
        </w:tc>
      </w:tr>
      <w:tr>
        <w:trPr>
          <w:trHeight w:val="216"/>
        </w:trPr>
        <w:tc>
          <w:tcPr>
            <w:tcW w:w="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Cash paid for intangible assets</w:t>
            </w:r>
          </w:p>
        </w:tc>
        <w:tc>
          <w:tcPr>
            <w:tcW w:w="440" w:type="dxa"/>
            <w:vAlign w:val="bottom"/>
          </w:tcPr>
          <w:p>
            <w:pPr>
              <w:spacing w:after="0"/>
              <w:rPr>
                <w:sz w:val="18"/>
                <w:szCs w:val="18"/>
                <w:color w:val="auto"/>
              </w:rPr>
            </w:pPr>
          </w:p>
        </w:tc>
        <w:tc>
          <w:tcPr>
            <w:tcW w:w="6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(126)</w:t>
            </w:r>
          </w:p>
        </w:tc>
        <w:tc>
          <w:tcPr>
            <w:tcW w:w="32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20" w:type="dxa"/>
            <w:vAlign w:val="bottom"/>
          </w:tcPr>
          <w:p>
            <w:pPr>
              <w:spacing w:after="0"/>
              <w:rPr>
                <w:sz w:val="18"/>
                <w:szCs w:val="18"/>
                <w:color w:val="auto"/>
              </w:rPr>
            </w:pPr>
          </w:p>
        </w:tc>
        <w:tc>
          <w:tcPr>
            <w:tcW w:w="41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Acquisitions, net of cash acquired</w:t>
            </w:r>
          </w:p>
        </w:tc>
        <w:tc>
          <w:tcPr>
            <w:tcW w:w="4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(29)</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Proceeds from sales of investments</w:t>
            </w:r>
          </w:p>
        </w:tc>
        <w:tc>
          <w:tcPr>
            <w:tcW w:w="440" w:type="dxa"/>
            <w:vAlign w:val="bottom"/>
          </w:tcPr>
          <w:p>
            <w:pPr>
              <w:spacing w:after="0"/>
              <w:rPr>
                <w:sz w:val="18"/>
                <w:szCs w:val="18"/>
                <w:color w:val="auto"/>
              </w:rPr>
            </w:pPr>
          </w:p>
        </w:tc>
        <w:tc>
          <w:tcPr>
            <w:tcW w:w="6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113"/>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20" w:type="dxa"/>
            <w:vAlign w:val="bottom"/>
          </w:tcPr>
          <w:p>
            <w:pPr>
              <w:spacing w:after="0"/>
              <w:rPr>
                <w:sz w:val="18"/>
                <w:szCs w:val="18"/>
                <w:color w:val="auto"/>
              </w:rPr>
            </w:pPr>
          </w:p>
        </w:tc>
        <w:tc>
          <w:tcPr>
            <w:tcW w:w="41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Purchases of investments</w:t>
            </w:r>
          </w:p>
        </w:tc>
        <w:tc>
          <w:tcPr>
            <w:tcW w:w="4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(26)</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41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20</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10"/>
        </w:trPr>
        <w:tc>
          <w:tcPr>
            <w:tcW w:w="20" w:type="dxa"/>
            <w:vAlign w:val="bottom"/>
          </w:tcPr>
          <w:p>
            <w:pPr>
              <w:spacing w:after="0"/>
              <w:rPr>
                <w:sz w:val="18"/>
                <w:szCs w:val="18"/>
                <w:color w:val="auto"/>
              </w:rPr>
            </w:pPr>
          </w:p>
        </w:tc>
        <w:tc>
          <w:tcPr>
            <w:tcW w:w="41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w w:val="98"/>
              </w:rPr>
              <w:t>Net cash provided by (used in) investing activities</w:t>
            </w:r>
          </w:p>
        </w:tc>
        <w:tc>
          <w:tcPr>
            <w:tcW w:w="4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993</w:t>
            </w:r>
          </w:p>
        </w:tc>
        <w:tc>
          <w:tcPr>
            <w:tcW w:w="24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99"/>
              </w:rPr>
              <w:t>266</w:t>
            </w:r>
          </w:p>
        </w:tc>
        <w:tc>
          <w:tcPr>
            <w:tcW w:w="26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73</w:t>
            </w:r>
          </w:p>
        </w:tc>
        <w:tc>
          <w:tcPr>
            <w:tcW w:w="3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99</w:t>
            </w:r>
          </w:p>
        </w:tc>
        <w:tc>
          <w:tcPr>
            <w:tcW w:w="3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86</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98"/>
              </w:rPr>
              <w:t>(3,060)</w:t>
            </w:r>
          </w:p>
        </w:tc>
        <w:tc>
          <w:tcPr>
            <w:tcW w:w="3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(1,543)</w:t>
            </w:r>
          </w:p>
        </w:tc>
      </w:tr>
      <w:tr>
        <w:trPr>
          <w:trHeight w:val="210"/>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440" w:type="dxa"/>
            <w:vAlign w:val="bottom"/>
          </w:tcPr>
          <w:p>
            <w:pPr>
              <w:spacing w:after="0"/>
              <w:rPr>
                <w:sz w:val="18"/>
                <w:szCs w:val="18"/>
                <w:color w:val="auto"/>
              </w:rPr>
            </w:pPr>
          </w:p>
        </w:tc>
        <w:tc>
          <w:tcPr>
            <w:tcW w:w="6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(328)</w:t>
            </w:r>
          </w:p>
        </w:tc>
        <w:tc>
          <w:tcPr>
            <w:tcW w:w="32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(328)</w:t>
            </w:r>
          </w:p>
        </w:tc>
      </w:tr>
      <w:tr>
        <w:trPr>
          <w:trHeight w:val="216"/>
        </w:trPr>
        <w:tc>
          <w:tcPr>
            <w:tcW w:w="20" w:type="dxa"/>
            <w:vAlign w:val="bottom"/>
          </w:tcPr>
          <w:p>
            <w:pPr>
              <w:spacing w:after="0"/>
              <w:rPr>
                <w:sz w:val="18"/>
                <w:szCs w:val="18"/>
                <w:color w:val="auto"/>
              </w:rPr>
            </w:pPr>
          </w:p>
        </w:tc>
        <w:tc>
          <w:tcPr>
            <w:tcW w:w="41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4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963</w:t>
            </w:r>
          </w:p>
        </w:tc>
        <w:tc>
          <w:tcPr>
            <w:tcW w:w="3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963</w:t>
            </w:r>
          </w:p>
        </w:tc>
      </w:tr>
      <w:tr>
        <w:trPr>
          <w:trHeight w:val="217"/>
        </w:trPr>
        <w:tc>
          <w:tcPr>
            <w:tcW w:w="20" w:type="dxa"/>
            <w:vAlign w:val="bottom"/>
          </w:tcPr>
          <w:p>
            <w:pPr>
              <w:spacing w:after="0"/>
              <w:rPr>
                <w:sz w:val="18"/>
                <w:szCs w:val="18"/>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635</w:t>
            </w:r>
          </w:p>
        </w:tc>
        <w:tc>
          <w:tcPr>
            <w:tcW w:w="32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635</w:t>
            </w:r>
          </w:p>
        </w:tc>
      </w:tr>
      <w:tr>
        <w:trPr>
          <w:trHeight w:val="363"/>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right="940"/>
        <w:spacing w:after="0" w:line="261"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8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the nation’s leading provider of cable services, offering a variety of entertainment, information and communications services to residential and commercial customers. As of March 31, 2009, our cable systems served approximately 24.1 million video customers, 15.3 million high-speed Internet customers and 6.8 million phone customers and passed over 50.7 million homes in 39 states and the District of Columbia. We report the results of these operations as our Cable segment, which generates approximately 95% of our revenue. Our Cable segment generates revenue primarily through subscriptions to our video, high-speed Internet and phone services (“cable services”). Other Cable segment revenue sources include advertising and the operation of our regional sports networks. Our other reportable segment, Programming, consists primarily of our consolidated national programming networks, including E!, Golf Channel, VERSUS, G4 and Style. Revenue from our Programming segment is generated primarily from the sale of advertising, from monthly per subscriber license fees paid by multichannel video providers and from licensing our programming internationally.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Highlights and business developments for the three months ended March 31, 2009 include the following:</w:t>
      </w:r>
    </w:p>
    <w:p>
      <w:pPr>
        <w:spacing w:after="0" w:line="77" w:lineRule="exact"/>
        <w:rPr>
          <w:sz w:val="20"/>
          <w:szCs w:val="20"/>
          <w:color w:val="auto"/>
        </w:rPr>
      </w:pPr>
    </w:p>
    <w:p>
      <w:pPr>
        <w:ind w:left="1020" w:right="1240" w:hanging="215"/>
        <w:spacing w:after="0" w:line="268"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in consolidated revenue of 5.3% to approximately $8.8 billion and an increase in consolidated operating income of 16.5% to approximately $1.8 billion compared to the same period in 2008</w:t>
      </w:r>
    </w:p>
    <w:p>
      <w:pPr>
        <w:spacing w:after="0" w:line="37"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in Cable segment revenue of 5.5% to approximately $8.3 billion and an increase in operating income before depreciation and amortization of 8.4% to approximately $3.4 billion compared to the same period in 2008</w:t>
      </w:r>
    </w:p>
    <w:p>
      <w:pPr>
        <w:spacing w:after="0" w:line="37" w:lineRule="exact"/>
        <w:rPr>
          <w:rFonts w:ascii="Arial" w:cs="Arial" w:eastAsia="Arial" w:hAnsi="Arial"/>
          <w:sz w:val="18"/>
          <w:szCs w:val="18"/>
          <w:color w:val="auto"/>
        </w:rPr>
      </w:pPr>
    </w:p>
    <w:p>
      <w:pPr>
        <w:jc w:val="both"/>
        <w:ind w:left="1020" w:right="1240" w:hanging="215"/>
        <w:spacing w:after="0" w:line="259"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addition of approximately 288,000 digital video customers, approximately 329,000 high-speed Internet customers, approximately 298,000 digital phone customers and a decrease of approximately 78,000 video customers during the three months ended March 31, 2009</w:t>
      </w:r>
    </w:p>
    <w:p>
      <w:pPr>
        <w:spacing w:after="0" w:line="45" w:lineRule="exact"/>
        <w:rPr>
          <w:rFonts w:ascii="Arial" w:cs="Arial" w:eastAsia="Arial" w:hAnsi="Arial"/>
          <w:sz w:val="18"/>
          <w:szCs w:val="18"/>
          <w:color w:val="auto"/>
        </w:rPr>
      </w:pPr>
    </w:p>
    <w:p>
      <w:pPr>
        <w:ind w:left="1020" w:hanging="21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reduction in Cable segment capital expenditures of 16.6% to approximately $1.1 billion compared to the same period in 2008</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80" w:type="dxa"/>
            <w:vAlign w:val="bottom"/>
            <w:gridSpan w:val="3"/>
          </w:tcPr>
          <w:p>
            <w:pPr>
              <w:jc w:val="right"/>
              <w:ind w:right="514"/>
              <w:spacing w:after="0"/>
              <w:rPr>
                <w:sz w:val="20"/>
                <w:szCs w:val="20"/>
                <w:color w:val="auto"/>
              </w:rPr>
            </w:pPr>
            <w:r>
              <w:rPr>
                <w:rFonts w:ascii="Arial" w:cs="Arial" w:eastAsia="Arial" w:hAnsi="Arial"/>
                <w:sz w:val="14"/>
                <w:szCs w:val="14"/>
                <w:color w:val="auto"/>
                <w:w w:val="96"/>
              </w:rPr>
              <w:t>Three Months Ended</w:t>
            </w:r>
          </w:p>
        </w:tc>
        <w:tc>
          <w:tcPr>
            <w:tcW w:w="1060" w:type="dxa"/>
            <w:vAlign w:val="bottom"/>
            <w:gridSpan w:val="2"/>
          </w:tcPr>
          <w:p>
            <w:pPr>
              <w:jc w:val="center"/>
              <w:spacing w:after="0"/>
              <w:rPr>
                <w:sz w:val="20"/>
                <w:szCs w:val="20"/>
                <w:color w:val="auto"/>
              </w:rPr>
            </w:pPr>
            <w:r>
              <w:rPr>
                <w:rFonts w:ascii="Arial" w:cs="Arial" w:eastAsia="Arial" w:hAnsi="Arial"/>
                <w:sz w:val="14"/>
                <w:szCs w:val="14"/>
                <w:color w:val="auto"/>
                <w:w w:val="86"/>
              </w:rPr>
              <w:t>Increase/</w:t>
            </w:r>
          </w:p>
        </w:tc>
      </w:tr>
      <w:tr>
        <w:trPr>
          <w:trHeight w:val="173"/>
        </w:trPr>
        <w:tc>
          <w:tcPr>
            <w:tcW w:w="20" w:type="dxa"/>
            <w:vAlign w:val="bottom"/>
          </w:tcPr>
          <w:p>
            <w:pPr>
              <w:spacing w:after="0"/>
              <w:rPr>
                <w:sz w:val="15"/>
                <w:szCs w:val="15"/>
                <w:color w:val="auto"/>
              </w:rPr>
            </w:pPr>
          </w:p>
        </w:tc>
        <w:tc>
          <w:tcPr>
            <w:tcW w:w="7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March 31</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color w:val="auto"/>
                <w:w w:val="83"/>
              </w:rPr>
              <w:t>(Decrease)</w:t>
            </w:r>
          </w:p>
        </w:tc>
      </w:tr>
      <w:tr>
        <w:trPr>
          <w:trHeight w:val="237"/>
        </w:trPr>
        <w:tc>
          <w:tcPr>
            <w:tcW w:w="78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6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637"/>
              <w:spacing w:after="0"/>
              <w:rPr>
                <w:sz w:val="20"/>
                <w:szCs w:val="20"/>
                <w:color w:val="auto"/>
              </w:rPr>
            </w:pPr>
            <w:r>
              <w:rPr>
                <w:rFonts w:ascii="Arial" w:cs="Arial" w:eastAsia="Arial" w:hAnsi="Arial"/>
                <w:sz w:val="14"/>
                <w:szCs w:val="14"/>
                <w:color w:val="auto"/>
                <w:w w:val="83"/>
              </w:rPr>
              <w:t>2009</w:t>
            </w: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color w:val="auto"/>
                <w:w w:val="89"/>
              </w:rPr>
              <w:t>2008</w:t>
            </w:r>
          </w:p>
        </w:tc>
        <w:tc>
          <w:tcPr>
            <w:tcW w:w="10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6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E5E5E5"/>
          </w:tcPr>
          <w:p>
            <w:pPr>
              <w:jc w:val="right"/>
              <w:ind w:right="497"/>
              <w:spacing w:after="0"/>
              <w:rPr>
                <w:sz w:val="20"/>
                <w:szCs w:val="20"/>
                <w:color w:val="auto"/>
              </w:rPr>
            </w:pPr>
            <w:r>
              <w:rPr>
                <w:rFonts w:ascii="Arial" w:cs="Arial" w:eastAsia="Arial" w:hAnsi="Arial"/>
                <w:sz w:val="18"/>
                <w:szCs w:val="18"/>
                <w:color w:val="auto"/>
                <w:w w:val="88"/>
              </w:rPr>
              <w:t>8,835</w:t>
            </w:r>
          </w:p>
        </w:tc>
        <w:tc>
          <w:tcPr>
            <w:tcW w:w="1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E5E5E5"/>
          </w:tcPr>
          <w:p>
            <w:pPr>
              <w:jc w:val="right"/>
              <w:ind w:right="234"/>
              <w:spacing w:after="0"/>
              <w:rPr>
                <w:sz w:val="20"/>
                <w:szCs w:val="20"/>
                <w:color w:val="auto"/>
              </w:rPr>
            </w:pPr>
            <w:r>
              <w:rPr>
                <w:rFonts w:ascii="Arial" w:cs="Arial" w:eastAsia="Arial" w:hAnsi="Arial"/>
                <w:sz w:val="18"/>
                <w:szCs w:val="18"/>
                <w:color w:val="auto"/>
                <w:w w:val="93"/>
              </w:rPr>
              <w:t>8,389</w:t>
            </w:r>
          </w:p>
        </w:tc>
        <w:tc>
          <w:tcPr>
            <w:tcW w:w="10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Costs and Expenses:</w:t>
            </w: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E5E5E5"/>
          </w:tcPr>
          <w:p>
            <w:pPr>
              <w:spacing w:after="0"/>
              <w:rPr>
                <w:sz w:val="20"/>
                <w:szCs w:val="20"/>
                <w:color w:val="auto"/>
              </w:rPr>
            </w:pPr>
            <w:r>
              <w:rPr>
                <w:rFonts w:ascii="Arial" w:cs="Arial" w:eastAsia="Arial" w:hAnsi="Arial"/>
                <w:sz w:val="18"/>
                <w:szCs w:val="18"/>
                <w:color w:val="auto"/>
              </w:rPr>
              <w:t>Operating, selling, general and administrative (excluding depreciation and amortization)</w:t>
            </w:r>
          </w:p>
        </w:tc>
        <w:tc>
          <w:tcPr>
            <w:tcW w:w="6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497"/>
              <w:spacing w:after="0"/>
              <w:rPr>
                <w:sz w:val="20"/>
                <w:szCs w:val="20"/>
                <w:color w:val="auto"/>
              </w:rPr>
            </w:pPr>
            <w:r>
              <w:rPr>
                <w:rFonts w:ascii="Arial" w:cs="Arial" w:eastAsia="Arial" w:hAnsi="Arial"/>
                <w:sz w:val="18"/>
                <w:szCs w:val="18"/>
                <w:color w:val="auto"/>
                <w:w w:val="88"/>
              </w:rPr>
              <w:t>5,391</w:t>
            </w:r>
          </w:p>
        </w:tc>
        <w:tc>
          <w:tcPr>
            <w:tcW w:w="1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w w:val="93"/>
              </w:rPr>
              <w:t>5,215</w:t>
            </w:r>
          </w:p>
        </w:tc>
        <w:tc>
          <w:tcPr>
            <w:tcW w:w="104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Depreciation</w:t>
            </w:r>
          </w:p>
        </w:tc>
        <w:tc>
          <w:tcPr>
            <w:tcW w:w="640" w:type="dxa"/>
            <w:vAlign w:val="bottom"/>
          </w:tcPr>
          <w:p>
            <w:pPr>
              <w:spacing w:after="0"/>
              <w:rPr>
                <w:sz w:val="18"/>
                <w:szCs w:val="18"/>
                <w:color w:val="auto"/>
              </w:rPr>
            </w:pPr>
          </w:p>
        </w:tc>
        <w:tc>
          <w:tcPr>
            <w:tcW w:w="1000" w:type="dxa"/>
            <w:vAlign w:val="bottom"/>
          </w:tcPr>
          <w:p>
            <w:pPr>
              <w:jc w:val="right"/>
              <w:ind w:right="497"/>
              <w:spacing w:after="0"/>
              <w:rPr>
                <w:sz w:val="20"/>
                <w:szCs w:val="20"/>
                <w:color w:val="auto"/>
              </w:rPr>
            </w:pPr>
            <w:r>
              <w:rPr>
                <w:rFonts w:ascii="Arial" w:cs="Arial" w:eastAsia="Arial" w:hAnsi="Arial"/>
                <w:sz w:val="18"/>
                <w:szCs w:val="18"/>
                <w:color w:val="auto"/>
                <w:w w:val="88"/>
              </w:rPr>
              <w:t>1,380</w:t>
            </w:r>
          </w:p>
        </w:tc>
        <w:tc>
          <w:tcPr>
            <w:tcW w:w="120" w:type="dxa"/>
            <w:vAlign w:val="bottom"/>
          </w:tcPr>
          <w:p>
            <w:pPr>
              <w:spacing w:after="0"/>
              <w:rPr>
                <w:sz w:val="18"/>
                <w:szCs w:val="18"/>
                <w:color w:val="auto"/>
              </w:rPr>
            </w:pPr>
          </w:p>
        </w:tc>
        <w:tc>
          <w:tcPr>
            <w:tcW w:w="760" w:type="dxa"/>
            <w:vAlign w:val="bottom"/>
          </w:tcPr>
          <w:p>
            <w:pPr>
              <w:jc w:val="right"/>
              <w:ind w:right="234"/>
              <w:spacing w:after="0"/>
              <w:rPr>
                <w:sz w:val="20"/>
                <w:szCs w:val="20"/>
                <w:color w:val="auto"/>
              </w:rPr>
            </w:pPr>
            <w:r>
              <w:rPr>
                <w:rFonts w:ascii="Arial" w:cs="Arial" w:eastAsia="Arial" w:hAnsi="Arial"/>
                <w:sz w:val="18"/>
                <w:szCs w:val="18"/>
                <w:color w:val="auto"/>
                <w:w w:val="93"/>
              </w:rPr>
              <w:t>1,390</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Amortization</w:t>
            </w:r>
          </w:p>
        </w:tc>
        <w:tc>
          <w:tcPr>
            <w:tcW w:w="64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497"/>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34"/>
              <w:spacing w:after="0"/>
              <w:rPr>
                <w:sz w:val="20"/>
                <w:szCs w:val="20"/>
                <w:color w:val="auto"/>
              </w:rPr>
            </w:pPr>
            <w:r>
              <w:rPr>
                <w:rFonts w:ascii="Arial" w:cs="Arial" w:eastAsia="Arial" w:hAnsi="Arial"/>
                <w:sz w:val="18"/>
                <w:szCs w:val="18"/>
                <w:color w:val="auto"/>
              </w:rPr>
              <w:t>229</w:t>
            </w:r>
          </w:p>
        </w:tc>
        <w:tc>
          <w:tcPr>
            <w:tcW w:w="104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640" w:type="dxa"/>
            <w:vAlign w:val="bottom"/>
          </w:tcPr>
          <w:p>
            <w:pPr>
              <w:spacing w:after="0"/>
              <w:rPr>
                <w:sz w:val="18"/>
                <w:szCs w:val="18"/>
                <w:color w:val="auto"/>
              </w:rPr>
            </w:pPr>
          </w:p>
        </w:tc>
        <w:tc>
          <w:tcPr>
            <w:tcW w:w="1000" w:type="dxa"/>
            <w:vAlign w:val="bottom"/>
          </w:tcPr>
          <w:p>
            <w:pPr>
              <w:jc w:val="right"/>
              <w:ind w:right="497"/>
              <w:spacing w:after="0"/>
              <w:rPr>
                <w:sz w:val="20"/>
                <w:szCs w:val="20"/>
                <w:color w:val="auto"/>
              </w:rPr>
            </w:pPr>
            <w:r>
              <w:rPr>
                <w:rFonts w:ascii="Arial" w:cs="Arial" w:eastAsia="Arial" w:hAnsi="Arial"/>
                <w:sz w:val="18"/>
                <w:szCs w:val="18"/>
                <w:color w:val="auto"/>
                <w:w w:val="88"/>
              </w:rPr>
              <w:t>1,811</w:t>
            </w:r>
          </w:p>
        </w:tc>
        <w:tc>
          <w:tcPr>
            <w:tcW w:w="120" w:type="dxa"/>
            <w:vAlign w:val="bottom"/>
          </w:tcPr>
          <w:p>
            <w:pPr>
              <w:spacing w:after="0"/>
              <w:rPr>
                <w:sz w:val="18"/>
                <w:szCs w:val="18"/>
                <w:color w:val="auto"/>
              </w:rPr>
            </w:pPr>
          </w:p>
        </w:tc>
        <w:tc>
          <w:tcPr>
            <w:tcW w:w="760" w:type="dxa"/>
            <w:vAlign w:val="bottom"/>
          </w:tcPr>
          <w:p>
            <w:pPr>
              <w:jc w:val="right"/>
              <w:ind w:right="234"/>
              <w:spacing w:after="0"/>
              <w:rPr>
                <w:sz w:val="20"/>
                <w:szCs w:val="20"/>
                <w:color w:val="auto"/>
              </w:rPr>
            </w:pPr>
            <w:r>
              <w:rPr>
                <w:rFonts w:ascii="Arial" w:cs="Arial" w:eastAsia="Arial" w:hAnsi="Arial"/>
                <w:sz w:val="18"/>
                <w:szCs w:val="18"/>
                <w:color w:val="auto"/>
                <w:w w:val="93"/>
              </w:rPr>
              <w:t>1,555</w:t>
            </w:r>
          </w:p>
        </w:tc>
        <w:tc>
          <w:tcPr>
            <w:tcW w:w="1040" w:type="dxa"/>
            <w:vAlign w:val="bottom"/>
          </w:tcPr>
          <w:p>
            <w:pPr>
              <w:jc w:val="right"/>
              <w:ind w:right="95"/>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income (expense) items, net</w:t>
            </w:r>
          </w:p>
        </w:tc>
        <w:tc>
          <w:tcPr>
            <w:tcW w:w="64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437"/>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(309)</w:t>
            </w:r>
          </w:p>
        </w:tc>
        <w:tc>
          <w:tcPr>
            <w:tcW w:w="104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85.1</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640" w:type="dxa"/>
            <w:vAlign w:val="bottom"/>
          </w:tcPr>
          <w:p>
            <w:pPr>
              <w:spacing w:after="0"/>
              <w:rPr>
                <w:sz w:val="18"/>
                <w:szCs w:val="18"/>
                <w:color w:val="auto"/>
              </w:rPr>
            </w:pPr>
          </w:p>
        </w:tc>
        <w:tc>
          <w:tcPr>
            <w:tcW w:w="1000" w:type="dxa"/>
            <w:vAlign w:val="bottom"/>
          </w:tcPr>
          <w:p>
            <w:pPr>
              <w:jc w:val="right"/>
              <w:ind w:right="497"/>
              <w:spacing w:after="0"/>
              <w:rPr>
                <w:sz w:val="20"/>
                <w:szCs w:val="20"/>
                <w:color w:val="auto"/>
              </w:rPr>
            </w:pPr>
            <w:r>
              <w:rPr>
                <w:rFonts w:ascii="Arial" w:cs="Arial" w:eastAsia="Arial" w:hAnsi="Arial"/>
                <w:sz w:val="18"/>
                <w:szCs w:val="18"/>
                <w:color w:val="auto"/>
                <w:w w:val="88"/>
              </w:rPr>
              <w:t>1,239</w:t>
            </w:r>
          </w:p>
        </w:tc>
        <w:tc>
          <w:tcPr>
            <w:tcW w:w="120" w:type="dxa"/>
            <w:vAlign w:val="bottom"/>
          </w:tcPr>
          <w:p>
            <w:pPr>
              <w:spacing w:after="0"/>
              <w:rPr>
                <w:sz w:val="18"/>
                <w:szCs w:val="18"/>
                <w:color w:val="auto"/>
              </w:rPr>
            </w:pPr>
          </w:p>
        </w:tc>
        <w:tc>
          <w:tcPr>
            <w:tcW w:w="760" w:type="dxa"/>
            <w:vAlign w:val="bottom"/>
          </w:tcPr>
          <w:p>
            <w:pPr>
              <w:jc w:val="right"/>
              <w:ind w:right="234"/>
              <w:spacing w:after="0"/>
              <w:rPr>
                <w:sz w:val="20"/>
                <w:szCs w:val="20"/>
                <w:color w:val="auto"/>
              </w:rPr>
            </w:pPr>
            <w:r>
              <w:rPr>
                <w:rFonts w:ascii="Arial" w:cs="Arial" w:eastAsia="Arial" w:hAnsi="Arial"/>
                <w:sz w:val="18"/>
                <w:szCs w:val="18"/>
                <w:color w:val="auto"/>
                <w:w w:val="93"/>
              </w:rPr>
              <w:t>1,246</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64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437"/>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(508)</w:t>
            </w:r>
          </w:p>
        </w:tc>
        <w:tc>
          <w:tcPr>
            <w:tcW w:w="1040" w:type="dxa"/>
            <w:vAlign w:val="bottom"/>
            <w:tcBorders>
              <w:bottom w:val="single" w:sz="8" w:color="auto"/>
            </w:tcBorders>
            <w:shd w:val="clear" w:color="auto" w:fill="E5E5E5"/>
          </w:tcPr>
          <w:p>
            <w:pPr>
              <w:jc w:val="right"/>
              <w:ind w:right="35"/>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Net income from consolidated operations</w:t>
            </w:r>
          </w:p>
        </w:tc>
        <w:tc>
          <w:tcPr>
            <w:tcW w:w="640" w:type="dxa"/>
            <w:vAlign w:val="bottom"/>
          </w:tcPr>
          <w:p>
            <w:pPr>
              <w:spacing w:after="0"/>
              <w:rPr>
                <w:sz w:val="18"/>
                <w:szCs w:val="18"/>
                <w:color w:val="auto"/>
              </w:rPr>
            </w:pPr>
          </w:p>
        </w:tc>
        <w:tc>
          <w:tcPr>
            <w:tcW w:w="1000" w:type="dxa"/>
            <w:vAlign w:val="bottom"/>
          </w:tcPr>
          <w:p>
            <w:pPr>
              <w:jc w:val="right"/>
              <w:ind w:right="497"/>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18"/>
                <w:szCs w:val="18"/>
                <w:color w:val="auto"/>
              </w:rPr>
            </w:pPr>
          </w:p>
        </w:tc>
        <w:tc>
          <w:tcPr>
            <w:tcW w:w="760" w:type="dxa"/>
            <w:vAlign w:val="bottom"/>
          </w:tcPr>
          <w:p>
            <w:pPr>
              <w:jc w:val="right"/>
              <w:ind w:right="234"/>
              <w:spacing w:after="0"/>
              <w:rPr>
                <w:sz w:val="20"/>
                <w:szCs w:val="20"/>
                <w:color w:val="auto"/>
              </w:rPr>
            </w:pPr>
            <w:r>
              <w:rPr>
                <w:rFonts w:ascii="Arial" w:cs="Arial" w:eastAsia="Arial" w:hAnsi="Arial"/>
                <w:sz w:val="18"/>
                <w:szCs w:val="18"/>
                <w:color w:val="auto"/>
              </w:rPr>
              <w:t>738</w:t>
            </w:r>
          </w:p>
        </w:tc>
        <w:tc>
          <w:tcPr>
            <w:tcW w:w="1040" w:type="dxa"/>
            <w:vAlign w:val="bottom"/>
          </w:tcPr>
          <w:p>
            <w:pPr>
              <w:jc w:val="right"/>
              <w:ind w:right="95"/>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64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497"/>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34"/>
              <w:spacing w:after="0"/>
              <w:rPr>
                <w:sz w:val="20"/>
                <w:szCs w:val="20"/>
                <w:color w:val="auto"/>
              </w:rPr>
            </w:pPr>
            <w:r>
              <w:rPr>
                <w:rFonts w:ascii="Arial" w:cs="Arial" w:eastAsia="Arial" w:hAnsi="Arial"/>
                <w:sz w:val="18"/>
                <w:szCs w:val="18"/>
                <w:color w:val="auto"/>
              </w:rPr>
              <w:t>6</w:t>
            </w:r>
          </w:p>
        </w:tc>
        <w:tc>
          <w:tcPr>
            <w:tcW w:w="104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497"/>
              <w:spacing w:after="0"/>
              <w:rPr>
                <w:sz w:val="20"/>
                <w:szCs w:val="20"/>
                <w:color w:val="auto"/>
              </w:rPr>
            </w:pPr>
            <w:r>
              <w:rPr>
                <w:rFonts w:ascii="Arial" w:cs="Arial" w:eastAsia="Arial" w:hAnsi="Arial"/>
                <w:sz w:val="18"/>
                <w:szCs w:val="18"/>
                <w:b w:val="1"/>
                <w:bCs w:val="1"/>
                <w:color w:val="auto"/>
              </w:rPr>
              <w:t>772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rPr>
              <w:t>732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w:t>
            </w:r>
          </w:p>
        </w:tc>
        <w:tc>
          <w:tcPr>
            <w:tcW w:w="20" w:type="dxa"/>
            <w:vAlign w:val="bottom"/>
            <w:tcBorders>
              <w:bottom w:val="single" w:sz="8" w:color="auto"/>
            </w:tcBorders>
          </w:tcPr>
          <w:p>
            <w:pPr>
              <w:spacing w:after="0"/>
              <w:rPr>
                <w:sz w:val="18"/>
                <w:szCs w:val="18"/>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Cable segment accounted for substantially all of the increase in consolidated revenue for the three months ended March 31, 2009 compared to the same period in 2008. The remaining increase related to our other business activities, primarily from growth in our Comcast Interactive Media business and from Comcast Spectacor. Cable segment revenue and Programming segment revenue are discussed separately in “Segment Operating Results.”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Selling, General and Administrative Expenses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Cable segment accounted for substantially all of the increase in consolidated operating, selling, general and administrative expenses for the three months ended March 31, 2009 compared to the same period in 2008. The remaining increase related to our other business activities, primarily from growth in our Comcast Interactive Media business and from Comcast Spectacor. Cable segment and Programming segment operating, selling, general and administrative expenses are discussed separately in “Segment Operating Results.”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Depreciation and Amortization</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Depreciation expense for the three months ended March 31, 2009 compared to the same period in 2008 remained relatively stable primarily due to a decrease in the rate of capital expenditures.</w:t>
      </w:r>
    </w:p>
    <w:p>
      <w:pPr>
        <w:spacing w:after="0" w:line="3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increase in amortization expense for the three months ended March 31, 2009 compared to the same period in 2008 was primarily due to an increase in software intangibles.</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82"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Our segment operating results are presented based on how we assess operating performance and internally report financial information. To measure the performance of our operating segments, we use operating income before depreciation and amortization, excluding impairments related to fixed and intangible assets, and gains or losses from the sale of assets, if any. This measure eliminates the significant level of noncash depreciation and amortization expense that results from the capital-intensive nature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Because we use this metric to measure our segment profit or loss, we reconcile it to operating income, the most directly comparable financial measure calculated and presented in accordance with generally accepted accounting principles in the United States (“GAAP”) in the business segment footnote to our consolidated financial statements (see Note 10 to our condensed consolidated financial statements). This measure should not be considered a substitute for operating income (loss), net income (loss) attributable to Comcast Corporation, net cash provided by operating activities, or other measures of performance or liquidity we have reported in accordance with GAAP.</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Segment Operating Results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2140" w:type="dxa"/>
            <w:vAlign w:val="bottom"/>
            <w:gridSpan w:val="2"/>
          </w:tcPr>
          <w:p>
            <w:pPr>
              <w:jc w:val="right"/>
              <w:ind w:right="314"/>
              <w:spacing w:after="0"/>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4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140" w:type="dxa"/>
            <w:vAlign w:val="bottom"/>
            <w:gridSpan w:val="2"/>
          </w:tcPr>
          <w:p>
            <w:pPr>
              <w:jc w:val="right"/>
              <w:ind w:right="614"/>
              <w:spacing w:after="0" w:line="159" w:lineRule="exact"/>
              <w:rPr>
                <w:sz w:val="20"/>
                <w:szCs w:val="20"/>
                <w:color w:val="auto"/>
              </w:rPr>
            </w:pPr>
            <w:r>
              <w:rPr>
                <w:rFonts w:ascii="Arial" w:cs="Arial" w:eastAsia="Arial" w:hAnsi="Arial"/>
                <w:sz w:val="14"/>
                <w:szCs w:val="14"/>
                <w:color w:val="auto"/>
              </w:rPr>
              <w:t>March 31</w:t>
            </w:r>
          </w:p>
        </w:tc>
        <w:tc>
          <w:tcPr>
            <w:tcW w:w="340" w:type="dxa"/>
            <w:vAlign w:val="bottom"/>
          </w:tcPr>
          <w:p>
            <w:pPr>
              <w:spacing w:after="0"/>
              <w:rPr>
                <w:sz w:val="13"/>
                <w:szCs w:val="13"/>
                <w:color w:val="auto"/>
              </w:rPr>
            </w:pPr>
          </w:p>
        </w:tc>
        <w:tc>
          <w:tcPr>
            <w:tcW w:w="152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Increase/(Decrease)</w:t>
            </w:r>
          </w:p>
        </w:tc>
        <w:tc>
          <w:tcPr>
            <w:tcW w:w="0" w:type="dxa"/>
            <w:vAlign w:val="bottom"/>
          </w:tcPr>
          <w:p>
            <w:pPr>
              <w:spacing w:after="0"/>
              <w:rPr>
                <w:sz w:val="1"/>
                <w:szCs w:val="1"/>
                <w:color w:val="auto"/>
              </w:rPr>
            </w:pPr>
          </w:p>
        </w:tc>
      </w:tr>
      <w:tr>
        <w:trPr>
          <w:trHeight w:val="142"/>
        </w:trPr>
        <w:tc>
          <w:tcPr>
            <w:tcW w:w="7440" w:type="dxa"/>
            <w:vAlign w:val="bottom"/>
            <w:gridSpan w:val="2"/>
            <w:vMerge w:val="continue"/>
          </w:tcPr>
          <w:p>
            <w:pPr>
              <w:spacing w:after="0"/>
              <w:rPr>
                <w:sz w:val="12"/>
                <w:szCs w:val="12"/>
                <w:color w:val="auto"/>
              </w:rPr>
            </w:pPr>
          </w:p>
        </w:tc>
        <w:tc>
          <w:tcPr>
            <w:tcW w:w="1180" w:type="dxa"/>
            <w:vAlign w:val="bottom"/>
            <w:tcBorders>
              <w:top w:val="single" w:sz="8" w:color="auto"/>
            </w:tcBorders>
          </w:tcPr>
          <w:p>
            <w:pPr>
              <w:jc w:val="right"/>
              <w:ind w:right="257"/>
              <w:spacing w:after="0" w:line="142" w:lineRule="exact"/>
              <w:rPr>
                <w:sz w:val="20"/>
                <w:szCs w:val="20"/>
                <w:color w:val="auto"/>
              </w:rPr>
            </w:pPr>
            <w:r>
              <w:rPr>
                <w:rFonts w:ascii="Arial" w:cs="Arial" w:eastAsia="Arial" w:hAnsi="Arial"/>
                <w:sz w:val="14"/>
                <w:szCs w:val="14"/>
                <w:color w:val="auto"/>
              </w:rPr>
              <w:t>2009</w:t>
            </w:r>
          </w:p>
        </w:tc>
        <w:tc>
          <w:tcPr>
            <w:tcW w:w="960" w:type="dxa"/>
            <w:vAlign w:val="bottom"/>
            <w:tcBorders>
              <w:top w:val="single" w:sz="8" w:color="auto"/>
            </w:tcBorders>
          </w:tcPr>
          <w:p>
            <w:pPr>
              <w:jc w:val="right"/>
              <w:ind w:right="254"/>
              <w:spacing w:after="0" w:line="142" w:lineRule="exact"/>
              <w:rPr>
                <w:sz w:val="20"/>
                <w:szCs w:val="20"/>
                <w:color w:val="auto"/>
              </w:rPr>
            </w:pPr>
            <w:r>
              <w:rPr>
                <w:rFonts w:ascii="Arial" w:cs="Arial" w:eastAsia="Arial" w:hAnsi="Arial"/>
                <w:sz w:val="14"/>
                <w:szCs w:val="14"/>
                <w:color w:val="auto"/>
              </w:rPr>
              <w:t>2008</w:t>
            </w: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ind w:right="294"/>
              <w:spacing w:after="0" w:line="142"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Video(a)</w:t>
            </w:r>
          </w:p>
        </w:tc>
        <w:tc>
          <w:tcPr>
            <w:tcW w:w="1180" w:type="dxa"/>
            <w:vAlign w:val="bottom"/>
            <w:tcBorders>
              <w:top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$ 4,929</w:t>
            </w:r>
          </w:p>
        </w:tc>
        <w:tc>
          <w:tcPr>
            <w:tcW w:w="960" w:type="dxa"/>
            <w:vAlign w:val="bottom"/>
            <w:tcBorders>
              <w:top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$ 4,778</w:t>
            </w:r>
          </w:p>
        </w:tc>
        <w:tc>
          <w:tcPr>
            <w:tcW w:w="3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256"/>
              <w:spacing w:after="0"/>
              <w:rPr>
                <w:sz w:val="20"/>
                <w:szCs w:val="20"/>
                <w:color w:val="auto"/>
              </w:rPr>
            </w:pPr>
            <w:r>
              <w:rPr>
                <w:rFonts w:ascii="Arial" w:cs="Arial" w:eastAsia="Arial" w:hAnsi="Arial"/>
                <w:sz w:val="18"/>
                <w:szCs w:val="18"/>
                <w:color w:val="auto"/>
                <w:w w:val="99"/>
              </w:rPr>
              <w:t>151</w:t>
            </w:r>
          </w:p>
        </w:tc>
        <w:tc>
          <w:tcPr>
            <w:tcW w:w="8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High-speed Internet</w:t>
            </w:r>
          </w:p>
        </w:tc>
        <w:tc>
          <w:tcPr>
            <w:tcW w:w="1180" w:type="dxa"/>
            <w:vAlign w:val="bottom"/>
          </w:tcPr>
          <w:p>
            <w:pPr>
              <w:jc w:val="right"/>
              <w:ind w:right="137"/>
              <w:spacing w:after="0"/>
              <w:rPr>
                <w:sz w:val="20"/>
                <w:szCs w:val="20"/>
                <w:color w:val="auto"/>
              </w:rPr>
            </w:pPr>
            <w:r>
              <w:rPr>
                <w:rFonts w:ascii="Arial" w:cs="Arial" w:eastAsia="Arial" w:hAnsi="Arial"/>
                <w:sz w:val="18"/>
                <w:szCs w:val="18"/>
                <w:color w:val="auto"/>
              </w:rPr>
              <w:t>1,909</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1,750</w:t>
            </w:r>
          </w:p>
        </w:tc>
        <w:tc>
          <w:tcPr>
            <w:tcW w:w="340" w:type="dxa"/>
            <w:vAlign w:val="bottom"/>
          </w:tcPr>
          <w:p>
            <w:pPr>
              <w:spacing w:after="0"/>
              <w:rPr>
                <w:sz w:val="18"/>
                <w:szCs w:val="18"/>
                <w:color w:val="auto"/>
              </w:rPr>
            </w:pPr>
          </w:p>
        </w:tc>
        <w:tc>
          <w:tcPr>
            <w:tcW w:w="660" w:type="dxa"/>
            <w:vAlign w:val="bottom"/>
          </w:tcPr>
          <w:p>
            <w:pPr>
              <w:jc w:val="right"/>
              <w:ind w:right="256"/>
              <w:spacing w:after="0"/>
              <w:rPr>
                <w:sz w:val="20"/>
                <w:szCs w:val="20"/>
                <w:color w:val="auto"/>
              </w:rPr>
            </w:pPr>
            <w:r>
              <w:rPr>
                <w:rFonts w:ascii="Arial" w:cs="Arial" w:eastAsia="Arial" w:hAnsi="Arial"/>
                <w:sz w:val="18"/>
                <w:szCs w:val="18"/>
                <w:color w:val="auto"/>
                <w:w w:val="99"/>
              </w:rPr>
              <w:t>159</w:t>
            </w:r>
          </w:p>
        </w:tc>
        <w:tc>
          <w:tcPr>
            <w:tcW w:w="840" w:type="dxa"/>
            <w:vAlign w:val="bottom"/>
          </w:tcPr>
          <w:p>
            <w:pPr>
              <w:jc w:val="right"/>
              <w:ind w:right="94"/>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Phone</w:t>
            </w:r>
          </w:p>
        </w:tc>
        <w:tc>
          <w:tcPr>
            <w:tcW w:w="118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777</w:t>
            </w:r>
          </w:p>
        </w:tc>
        <w:tc>
          <w:tcPr>
            <w:tcW w:w="9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587</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w w:val="99"/>
              </w:rPr>
              <w:t>190</w:t>
            </w:r>
          </w:p>
        </w:tc>
        <w:tc>
          <w:tcPr>
            <w:tcW w:w="84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Advertising(a)</w:t>
            </w:r>
          </w:p>
        </w:tc>
        <w:tc>
          <w:tcPr>
            <w:tcW w:w="1180" w:type="dxa"/>
            <w:vAlign w:val="bottom"/>
          </w:tcPr>
          <w:p>
            <w:pPr>
              <w:jc w:val="right"/>
              <w:ind w:right="137"/>
              <w:spacing w:after="0"/>
              <w:rPr>
                <w:sz w:val="20"/>
                <w:szCs w:val="20"/>
                <w:color w:val="auto"/>
              </w:rPr>
            </w:pPr>
            <w:r>
              <w:rPr>
                <w:rFonts w:ascii="Arial" w:cs="Arial" w:eastAsia="Arial" w:hAnsi="Arial"/>
                <w:sz w:val="18"/>
                <w:szCs w:val="18"/>
                <w:color w:val="auto"/>
              </w:rPr>
              <w:t>262</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346</w:t>
            </w:r>
          </w:p>
        </w:tc>
        <w:tc>
          <w:tcPr>
            <w:tcW w:w="340" w:type="dxa"/>
            <w:vAlign w:val="bottom"/>
          </w:tcPr>
          <w:p>
            <w:pPr>
              <w:spacing w:after="0"/>
              <w:rPr>
                <w:sz w:val="18"/>
                <w:szCs w:val="18"/>
                <w:color w:val="auto"/>
              </w:rPr>
            </w:pPr>
          </w:p>
        </w:tc>
        <w:tc>
          <w:tcPr>
            <w:tcW w:w="660" w:type="dxa"/>
            <w:vAlign w:val="bottom"/>
          </w:tcPr>
          <w:p>
            <w:pPr>
              <w:jc w:val="right"/>
              <w:ind w:right="196"/>
              <w:spacing w:after="0"/>
              <w:rPr>
                <w:sz w:val="20"/>
                <w:szCs w:val="20"/>
                <w:color w:val="auto"/>
              </w:rPr>
            </w:pPr>
            <w:r>
              <w:rPr>
                <w:rFonts w:ascii="Arial" w:cs="Arial" w:eastAsia="Arial" w:hAnsi="Arial"/>
                <w:sz w:val="18"/>
                <w:szCs w:val="18"/>
                <w:color w:val="auto"/>
              </w:rPr>
              <w:t>(84)</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Other(a)</w:t>
            </w:r>
          </w:p>
        </w:tc>
        <w:tc>
          <w:tcPr>
            <w:tcW w:w="118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238</w:t>
            </w:r>
          </w:p>
        </w:tc>
        <w:tc>
          <w:tcPr>
            <w:tcW w:w="9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231</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rPr>
              <w:t>7</w:t>
            </w:r>
          </w:p>
        </w:tc>
        <w:tc>
          <w:tcPr>
            <w:tcW w:w="84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Franchise fees</w:t>
            </w:r>
          </w:p>
        </w:tc>
        <w:tc>
          <w:tcPr>
            <w:tcW w:w="118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234</w:t>
            </w:r>
          </w:p>
        </w:tc>
        <w:tc>
          <w:tcPr>
            <w:tcW w:w="9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224</w:t>
            </w: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10</w:t>
            </w:r>
          </w:p>
        </w:tc>
        <w:tc>
          <w:tcPr>
            <w:tcW w:w="8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118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8,349</w:t>
            </w:r>
          </w:p>
        </w:tc>
        <w:tc>
          <w:tcPr>
            <w:tcW w:w="9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7,916</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w w:val="99"/>
              </w:rPr>
              <w:t>433</w:t>
            </w:r>
          </w:p>
        </w:tc>
        <w:tc>
          <w:tcPr>
            <w:tcW w:w="84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Operating expenses(a)</w:t>
            </w:r>
          </w:p>
        </w:tc>
        <w:tc>
          <w:tcPr>
            <w:tcW w:w="1180" w:type="dxa"/>
            <w:vAlign w:val="bottom"/>
          </w:tcPr>
          <w:p>
            <w:pPr>
              <w:jc w:val="right"/>
              <w:ind w:right="137"/>
              <w:spacing w:after="0"/>
              <w:rPr>
                <w:sz w:val="20"/>
                <w:szCs w:val="20"/>
                <w:color w:val="auto"/>
              </w:rPr>
            </w:pPr>
            <w:r>
              <w:rPr>
                <w:rFonts w:ascii="Arial" w:cs="Arial" w:eastAsia="Arial" w:hAnsi="Arial"/>
                <w:sz w:val="18"/>
                <w:szCs w:val="18"/>
                <w:color w:val="auto"/>
              </w:rPr>
              <w:t>3,345</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3,163</w:t>
            </w:r>
          </w:p>
        </w:tc>
        <w:tc>
          <w:tcPr>
            <w:tcW w:w="340" w:type="dxa"/>
            <w:vAlign w:val="bottom"/>
          </w:tcPr>
          <w:p>
            <w:pPr>
              <w:spacing w:after="0"/>
              <w:rPr>
                <w:sz w:val="18"/>
                <w:szCs w:val="18"/>
                <w:color w:val="auto"/>
              </w:rPr>
            </w:pPr>
          </w:p>
        </w:tc>
        <w:tc>
          <w:tcPr>
            <w:tcW w:w="660" w:type="dxa"/>
            <w:vAlign w:val="bottom"/>
          </w:tcPr>
          <w:p>
            <w:pPr>
              <w:jc w:val="right"/>
              <w:ind w:right="256"/>
              <w:spacing w:after="0"/>
              <w:rPr>
                <w:sz w:val="20"/>
                <w:szCs w:val="20"/>
                <w:color w:val="auto"/>
              </w:rPr>
            </w:pPr>
            <w:r>
              <w:rPr>
                <w:rFonts w:ascii="Arial" w:cs="Arial" w:eastAsia="Arial" w:hAnsi="Arial"/>
                <w:sz w:val="18"/>
                <w:szCs w:val="18"/>
                <w:color w:val="auto"/>
                <w:w w:val="99"/>
              </w:rPr>
              <w:t>182</w:t>
            </w:r>
          </w:p>
        </w:tc>
        <w:tc>
          <w:tcPr>
            <w:tcW w:w="840" w:type="dxa"/>
            <w:vAlign w:val="bottom"/>
          </w:tcPr>
          <w:p>
            <w:pPr>
              <w:jc w:val="right"/>
              <w:ind w:right="94"/>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Selling, general and administrative expenses(a)</w:t>
            </w:r>
          </w:p>
        </w:tc>
        <w:tc>
          <w:tcPr>
            <w:tcW w:w="118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1,598</w:t>
            </w:r>
          </w:p>
        </w:tc>
        <w:tc>
          <w:tcPr>
            <w:tcW w:w="96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1,611</w:t>
            </w:r>
          </w:p>
        </w:tc>
        <w:tc>
          <w:tcPr>
            <w:tcW w:w="3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color w:val="auto"/>
              </w:rPr>
              <w:t>(13)</w:t>
            </w:r>
          </w:p>
        </w:tc>
        <w:tc>
          <w:tcPr>
            <w:tcW w:w="84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1180" w:type="dxa"/>
            <w:vAlign w:val="bottom"/>
          </w:tcPr>
          <w:p>
            <w:pPr>
              <w:jc w:val="right"/>
              <w:ind w:right="137"/>
              <w:spacing w:after="0"/>
              <w:rPr>
                <w:sz w:val="20"/>
                <w:szCs w:val="20"/>
                <w:color w:val="auto"/>
              </w:rPr>
            </w:pPr>
            <w:r>
              <w:rPr>
                <w:rFonts w:ascii="Arial" w:cs="Arial" w:eastAsia="Arial" w:hAnsi="Arial"/>
                <w:sz w:val="18"/>
                <w:szCs w:val="18"/>
                <w:b w:val="1"/>
                <w:bCs w:val="1"/>
                <w:color w:val="auto"/>
              </w:rPr>
              <w:t>$ 3,406</w:t>
            </w:r>
          </w:p>
        </w:tc>
        <w:tc>
          <w:tcPr>
            <w:tcW w:w="960" w:type="dxa"/>
            <w:vAlign w:val="bottom"/>
          </w:tcPr>
          <w:p>
            <w:pPr>
              <w:jc w:val="right"/>
              <w:ind w:right="134"/>
              <w:spacing w:after="0"/>
              <w:rPr>
                <w:sz w:val="20"/>
                <w:szCs w:val="20"/>
                <w:color w:val="auto"/>
              </w:rPr>
            </w:pPr>
            <w:r>
              <w:rPr>
                <w:rFonts w:ascii="Arial" w:cs="Arial" w:eastAsia="Arial" w:hAnsi="Arial"/>
                <w:sz w:val="18"/>
                <w:szCs w:val="18"/>
                <w:b w:val="1"/>
                <w:bCs w:val="1"/>
                <w:color w:val="auto"/>
              </w:rPr>
              <w:t>$ 3,142</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256"/>
              <w:spacing w:after="0"/>
              <w:rPr>
                <w:sz w:val="20"/>
                <w:szCs w:val="20"/>
                <w:color w:val="auto"/>
              </w:rPr>
            </w:pPr>
            <w:r>
              <w:rPr>
                <w:rFonts w:ascii="Arial" w:cs="Arial" w:eastAsia="Arial" w:hAnsi="Arial"/>
                <w:sz w:val="18"/>
                <w:szCs w:val="18"/>
                <w:b w:val="1"/>
                <w:bCs w:val="1"/>
                <w:color w:val="auto"/>
                <w:w w:val="99"/>
              </w:rPr>
              <w:t>264</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Reclassifications have been made to 2008 amounts to conform to classifications used in 2009.</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Segment Revenue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video revenue increased during the three months ended March 31, 2009 compared to the same period in 2008 primarily due to rate adjustments and customer upgrades to digital and advanced services, offset by a decline in video customers. During the three months ended March 31, 2009, we added approximately 288,000 digital video customers. As of March 31, 2009, approximately 72% of our 24.1 million video customers subscribed to at least one of our digital video services. During the three months ended March 31, 2009, the number of video customers decreased by approximately 78,000 primarily due to increased competition in our service areas, as well as the weakness in the economy. Our average monthly video revenue per video customer increased to approximately $68 at March 31, 2009 from approximately $64 at March 31, 2008. Continued competition and weak economic conditions are expected to result in further declines in the number of video customers.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increase in high-speed Internet revenue for the three months ended March 31, 2009 compared to the same period in 2008 was primarily due to an increase in the number of customers. During the three months ended March 31, 2009, we added approximately 329,000 high-speed Internet customers. Average monthly revenue per high-speed Internet customer has remained relatively stable. The rate of customer and revenue growth has slowed due to the market maturing, increased competition and weak economic conditions.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Phone</w:t>
      </w:r>
    </w:p>
    <w:p>
      <w:pPr>
        <w:spacing w:after="0" w:line="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phone revenue increased for the three months ended March 31, 2009 compared to the same period in 2008 due to an increase in the number of phone customers. During the three months ended March 31, 2009, we added approximately 298,000 digital phone customers. Average monthly revenue per phone customer has remained relatively stable due to customers receiving service as part of a promotional offer or in a bundled service offering. The rate of customer and revenue growth has slowed due to increased competition and weak economic conditions.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Advertising revenue decreased for the three months ended March 31, 2009 compared to the same period in 2008 primarily due to a decline in political advertising and a decline in the overall television advertising market, including the automotive and housing sectors.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also generate revenue from our regional sports networks, our digital media center, on-screen guide advertising, commissions from electronic retailing networks and fees for other services.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Fees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 in franchise fees collected from our cable customers for the three months ended March 31, 2009 compared to the same period in 2008 was primarily due to the increase in the revenue on which the fees apply.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Segment Operating Expenses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2140" w:type="dxa"/>
            <w:vAlign w:val="bottom"/>
            <w:gridSpan w:val="2"/>
          </w:tcPr>
          <w:p>
            <w:pPr>
              <w:jc w:val="right"/>
              <w:ind w:right="315"/>
              <w:spacing w:after="0"/>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4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140" w:type="dxa"/>
            <w:vAlign w:val="bottom"/>
            <w:gridSpan w:val="2"/>
          </w:tcPr>
          <w:p>
            <w:pPr>
              <w:jc w:val="right"/>
              <w:ind w:right="615"/>
              <w:spacing w:after="0" w:line="159" w:lineRule="exact"/>
              <w:rPr>
                <w:sz w:val="20"/>
                <w:szCs w:val="20"/>
                <w:color w:val="auto"/>
              </w:rPr>
            </w:pPr>
            <w:r>
              <w:rPr>
                <w:rFonts w:ascii="Arial" w:cs="Arial" w:eastAsia="Arial" w:hAnsi="Arial"/>
                <w:sz w:val="14"/>
                <w:szCs w:val="14"/>
                <w:color w:val="auto"/>
              </w:rPr>
              <w:t>March 31</w:t>
            </w:r>
          </w:p>
        </w:tc>
        <w:tc>
          <w:tcPr>
            <w:tcW w:w="340" w:type="dxa"/>
            <w:vAlign w:val="bottom"/>
          </w:tcPr>
          <w:p>
            <w:pPr>
              <w:spacing w:after="0"/>
              <w:rPr>
                <w:sz w:val="13"/>
                <w:szCs w:val="13"/>
                <w:color w:val="auto"/>
              </w:rPr>
            </w:pPr>
          </w:p>
        </w:tc>
        <w:tc>
          <w:tcPr>
            <w:tcW w:w="152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Increase/(Decrease)</w:t>
            </w:r>
          </w:p>
        </w:tc>
        <w:tc>
          <w:tcPr>
            <w:tcW w:w="0" w:type="dxa"/>
            <w:vAlign w:val="bottom"/>
          </w:tcPr>
          <w:p>
            <w:pPr>
              <w:spacing w:after="0"/>
              <w:rPr>
                <w:sz w:val="1"/>
                <w:szCs w:val="1"/>
                <w:color w:val="auto"/>
              </w:rPr>
            </w:pPr>
          </w:p>
        </w:tc>
      </w:tr>
      <w:tr>
        <w:trPr>
          <w:trHeight w:val="142"/>
        </w:trPr>
        <w:tc>
          <w:tcPr>
            <w:tcW w:w="7440" w:type="dxa"/>
            <w:vAlign w:val="bottom"/>
            <w:gridSpan w:val="2"/>
            <w:vMerge w:val="continue"/>
          </w:tcPr>
          <w:p>
            <w:pPr>
              <w:spacing w:after="0"/>
              <w:rPr>
                <w:sz w:val="12"/>
                <w:szCs w:val="12"/>
                <w:color w:val="auto"/>
              </w:rPr>
            </w:pPr>
          </w:p>
        </w:tc>
        <w:tc>
          <w:tcPr>
            <w:tcW w:w="1180" w:type="dxa"/>
            <w:vAlign w:val="bottom"/>
            <w:tcBorders>
              <w:top w:val="single" w:sz="8" w:color="auto"/>
            </w:tcBorders>
          </w:tcPr>
          <w:p>
            <w:pPr>
              <w:jc w:val="right"/>
              <w:ind w:right="259"/>
              <w:spacing w:after="0" w:line="142" w:lineRule="exact"/>
              <w:rPr>
                <w:sz w:val="20"/>
                <w:szCs w:val="20"/>
                <w:color w:val="auto"/>
              </w:rPr>
            </w:pPr>
            <w:r>
              <w:rPr>
                <w:rFonts w:ascii="Arial" w:cs="Arial" w:eastAsia="Arial" w:hAnsi="Arial"/>
                <w:sz w:val="14"/>
                <w:szCs w:val="14"/>
                <w:color w:val="auto"/>
              </w:rPr>
              <w:t>2009</w:t>
            </w:r>
          </w:p>
        </w:tc>
        <w:tc>
          <w:tcPr>
            <w:tcW w:w="960" w:type="dxa"/>
            <w:vAlign w:val="bottom"/>
            <w:tcBorders>
              <w:top w:val="single" w:sz="8" w:color="auto"/>
            </w:tcBorders>
          </w:tcPr>
          <w:p>
            <w:pPr>
              <w:jc w:val="right"/>
              <w:ind w:right="255"/>
              <w:spacing w:after="0" w:line="142" w:lineRule="exact"/>
              <w:rPr>
                <w:sz w:val="20"/>
                <w:szCs w:val="20"/>
                <w:color w:val="auto"/>
              </w:rPr>
            </w:pPr>
            <w:r>
              <w:rPr>
                <w:rFonts w:ascii="Arial" w:cs="Arial" w:eastAsia="Arial" w:hAnsi="Arial"/>
                <w:sz w:val="14"/>
                <w:szCs w:val="14"/>
                <w:color w:val="auto"/>
              </w:rPr>
              <w:t>2008</w:t>
            </w: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ind w:right="295"/>
              <w:spacing w:after="0" w:line="142"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Video programming</w:t>
            </w:r>
          </w:p>
        </w:tc>
        <w:tc>
          <w:tcPr>
            <w:tcW w:w="1180" w:type="dxa"/>
            <w:vAlign w:val="bottom"/>
            <w:tcBorders>
              <w:top w:val="single" w:sz="8" w:color="auto"/>
            </w:tcBorders>
            <w:shd w:val="clear" w:color="auto" w:fill="E5E5E5"/>
          </w:tcPr>
          <w:p>
            <w:pPr>
              <w:jc w:val="right"/>
              <w:ind w:right="139"/>
              <w:spacing w:after="0"/>
              <w:rPr>
                <w:sz w:val="20"/>
                <w:szCs w:val="20"/>
                <w:color w:val="auto"/>
              </w:rPr>
            </w:pPr>
            <w:r>
              <w:rPr>
                <w:rFonts w:ascii="Arial" w:cs="Arial" w:eastAsia="Arial" w:hAnsi="Arial"/>
                <w:sz w:val="18"/>
                <w:szCs w:val="18"/>
                <w:color w:val="auto"/>
              </w:rPr>
              <w:t>$ 1,775</w:t>
            </w:r>
          </w:p>
        </w:tc>
        <w:tc>
          <w:tcPr>
            <w:tcW w:w="960" w:type="dxa"/>
            <w:vAlign w:val="bottom"/>
            <w:tcBorders>
              <w:top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$ 1,619</w:t>
            </w:r>
          </w:p>
        </w:tc>
        <w:tc>
          <w:tcPr>
            <w:tcW w:w="3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257"/>
              <w:spacing w:after="0"/>
              <w:rPr>
                <w:sz w:val="20"/>
                <w:szCs w:val="20"/>
                <w:color w:val="auto"/>
              </w:rPr>
            </w:pPr>
            <w:r>
              <w:rPr>
                <w:rFonts w:ascii="Arial" w:cs="Arial" w:eastAsia="Arial" w:hAnsi="Arial"/>
                <w:sz w:val="18"/>
                <w:szCs w:val="18"/>
                <w:color w:val="auto"/>
                <w:w w:val="99"/>
              </w:rPr>
              <w:t>156</w:t>
            </w:r>
          </w:p>
        </w:tc>
        <w:tc>
          <w:tcPr>
            <w:tcW w:w="8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Technical labor costs</w:t>
            </w:r>
          </w:p>
        </w:tc>
        <w:tc>
          <w:tcPr>
            <w:tcW w:w="1180" w:type="dxa"/>
            <w:vAlign w:val="bottom"/>
          </w:tcPr>
          <w:p>
            <w:pPr>
              <w:jc w:val="right"/>
              <w:ind w:right="139"/>
              <w:spacing w:after="0"/>
              <w:rPr>
                <w:sz w:val="20"/>
                <w:szCs w:val="20"/>
                <w:color w:val="auto"/>
              </w:rPr>
            </w:pPr>
            <w:r>
              <w:rPr>
                <w:rFonts w:ascii="Arial" w:cs="Arial" w:eastAsia="Arial" w:hAnsi="Arial"/>
                <w:sz w:val="18"/>
                <w:szCs w:val="18"/>
                <w:color w:val="auto"/>
              </w:rPr>
              <w:t>573</w:t>
            </w:r>
          </w:p>
        </w:tc>
        <w:tc>
          <w:tcPr>
            <w:tcW w:w="960" w:type="dxa"/>
            <w:vAlign w:val="bottom"/>
          </w:tcPr>
          <w:p>
            <w:pPr>
              <w:jc w:val="right"/>
              <w:ind w:right="135"/>
              <w:spacing w:after="0"/>
              <w:rPr>
                <w:sz w:val="20"/>
                <w:szCs w:val="20"/>
                <w:color w:val="auto"/>
              </w:rPr>
            </w:pPr>
            <w:r>
              <w:rPr>
                <w:rFonts w:ascii="Arial" w:cs="Arial" w:eastAsia="Arial" w:hAnsi="Arial"/>
                <w:sz w:val="18"/>
                <w:szCs w:val="18"/>
                <w:color w:val="auto"/>
              </w:rPr>
              <w:t>523</w:t>
            </w:r>
          </w:p>
        </w:tc>
        <w:tc>
          <w:tcPr>
            <w:tcW w:w="340" w:type="dxa"/>
            <w:vAlign w:val="bottom"/>
          </w:tcPr>
          <w:p>
            <w:pPr>
              <w:spacing w:after="0"/>
              <w:rPr>
                <w:sz w:val="18"/>
                <w:szCs w:val="18"/>
                <w:color w:val="auto"/>
              </w:rPr>
            </w:pPr>
          </w:p>
        </w:tc>
        <w:tc>
          <w:tcPr>
            <w:tcW w:w="660" w:type="dxa"/>
            <w:vAlign w:val="bottom"/>
          </w:tcPr>
          <w:p>
            <w:pPr>
              <w:jc w:val="right"/>
              <w:ind w:right="257"/>
              <w:spacing w:after="0"/>
              <w:rPr>
                <w:sz w:val="20"/>
                <w:szCs w:val="20"/>
                <w:color w:val="auto"/>
              </w:rPr>
            </w:pPr>
            <w:r>
              <w:rPr>
                <w:rFonts w:ascii="Arial" w:cs="Arial" w:eastAsia="Arial" w:hAnsi="Arial"/>
                <w:sz w:val="18"/>
                <w:szCs w:val="18"/>
                <w:color w:val="auto"/>
              </w:rPr>
              <w:t>50</w:t>
            </w:r>
          </w:p>
        </w:tc>
        <w:tc>
          <w:tcPr>
            <w:tcW w:w="840" w:type="dxa"/>
            <w:vAlign w:val="bottom"/>
          </w:tcPr>
          <w:p>
            <w:pPr>
              <w:jc w:val="right"/>
              <w:ind w:right="95"/>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High-speed Internet</w:t>
            </w:r>
          </w:p>
        </w:tc>
        <w:tc>
          <w:tcPr>
            <w:tcW w:w="1180" w:type="dxa"/>
            <w:vAlign w:val="bottom"/>
            <w:shd w:val="clear" w:color="auto" w:fill="E5E5E5"/>
          </w:tcPr>
          <w:p>
            <w:pPr>
              <w:jc w:val="right"/>
              <w:ind w:right="139"/>
              <w:spacing w:after="0"/>
              <w:rPr>
                <w:sz w:val="20"/>
                <w:szCs w:val="20"/>
                <w:color w:val="auto"/>
              </w:rPr>
            </w:pPr>
            <w:r>
              <w:rPr>
                <w:rFonts w:ascii="Arial" w:cs="Arial" w:eastAsia="Arial" w:hAnsi="Arial"/>
                <w:sz w:val="18"/>
                <w:szCs w:val="18"/>
                <w:color w:val="auto"/>
              </w:rPr>
              <w:t>120</w:t>
            </w:r>
          </w:p>
        </w:tc>
        <w:tc>
          <w:tcPr>
            <w:tcW w:w="9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138</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rPr>
              <w:t>(18)</w:t>
            </w:r>
          </w:p>
        </w:tc>
        <w:tc>
          <w:tcPr>
            <w:tcW w:w="84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Phone</w:t>
            </w:r>
          </w:p>
        </w:tc>
        <w:tc>
          <w:tcPr>
            <w:tcW w:w="1180" w:type="dxa"/>
            <w:vAlign w:val="bottom"/>
          </w:tcPr>
          <w:p>
            <w:pPr>
              <w:jc w:val="right"/>
              <w:ind w:right="139"/>
              <w:spacing w:after="0"/>
              <w:rPr>
                <w:sz w:val="20"/>
                <w:szCs w:val="20"/>
                <w:color w:val="auto"/>
              </w:rPr>
            </w:pPr>
            <w:r>
              <w:rPr>
                <w:rFonts w:ascii="Arial" w:cs="Arial" w:eastAsia="Arial" w:hAnsi="Arial"/>
                <w:sz w:val="18"/>
                <w:szCs w:val="18"/>
                <w:color w:val="auto"/>
              </w:rPr>
              <w:t>169</w:t>
            </w:r>
          </w:p>
        </w:tc>
        <w:tc>
          <w:tcPr>
            <w:tcW w:w="960" w:type="dxa"/>
            <w:vAlign w:val="bottom"/>
          </w:tcPr>
          <w:p>
            <w:pPr>
              <w:jc w:val="right"/>
              <w:ind w:right="135"/>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18"/>
                <w:szCs w:val="18"/>
                <w:color w:val="auto"/>
              </w:rPr>
            </w:pPr>
          </w:p>
        </w:tc>
        <w:tc>
          <w:tcPr>
            <w:tcW w:w="660" w:type="dxa"/>
            <w:vAlign w:val="bottom"/>
          </w:tcPr>
          <w:p>
            <w:pPr>
              <w:jc w:val="right"/>
              <w:ind w:right="197"/>
              <w:spacing w:after="0"/>
              <w:rPr>
                <w:sz w:val="20"/>
                <w:szCs w:val="20"/>
                <w:color w:val="auto"/>
              </w:rPr>
            </w:pPr>
            <w:r>
              <w:rPr>
                <w:rFonts w:ascii="Arial" w:cs="Arial" w:eastAsia="Arial" w:hAnsi="Arial"/>
                <w:sz w:val="18"/>
                <w:szCs w:val="18"/>
                <w:color w:val="auto"/>
              </w:rPr>
              <w:t>(31)</w:t>
            </w: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auto"/>
            </w:tcBorders>
            <w:shd w:val="clear" w:color="auto" w:fill="E5E5E5"/>
          </w:tcPr>
          <w:p>
            <w:pPr>
              <w:jc w:val="right"/>
              <w:ind w:right="139"/>
              <w:spacing w:after="0"/>
              <w:rPr>
                <w:sz w:val="20"/>
                <w:szCs w:val="20"/>
                <w:color w:val="auto"/>
              </w:rPr>
            </w:pPr>
            <w:r>
              <w:rPr>
                <w:rFonts w:ascii="Arial" w:cs="Arial" w:eastAsia="Arial" w:hAnsi="Arial"/>
                <w:sz w:val="18"/>
                <w:szCs w:val="18"/>
                <w:color w:val="auto"/>
              </w:rPr>
              <w:t>708</w:t>
            </w:r>
          </w:p>
        </w:tc>
        <w:tc>
          <w:tcPr>
            <w:tcW w:w="96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683</w:t>
            </w:r>
          </w:p>
        </w:tc>
        <w:tc>
          <w:tcPr>
            <w:tcW w:w="3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257"/>
              <w:spacing w:after="0"/>
              <w:rPr>
                <w:sz w:val="20"/>
                <w:szCs w:val="20"/>
                <w:color w:val="auto"/>
              </w:rPr>
            </w:pPr>
            <w:r>
              <w:rPr>
                <w:rFonts w:ascii="Arial" w:cs="Arial" w:eastAsia="Arial" w:hAnsi="Arial"/>
                <w:sz w:val="18"/>
                <w:szCs w:val="18"/>
                <w:color w:val="auto"/>
              </w:rPr>
              <w:t>25</w:t>
            </w:r>
          </w:p>
        </w:tc>
        <w:tc>
          <w:tcPr>
            <w:tcW w:w="84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operating expenses</w:t>
            </w: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b w:val="1"/>
                <w:bCs w:val="1"/>
                <w:color w:val="auto"/>
              </w:rPr>
              <w:t>$ 3,345</w:t>
            </w: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$ 3,163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b w:val="1"/>
                <w:bCs w:val="1"/>
                <w:color w:val="auto"/>
                <w:w w:val="99"/>
              </w:rPr>
              <w:t>182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Video programming expenses increased primarily due to rate increases, additional digital customers and additions to the number of programming options we offer. Technical labor increased primarily due to growth in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number of customers, including the activity associated with the transition by broadcasters from analog to digital transmission, and the transition of more of our programming to digital transmission. High-speed Internet expenses and phone expenses include certain direct costs identified by us for providing these services, but do not fully reflect the amounts for operating expenses that would be necessary to provide these services on a stand-alone basis. Other related costs associated with providing these services are generally shared among all our cable services and are not allocated to these captions. High-speed Internet and phone expenses decreased primarily due to lower support service costs that were the result of operating efficiencies and our entering into new contracts with lower cost providers and renegotiating existing contracts. Other expenses increased primarily due to the continued expansion of our cable services to small and medium-sized businesses.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Segment Selling, General and Administrative Expenses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40" w:type="dxa"/>
            <w:vAlign w:val="bottom"/>
            <w:gridSpan w:val="3"/>
          </w:tcPr>
          <w:p>
            <w:pPr>
              <w:jc w:val="right"/>
              <w:ind w:right="396"/>
              <w:spacing w:after="0"/>
              <w:rPr>
                <w:sz w:val="20"/>
                <w:szCs w:val="20"/>
                <w:color w:val="auto"/>
              </w:rPr>
            </w:pPr>
            <w:r>
              <w:rPr>
                <w:rFonts w:ascii="Arial" w:cs="Arial" w:eastAsia="Arial" w:hAnsi="Arial"/>
                <w:sz w:val="14"/>
                <w:szCs w:val="14"/>
                <w:color w:val="auto"/>
                <w:w w:val="94"/>
              </w:rPr>
              <w:t>Three Months Ended</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0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6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12"/>
              <w:spacing w:after="0" w:line="159" w:lineRule="exact"/>
              <w:rPr>
                <w:sz w:val="20"/>
                <w:szCs w:val="20"/>
                <w:color w:val="auto"/>
              </w:rPr>
            </w:pPr>
            <w:r>
              <w:rPr>
                <w:rFonts w:ascii="Arial" w:cs="Arial" w:eastAsia="Arial" w:hAnsi="Arial"/>
                <w:sz w:val="14"/>
                <w:szCs w:val="14"/>
                <w:color w:val="auto"/>
              </w:rPr>
              <w:t>March 31</w:t>
            </w:r>
          </w:p>
        </w:tc>
        <w:tc>
          <w:tcPr>
            <w:tcW w:w="6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right"/>
              <w:ind w:right="396"/>
              <w:spacing w:after="0" w:line="159" w:lineRule="exact"/>
              <w:rPr>
                <w:sz w:val="20"/>
                <w:szCs w:val="20"/>
                <w:color w:val="auto"/>
              </w:rPr>
            </w:pPr>
            <w:r>
              <w:rPr>
                <w:rFonts w:ascii="Arial" w:cs="Arial" w:eastAsia="Arial" w:hAnsi="Arial"/>
                <w:sz w:val="14"/>
                <w:szCs w:val="14"/>
                <w:color w:val="auto"/>
                <w:w w:val="91"/>
              </w:rPr>
              <w:t>Increase/(Decrease)</w:t>
            </w:r>
          </w:p>
        </w:tc>
        <w:tc>
          <w:tcPr>
            <w:tcW w:w="0" w:type="dxa"/>
            <w:vAlign w:val="bottom"/>
          </w:tcPr>
          <w:p>
            <w:pPr>
              <w:spacing w:after="0"/>
              <w:rPr>
                <w:sz w:val="1"/>
                <w:szCs w:val="1"/>
                <w:color w:val="auto"/>
              </w:rPr>
            </w:pPr>
          </w:p>
        </w:tc>
      </w:tr>
      <w:tr>
        <w:trPr>
          <w:trHeight w:val="142"/>
        </w:trPr>
        <w:tc>
          <w:tcPr>
            <w:tcW w:w="70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jc w:val="right"/>
              <w:ind w:right="321"/>
              <w:spacing w:after="0" w:line="142" w:lineRule="exact"/>
              <w:rPr>
                <w:sz w:val="20"/>
                <w:szCs w:val="20"/>
                <w:color w:val="auto"/>
              </w:rPr>
            </w:pPr>
            <w:r>
              <w:rPr>
                <w:rFonts w:ascii="Arial" w:cs="Arial" w:eastAsia="Arial" w:hAnsi="Arial"/>
                <w:sz w:val="14"/>
                <w:szCs w:val="14"/>
                <w:color w:val="auto"/>
                <w:w w:val="89"/>
              </w:rPr>
              <w:t>2009</w:t>
            </w:r>
          </w:p>
        </w:tc>
        <w:tc>
          <w:tcPr>
            <w:tcW w:w="360" w:type="dxa"/>
            <w:vAlign w:val="bottom"/>
          </w:tcPr>
          <w:p>
            <w:pPr>
              <w:spacing w:after="0"/>
              <w:rPr>
                <w:sz w:val="12"/>
                <w:szCs w:val="12"/>
                <w:color w:val="auto"/>
              </w:rPr>
            </w:pPr>
          </w:p>
        </w:tc>
        <w:tc>
          <w:tcPr>
            <w:tcW w:w="680" w:type="dxa"/>
            <w:vAlign w:val="bottom"/>
          </w:tcPr>
          <w:p>
            <w:pPr>
              <w:jc w:val="right"/>
              <w:ind w:right="296"/>
              <w:spacing w:after="0" w:line="142" w:lineRule="exact"/>
              <w:rPr>
                <w:sz w:val="20"/>
                <w:szCs w:val="20"/>
                <w:color w:val="auto"/>
              </w:rPr>
            </w:pPr>
            <w:r>
              <w:rPr>
                <w:rFonts w:ascii="Arial" w:cs="Arial" w:eastAsia="Arial" w:hAnsi="Arial"/>
                <w:sz w:val="14"/>
                <w:szCs w:val="14"/>
                <w:color w:val="auto"/>
                <w:w w:val="89"/>
              </w:rPr>
              <w:t>2008</w:t>
            </w:r>
          </w:p>
        </w:tc>
        <w:tc>
          <w:tcPr>
            <w:tcW w:w="400" w:type="dxa"/>
            <w:vAlign w:val="bottom"/>
          </w:tcPr>
          <w:p>
            <w:pPr>
              <w:spacing w:after="0"/>
              <w:rPr>
                <w:sz w:val="12"/>
                <w:szCs w:val="12"/>
                <w:color w:val="auto"/>
              </w:rPr>
            </w:pPr>
          </w:p>
        </w:tc>
        <w:tc>
          <w:tcPr>
            <w:tcW w:w="720" w:type="dxa"/>
            <w:vAlign w:val="bottom"/>
          </w:tcPr>
          <w:p>
            <w:pPr>
              <w:jc w:val="right"/>
              <w:ind w:right="519"/>
              <w:spacing w:after="0" w:line="142"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76"/>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Customer service</w:t>
            </w:r>
          </w:p>
        </w:tc>
        <w:tc>
          <w:tcPr>
            <w:tcW w:w="6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181"/>
              <w:spacing w:after="0"/>
              <w:rPr>
                <w:sz w:val="20"/>
                <w:szCs w:val="20"/>
                <w:color w:val="auto"/>
              </w:rPr>
            </w:pPr>
            <w:r>
              <w:rPr>
                <w:rFonts w:ascii="Arial" w:cs="Arial" w:eastAsia="Arial" w:hAnsi="Arial"/>
                <w:sz w:val="18"/>
                <w:szCs w:val="18"/>
                <w:color w:val="auto"/>
              </w:rPr>
              <w:t>478</w:t>
            </w:r>
          </w:p>
        </w:tc>
        <w:tc>
          <w:tcPr>
            <w:tcW w:w="3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rPr>
              <w:t>442</w:t>
            </w:r>
          </w:p>
        </w:tc>
        <w:tc>
          <w:tcPr>
            <w:tcW w:w="4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339"/>
              <w:spacing w:after="0"/>
              <w:rPr>
                <w:sz w:val="20"/>
                <w:szCs w:val="20"/>
                <w:color w:val="auto"/>
              </w:rPr>
            </w:pPr>
            <w:r>
              <w:rPr>
                <w:rFonts w:ascii="Arial" w:cs="Arial" w:eastAsia="Arial" w:hAnsi="Arial"/>
                <w:sz w:val="18"/>
                <w:szCs w:val="18"/>
                <w:color w:val="auto"/>
              </w:rPr>
              <w:t>36</w:t>
            </w:r>
          </w:p>
        </w:tc>
        <w:tc>
          <w:tcPr>
            <w:tcW w:w="940" w:type="dxa"/>
            <w:vAlign w:val="bottom"/>
            <w:tcBorders>
              <w:top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Marketing</w:t>
            </w:r>
          </w:p>
        </w:tc>
        <w:tc>
          <w:tcPr>
            <w:tcW w:w="600" w:type="dxa"/>
            <w:vAlign w:val="bottom"/>
          </w:tcPr>
          <w:p>
            <w:pPr>
              <w:spacing w:after="0"/>
              <w:rPr>
                <w:sz w:val="18"/>
                <w:szCs w:val="18"/>
                <w:color w:val="auto"/>
              </w:rPr>
            </w:pPr>
          </w:p>
        </w:tc>
        <w:tc>
          <w:tcPr>
            <w:tcW w:w="700" w:type="dxa"/>
            <w:vAlign w:val="bottom"/>
          </w:tcPr>
          <w:p>
            <w:pPr>
              <w:jc w:val="right"/>
              <w:ind w:right="181"/>
              <w:spacing w:after="0"/>
              <w:rPr>
                <w:sz w:val="20"/>
                <w:szCs w:val="20"/>
                <w:color w:val="auto"/>
              </w:rPr>
            </w:pPr>
            <w:r>
              <w:rPr>
                <w:rFonts w:ascii="Arial" w:cs="Arial" w:eastAsia="Arial" w:hAnsi="Arial"/>
                <w:sz w:val="18"/>
                <w:szCs w:val="18"/>
                <w:color w:val="auto"/>
              </w:rPr>
              <w:t>369</w:t>
            </w:r>
          </w:p>
        </w:tc>
        <w:tc>
          <w:tcPr>
            <w:tcW w:w="360" w:type="dxa"/>
            <w:vAlign w:val="bottom"/>
          </w:tcPr>
          <w:p>
            <w:pPr>
              <w:spacing w:after="0"/>
              <w:rPr>
                <w:sz w:val="18"/>
                <w:szCs w:val="18"/>
                <w:color w:val="auto"/>
              </w:rPr>
            </w:pPr>
          </w:p>
        </w:tc>
        <w:tc>
          <w:tcPr>
            <w:tcW w:w="680" w:type="dxa"/>
            <w:vAlign w:val="bottom"/>
          </w:tcPr>
          <w:p>
            <w:pPr>
              <w:jc w:val="right"/>
              <w:ind w:right="156"/>
              <w:spacing w:after="0"/>
              <w:rPr>
                <w:sz w:val="20"/>
                <w:szCs w:val="20"/>
                <w:color w:val="auto"/>
              </w:rPr>
            </w:pPr>
            <w:r>
              <w:rPr>
                <w:rFonts w:ascii="Arial" w:cs="Arial" w:eastAsia="Arial" w:hAnsi="Arial"/>
                <w:sz w:val="18"/>
                <w:szCs w:val="18"/>
                <w:color w:val="auto"/>
              </w:rPr>
              <w:t>399</w:t>
            </w:r>
          </w:p>
        </w:tc>
        <w:tc>
          <w:tcPr>
            <w:tcW w:w="400" w:type="dxa"/>
            <w:vAlign w:val="bottom"/>
          </w:tcPr>
          <w:p>
            <w:pPr>
              <w:spacing w:after="0"/>
              <w:rPr>
                <w:sz w:val="18"/>
                <w:szCs w:val="18"/>
                <w:color w:val="auto"/>
              </w:rPr>
            </w:pPr>
          </w:p>
        </w:tc>
        <w:tc>
          <w:tcPr>
            <w:tcW w:w="720" w:type="dxa"/>
            <w:vAlign w:val="bottom"/>
          </w:tcPr>
          <w:p>
            <w:pPr>
              <w:jc w:val="right"/>
              <w:ind w:right="279"/>
              <w:spacing w:after="0"/>
              <w:rPr>
                <w:sz w:val="20"/>
                <w:szCs w:val="20"/>
                <w:color w:val="auto"/>
              </w:rPr>
            </w:pPr>
            <w:r>
              <w:rPr>
                <w:rFonts w:ascii="Arial" w:cs="Arial" w:eastAsia="Arial" w:hAnsi="Arial"/>
                <w:sz w:val="18"/>
                <w:szCs w:val="18"/>
                <w:color w:val="auto"/>
              </w:rPr>
              <w:t>(30)</w:t>
            </w:r>
          </w:p>
        </w:tc>
        <w:tc>
          <w:tcPr>
            <w:tcW w:w="940" w:type="dxa"/>
            <w:vAlign w:val="bottom"/>
          </w:tcPr>
          <w:p>
            <w:pPr>
              <w:jc w:val="right"/>
              <w:ind w:right="96"/>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Administrative and other</w:t>
            </w:r>
          </w:p>
        </w:tc>
        <w:tc>
          <w:tcPr>
            <w:tcW w:w="6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81"/>
              <w:spacing w:after="0"/>
              <w:rPr>
                <w:sz w:val="20"/>
                <w:szCs w:val="20"/>
                <w:color w:val="auto"/>
              </w:rPr>
            </w:pPr>
            <w:r>
              <w:rPr>
                <w:rFonts w:ascii="Arial" w:cs="Arial" w:eastAsia="Arial" w:hAnsi="Arial"/>
                <w:sz w:val="18"/>
                <w:szCs w:val="18"/>
                <w:color w:val="auto"/>
              </w:rPr>
              <w:t>751</w:t>
            </w:r>
          </w:p>
        </w:tc>
        <w:tc>
          <w:tcPr>
            <w:tcW w:w="3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rPr>
              <w:t>770</w:t>
            </w:r>
          </w:p>
        </w:tc>
        <w:tc>
          <w:tcPr>
            <w:tcW w:w="4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279"/>
              <w:spacing w:after="0"/>
              <w:rPr>
                <w:sz w:val="20"/>
                <w:szCs w:val="20"/>
                <w:color w:val="auto"/>
              </w:rPr>
            </w:pPr>
            <w:r>
              <w:rPr>
                <w:rFonts w:ascii="Arial" w:cs="Arial" w:eastAsia="Arial" w:hAnsi="Arial"/>
                <w:sz w:val="18"/>
                <w:szCs w:val="18"/>
                <w:color w:val="auto"/>
              </w:rPr>
              <w:t>(19)</w:t>
            </w:r>
          </w:p>
        </w:tc>
        <w:tc>
          <w:tcPr>
            <w:tcW w:w="94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selling, general and administrative expenses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81"/>
              <w:spacing w:after="0"/>
              <w:rPr>
                <w:sz w:val="20"/>
                <w:szCs w:val="20"/>
                <w:color w:val="auto"/>
              </w:rPr>
            </w:pPr>
            <w:r>
              <w:rPr>
                <w:rFonts w:ascii="Arial" w:cs="Arial" w:eastAsia="Arial" w:hAnsi="Arial"/>
                <w:sz w:val="18"/>
                <w:szCs w:val="18"/>
                <w:b w:val="1"/>
                <w:bCs w:val="1"/>
                <w:color w:val="auto"/>
                <w:w w:val="93"/>
              </w:rPr>
              <w:t>1,598</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w w:val="93"/>
              </w:rPr>
              <w:t>1,611</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279"/>
              <w:spacing w:after="0"/>
              <w:rPr>
                <w:sz w:val="20"/>
                <w:szCs w:val="20"/>
                <w:color w:val="auto"/>
              </w:rPr>
            </w:pPr>
            <w:r>
              <w:rPr>
                <w:rFonts w:ascii="Arial" w:cs="Arial" w:eastAsia="Arial" w:hAnsi="Arial"/>
                <w:sz w:val="18"/>
                <w:szCs w:val="18"/>
                <w:b w:val="1"/>
                <w:bCs w:val="1"/>
                <w:color w:val="auto"/>
              </w:rPr>
              <w:t>(13)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Customer service expenses increased primarily due to the growth in activity associated with the transition by broadcasters from analog to digital transmission and the transition of more of our programming to digital transmission. Marketing expenses decreased primarily due to the timing of our marketing campaigns and lower costs for media advertising. Administrative and other expenses declined slightly primarily due to the impact of the divisional reorganization and other cost reduction programs implemented in 2008.</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Programming Segment Operating Results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20" w:type="dxa"/>
            <w:vAlign w:val="bottom"/>
            <w:gridSpan w:val="3"/>
          </w:tcPr>
          <w:p>
            <w:pPr>
              <w:jc w:val="right"/>
              <w:ind w:right="377"/>
              <w:spacing w:after="0"/>
              <w:rPr>
                <w:sz w:val="20"/>
                <w:szCs w:val="20"/>
                <w:color w:val="auto"/>
              </w:rPr>
            </w:pPr>
            <w:r>
              <w:rPr>
                <w:rFonts w:ascii="Arial" w:cs="Arial" w:eastAsia="Arial" w:hAnsi="Arial"/>
                <w:sz w:val="14"/>
                <w:szCs w:val="14"/>
                <w:color w:val="auto"/>
                <w:w w:val="94"/>
              </w:rPr>
              <w:t>Three Months Ended</w:t>
            </w: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0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6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12"/>
              <w:spacing w:after="0" w:line="159" w:lineRule="exact"/>
              <w:rPr>
                <w:sz w:val="20"/>
                <w:szCs w:val="20"/>
                <w:color w:val="auto"/>
              </w:rPr>
            </w:pPr>
            <w:r>
              <w:rPr>
                <w:rFonts w:ascii="Arial" w:cs="Arial" w:eastAsia="Arial" w:hAnsi="Arial"/>
                <w:sz w:val="14"/>
                <w:szCs w:val="14"/>
                <w:color w:val="auto"/>
              </w:rPr>
              <w:t>March 31</w:t>
            </w:r>
          </w:p>
        </w:tc>
        <w:tc>
          <w:tcPr>
            <w:tcW w:w="6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jc w:val="right"/>
              <w:ind w:right="377"/>
              <w:spacing w:after="0" w:line="159" w:lineRule="exact"/>
              <w:rPr>
                <w:sz w:val="20"/>
                <w:szCs w:val="20"/>
                <w:color w:val="auto"/>
              </w:rPr>
            </w:pPr>
            <w:r>
              <w:rPr>
                <w:rFonts w:ascii="Arial" w:cs="Arial" w:eastAsia="Arial" w:hAnsi="Arial"/>
                <w:sz w:val="14"/>
                <w:szCs w:val="14"/>
                <w:color w:val="auto"/>
                <w:w w:val="91"/>
              </w:rPr>
              <w:t>Increase/(Decrease)</w:t>
            </w:r>
          </w:p>
        </w:tc>
        <w:tc>
          <w:tcPr>
            <w:tcW w:w="0" w:type="dxa"/>
            <w:vAlign w:val="bottom"/>
          </w:tcPr>
          <w:p>
            <w:pPr>
              <w:spacing w:after="0"/>
              <w:rPr>
                <w:sz w:val="1"/>
                <w:szCs w:val="1"/>
                <w:color w:val="auto"/>
              </w:rPr>
            </w:pPr>
          </w:p>
        </w:tc>
      </w:tr>
      <w:tr>
        <w:trPr>
          <w:trHeight w:val="142"/>
        </w:trPr>
        <w:tc>
          <w:tcPr>
            <w:tcW w:w="708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jc w:val="right"/>
              <w:ind w:right="302"/>
              <w:spacing w:after="0" w:line="142" w:lineRule="exact"/>
              <w:rPr>
                <w:sz w:val="20"/>
                <w:szCs w:val="20"/>
                <w:color w:val="auto"/>
              </w:rPr>
            </w:pPr>
            <w:r>
              <w:rPr>
                <w:rFonts w:ascii="Arial" w:cs="Arial" w:eastAsia="Arial" w:hAnsi="Arial"/>
                <w:sz w:val="14"/>
                <w:szCs w:val="14"/>
                <w:color w:val="auto"/>
                <w:w w:val="89"/>
              </w:rPr>
              <w:t>2009</w:t>
            </w:r>
          </w:p>
        </w:tc>
        <w:tc>
          <w:tcPr>
            <w:tcW w:w="360" w:type="dxa"/>
            <w:vAlign w:val="bottom"/>
          </w:tcPr>
          <w:p>
            <w:pPr>
              <w:spacing w:after="0"/>
              <w:rPr>
                <w:sz w:val="12"/>
                <w:szCs w:val="12"/>
                <w:color w:val="auto"/>
              </w:rPr>
            </w:pPr>
          </w:p>
        </w:tc>
        <w:tc>
          <w:tcPr>
            <w:tcW w:w="680" w:type="dxa"/>
            <w:vAlign w:val="bottom"/>
          </w:tcPr>
          <w:p>
            <w:pPr>
              <w:jc w:val="right"/>
              <w:ind w:right="297"/>
              <w:spacing w:after="0" w:line="142" w:lineRule="exact"/>
              <w:rPr>
                <w:sz w:val="20"/>
                <w:szCs w:val="20"/>
                <w:color w:val="auto"/>
              </w:rPr>
            </w:pPr>
            <w:r>
              <w:rPr>
                <w:rFonts w:ascii="Arial" w:cs="Arial" w:eastAsia="Arial" w:hAnsi="Arial"/>
                <w:sz w:val="14"/>
                <w:szCs w:val="14"/>
                <w:color w:val="auto"/>
                <w:w w:val="89"/>
              </w:rPr>
              <w:t>2008</w:t>
            </w:r>
          </w:p>
        </w:tc>
        <w:tc>
          <w:tcPr>
            <w:tcW w:w="380" w:type="dxa"/>
            <w:vAlign w:val="bottom"/>
          </w:tcPr>
          <w:p>
            <w:pPr>
              <w:spacing w:after="0"/>
              <w:rPr>
                <w:sz w:val="12"/>
                <w:szCs w:val="12"/>
                <w:color w:val="auto"/>
              </w:rPr>
            </w:pPr>
          </w:p>
        </w:tc>
        <w:tc>
          <w:tcPr>
            <w:tcW w:w="720" w:type="dxa"/>
            <w:vAlign w:val="bottom"/>
          </w:tcPr>
          <w:p>
            <w:pPr>
              <w:jc w:val="right"/>
              <w:ind w:right="520"/>
              <w:spacing w:after="0" w:line="142"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377"/>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6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62"/>
              <w:spacing w:after="0"/>
              <w:rPr>
                <w:sz w:val="20"/>
                <w:szCs w:val="20"/>
                <w:color w:val="auto"/>
              </w:rPr>
            </w:pPr>
            <w:r>
              <w:rPr>
                <w:rFonts w:ascii="Arial" w:cs="Arial" w:eastAsia="Arial" w:hAnsi="Arial"/>
                <w:sz w:val="18"/>
                <w:szCs w:val="18"/>
                <w:color w:val="auto"/>
              </w:rPr>
              <w:t>361</w:t>
            </w:r>
          </w:p>
        </w:tc>
        <w:tc>
          <w:tcPr>
            <w:tcW w:w="3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363</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300"/>
              <w:spacing w:after="0"/>
              <w:rPr>
                <w:sz w:val="20"/>
                <w:szCs w:val="20"/>
                <w:color w:val="auto"/>
              </w:rPr>
            </w:pPr>
            <w:r>
              <w:rPr>
                <w:rFonts w:ascii="Arial" w:cs="Arial" w:eastAsia="Arial" w:hAnsi="Arial"/>
                <w:sz w:val="18"/>
                <w:szCs w:val="18"/>
                <w:color w:val="auto"/>
              </w:rPr>
              <w:t>(2)</w:t>
            </w:r>
          </w:p>
        </w:tc>
        <w:tc>
          <w:tcPr>
            <w:tcW w:w="920" w:type="dxa"/>
            <w:vAlign w:val="bottom"/>
            <w:tcBorders>
              <w:top w:val="single" w:sz="8" w:color="auto"/>
            </w:tcBorders>
            <w:shd w:val="clear" w:color="auto" w:fill="E5E5E5"/>
          </w:tcPr>
          <w:p>
            <w:pPr>
              <w:ind w:left="400"/>
              <w:spacing w:after="0"/>
              <w:rPr>
                <w:sz w:val="20"/>
                <w:szCs w:val="20"/>
                <w:color w:val="auto"/>
              </w:rPr>
            </w:pPr>
            <w:r>
              <w:rPr>
                <w:rFonts w:ascii="Arial" w:cs="Arial" w:eastAsia="Arial" w:hAnsi="Arial"/>
                <w:sz w:val="18"/>
                <w:szCs w:val="18"/>
                <w:color w:val="auto"/>
                <w:w w:val="94"/>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selling, general and administrative expenses</w:t>
            </w:r>
          </w:p>
        </w:tc>
        <w:tc>
          <w:tcPr>
            <w:tcW w:w="6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62"/>
              <w:spacing w:after="0"/>
              <w:rPr>
                <w:sz w:val="20"/>
                <w:szCs w:val="20"/>
                <w:color w:val="auto"/>
              </w:rPr>
            </w:pPr>
            <w:r>
              <w:rPr>
                <w:rFonts w:ascii="Arial" w:cs="Arial" w:eastAsia="Arial" w:hAnsi="Arial"/>
                <w:sz w:val="18"/>
                <w:szCs w:val="18"/>
                <w:color w:val="auto"/>
              </w:rPr>
              <w:t>249</w:t>
            </w: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250</w:t>
            </w: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0"/>
              <w:spacing w:after="0"/>
              <w:rPr>
                <w:sz w:val="20"/>
                <w:szCs w:val="20"/>
                <w:color w:val="auto"/>
              </w:rPr>
            </w:pPr>
            <w:r>
              <w:rPr>
                <w:rFonts w:ascii="Arial" w:cs="Arial" w:eastAsia="Arial" w:hAnsi="Arial"/>
                <w:sz w:val="18"/>
                <w:szCs w:val="18"/>
                <w:color w:val="auto"/>
              </w:rPr>
              <w:t>(1)</w:t>
            </w:r>
          </w:p>
        </w:tc>
        <w:tc>
          <w:tcPr>
            <w:tcW w:w="9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62"/>
              <w:spacing w:after="0"/>
              <w:rPr>
                <w:sz w:val="20"/>
                <w:szCs w:val="20"/>
                <w:color w:val="auto"/>
              </w:rPr>
            </w:pPr>
            <w:r>
              <w:rPr>
                <w:rFonts w:ascii="Arial" w:cs="Arial" w:eastAsia="Arial" w:hAnsi="Arial"/>
                <w:sz w:val="18"/>
                <w:szCs w:val="18"/>
                <w:b w:val="1"/>
                <w:bCs w:val="1"/>
                <w:color w:val="auto"/>
              </w:rPr>
              <w:t>112</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113</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300"/>
              <w:spacing w:after="0"/>
              <w:rPr>
                <w:sz w:val="20"/>
                <w:szCs w:val="20"/>
                <w:color w:val="auto"/>
              </w:rPr>
            </w:pPr>
            <w:r>
              <w:rPr>
                <w:rFonts w:ascii="Arial" w:cs="Arial" w:eastAsia="Arial" w:hAnsi="Arial"/>
                <w:sz w:val="18"/>
                <w:szCs w:val="18"/>
                <w:b w:val="1"/>
                <w:bCs w:val="1"/>
                <w:color w:val="auto"/>
              </w:rPr>
              <w:t>(1)</w:t>
            </w:r>
          </w:p>
        </w:tc>
        <w:tc>
          <w:tcPr>
            <w:tcW w:w="920" w:type="dxa"/>
            <w:vAlign w:val="bottom"/>
            <w:tcBorders>
              <w:bottom w:val="single" w:sz="8" w:color="auto"/>
            </w:tcBorders>
            <w:shd w:val="clear" w:color="auto" w:fill="E5E5E5"/>
          </w:tcPr>
          <w:p>
            <w:pPr>
              <w:ind w:left="400"/>
              <w:spacing w:after="0"/>
              <w:rPr>
                <w:sz w:val="20"/>
                <w:szCs w:val="20"/>
                <w:color w:val="auto"/>
              </w:rPr>
            </w:pPr>
            <w:r>
              <w:rPr>
                <w:rFonts w:ascii="Arial" w:cs="Arial" w:eastAsia="Arial" w:hAnsi="Arial"/>
                <w:sz w:val="18"/>
                <w:szCs w:val="18"/>
                <w:b w:val="1"/>
                <w:bCs w:val="1"/>
                <w:color w:val="auto"/>
                <w:w w:val="94"/>
              </w:rPr>
              <w:t>(1.5)%</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Programming Segment Revenue</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Programming segment revenue decreased slightly for the three months ended March 31, 2009 compared to the same period in 2008 primarily due to a decline in advertising revenue. For the three months ended March 31, 2009 and 2008, advertising accounted for approximately 40% and 43%, respectively, of total Programming revenue. For both the three months ended March 31, 2009 and 2008, approximately 13% of our Programming segment revenue was generated by our Cable segment. These amounts are eliminated in our consolidated financial statements but are included in the amounts presented in the table above.</w:t>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Other Income (Expense) Items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40" w:type="dxa"/>
            <w:vAlign w:val="bottom"/>
            <w:gridSpan w:val="3"/>
          </w:tcPr>
          <w:p>
            <w:pPr>
              <w:jc w:val="right"/>
              <w:ind w:right="256"/>
              <w:spacing w:after="0"/>
              <w:rPr>
                <w:sz w:val="20"/>
                <w:szCs w:val="20"/>
                <w:color w:val="auto"/>
              </w:rPr>
            </w:pPr>
            <w:r>
              <w:rPr>
                <w:rFonts w:ascii="Arial" w:cs="Arial" w:eastAsia="Arial" w:hAnsi="Arial"/>
                <w:sz w:val="14"/>
                <w:szCs w:val="14"/>
                <w:color w:val="auto"/>
                <w:w w:val="97"/>
              </w:rPr>
              <w:t>Three Months Ended</w:t>
            </w:r>
          </w:p>
        </w:tc>
        <w:tc>
          <w:tcPr>
            <w:tcW w:w="0" w:type="dxa"/>
            <w:vAlign w:val="bottom"/>
          </w:tcPr>
          <w:p>
            <w:pPr>
              <w:spacing w:after="0"/>
              <w:rPr>
                <w:sz w:val="1"/>
                <w:szCs w:val="1"/>
                <w:color w:val="auto"/>
              </w:rPr>
            </w:pPr>
          </w:p>
        </w:tc>
      </w:tr>
      <w:tr>
        <w:trPr>
          <w:trHeight w:val="159"/>
        </w:trPr>
        <w:tc>
          <w:tcPr>
            <w:tcW w:w="44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47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March 31</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400" w:type="dxa"/>
            <w:vAlign w:val="bottom"/>
            <w:gridSpan w:val="2"/>
            <w:vMerge w:val="continue"/>
          </w:tcPr>
          <w:p>
            <w:pPr>
              <w:spacing w:after="0"/>
              <w:rPr>
                <w:sz w:val="12"/>
                <w:szCs w:val="12"/>
                <w:color w:val="auto"/>
              </w:rPr>
            </w:pPr>
          </w:p>
        </w:tc>
        <w:tc>
          <w:tcPr>
            <w:tcW w:w="4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20" w:type="dxa"/>
            <w:vAlign w:val="bottom"/>
          </w:tcPr>
          <w:p>
            <w:pPr>
              <w:jc w:val="right"/>
              <w:ind w:right="660"/>
              <w:spacing w:after="0" w:line="142" w:lineRule="exact"/>
              <w:rPr>
                <w:sz w:val="20"/>
                <w:szCs w:val="20"/>
                <w:color w:val="auto"/>
              </w:rPr>
            </w:pPr>
            <w:r>
              <w:rPr>
                <w:rFonts w:ascii="Arial" w:cs="Arial" w:eastAsia="Arial" w:hAnsi="Arial"/>
                <w:sz w:val="14"/>
                <w:szCs w:val="14"/>
                <w:color w:val="auto"/>
                <w:w w:val="83"/>
              </w:rPr>
              <w:t>2009</w:t>
            </w:r>
          </w:p>
        </w:tc>
        <w:tc>
          <w:tcPr>
            <w:tcW w:w="120" w:type="dxa"/>
            <w:vAlign w:val="bottom"/>
          </w:tcPr>
          <w:p>
            <w:pPr>
              <w:spacing w:after="0"/>
              <w:rPr>
                <w:sz w:val="12"/>
                <w:szCs w:val="12"/>
                <w:color w:val="auto"/>
              </w:rPr>
            </w:pPr>
          </w:p>
        </w:tc>
        <w:tc>
          <w:tcPr>
            <w:tcW w:w="500" w:type="dxa"/>
            <w:vAlign w:val="bottom"/>
          </w:tcPr>
          <w:p>
            <w:pPr>
              <w:jc w:val="right"/>
              <w:ind w:right="116"/>
              <w:spacing w:after="0" w:line="142" w:lineRule="exact"/>
              <w:rPr>
                <w:sz w:val="20"/>
                <w:szCs w:val="20"/>
                <w:color w:val="auto"/>
              </w:rPr>
            </w:pPr>
            <w:r>
              <w:rPr>
                <w:rFonts w:ascii="Arial" w:cs="Arial" w:eastAsia="Arial" w:hAnsi="Arial"/>
                <w:sz w:val="14"/>
                <w:szCs w:val="14"/>
                <w:color w:val="auto"/>
                <w:w w:val="89"/>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Interest expense</w:t>
            </w:r>
          </w:p>
        </w:tc>
        <w:tc>
          <w:tcPr>
            <w:tcW w:w="5380" w:type="dxa"/>
            <w:vAlign w:val="bottom"/>
            <w:tcBorders>
              <w:top w:val="single" w:sz="8" w:color="auto"/>
            </w:tcBorders>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E5E5E5"/>
          </w:tcPr>
          <w:p>
            <w:pPr>
              <w:jc w:val="right"/>
              <w:ind w:right="460"/>
              <w:spacing w:after="0"/>
              <w:rPr>
                <w:sz w:val="20"/>
                <w:szCs w:val="20"/>
                <w:color w:val="auto"/>
              </w:rPr>
            </w:pPr>
            <w:r>
              <w:rPr>
                <w:rFonts w:ascii="Arial" w:cs="Arial" w:eastAsia="Arial" w:hAnsi="Arial"/>
                <w:sz w:val="18"/>
                <w:szCs w:val="18"/>
                <w:color w:val="auto"/>
              </w:rPr>
              <w:t>(570)</w:t>
            </w:r>
          </w:p>
        </w:tc>
        <w:tc>
          <w:tcPr>
            <w:tcW w:w="1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Investment income (loss), net</w:t>
            </w:r>
          </w:p>
        </w:tc>
        <w:tc>
          <w:tcPr>
            <w:tcW w:w="4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jc w:val="right"/>
              <w:ind w:right="5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5E5E5"/>
          </w:tcPr>
          <w:p>
            <w:pPr>
              <w:spacing w:after="0"/>
              <w:rPr>
                <w:sz w:val="20"/>
                <w:szCs w:val="20"/>
                <w:color w:val="auto"/>
              </w:rPr>
            </w:pPr>
            <w:r>
              <w:rPr>
                <w:rFonts w:ascii="Arial" w:cs="Arial" w:eastAsia="Arial" w:hAnsi="Arial"/>
                <w:sz w:val="18"/>
                <w:szCs w:val="18"/>
                <w:color w:val="auto"/>
              </w:rPr>
              <w:t>Equity in net income (losses) of affiliates, net</w:t>
            </w:r>
          </w:p>
        </w:tc>
        <w:tc>
          <w:tcPr>
            <w:tcW w:w="47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46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w:t>
            </w:r>
          </w:p>
        </w:tc>
        <w:tc>
          <w:tcPr>
            <w:tcW w:w="47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6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5380" w:type="dxa"/>
            <w:vAlign w:val="bottom"/>
            <w:tcBorders>
              <w:bottom w:val="single" w:sz="8" w:color="auto"/>
            </w:tcBorders>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E5E5E5"/>
          </w:tcPr>
          <w:p>
            <w:pPr>
              <w:jc w:val="right"/>
              <w:ind w:right="460"/>
              <w:spacing w:after="0"/>
              <w:rPr>
                <w:sz w:val="20"/>
                <w:szCs w:val="20"/>
                <w:color w:val="auto"/>
              </w:rPr>
            </w:pPr>
            <w:r>
              <w:rPr>
                <w:rFonts w:ascii="Arial" w:cs="Arial" w:eastAsia="Arial" w:hAnsi="Arial"/>
                <w:sz w:val="18"/>
                <w:szCs w:val="18"/>
                <w:b w:val="1"/>
                <w:bCs w:val="1"/>
                <w:color w:val="auto"/>
              </w:rPr>
              <w:t>(572)</w:t>
            </w: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(309)</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720" w:type="dxa"/>
            <w:vAlign w:val="bottom"/>
          </w:tcPr>
          <w:p>
            <w:pPr>
              <w:jc w:val="right"/>
              <w:ind w:right="3212"/>
              <w:spacing w:after="0"/>
              <w:rPr>
                <w:sz w:val="20"/>
                <w:szCs w:val="20"/>
                <w:color w:val="auto"/>
              </w:rPr>
            </w:pPr>
            <w:r>
              <w:rPr>
                <w:rFonts w:ascii="Arial" w:cs="Arial" w:eastAsia="Arial" w:hAnsi="Arial"/>
                <w:sz w:val="18"/>
                <w:szCs w:val="18"/>
                <w:color w:val="auto"/>
              </w:rPr>
              <w:t>25</w:t>
            </w: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7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decrease in interest expense for the three months ended March 31, 2009 compared to the same period in 2008 was primarily due to the effects of our debt repurchases, as well as to the effects of decreases in interest rates on our variable rate debt and on debt subject to variable interest rate swap agreements.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components of investment income (loss), net for the three months ended March 31, 2009 and 2008 are presented in a table in Note 4 to our condensed consolidated financial statements.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months ended March 31, 2008, other income included a gain of approximately $235 million on the sale of our 50% interest in the Insight asset pool in connection with the Insight transaction.</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 Expense</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Income tax expense for the three months ended March 31, 2009 and 2008 reflects income tax rates that differ from the federal statutory rate primarily due to state income taxes and interest on uncertain tax positions. Income tax expense for the three months ended March 31, 2009 was reduced by approximately $48 million related to accrued interest associated with the settlement of an uncertain tax position. We expect our 2009 annual effective tax rate to be in the range of 40% to 45%.</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meet our current and long-term liquidity and capital requirements, including fixed charges, through our cash flows from operating activities; through existing cash, cash equivalents and investments; through available borrowings under our existing credit facilities; and through our ability to obtain future external financing. We anticipate that we will continue to use a substantial portion of our cash flows to fund our capital expenditures, to invest in business opportunities, to meet our debt repayment obligations and to return capital to shareholders.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Details of net cash provided by operating activities are presented in the table below.</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2100" w:type="dxa"/>
            <w:vAlign w:val="bottom"/>
            <w:gridSpan w:val="2"/>
          </w:tcPr>
          <w:p>
            <w:pPr>
              <w:jc w:val="right"/>
              <w:ind w:right="214"/>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93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100" w:type="dxa"/>
            <w:vAlign w:val="bottom"/>
            <w:tcBorders>
              <w:bottom w:val="single" w:sz="8" w:color="auto"/>
            </w:tcBorders>
            <w:gridSpan w:val="2"/>
          </w:tcPr>
          <w:p>
            <w:pPr>
              <w:jc w:val="right"/>
              <w:ind w:right="514"/>
              <w:spacing w:after="0" w:line="159" w:lineRule="exact"/>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42"/>
        </w:trPr>
        <w:tc>
          <w:tcPr>
            <w:tcW w:w="9320" w:type="dxa"/>
            <w:vAlign w:val="bottom"/>
            <w:gridSpan w:val="2"/>
            <w:vMerge w:val="continue"/>
          </w:tcPr>
          <w:p>
            <w:pPr>
              <w:spacing w:after="0"/>
              <w:rPr>
                <w:sz w:val="12"/>
                <w:szCs w:val="12"/>
                <w:color w:val="auto"/>
              </w:rPr>
            </w:pPr>
          </w:p>
        </w:tc>
        <w:tc>
          <w:tcPr>
            <w:tcW w:w="1260" w:type="dxa"/>
            <w:vAlign w:val="bottom"/>
          </w:tcPr>
          <w:p>
            <w:pPr>
              <w:jc w:val="right"/>
              <w:ind w:right="337"/>
              <w:spacing w:after="0" w:line="142" w:lineRule="exact"/>
              <w:rPr>
                <w:sz w:val="20"/>
                <w:szCs w:val="20"/>
                <w:color w:val="auto"/>
              </w:rPr>
            </w:pPr>
            <w:r>
              <w:rPr>
                <w:rFonts w:ascii="Arial" w:cs="Arial" w:eastAsia="Arial" w:hAnsi="Arial"/>
                <w:sz w:val="14"/>
                <w:szCs w:val="14"/>
                <w:color w:val="auto"/>
              </w:rPr>
              <w:t>2009</w:t>
            </w:r>
          </w:p>
        </w:tc>
        <w:tc>
          <w:tcPr>
            <w:tcW w:w="840" w:type="dxa"/>
            <w:vAlign w:val="bottom"/>
          </w:tcPr>
          <w:p>
            <w:pPr>
              <w:jc w:val="right"/>
              <w:ind w:right="114"/>
              <w:spacing w:after="0" w:line="142" w:lineRule="exact"/>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Operating income</w:t>
            </w:r>
          </w:p>
        </w:tc>
        <w:tc>
          <w:tcPr>
            <w:tcW w:w="1260" w:type="dxa"/>
            <w:vAlign w:val="bottom"/>
            <w:tcBorders>
              <w:top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color w:val="auto"/>
              </w:rPr>
              <w:t>$ 1,811</w:t>
            </w:r>
          </w:p>
        </w:tc>
        <w:tc>
          <w:tcPr>
            <w:tcW w:w="8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$ 1,555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126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rPr>
              <w:t>1,633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before depreciation and amortization</w:t>
            </w:r>
          </w:p>
        </w:tc>
        <w:tc>
          <w:tcPr>
            <w:tcW w:w="126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rPr>
              <w:t>3,444</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Noncash share-based compensation and contribution expense</w:t>
            </w:r>
          </w:p>
        </w:tc>
        <w:tc>
          <w:tcPr>
            <w:tcW w:w="1260" w:type="dxa"/>
            <w:vAlign w:val="bottom"/>
          </w:tcPr>
          <w:p>
            <w:pPr>
              <w:jc w:val="right"/>
              <w:ind w:right="197"/>
              <w:spacing w:after="0"/>
              <w:rPr>
                <w:sz w:val="20"/>
                <w:szCs w:val="20"/>
                <w:color w:val="auto"/>
              </w:rPr>
            </w:pPr>
            <w:r>
              <w:rPr>
                <w:rFonts w:ascii="Arial" w:cs="Arial" w:eastAsia="Arial" w:hAnsi="Arial"/>
                <w:sz w:val="18"/>
                <w:szCs w:val="18"/>
                <w:color w:val="auto"/>
              </w:rPr>
              <w:t>54</w:t>
            </w:r>
          </w:p>
        </w:tc>
        <w:tc>
          <w:tcPr>
            <w:tcW w:w="84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Changes in operating assets and liabilities</w:t>
            </w:r>
          </w:p>
        </w:tc>
        <w:tc>
          <w:tcPr>
            <w:tcW w:w="126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(188)</w:t>
            </w:r>
          </w:p>
        </w:tc>
        <w:tc>
          <w:tcPr>
            <w:tcW w:w="8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Cash basis operating income</w:t>
            </w:r>
          </w:p>
        </w:tc>
        <w:tc>
          <w:tcPr>
            <w:tcW w:w="1260" w:type="dxa"/>
            <w:vAlign w:val="bottom"/>
          </w:tcPr>
          <w:p>
            <w:pPr>
              <w:jc w:val="right"/>
              <w:ind w:right="197"/>
              <w:spacing w:after="0"/>
              <w:rPr>
                <w:sz w:val="20"/>
                <w:szCs w:val="20"/>
                <w:color w:val="auto"/>
              </w:rPr>
            </w:pPr>
            <w:r>
              <w:rPr>
                <w:rFonts w:ascii="Arial" w:cs="Arial" w:eastAsia="Arial" w:hAnsi="Arial"/>
                <w:sz w:val="18"/>
                <w:szCs w:val="18"/>
                <w:color w:val="auto"/>
              </w:rPr>
              <w:t>3,310</w:t>
            </w:r>
          </w:p>
        </w:tc>
        <w:tc>
          <w:tcPr>
            <w:tcW w:w="840" w:type="dxa"/>
            <w:vAlign w:val="bottom"/>
          </w:tcPr>
          <w:p>
            <w:pPr>
              <w:jc w:val="right"/>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spacing w:after="0"/>
              <w:rPr>
                <w:sz w:val="20"/>
                <w:szCs w:val="20"/>
                <w:color w:val="auto"/>
              </w:rPr>
            </w:pPr>
            <w:r>
              <w:rPr>
                <w:rFonts w:ascii="Arial" w:cs="Arial" w:eastAsia="Arial" w:hAnsi="Arial"/>
                <w:sz w:val="18"/>
                <w:szCs w:val="18"/>
                <w:color w:val="auto"/>
              </w:rPr>
              <w:t>Payments of interest</w:t>
            </w:r>
          </w:p>
        </w:tc>
        <w:tc>
          <w:tcPr>
            <w:tcW w:w="126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(664)</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Payments of income taxes</w:t>
            </w:r>
          </w:p>
        </w:tc>
        <w:tc>
          <w:tcPr>
            <w:tcW w:w="1260" w:type="dxa"/>
            <w:vAlign w:val="bottom"/>
          </w:tcPr>
          <w:p>
            <w:pPr>
              <w:jc w:val="right"/>
              <w:ind w:right="137"/>
              <w:spacing w:after="0"/>
              <w:rPr>
                <w:sz w:val="20"/>
                <w:szCs w:val="20"/>
                <w:color w:val="auto"/>
              </w:rPr>
            </w:pPr>
            <w:r>
              <w:rPr>
                <w:rFonts w:ascii="Arial" w:cs="Arial" w:eastAsia="Arial" w:hAnsi="Arial"/>
                <w:sz w:val="18"/>
                <w:szCs w:val="18"/>
                <w:color w:val="auto"/>
              </w:rPr>
              <w:t>(161)</w:t>
            </w: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spacing w:after="0"/>
              <w:rPr>
                <w:sz w:val="20"/>
                <w:szCs w:val="20"/>
                <w:color w:val="auto"/>
              </w:rPr>
            </w:pPr>
            <w:r>
              <w:rPr>
                <w:rFonts w:ascii="Arial" w:cs="Arial" w:eastAsia="Arial" w:hAnsi="Arial"/>
                <w:sz w:val="18"/>
                <w:szCs w:val="18"/>
                <w:color w:val="auto"/>
              </w:rPr>
              <w:t>Proceeds from interest and dividends received</w:t>
            </w:r>
          </w:p>
        </w:tc>
        <w:tc>
          <w:tcPr>
            <w:tcW w:w="126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rPr>
              <w:t>27</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Excess tax benefit under SFAS No. 123R presented in financing activities</w:t>
            </w:r>
          </w:p>
        </w:tc>
        <w:tc>
          <w:tcPr>
            <w:tcW w:w="126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260" w:type="dxa"/>
            <w:vAlign w:val="bottom"/>
            <w:tcBorders>
              <w:bottom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b w:val="1"/>
                <w:bCs w:val="1"/>
                <w:color w:val="auto"/>
              </w:rPr>
              <w:t>$ 2,512</w:t>
            </w:r>
          </w:p>
        </w:tc>
        <w:tc>
          <w:tcPr>
            <w:tcW w:w="8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$ 2,259</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decrease in interest payments for the three months ended March 31, 2009 compared to the same period in 2008 was primarily due to the effects of decreases in interest rates on debt subject to variable interest rate swap agreements and to the maturity in 2008 of certain of our higher rate debt. The increase in income tax payments for the three months ended March 31, 2009 compared to the same period in 2008 was primarily due to a $140 million tax payment made in 2009 that related to 2008. We did not make any comparable payments during the three months ended March 31, 2008.</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used in financing activities for the three months ended March 31, 2009 consisted primarily of debt repurchases and repayments of $352 million and dividend payments of $180 million. These cash outflows were partially offset by cash proceeds from borrowings of $20 million.</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in the past made and may from time to time in the future make optional repayments on our debt obligations depending on various factors, such as market conditions. These repayments may include repurchases of our outstanding public notes and debentures.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Borrowings Under Credit Facilities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traditionally maintain significant availability under our lines of credit and commercial paper program to meet our short-term liquidity requirements. As of March 31, 2009, amounts available under our facilities totaled approximately $5.5 billion.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 and Dividends</w:t>
      </w:r>
    </w:p>
    <w:p>
      <w:pPr>
        <w:spacing w:after="0" w:line="7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of March 31, 2009, we had approximately $4.1 billion of availability remaining under our share repurchase authorization. Although we did not repurchase any shares under our Board-authorized share repurchase program during the three months ended March 31, 2009, we may repurchase stock from time to time subject to market conditions.</w:t>
      </w:r>
    </w:p>
    <w:p>
      <w:pPr>
        <w:spacing w:after="0" w:line="46" w:lineRule="exact"/>
        <w:rPr>
          <w:sz w:val="20"/>
          <w:szCs w:val="20"/>
          <w:color w:val="auto"/>
        </w:rPr>
      </w:pPr>
    </w:p>
    <w:p>
      <w:pPr>
        <w:ind w:right="760"/>
        <w:spacing w:after="0" w:line="352" w:lineRule="auto"/>
        <w:rPr>
          <w:sz w:val="20"/>
          <w:szCs w:val="20"/>
          <w:color w:val="auto"/>
        </w:rPr>
      </w:pPr>
      <w:r>
        <w:rPr>
          <w:rFonts w:ascii="Arial" w:cs="Arial" w:eastAsia="Arial" w:hAnsi="Arial"/>
          <w:sz w:val="18"/>
          <w:szCs w:val="18"/>
          <w:color w:val="auto"/>
        </w:rPr>
        <w:t xml:space="preserve">In February 2009, our Board of Directors approved a quarterly dividend of $0.0675 per share as part of our planned annual dividend of $0.27 per share. </w:t>
      </w:r>
      <w:r>
        <w:rPr>
          <w:rFonts w:ascii="Arial" w:cs="Arial" w:eastAsia="Arial" w:hAnsi="Arial"/>
          <w:sz w:val="18"/>
          <w:szCs w:val="18"/>
          <w:b w:val="1"/>
          <w:bCs w:val="1"/>
          <w:color w:val="auto"/>
        </w:rPr>
        <w:t>Investing Activities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for the three months ended March 31, 2009 consisted primarily of cash paid for capital expenditures of $1.2 billion and cash paid for intangible assets of $133 million. Capital expenditures have been our most significant recurring investing activity and we expect that this will continue in the future.</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8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preparation of our consolidated financial statements requires us to make estimates that affect the reported amounts of assets, liabilities, revenue and expenses, and the related disclosure of contingent assets and contingent liabilities. We base our judgments on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believe our judgments and related estimates associated with the valuation and impairment testing of our cable franchise rights and the accounting for income taxes are critical in the preparation of our consolidated financial statements.</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a full discussion of the accounting judgments and estimates that we have identified as critical in the preparation of our consolidated financial statements, please refer to our 2008 Annual Report on Form 10-K.</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8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have evaluated the information required under this item that was disclosed in our 2008 Annual Report on Form 10-K and believe there have been no significant changes to this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principal executive officer and our principal financial officer, after evaluating the effectiveness of our disclosure controls and procedures (as defined in the Securities Exchange Act of 1934 Rules 13a-15(e) and 15d-15(e)) as of the end of the period covered by this report, have concluded that, based on the evaluation of these controls and procedures required by paragraph (b) of Exchange Act Rules 13a-15 or 15d-15, our disclosure controls and procedures were effective.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8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Refer to Note 9 to our consolidated financial statements of this Quarterly Report on Form 10-Q for a discussion of recent developments related to our legal proceedings.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from the risk factors previously disclosed in Item 1A of our 2008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color w:val="auto"/>
              </w:rPr>
              <w:t>Exhibit</w:t>
            </w:r>
          </w:p>
        </w:tc>
        <w:tc>
          <w:tcPr>
            <w:tcW w:w="10700" w:type="dxa"/>
            <w:vAlign w:val="bottom"/>
          </w:tcPr>
          <w:p>
            <w:pPr>
              <w:spacing w:after="0"/>
              <w:rPr>
                <w:sz w:val="14"/>
                <w:szCs w:val="14"/>
                <w:color w:val="auto"/>
              </w:rPr>
            </w:pPr>
          </w:p>
        </w:tc>
      </w:tr>
      <w:tr>
        <w:trPr>
          <w:trHeight w:val="159"/>
        </w:trPr>
        <w:tc>
          <w:tcPr>
            <w:tcW w:w="7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No.</w:t>
            </w:r>
          </w:p>
        </w:tc>
        <w:tc>
          <w:tcPr>
            <w:tcW w:w="10700" w:type="dxa"/>
            <w:vAlign w:val="bottom"/>
            <w:tcBorders>
              <w:bottom w:val="single" w:sz="8" w:color="auto"/>
            </w:tcBorders>
          </w:tcPr>
          <w:p>
            <w:pPr>
              <w:ind w:left="320"/>
              <w:spacing w:after="0" w:line="159" w:lineRule="exact"/>
              <w:rPr>
                <w:sz w:val="20"/>
                <w:szCs w:val="20"/>
                <w:color w:val="auto"/>
              </w:rPr>
            </w:pPr>
            <w:r>
              <w:rPr>
                <w:rFonts w:ascii="Arial" w:cs="Arial" w:eastAsia="Arial" w:hAnsi="Arial"/>
                <w:sz w:val="14"/>
                <w:szCs w:val="14"/>
                <w:color w:val="auto"/>
              </w:rPr>
              <w:t>Description</w:t>
            </w:r>
          </w:p>
        </w:tc>
      </w:tr>
      <w:tr>
        <w:trPr>
          <w:trHeight w:val="201"/>
        </w:trPr>
        <w:tc>
          <w:tcPr>
            <w:tcW w:w="720" w:type="dxa"/>
            <w:vAlign w:val="bottom"/>
          </w:tcPr>
          <w:p>
            <w:pPr>
              <w:spacing w:after="0" w:line="201" w:lineRule="exact"/>
              <w:rPr>
                <w:sz w:val="20"/>
                <w:szCs w:val="20"/>
                <w:color w:val="auto"/>
              </w:rPr>
            </w:pPr>
            <w:r>
              <w:rPr>
                <w:rFonts w:ascii="Arial" w:cs="Arial" w:eastAsia="Arial" w:hAnsi="Arial"/>
                <w:sz w:val="18"/>
                <w:szCs w:val="18"/>
                <w:color w:val="auto"/>
              </w:rPr>
              <w:t>10.1*</w:t>
            </w:r>
          </w:p>
        </w:tc>
        <w:tc>
          <w:tcPr>
            <w:tcW w:w="10700" w:type="dxa"/>
            <w:vAlign w:val="bottom"/>
          </w:tcPr>
          <w:p>
            <w:pPr>
              <w:ind w:left="320"/>
              <w:spacing w:after="0" w:line="201" w:lineRule="exact"/>
              <w:rPr>
                <w:sz w:val="20"/>
                <w:szCs w:val="20"/>
                <w:color w:val="auto"/>
              </w:rPr>
            </w:pPr>
            <w:r>
              <w:rPr>
                <w:rFonts w:ascii="Arial" w:cs="Arial" w:eastAsia="Arial" w:hAnsi="Arial"/>
                <w:sz w:val="18"/>
                <w:szCs w:val="18"/>
                <w:color w:val="auto"/>
                <w:w w:val="90"/>
              </w:rPr>
              <w:t>Comcast Corporation 2002 Employee Stock Purchase Plan, as amended and restated effective February 10, 2009 (incorporated by reference to</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Appendix A to our Definitive Proxy Statement on Schedule 14A filed on April 3, 2009).</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Comcast Corporation 2002 Restricted Stock Plan, as amended and restated effective March 20, 2009 (incorporated by reference to Appendix B to</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our Definitive Proxy Statement on Schedule 14A filed on April 3, 2009).</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10.3*</w:t>
            </w:r>
          </w:p>
        </w:tc>
        <w:tc>
          <w:tcPr>
            <w:tcW w:w="10700" w:type="dxa"/>
            <w:vAlign w:val="bottom"/>
          </w:tcPr>
          <w:p>
            <w:pPr>
              <w:ind w:left="320"/>
              <w:spacing w:after="0"/>
              <w:rPr>
                <w:sz w:val="20"/>
                <w:szCs w:val="20"/>
                <w:color w:val="auto"/>
              </w:rPr>
            </w:pPr>
            <w:r>
              <w:rPr>
                <w:rFonts w:ascii="Arial" w:cs="Arial" w:eastAsia="Arial" w:hAnsi="Arial"/>
                <w:sz w:val="18"/>
                <w:szCs w:val="18"/>
                <w:color w:val="auto"/>
                <w:w w:val="88"/>
              </w:rPr>
              <w:t>Comcast Corporation 2003 Stock Option Plan, as amended and restated effective March 20, 2009 (incorporated by reference to Appendix C to our</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Definitive Proxy Statement on Schedule 14A filed on April 3, 2009).</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10700" w:type="dxa"/>
            <w:vAlign w:val="bottom"/>
          </w:tcPr>
          <w:p>
            <w:pPr>
              <w:ind w:left="320"/>
              <w:spacing w:after="0"/>
              <w:rPr>
                <w:sz w:val="20"/>
                <w:szCs w:val="20"/>
                <w:color w:val="auto"/>
              </w:rPr>
            </w:pPr>
            <w:r>
              <w:rPr>
                <w:rFonts w:ascii="Arial" w:cs="Arial" w:eastAsia="Arial" w:hAnsi="Arial"/>
                <w:sz w:val="18"/>
                <w:szCs w:val="18"/>
                <w:color w:val="auto"/>
              </w:rPr>
              <w:t>Form of Restricted Stock Award under the Comcast Corporation 2002 Restricted Stock Plan.</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10.5*</w:t>
            </w:r>
          </w:p>
        </w:tc>
        <w:tc>
          <w:tcPr>
            <w:tcW w:w="10700" w:type="dxa"/>
            <w:vAlign w:val="bottom"/>
          </w:tcPr>
          <w:p>
            <w:pPr>
              <w:ind w:left="320"/>
              <w:spacing w:after="0"/>
              <w:rPr>
                <w:sz w:val="20"/>
                <w:szCs w:val="20"/>
                <w:color w:val="auto"/>
              </w:rPr>
            </w:pPr>
            <w:r>
              <w:rPr>
                <w:rFonts w:ascii="Arial" w:cs="Arial" w:eastAsia="Arial" w:hAnsi="Arial"/>
                <w:sz w:val="18"/>
                <w:szCs w:val="18"/>
                <w:color w:val="auto"/>
              </w:rPr>
              <w:t>Employment Agreement between Comcast Corporation and Arthur R. Block dated January 1, 2006.</w:t>
            </w:r>
          </w:p>
        </w:tc>
      </w:tr>
      <w:tr>
        <w:trPr>
          <w:trHeight w:val="222"/>
        </w:trPr>
        <w:tc>
          <w:tcPr>
            <w:tcW w:w="720" w:type="dxa"/>
            <w:vAlign w:val="bottom"/>
          </w:tcPr>
          <w:p>
            <w:pPr>
              <w:spacing w:after="0"/>
              <w:rPr>
                <w:sz w:val="20"/>
                <w:szCs w:val="20"/>
                <w:color w:val="auto"/>
              </w:rPr>
            </w:pPr>
            <w:r>
              <w:rPr>
                <w:rFonts w:ascii="Arial" w:cs="Arial" w:eastAsia="Arial" w:hAnsi="Arial"/>
                <w:sz w:val="18"/>
                <w:szCs w:val="18"/>
                <w:color w:val="auto"/>
              </w:rPr>
              <w:t>10.6*</w:t>
            </w:r>
          </w:p>
        </w:tc>
        <w:tc>
          <w:tcPr>
            <w:tcW w:w="10700" w:type="dxa"/>
            <w:vAlign w:val="bottom"/>
          </w:tcPr>
          <w:p>
            <w:pPr>
              <w:ind w:left="320"/>
              <w:spacing w:after="0"/>
              <w:rPr>
                <w:sz w:val="20"/>
                <w:szCs w:val="20"/>
                <w:color w:val="auto"/>
              </w:rPr>
            </w:pPr>
            <w:r>
              <w:rPr>
                <w:rFonts w:ascii="Arial" w:cs="Arial" w:eastAsia="Arial" w:hAnsi="Arial"/>
                <w:sz w:val="18"/>
                <w:szCs w:val="18"/>
                <w:color w:val="auto"/>
              </w:rPr>
              <w:t>Amendment No. 1 to Employment Agreement between Comcast Corporation and Arthur R. Block dated January 25, 2006.</w:t>
            </w:r>
          </w:p>
        </w:tc>
      </w:tr>
    </w:tbl>
    <w:p>
      <w:pPr>
        <w:ind w:left="1040" w:hanging="1032"/>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Certifications of Chief Executive Officer and Chief Financial Officer pursuant to Section 302 of the Sarbanes-Oxley Act of 2002.</w:t>
      </w:r>
    </w:p>
    <w:p>
      <w:pPr>
        <w:spacing w:after="0" w:line="9" w:lineRule="exact"/>
        <w:rPr>
          <w:rFonts w:ascii="Arial" w:cs="Arial" w:eastAsia="Arial" w:hAnsi="Arial"/>
          <w:sz w:val="18"/>
          <w:szCs w:val="18"/>
          <w:color w:val="auto"/>
        </w:rPr>
      </w:pPr>
    </w:p>
    <w:p>
      <w:pPr>
        <w:ind w:left="1040" w:hanging="1032"/>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Certifications of Chief Executive Officer and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5620" w:right="5600" w:hanging="5612"/>
        <w:spacing w:after="0" w:line="525" w:lineRule="auto"/>
        <w:tabs>
          <w:tab w:leader="none" w:pos="458"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Constitutes a management contract or compensatory plan or arrangement. 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3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Chief Accounting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30, 2009</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10.4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w:t>
      </w:r>
    </w:p>
    <w:p>
      <w:pPr>
        <w:spacing w:after="0" w:line="165"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This is a Restricted Stock Unit Award (the “Award”) dated [Insert Date of Grant] from Comcast Corporation (the “Company”) to the Grantee. The vesting of Restricted Stock Units is conditioned on the Grantee’s continuation in service from the Date of Grant through each applicable Vesting Date, and on the Company’s attainment of certain performance objectives, as further provided in this Award. The delivery of Shares under this Award is intended to constitute performance-based compensation, within the meaning of section 162(m) of the Code, and Treasury Regulations issued under section 162(m) of the Code.</w:t>
      </w:r>
    </w:p>
    <w:p>
      <w:pPr>
        <w:spacing w:after="0" w:line="113" w:lineRule="exact"/>
        <w:rPr>
          <w:sz w:val="20"/>
          <w:szCs w:val="20"/>
          <w:color w:val="auto"/>
        </w:rPr>
      </w:pPr>
    </w:p>
    <w:p>
      <w:pPr>
        <w:ind w:left="1100" w:hanging="179"/>
        <w:spacing w:after="0"/>
        <w:tabs>
          <w:tab w:leader="none" w:pos="110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Capitalized terms used herein are defined below or, if not defined below, have the meanings given to them in the Plan.</w:t>
      </w:r>
    </w:p>
    <w:p>
      <w:pPr>
        <w:spacing w:after="0" w:line="113" w:lineRule="exact"/>
        <w:rPr>
          <w:rFonts w:ascii="Arial" w:cs="Arial" w:eastAsia="Arial" w:hAnsi="Arial"/>
          <w:sz w:val="16"/>
          <w:szCs w:val="16"/>
          <w:color w:val="auto"/>
        </w:rPr>
      </w:pPr>
    </w:p>
    <w:p>
      <w:pPr>
        <w:ind w:right="120" w:firstLine="1492"/>
        <w:spacing w:after="0" w:line="306" w:lineRule="auto"/>
        <w:tabs>
          <w:tab w:leader="none" w:pos="1722" w:val="left"/>
        </w:tabs>
        <w:numPr>
          <w:ilvl w:val="1"/>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Account</w:t>
      </w:r>
      <w:r>
        <w:rPr>
          <w:rFonts w:ascii="Arial" w:cs="Arial" w:eastAsia="Arial" w:hAnsi="Arial"/>
          <w:sz w:val="16"/>
          <w:szCs w:val="16"/>
          <w:color w:val="auto"/>
        </w:rPr>
        <w:t>” means an unfunded bookkeeping account established pursuant to Paragraph 5(d) and maintained by the Committee in the name of Grantee (a) to which Deferred Stock Units are deemed credited and (b) to which an amount equal to the Fair Market Value of Deferred Stock Units with respect to which a Diversification Election has been made and interest thereon are deemed credited, reduced by distributions in accordance with the Plan.</w:t>
      </w:r>
    </w:p>
    <w:p>
      <w:pPr>
        <w:spacing w:after="0" w:line="106" w:lineRule="exact"/>
        <w:rPr>
          <w:rFonts w:ascii="Arial" w:cs="Arial" w:eastAsia="Arial" w:hAnsi="Arial"/>
          <w:sz w:val="16"/>
          <w:szCs w:val="16"/>
          <w:color w:val="auto"/>
        </w:rPr>
      </w:pPr>
    </w:p>
    <w:p>
      <w:pPr>
        <w:ind w:left="1740" w:hanging="248"/>
        <w:spacing w:after="0"/>
        <w:tabs>
          <w:tab w:leader="none" w:pos="17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the award of Restricted Stock Units hereby granted.</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its delegate.</w:t>
      </w:r>
    </w:p>
    <w:p>
      <w:pPr>
        <w:spacing w:after="0" w:line="171" w:lineRule="exact"/>
        <w:rPr>
          <w:rFonts w:ascii="Arial" w:cs="Arial" w:eastAsia="Arial" w:hAnsi="Arial"/>
          <w:sz w:val="18"/>
          <w:szCs w:val="18"/>
          <w:color w:val="auto"/>
        </w:rPr>
      </w:pPr>
    </w:p>
    <w:p>
      <w:pPr>
        <w:ind w:left="1720" w:hanging="228"/>
        <w:spacing w:after="0"/>
        <w:tabs>
          <w:tab w:leader="none" w:pos="17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first set forth above, on which the Company awarded the Restricted Stock Units.</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Stock Units</w:t>
      </w:r>
      <w:r>
        <w:rPr>
          <w:rFonts w:ascii="Arial" w:cs="Arial" w:eastAsia="Arial" w:hAnsi="Arial"/>
          <w:sz w:val="18"/>
          <w:szCs w:val="18"/>
          <w:color w:val="auto"/>
        </w:rPr>
        <w:t>” means the number of hypothetical Shares subject to an Election.</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Disabled Grantee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2200" w:hanging="252"/>
        <w:spacing w:after="0"/>
        <w:tabs>
          <w:tab w:leader="none" w:pos="2200" w:val="left"/>
        </w:tabs>
        <w:numPr>
          <w:ilvl w:val="2"/>
          <w:numId w:val="10"/>
        </w:numPr>
        <w:rPr>
          <w:rFonts w:ascii="Arial" w:cs="Arial" w:eastAsia="Arial" w:hAnsi="Arial"/>
          <w:sz w:val="18"/>
          <w:szCs w:val="18"/>
          <w:color w:val="auto"/>
        </w:rPr>
      </w:pPr>
      <w:r>
        <w:rPr>
          <w:rFonts w:ascii="Arial" w:cs="Arial" w:eastAsia="Arial" w:hAnsi="Arial"/>
          <w:sz w:val="18"/>
          <w:szCs w:val="18"/>
          <w:color w:val="auto"/>
        </w:rPr>
        <w:t>Grantee, if Grantee’s employment by a Participating Company is terminated by reason of Disability; or</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2"/>
          <w:numId w:val="10"/>
        </w:numPr>
        <w:rPr>
          <w:rFonts w:ascii="Arial" w:cs="Arial" w:eastAsia="Arial" w:hAnsi="Arial"/>
          <w:sz w:val="16"/>
          <w:szCs w:val="16"/>
          <w:color w:val="auto"/>
        </w:rPr>
      </w:pPr>
      <w:r>
        <w:rPr>
          <w:rFonts w:ascii="Arial" w:cs="Arial" w:eastAsia="Arial" w:hAnsi="Arial"/>
          <w:sz w:val="16"/>
          <w:szCs w:val="16"/>
          <w:color w:val="auto"/>
        </w:rPr>
        <w:t>Grantee’s duly-appointed legal guardian following Grantee’s termination of employment by reason of Disability, acting 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Grantee’s behalf.</w:t>
      </w:r>
    </w:p>
    <w:p>
      <w:pPr>
        <w:spacing w:after="0" w:line="164" w:lineRule="exact"/>
        <w:rPr>
          <w:rFonts w:ascii="Arial" w:cs="Arial" w:eastAsia="Arial" w:hAnsi="Arial"/>
          <w:sz w:val="16"/>
          <w:szCs w:val="16"/>
          <w:color w:val="auto"/>
        </w:rPr>
      </w:pPr>
    </w:p>
    <w:p>
      <w:pPr>
        <w:ind w:left="1700" w:hanging="208"/>
        <w:spacing w:after="0"/>
        <w:tabs>
          <w:tab w:leader="none" w:pos="17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Employer</w:t>
      </w:r>
      <w:r>
        <w:rPr>
          <w:rFonts w:ascii="Arial" w:cs="Arial" w:eastAsia="Arial" w:hAnsi="Arial"/>
          <w:sz w:val="16"/>
          <w:szCs w:val="16"/>
          <w:color w:val="auto"/>
        </w:rPr>
        <w:t>” means the Company or the subsidiary or affiliate of the Company for which Grantee is performing services on the Vesting</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ectPr>
          <w:pgSz w:w="11900" w:h="16838" w:orient="portrait"/>
          <w:cols w:equalWidth="0" w:num="1">
            <w:col w:w="11420"/>
          </w:cols>
          <w:pgMar w:left="240" w:top="125" w:right="239" w:bottom="1440" w:gutter="0" w:footer="0" w:header="0"/>
        </w:sectPr>
      </w:pPr>
    </w:p>
    <w:bookmarkStart w:id="31" w:name="page32"/>
    <w:bookmarkEnd w:id="31"/>
    <w:p>
      <w:pPr>
        <w:ind w:right="20" w:firstLine="1492"/>
        <w:spacing w:after="0" w:line="268" w:lineRule="auto"/>
        <w:tabs>
          <w:tab w:leader="none" w:pos="1693"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First Tier Goal</w:t>
      </w:r>
      <w:r>
        <w:rPr>
          <w:rFonts w:ascii="Arial" w:cs="Arial" w:eastAsia="Arial" w:hAnsi="Arial"/>
          <w:sz w:val="18"/>
          <w:szCs w:val="18"/>
          <w:color w:val="auto"/>
        </w:rPr>
        <w:t>” means, for a calendar year beginning in or after [Year 1] and before [Year 6], Free Cash Flow that is 105 percent of Free Cash Flow for the immediately preceding calendar year.</w:t>
      </w:r>
    </w:p>
    <w:p>
      <w:pPr>
        <w:spacing w:after="0" w:line="131" w:lineRule="exact"/>
        <w:rPr>
          <w:rFonts w:ascii="Arial" w:cs="Arial" w:eastAsia="Arial" w:hAnsi="Arial"/>
          <w:sz w:val="18"/>
          <w:szCs w:val="18"/>
          <w:color w:val="auto"/>
        </w:rPr>
      </w:pPr>
    </w:p>
    <w:p>
      <w:pPr>
        <w:ind w:firstLine="1492"/>
        <w:spacing w:after="0" w:line="285" w:lineRule="auto"/>
        <w:tabs>
          <w:tab w:leader="none" w:pos="1732" w:val="left"/>
        </w:tabs>
        <w:numPr>
          <w:ilvl w:val="0"/>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Free Cash Flow</w:t>
      </w:r>
      <w:r>
        <w:rPr>
          <w:rFonts w:ascii="Arial" w:cs="Arial" w:eastAsia="Arial" w:hAnsi="Arial"/>
          <w:sz w:val="16"/>
          <w:szCs w:val="16"/>
          <w:color w:val="auto"/>
        </w:rPr>
        <w:t>” means the Company’s “Net Cash Provided by Operating Activities” (as stated in the Company’s Consolidated Statement of Cash Flows) reduced by capital expenditures and cash paid for intangible assets, and adjusted for any amounts related to certain nonoperating items, net of estimated tax benefits (such as income taxes on investment sales, and nonrecurring payments related to income taxes and litigation contingencies of acquired companies), provided that adjustments to “Net Cash Provided by Operating Activities” applied to determine “Free Cash Flow” for each year shall be determined consistently with the Company’s reconciliations of “Free Cash Flow” to the Company’s “Net Cash Provided by Operating Activities” for the Company’s calendar years ending December 31, 2006, December 31, 2007 and December 31, 2008 as reflected on Forms 8-K filed by the Company on February 1, 2007, February 14, 2008 and February 18, 2009, respectively, such that the “Free Cash Flow” for each year beginning after 2008 and ending before [Year 6] shall be determined on the same basis as for the Company’s calendar years ending December 31, 2006, December 31, 2007 and December 31, 2008 and that the comparison of “Free Cash Flow” for a year to “Free Cash Flow” for the immediately preceding year is determined to ensure comparability between amounts in the prior calendar year and the year to which the performance condition applies and without regard to extraordinary items or items unrelated to the Company’s operations. In the event there is a significant acquisition or disposition of any assets, business division, company or other business operations of the Company that is reasonably expected to have an effect on Free Cash Flow, the Committee shall adjust the First Tier Goal and the Second Tier Goal to take into account the impact of such acquisition or disposition by increasing or decreasing such goals in the same proportion as Free Cash Flow of the Company would have been affected for the prior calendar year on a pro forma basis had such an acquisition or disposition occurred on the same date during the prior calendar year. Such adjustment shall be based upon the historical equivalent of Free Cash Flow of the assets so acquired or disposed of for the prior calendar year, as shown by such records as are available to the Company, as further adjusted to reflect any aspects of the transaction that should be taken into account to ensure comparability between amounts in the prior calendar year and the year to which the performance condition applies.</w:t>
      </w:r>
    </w:p>
    <w:p>
      <w:pPr>
        <w:spacing w:after="0" w:line="121" w:lineRule="exact"/>
        <w:rPr>
          <w:rFonts w:ascii="Arial" w:cs="Arial" w:eastAsia="Arial" w:hAnsi="Arial"/>
          <w:sz w:val="16"/>
          <w:szCs w:val="16"/>
          <w:color w:val="auto"/>
        </w:rPr>
      </w:pPr>
    </w:p>
    <w:p>
      <w:pPr>
        <w:ind w:left="1700" w:hanging="208"/>
        <w:spacing w:after="0"/>
        <w:tabs>
          <w:tab w:leader="none" w:pos="1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Grantee</w:t>
      </w:r>
      <w:r>
        <w:rPr>
          <w:rFonts w:ascii="Arial" w:cs="Arial" w:eastAsia="Arial" w:hAnsi="Arial"/>
          <w:sz w:val="16"/>
          <w:szCs w:val="16"/>
          <w:color w:val="auto"/>
        </w:rPr>
        <w:t>” means the individual to whom this Award has been granted as identified on the attached Long-Term Incentive Awards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Summary Schedule.</w:t>
      </w:r>
    </w:p>
    <w:p>
      <w:pPr>
        <w:spacing w:after="0" w:line="164" w:lineRule="exact"/>
        <w:rPr>
          <w:rFonts w:ascii="Arial" w:cs="Arial" w:eastAsia="Arial" w:hAnsi="Arial"/>
          <w:sz w:val="16"/>
          <w:szCs w:val="16"/>
          <w:color w:val="auto"/>
        </w:rPr>
      </w:pPr>
    </w:p>
    <w:p>
      <w:pPr>
        <w:ind w:right="20" w:firstLine="1492"/>
        <w:spacing w:after="0" w:line="268" w:lineRule="auto"/>
        <w:tabs>
          <w:tab w:leader="none" w:pos="1781"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Long-Term Incentive Awards Summary Schedule</w:t>
      </w:r>
      <w:r>
        <w:rPr>
          <w:rFonts w:ascii="Arial" w:cs="Arial" w:eastAsia="Arial" w:hAnsi="Arial"/>
          <w:sz w:val="18"/>
          <w:szCs w:val="18"/>
          <w:color w:val="auto"/>
        </w:rPr>
        <w:t>” means the schedule attached hereto, which sets forth specific information relating to the grant and vesting of this Award.</w:t>
      </w:r>
    </w:p>
    <w:p>
      <w:pPr>
        <w:spacing w:after="0" w:line="131" w:lineRule="exact"/>
        <w:rPr>
          <w:rFonts w:ascii="Arial" w:cs="Arial" w:eastAsia="Arial" w:hAnsi="Arial"/>
          <w:sz w:val="18"/>
          <w:szCs w:val="18"/>
          <w:color w:val="auto"/>
        </w:rPr>
      </w:pPr>
    </w:p>
    <w:p>
      <w:pPr>
        <w:ind w:right="100" w:firstLine="1492"/>
        <w:spacing w:after="0" w:line="268" w:lineRule="auto"/>
        <w:tabs>
          <w:tab w:leader="none" w:pos="17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 Grantee’s termination of employment that is treated by the Participating Company as a retirement under its employment policies and practices as in effect from time to time.</w:t>
      </w:r>
    </w:p>
    <w:p>
      <w:pPr>
        <w:spacing w:after="0" w:line="131" w:lineRule="exact"/>
        <w:rPr>
          <w:rFonts w:ascii="Arial" w:cs="Arial" w:eastAsia="Arial" w:hAnsi="Arial"/>
          <w:sz w:val="18"/>
          <w:szCs w:val="18"/>
          <w:color w:val="auto"/>
        </w:rPr>
      </w:pPr>
    </w:p>
    <w:p>
      <w:pPr>
        <w:ind w:left="1740" w:hanging="248"/>
        <w:spacing w:after="0"/>
        <w:tabs>
          <w:tab w:leader="none" w:pos="1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Restricted Stock Plan, incorporated herein by reference.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32" w:name="page33"/>
    <w:bookmarkEnd w:id="32"/>
    <w:p>
      <w:pPr>
        <w:ind w:left="15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 “</w:t>
      </w:r>
      <w:r>
        <w:rPr>
          <w:rFonts w:ascii="Arial" w:cs="Arial" w:eastAsia="Arial" w:hAnsi="Arial"/>
          <w:sz w:val="16"/>
          <w:szCs w:val="16"/>
          <w:u w:val="single" w:color="auto"/>
          <w:color w:val="auto"/>
        </w:rPr>
        <w:t>Restricted Period</w:t>
      </w:r>
      <w:r>
        <w:rPr>
          <w:rFonts w:ascii="Arial" w:cs="Arial" w:eastAsia="Arial" w:hAnsi="Arial"/>
          <w:sz w:val="16"/>
          <w:szCs w:val="16"/>
          <w:color w:val="auto"/>
        </w:rPr>
        <w:t>” means, with respect to each Restricted Stock Unit, the period beginning on the Date of Grant and ending on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Vesting Date.</w:t>
      </w:r>
    </w:p>
    <w:p>
      <w:pPr>
        <w:spacing w:after="0" w:line="165" w:lineRule="exact"/>
        <w:rPr>
          <w:sz w:val="20"/>
          <w:szCs w:val="20"/>
          <w:color w:val="auto"/>
        </w:rPr>
      </w:pPr>
    </w:p>
    <w:p>
      <w:pPr>
        <w:ind w:right="100" w:firstLine="1492"/>
        <w:spacing w:after="0" w:line="259" w:lineRule="auto"/>
        <w:tabs>
          <w:tab w:leader="none" w:pos="1732"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means the total number of restricted stock units granted to Grantee pursuant to this Award as set forth on the attached Long-Term Incentive Awards Summary Schedule. Each Restricted Stock Unit entitles Grantee, upon the Vesting Date of such Restricted Stock unit, to receive one Share.</w:t>
      </w:r>
    </w:p>
    <w:p>
      <w:pPr>
        <w:spacing w:after="0" w:line="140" w:lineRule="exact"/>
        <w:rPr>
          <w:rFonts w:ascii="Arial" w:cs="Arial" w:eastAsia="Arial" w:hAnsi="Arial"/>
          <w:sz w:val="18"/>
          <w:szCs w:val="18"/>
          <w:color w:val="auto"/>
        </w:rPr>
      </w:pPr>
    </w:p>
    <w:p>
      <w:pPr>
        <w:ind w:left="1720" w:hanging="228"/>
        <w:spacing w:after="0"/>
        <w:tabs>
          <w:tab w:leader="none" w:pos="1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under the 1934 Act, as in effect from time to time.</w:t>
      </w:r>
    </w:p>
    <w:p>
      <w:pPr>
        <w:spacing w:after="0" w:line="171" w:lineRule="exact"/>
        <w:rPr>
          <w:rFonts w:ascii="Arial" w:cs="Arial" w:eastAsia="Arial" w:hAnsi="Arial"/>
          <w:sz w:val="18"/>
          <w:szCs w:val="18"/>
          <w:color w:val="auto"/>
        </w:rPr>
      </w:pPr>
    </w:p>
    <w:p>
      <w:pPr>
        <w:ind w:left="1720" w:hanging="228"/>
        <w:spacing w:after="0"/>
        <w:tabs>
          <w:tab w:leader="none" w:pos="1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Retired Grantee</w:t>
      </w:r>
      <w:r>
        <w:rPr>
          <w:rFonts w:ascii="Arial" w:cs="Arial" w:eastAsia="Arial" w:hAnsi="Arial"/>
          <w:sz w:val="18"/>
          <w:szCs w:val="18"/>
          <w:color w:val="auto"/>
        </w:rPr>
        <w:t>” means Grantee, following Grantee’s termination of employment pursuant to a Normal Retirement.</w:t>
      </w:r>
    </w:p>
    <w:p>
      <w:pPr>
        <w:spacing w:after="0" w:line="171" w:lineRule="exact"/>
        <w:rPr>
          <w:rFonts w:ascii="Arial" w:cs="Arial" w:eastAsia="Arial" w:hAnsi="Arial"/>
          <w:sz w:val="18"/>
          <w:szCs w:val="18"/>
          <w:color w:val="auto"/>
        </w:rPr>
      </w:pPr>
    </w:p>
    <w:p>
      <w:pPr>
        <w:ind w:right="100" w:firstLine="1492"/>
        <w:spacing w:after="0" w:line="268" w:lineRule="auto"/>
        <w:tabs>
          <w:tab w:leader="none" w:pos="1693"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Tier Goal</w:t>
      </w:r>
      <w:r>
        <w:rPr>
          <w:rFonts w:ascii="Arial" w:cs="Arial" w:eastAsia="Arial" w:hAnsi="Arial"/>
          <w:sz w:val="18"/>
          <w:szCs w:val="18"/>
          <w:color w:val="auto"/>
        </w:rPr>
        <w:t>” means, for a calendar year beginning in or after [Year 1] and before [Year 6], Free Cash Flow that is 107 percent of Free Cash Flow for the immediately preceding calendar year.</w:t>
      </w:r>
    </w:p>
    <w:p>
      <w:pPr>
        <w:spacing w:after="0" w:line="131" w:lineRule="exact"/>
        <w:rPr>
          <w:rFonts w:ascii="Arial" w:cs="Arial" w:eastAsia="Arial" w:hAnsi="Arial"/>
          <w:sz w:val="18"/>
          <w:szCs w:val="18"/>
          <w:color w:val="auto"/>
        </w:rPr>
      </w:pPr>
    </w:p>
    <w:p>
      <w:pPr>
        <w:ind w:left="1740" w:hanging="248"/>
        <w:spacing w:after="0"/>
        <w:tabs>
          <w:tab w:leader="none" w:pos="1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 shares of the Company’s Class A Common Stock, par value $.01 per share.</w:t>
      </w:r>
    </w:p>
    <w:p>
      <w:pPr>
        <w:spacing w:after="0" w:line="171" w:lineRule="exact"/>
        <w:rPr>
          <w:rFonts w:ascii="Arial" w:cs="Arial" w:eastAsia="Arial" w:hAnsi="Arial"/>
          <w:sz w:val="18"/>
          <w:szCs w:val="18"/>
          <w:color w:val="auto"/>
        </w:rPr>
      </w:pPr>
    </w:p>
    <w:p>
      <w:pPr>
        <w:ind w:right="240" w:firstLine="1492"/>
        <w:spacing w:after="0" w:line="268" w:lineRule="auto"/>
        <w:tabs>
          <w:tab w:leader="none" w:pos="1732"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Vesting Date</w:t>
      </w:r>
      <w:r>
        <w:rPr>
          <w:rFonts w:ascii="Arial" w:cs="Arial" w:eastAsia="Arial" w:hAnsi="Arial"/>
          <w:sz w:val="18"/>
          <w:szCs w:val="18"/>
          <w:color w:val="auto"/>
        </w:rPr>
        <w:t>” means the date(s) on which Grantee vests in all or a portion of the Restricted Stock Units, as set forth on the attached Long-Term Incentive Awards Summary Schedule.</w:t>
      </w:r>
    </w:p>
    <w:p>
      <w:pPr>
        <w:spacing w:after="0" w:line="131" w:lineRule="exact"/>
        <w:rPr>
          <w:rFonts w:ascii="Arial" w:cs="Arial" w:eastAsia="Arial" w:hAnsi="Arial"/>
          <w:sz w:val="18"/>
          <w:szCs w:val="18"/>
          <w:color w:val="auto"/>
        </w:rPr>
      </w:pPr>
    </w:p>
    <w:p>
      <w:pPr>
        <w:ind w:left="1780" w:hanging="288"/>
        <w:spacing w:after="0"/>
        <w:tabs>
          <w:tab w:leader="none" w:pos="17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171" w:lineRule="exact"/>
        <w:rPr>
          <w:rFonts w:ascii="Arial" w:cs="Arial" w:eastAsia="Arial" w:hAnsi="Arial"/>
          <w:sz w:val="18"/>
          <w:szCs w:val="18"/>
          <w:color w:val="auto"/>
        </w:rPr>
      </w:pPr>
    </w:p>
    <w:p>
      <w:pPr>
        <w:ind w:right="160" w:firstLine="921"/>
        <w:spacing w:after="0" w:line="268" w:lineRule="auto"/>
        <w:tabs>
          <w:tab w:leader="none" w:pos="1088"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 Units</w:t>
      </w:r>
      <w:r>
        <w:rPr>
          <w:rFonts w:ascii="Arial" w:cs="Arial" w:eastAsia="Arial" w:hAnsi="Arial"/>
          <w:sz w:val="18"/>
          <w:szCs w:val="18"/>
          <w:color w:val="auto"/>
        </w:rPr>
        <w:t>. Subject to the terms and conditions set forth herein and in the Plan, the Company hereby grants to Grantee the Restricted Stock Units.</w:t>
      </w:r>
    </w:p>
    <w:p>
      <w:pPr>
        <w:spacing w:after="0" w:line="131" w:lineRule="exact"/>
        <w:rPr>
          <w:rFonts w:ascii="Arial" w:cs="Arial" w:eastAsia="Arial" w:hAnsi="Arial"/>
          <w:sz w:val="18"/>
          <w:szCs w:val="18"/>
          <w:color w:val="auto"/>
        </w:rPr>
      </w:pPr>
    </w:p>
    <w:p>
      <w:pPr>
        <w:ind w:left="1100" w:hanging="179"/>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Vesting of Restricted Stock Units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1492"/>
        <w:spacing w:after="0" w:line="255" w:lineRule="auto"/>
        <w:tabs>
          <w:tab w:leader="none" w:pos="1722" w:val="left"/>
        </w:tabs>
        <w:numPr>
          <w:ilvl w:val="1"/>
          <w:numId w:val="13"/>
        </w:numPr>
        <w:rPr>
          <w:rFonts w:ascii="Arial" w:cs="Arial" w:eastAsia="Arial" w:hAnsi="Arial"/>
          <w:sz w:val="18"/>
          <w:szCs w:val="18"/>
          <w:color w:val="auto"/>
        </w:rPr>
      </w:pPr>
      <w:r>
        <w:rPr>
          <w:rFonts w:ascii="Arial" w:cs="Arial" w:eastAsia="Arial" w:hAnsi="Arial"/>
          <w:sz w:val="18"/>
          <w:szCs w:val="18"/>
          <w:color w:val="auto"/>
        </w:rPr>
        <w:t>Subject to the terms and conditions set forth herein and in the Plan, Grantee shall vest in the Restricted Stock Units on the Vesting Dates set forth on the attached Long-Term Incentive Awards Summary Schedule, and as of each Vesting Date shall be entitled to the delivery of Shares with respect to such Restricted Stock Units; provided, however, that on the Vesting Date, Grantee is, and has from the Date of Grant continuously been, an employee of the Company or a Subsidiary Company during the Restricted Period, and provided further that the applicable performance conditions as set forth on the attached Long-Term Incentive Awards Summary Schedule have been satisfied.</w:t>
      </w:r>
    </w:p>
    <w:p>
      <w:pPr>
        <w:spacing w:after="0" w:line="142" w:lineRule="exact"/>
        <w:rPr>
          <w:rFonts w:ascii="Arial" w:cs="Arial" w:eastAsia="Arial" w:hAnsi="Arial"/>
          <w:sz w:val="18"/>
          <w:szCs w:val="18"/>
          <w:color w:val="auto"/>
        </w:rPr>
      </w:pPr>
    </w:p>
    <w:p>
      <w:pPr>
        <w:ind w:right="80" w:firstLine="1492"/>
        <w:spacing w:after="0" w:line="256" w:lineRule="auto"/>
        <w:tabs>
          <w:tab w:leader="none" w:pos="1732" w:val="left"/>
        </w:tabs>
        <w:numPr>
          <w:ilvl w:val="1"/>
          <w:numId w:val="13"/>
        </w:numPr>
        <w:rPr>
          <w:rFonts w:ascii="Arial" w:cs="Arial" w:eastAsia="Arial" w:hAnsi="Arial"/>
          <w:sz w:val="18"/>
          <w:szCs w:val="18"/>
          <w:color w:val="auto"/>
        </w:rPr>
      </w:pPr>
      <w:r>
        <w:rPr>
          <w:rFonts w:ascii="Arial" w:cs="Arial" w:eastAsia="Arial" w:hAnsi="Arial"/>
          <w:sz w:val="18"/>
          <w:szCs w:val="18"/>
          <w:color w:val="auto"/>
        </w:rPr>
        <w:t>Notwithstanding Paragraph 3(a) to the contrary, if Grantee terminates employment with the Company or a Subsidiary Company during the Restricted Period due to his death or due to Grantee becoming a Disabled Grantee within the meaning of Paragraph 1(h)(1), the Vesting Date for the Restricted Stock Units shall be accelerated so that a Vesting Date will be deemed to occur with respect to the Restricted Stock Units on the date of such termination of employment.</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80" w:right="359" w:bottom="1440" w:gutter="0" w:footer="0" w:header="0"/>
        </w:sectPr>
      </w:pPr>
    </w:p>
    <w:bookmarkStart w:id="33" w:name="page34"/>
    <w:bookmarkEnd w:id="33"/>
    <w:p>
      <w:pPr>
        <w:ind w:left="1100" w:hanging="179"/>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Forfeiture of Restricted Stock Units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1492"/>
        <w:spacing w:after="0" w:line="290" w:lineRule="auto"/>
        <w:tabs>
          <w:tab w:leader="none" w:pos="1722" w:val="left"/>
        </w:tabs>
        <w:numPr>
          <w:ilvl w:val="1"/>
          <w:numId w:val="14"/>
        </w:numPr>
        <w:rPr>
          <w:rFonts w:ascii="Arial" w:cs="Arial" w:eastAsia="Arial" w:hAnsi="Arial"/>
          <w:sz w:val="16"/>
          <w:szCs w:val="16"/>
          <w:color w:val="auto"/>
        </w:rPr>
      </w:pPr>
      <w:r>
        <w:rPr>
          <w:rFonts w:ascii="Arial" w:cs="Arial" w:eastAsia="Arial" w:hAnsi="Arial"/>
          <w:sz w:val="16"/>
          <w:szCs w:val="16"/>
          <w:color w:val="auto"/>
        </w:rPr>
        <w:t>Subject to the terms and conditions set forth herein and in the Plan, if Grantee terminates employment with the Company and all Subsidiaries during the Restricted Period, other than due to death or Disability [or With Good Reason (as defined in Grantee’s employment agreement with the Company), or unless Grantee experiences a Discharge Without Cause (as defined in Grantee’s employment agreement)], Grantee shall forfeit the Restricted Stock Units as of such termination of employment. [If Grantee terminates employment With Good Reason or experiences a Discharge Without Cause, notwithstanding anything herein to the contrary, Grantee’s Restricted Stock Units will continue to vest in accordance with the attached Long Term Incentive Awards Summary Schedule for a period of [one year] [two years] following termination of employment.] Upon a forfeiture of the Restricted Stock Units as provided in this Paragraph 4, the Restricted Stock Units shall be deemed canceled.</w:t>
      </w:r>
    </w:p>
    <w:p>
      <w:pPr>
        <w:spacing w:after="0" w:line="118" w:lineRule="exact"/>
        <w:rPr>
          <w:rFonts w:ascii="Arial" w:cs="Arial" w:eastAsia="Arial" w:hAnsi="Arial"/>
          <w:sz w:val="16"/>
          <w:szCs w:val="16"/>
          <w:color w:val="auto"/>
        </w:rPr>
      </w:pPr>
    </w:p>
    <w:p>
      <w:pPr>
        <w:ind w:left="1740" w:hanging="248"/>
        <w:spacing w:after="0"/>
        <w:tabs>
          <w:tab w:leader="none" w:pos="17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provisions of this Paragraph 4 shall not apply to Shares issued in respect of Restricted Stock Units as to which a Vesting Date has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occurred.</w:t>
      </w:r>
    </w:p>
    <w:p>
      <w:pPr>
        <w:spacing w:after="0" w:line="164" w:lineRule="exact"/>
        <w:rPr>
          <w:rFonts w:ascii="Arial" w:cs="Arial" w:eastAsia="Arial" w:hAnsi="Arial"/>
          <w:sz w:val="16"/>
          <w:szCs w:val="16"/>
          <w:color w:val="auto"/>
        </w:rPr>
      </w:pPr>
    </w:p>
    <w:p>
      <w:pPr>
        <w:ind w:left="1100" w:hanging="179"/>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r>
        <w:rPr>
          <w:rFonts w:ascii="Arial" w:cs="Arial" w:eastAsia="Arial" w:hAnsi="Arial"/>
          <w:sz w:val="18"/>
          <w:szCs w:val="18"/>
          <w:color w:val="auto"/>
        </w:rPr>
        <w: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Grantee may elect to defer the receipt of Shares issuable with respect to Restricted Stock Units, consistent, however, with the following:</w:t>
      </w:r>
    </w:p>
    <w:p>
      <w:pPr>
        <w:spacing w:after="0" w:line="90" w:lineRule="exact"/>
        <w:rPr>
          <w:sz w:val="20"/>
          <w:szCs w:val="20"/>
          <w:color w:val="auto"/>
        </w:rPr>
      </w:pPr>
    </w:p>
    <w:p>
      <w:pPr>
        <w:ind w:left="1740" w:hanging="248"/>
        <w:spacing w:after="0"/>
        <w:tabs>
          <w:tab w:leader="none" w:pos="17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1948"/>
        <w:spacing w:after="0" w:line="259" w:lineRule="auto"/>
        <w:tabs>
          <w:tab w:leader="none" w:pos="2189"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Initial Election</w:t>
      </w:r>
      <w:r>
        <w:rPr>
          <w:rFonts w:ascii="Arial" w:cs="Arial" w:eastAsia="Arial" w:hAnsi="Arial"/>
          <w:sz w:val="18"/>
          <w:szCs w:val="18"/>
          <w:color w:val="auto"/>
        </w:rPr>
        <w:t>. Grantee shall have the right to make an Initial Election to defer the receipt of all or a portion of the Shares issuable with respect to Restricted Stock Units hereby granted by filing an Initial Election to defer the receipt of such Shares on the form provided by the Committee for this purpose.</w:t>
      </w:r>
    </w:p>
    <w:p>
      <w:pPr>
        <w:spacing w:after="0" w:line="140" w:lineRule="exact"/>
        <w:rPr>
          <w:rFonts w:ascii="Arial" w:cs="Arial" w:eastAsia="Arial" w:hAnsi="Arial"/>
          <w:sz w:val="18"/>
          <w:szCs w:val="18"/>
          <w:color w:val="auto"/>
        </w:rPr>
      </w:pPr>
    </w:p>
    <w:p>
      <w:pPr>
        <w:ind w:right="280" w:firstLine="1948"/>
        <w:spacing w:after="0" w:line="268" w:lineRule="auto"/>
        <w:tabs>
          <w:tab w:leader="none" w:pos="2189"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Deadline for Deferral Election</w:t>
      </w:r>
      <w:r>
        <w:rPr>
          <w:rFonts w:ascii="Arial" w:cs="Arial" w:eastAsia="Arial" w:hAnsi="Arial"/>
          <w:sz w:val="18"/>
          <w:szCs w:val="18"/>
          <w:color w:val="auto"/>
        </w:rPr>
        <w:t>. An Initial Election to defer the receipt of Shares issuable with respect to Restricted Stock Units hereby granted shall not be effective unless it is filed with the Committee on or before June 30, [Year 1].</w:t>
      </w:r>
    </w:p>
    <w:p>
      <w:pPr>
        <w:spacing w:after="0" w:line="131" w:lineRule="exact"/>
        <w:rPr>
          <w:rFonts w:ascii="Arial" w:cs="Arial" w:eastAsia="Arial" w:hAnsi="Arial"/>
          <w:sz w:val="18"/>
          <w:szCs w:val="18"/>
          <w:color w:val="auto"/>
        </w:rPr>
      </w:pPr>
    </w:p>
    <w:p>
      <w:pPr>
        <w:ind w:right="160" w:firstLine="1948"/>
        <w:spacing w:after="0" w:line="298" w:lineRule="auto"/>
        <w:tabs>
          <w:tab w:leader="none" w:pos="2189"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t>Deferral Period</w:t>
      </w:r>
      <w:r>
        <w:rPr>
          <w:rFonts w:ascii="Arial" w:cs="Arial" w:eastAsia="Arial" w:hAnsi="Arial"/>
          <w:sz w:val="16"/>
          <w:szCs w:val="16"/>
          <w:color w:val="auto"/>
        </w:rPr>
        <w:t>. Subject to Paragraph 5(b), all Shares issuable with respect to Restricted Stock Units that are subject to an Initial Election under this Paragraph 5(a) shall be delivered to Grantee without any legend or restrictions (except those that may be imposed by the Committee, in its sole judgment, under Paragraph 7), on the date designated by Grantee, which shall not be earlier than January 2 of the third calendar year beginning after the Vesting Date, nor later than January 2 of the eleventh calendar year beginning after the Vesting Date.</w:t>
      </w:r>
    </w:p>
    <w:p>
      <w:pPr>
        <w:spacing w:after="0" w:line="112" w:lineRule="exact"/>
        <w:rPr>
          <w:rFonts w:ascii="Arial" w:cs="Arial" w:eastAsia="Arial" w:hAnsi="Arial"/>
          <w:sz w:val="16"/>
          <w:szCs w:val="16"/>
          <w:color w:val="auto"/>
        </w:rPr>
      </w:pPr>
    </w:p>
    <w:p>
      <w:pPr>
        <w:ind w:right="100" w:firstLine="1948"/>
        <w:spacing w:after="0" w:line="268" w:lineRule="auto"/>
        <w:tabs>
          <w:tab w:leader="none" w:pos="2189"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Effect of Failure of Vesting Date to Occur</w:t>
      </w:r>
      <w:r>
        <w:rPr>
          <w:rFonts w:ascii="Arial" w:cs="Arial" w:eastAsia="Arial" w:hAnsi="Arial"/>
          <w:sz w:val="18"/>
          <w:szCs w:val="18"/>
          <w:color w:val="auto"/>
        </w:rPr>
        <w:t>. An Initial Election shall be null and void if a Vesting Date does not occur with respect to Restricted Stock Units identified in such Initial Election.</w:t>
      </w:r>
    </w:p>
    <w:p>
      <w:pPr>
        <w:spacing w:after="0" w:line="131" w:lineRule="exact"/>
        <w:rPr>
          <w:rFonts w:ascii="Arial" w:cs="Arial" w:eastAsia="Arial" w:hAnsi="Arial"/>
          <w:sz w:val="18"/>
          <w:szCs w:val="18"/>
          <w:color w:val="auto"/>
        </w:rPr>
      </w:pPr>
    </w:p>
    <w:p>
      <w:pPr>
        <w:ind w:right="540" w:firstLine="1492"/>
        <w:spacing w:after="0" w:line="268" w:lineRule="auto"/>
        <w:tabs>
          <w:tab w:leader="none" w:pos="1732"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Subsequent Elections/Acceleration Elections</w:t>
      </w:r>
      <w:r>
        <w:rPr>
          <w:rFonts w:ascii="Arial" w:cs="Arial" w:eastAsia="Arial" w:hAnsi="Arial"/>
          <w:sz w:val="18"/>
          <w:szCs w:val="18"/>
          <w:color w:val="auto"/>
        </w:rPr>
        <w:t>. No Subsequent Election shall be effective until 12 months after the date on which a Subsequent Election is filed with the Committee.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34" w:name="page35"/>
    <w:bookmarkEnd w:id="34"/>
    <w:p>
      <w:pPr>
        <w:jc w:val="both"/>
        <w:ind w:right="180" w:firstLine="1948"/>
        <w:spacing w:after="0" w:line="298" w:lineRule="auto"/>
        <w:tabs>
          <w:tab w:leader="none" w:pos="2189" w:val="left"/>
        </w:tabs>
        <w:numPr>
          <w:ilvl w:val="1"/>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Grantee makes an Initial Election, or pursuant to this Paragraph 5(b)(1) makes a Subsequent Election, to defer the distribution date for Shares issuable with respect to some or all of the Restricted Stock Units hereby granted, Grantee may elect to defer the distribution date for a minimum of five years and a maximum of ten additional years from the previously-elected distribution date by filing a Subsequent Election with the Committee on or before the close of business at least one year before the date on which the distribution would otherwise be made.</w:t>
      </w:r>
    </w:p>
    <w:p>
      <w:pPr>
        <w:spacing w:after="0" w:line="112" w:lineRule="exact"/>
        <w:rPr>
          <w:rFonts w:ascii="Arial" w:cs="Arial" w:eastAsia="Arial" w:hAnsi="Arial"/>
          <w:sz w:val="16"/>
          <w:szCs w:val="16"/>
          <w:color w:val="auto"/>
        </w:rPr>
      </w:pPr>
    </w:p>
    <w:p>
      <w:pPr>
        <w:ind w:right="60" w:firstLine="1948"/>
        <w:spacing w:after="0" w:line="298" w:lineRule="auto"/>
        <w:tabs>
          <w:tab w:leader="none" w:pos="2189" w:val="left"/>
        </w:tabs>
        <w:numPr>
          <w:ilvl w:val="1"/>
          <w:numId w:val="16"/>
        </w:numPr>
        <w:rPr>
          <w:rFonts w:ascii="Arial" w:cs="Arial" w:eastAsia="Arial" w:hAnsi="Arial"/>
          <w:sz w:val="16"/>
          <w:szCs w:val="16"/>
          <w:color w:val="auto"/>
        </w:rPr>
      </w:pPr>
      <w:r>
        <w:rPr>
          <w:rFonts w:ascii="Arial" w:cs="Arial" w:eastAsia="Arial" w:hAnsi="Arial"/>
          <w:sz w:val="16"/>
          <w:szCs w:val="16"/>
          <w:color w:val="auto"/>
        </w:rPr>
        <w:t>If Grantee dies before Shares subject to an Initial Election under Paragraph 5(a) are to be delivered, the estate or beneficiary to whom the right to delivery of such Shares shall have passed may make a Subsequent Election to defer receipt of all or any portion of such Shares for five additional years from the date delivery of Shares would otherwise be made, provided that such Subsequent Election must be filed with the Committee at least one year before the date on which the distribution would otherwise be made, as reflected on Grantee’s last Election.</w:t>
      </w:r>
    </w:p>
    <w:p>
      <w:pPr>
        <w:spacing w:after="0" w:line="112" w:lineRule="exact"/>
        <w:rPr>
          <w:rFonts w:ascii="Arial" w:cs="Arial" w:eastAsia="Arial" w:hAnsi="Arial"/>
          <w:sz w:val="16"/>
          <w:szCs w:val="16"/>
          <w:color w:val="auto"/>
        </w:rPr>
      </w:pPr>
    </w:p>
    <w:p>
      <w:pPr>
        <w:ind w:right="20" w:firstLine="1948"/>
        <w:spacing w:after="0" w:line="306" w:lineRule="auto"/>
        <w:tabs>
          <w:tab w:leader="none" w:pos="2189" w:val="left"/>
        </w:tabs>
        <w:numPr>
          <w:ilvl w:val="1"/>
          <w:numId w:val="16"/>
        </w:numPr>
        <w:rPr>
          <w:rFonts w:ascii="Arial" w:cs="Arial" w:eastAsia="Arial" w:hAnsi="Arial"/>
          <w:sz w:val="16"/>
          <w:szCs w:val="16"/>
          <w:color w:val="auto"/>
        </w:rPr>
      </w:pPr>
      <w:r>
        <w:rPr>
          <w:rFonts w:ascii="Arial" w:cs="Arial" w:eastAsia="Arial" w:hAnsi="Arial"/>
          <w:sz w:val="16"/>
          <w:szCs w:val="16"/>
          <w:color w:val="auto"/>
        </w:rPr>
        <w:t>In lieu of a Subsequent Election described in Paragraph 5(b)(2), the estate or beneficiary to whom the right to delivery of Shares shall have passed may, as soon as practicable following the Grantee’s death, make an Acceleration Election to accelerate the delivery date of such Shares from the date delivery of such Shares would otherwise be made to a date that is as soon as practicable following the Grantee’s death.</w:t>
      </w:r>
    </w:p>
    <w:p>
      <w:pPr>
        <w:spacing w:after="0" w:line="106" w:lineRule="exact"/>
        <w:rPr>
          <w:rFonts w:ascii="Arial" w:cs="Arial" w:eastAsia="Arial" w:hAnsi="Arial"/>
          <w:sz w:val="16"/>
          <w:szCs w:val="16"/>
          <w:color w:val="auto"/>
        </w:rPr>
      </w:pPr>
    </w:p>
    <w:p>
      <w:pPr>
        <w:ind w:firstLine="1948"/>
        <w:spacing w:after="0" w:line="306" w:lineRule="auto"/>
        <w:tabs>
          <w:tab w:leader="none" w:pos="2189" w:val="left"/>
        </w:tabs>
        <w:numPr>
          <w:ilvl w:val="1"/>
          <w:numId w:val="16"/>
        </w:numPr>
        <w:rPr>
          <w:rFonts w:ascii="Arial" w:cs="Arial" w:eastAsia="Arial" w:hAnsi="Arial"/>
          <w:sz w:val="16"/>
          <w:szCs w:val="16"/>
          <w:color w:val="auto"/>
        </w:rPr>
      </w:pPr>
      <w:r>
        <w:rPr>
          <w:rFonts w:ascii="Arial" w:cs="Arial" w:eastAsia="Arial" w:hAnsi="Arial"/>
          <w:sz w:val="16"/>
          <w:szCs w:val="16"/>
          <w:color w:val="auto"/>
        </w:rPr>
        <w:t>If Grantee becomes a Disabled Grantee before the Shares subject to an Initial Election under Paragraph 5(a) are to be delivered, Grantee may, as soon as practicable following the date on which Grantee becomes a Disabled Grantee, elect to accelerate the distribution date of such Shares from the date payment would otherwise be made to a date that is as soon as practicable following the date the Disabled Grantee became disabled.</w:t>
      </w:r>
    </w:p>
    <w:p>
      <w:pPr>
        <w:spacing w:after="0" w:line="106" w:lineRule="exact"/>
        <w:rPr>
          <w:rFonts w:ascii="Arial" w:cs="Arial" w:eastAsia="Arial" w:hAnsi="Arial"/>
          <w:sz w:val="16"/>
          <w:szCs w:val="16"/>
          <w:color w:val="auto"/>
        </w:rPr>
      </w:pPr>
    </w:p>
    <w:p>
      <w:pPr>
        <w:ind w:right="20" w:firstLine="1948"/>
        <w:spacing w:after="0" w:line="306" w:lineRule="auto"/>
        <w:tabs>
          <w:tab w:leader="none" w:pos="2189" w:val="left"/>
        </w:tabs>
        <w:numPr>
          <w:ilvl w:val="1"/>
          <w:numId w:val="16"/>
        </w:numPr>
        <w:rPr>
          <w:rFonts w:ascii="Arial" w:cs="Arial" w:eastAsia="Arial" w:hAnsi="Arial"/>
          <w:sz w:val="16"/>
          <w:szCs w:val="16"/>
          <w:color w:val="auto"/>
        </w:rPr>
      </w:pPr>
      <w:r>
        <w:rPr>
          <w:rFonts w:ascii="Arial" w:cs="Arial" w:eastAsia="Arial" w:hAnsi="Arial"/>
          <w:sz w:val="16"/>
          <w:szCs w:val="16"/>
          <w:color w:val="auto"/>
        </w:rPr>
        <w:t>If Grantee becomes a Retired Grantee before Shares subject to an Initial Election under Paragraph 5(a) are to be delivered, Grantee may make a Subsequent Election to defer all or any portion of such Shares for five additional years from the date delivery of Shares would otherwise be made. Such a Subsequent Election must be filed with the Committee at least one year before the date on which the distribution would otherwise be made.</w:t>
      </w:r>
    </w:p>
    <w:p>
      <w:pPr>
        <w:spacing w:after="0" w:line="106" w:lineRule="exact"/>
        <w:rPr>
          <w:rFonts w:ascii="Arial" w:cs="Arial" w:eastAsia="Arial" w:hAnsi="Arial"/>
          <w:sz w:val="16"/>
          <w:szCs w:val="16"/>
          <w:color w:val="auto"/>
        </w:rPr>
      </w:pPr>
    </w:p>
    <w:p>
      <w:pPr>
        <w:ind w:right="440" w:firstLine="1492"/>
        <w:spacing w:after="0" w:line="268" w:lineRule="auto"/>
        <w:tabs>
          <w:tab w:leader="none" w:pos="172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Diversification Election</w:t>
      </w:r>
      <w:r>
        <w:rPr>
          <w:rFonts w:ascii="Arial" w:cs="Arial" w:eastAsia="Arial" w:hAnsi="Arial"/>
          <w:sz w:val="18"/>
          <w:szCs w:val="18"/>
          <w:color w:val="auto"/>
        </w:rPr>
        <w:t>. As provided in the Plan and as described in the prospectus for the Plan, a Grantee with an Account may be eligible to make a Diversification Election on an election form supplied by the Committee for this purpose.</w:t>
      </w:r>
    </w:p>
    <w:p>
      <w:pPr>
        <w:spacing w:after="0" w:line="131" w:lineRule="exact"/>
        <w:rPr>
          <w:rFonts w:ascii="Arial" w:cs="Arial" w:eastAsia="Arial" w:hAnsi="Arial"/>
          <w:sz w:val="18"/>
          <w:szCs w:val="18"/>
          <w:color w:val="auto"/>
        </w:rPr>
      </w:pPr>
    </w:p>
    <w:p>
      <w:pPr>
        <w:ind w:right="120" w:firstLine="1492"/>
        <w:spacing w:after="0" w:line="255" w:lineRule="auto"/>
        <w:tabs>
          <w:tab w:leader="none" w:pos="173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Book Accounts</w:t>
      </w:r>
      <w:r>
        <w:rPr>
          <w:rFonts w:ascii="Arial" w:cs="Arial" w:eastAsia="Arial" w:hAnsi="Arial"/>
          <w:sz w:val="18"/>
          <w:szCs w:val="18"/>
          <w:color w:val="auto"/>
        </w:rPr>
        <w:t>. An Account shall be established for each Grantee who makes an Initial Election. Deferred Stock Units shall be credited to the Account as of the Date an Initial Election becomes effective. Each Deferred Stock Unit will represent a hypothetical Share credited to the Account in lieu of delivery of the Shares to which an Initial Election, Subsequent Election or Acceleration Election applies. If an eligible Grantee makes a Diversification Election, then to the extent an Account is deemed invested in the Income Fund, the Committee shall credit earnings with respect to such Account at the Applicable Interest Rate.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35" w:name="page36"/>
    <w:bookmarkEnd w:id="35"/>
    <w:p>
      <w:pPr>
        <w:ind w:right="280" w:firstLine="1492"/>
        <w:spacing w:after="0" w:line="254" w:lineRule="auto"/>
        <w:tabs>
          <w:tab w:leader="none" w:pos="1722"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Status of Deferred Amounts</w:t>
      </w:r>
      <w:r>
        <w:rPr>
          <w:rFonts w:ascii="Arial" w:cs="Arial" w:eastAsia="Arial" w:hAnsi="Arial"/>
          <w:sz w:val="18"/>
          <w:szCs w:val="18"/>
          <w:color w:val="auto"/>
        </w:rPr>
        <w:t>. Grantee’s right to delivery of Shares subject to an Initial Election, Subsequent Election or Acceleration Election, or to amounts deemed invested in the Income Fund pursuant to a Diversification Election, shall at all times represent the general obligation of the Company.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Grantee in a bankruptcy matter with respect to claims for wages.</w:t>
      </w:r>
    </w:p>
    <w:p>
      <w:pPr>
        <w:spacing w:after="0" w:line="144" w:lineRule="exact"/>
        <w:rPr>
          <w:rFonts w:ascii="Arial" w:cs="Arial" w:eastAsia="Arial" w:hAnsi="Arial"/>
          <w:sz w:val="18"/>
          <w:szCs w:val="18"/>
          <w:color w:val="auto"/>
        </w:rPr>
      </w:pPr>
    </w:p>
    <w:p>
      <w:pPr>
        <w:ind w:right="480" w:firstLine="1492"/>
        <w:spacing w:after="0" w:line="306" w:lineRule="auto"/>
        <w:tabs>
          <w:tab w:leader="none" w:pos="1703"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Non-Assignability, Etc.</w:t>
      </w:r>
      <w:r>
        <w:rPr>
          <w:rFonts w:ascii="Arial" w:cs="Arial" w:eastAsia="Arial" w:hAnsi="Arial"/>
          <w:sz w:val="16"/>
          <w:szCs w:val="16"/>
          <w:color w:val="auto"/>
        </w:rPr>
        <w:t xml:space="preserve"> The right of Grantee to receive Shares subject to an Election under this Paragraph 5, or to amounts deemed invested in the Income Fund pursuant to a Diversification Election, shall not be subject in any manner to attachment or other legal process for the debts of Grantee; and no right to receive Shares or cash hereunder shall be subject to anticipation, alienation, sale, transfer, assignment or encumbrance.</w:t>
      </w:r>
    </w:p>
    <w:p>
      <w:pPr>
        <w:spacing w:after="0" w:line="106" w:lineRule="exact"/>
        <w:rPr>
          <w:rFonts w:ascii="Arial" w:cs="Arial" w:eastAsia="Arial" w:hAnsi="Arial"/>
          <w:sz w:val="16"/>
          <w:szCs w:val="16"/>
          <w:color w:val="auto"/>
        </w:rPr>
      </w:pPr>
    </w:p>
    <w:p>
      <w:pPr>
        <w:ind w:right="120" w:firstLine="921"/>
        <w:spacing w:after="0" w:line="259" w:lineRule="auto"/>
        <w:tabs>
          <w:tab w:leader="none" w:pos="1088"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to the Company under this Agreement shall be made in care of the Committee at the Company’s main office in Philadelphia, Pennsylvania. All notices under this Agreement shall be deemed to have been given when hand-delivered or mailed, first class postage prepaid, and shall be irrevocable once given.</w:t>
      </w:r>
    </w:p>
    <w:p>
      <w:pPr>
        <w:spacing w:after="0" w:line="140" w:lineRule="exact"/>
        <w:rPr>
          <w:rFonts w:ascii="Arial" w:cs="Arial" w:eastAsia="Arial" w:hAnsi="Arial"/>
          <w:sz w:val="18"/>
          <w:szCs w:val="18"/>
          <w:color w:val="auto"/>
        </w:rPr>
      </w:pPr>
    </w:p>
    <w:p>
      <w:pPr>
        <w:ind w:firstLine="921"/>
        <w:spacing w:after="0" w:line="259" w:lineRule="auto"/>
        <w:tabs>
          <w:tab w:leader="none" w:pos="1088"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The Committee may from time to time impose any conditions on the Shares issuable with respect to Restricted Stock Units as it deems necessary or advisable to ensure that the Plan satisfies the conditions of Rule 16b-3, and that Shares are issued and resold in compliance with the Securities Act of 1933, as amended.</w:t>
      </w:r>
    </w:p>
    <w:p>
      <w:pPr>
        <w:spacing w:after="0" w:line="140" w:lineRule="exact"/>
        <w:rPr>
          <w:rFonts w:ascii="Arial" w:cs="Arial" w:eastAsia="Arial" w:hAnsi="Arial"/>
          <w:sz w:val="18"/>
          <w:szCs w:val="18"/>
          <w:color w:val="auto"/>
        </w:rPr>
      </w:pPr>
    </w:p>
    <w:p>
      <w:pPr>
        <w:ind w:left="1100" w:hanging="179"/>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Delivery of Shares; Repayment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60" w:firstLine="1492"/>
        <w:spacing w:after="0" w:line="309" w:lineRule="auto"/>
        <w:tabs>
          <w:tab w:leader="none" w:pos="1722" w:val="left"/>
        </w:tabs>
        <w:numPr>
          <w:ilvl w:val="1"/>
          <w:numId w:val="19"/>
        </w:numPr>
        <w:rPr>
          <w:rFonts w:ascii="Arial" w:cs="Arial" w:eastAsia="Arial" w:hAnsi="Arial"/>
          <w:sz w:val="15"/>
          <w:szCs w:val="15"/>
          <w:color w:val="auto"/>
        </w:rPr>
      </w:pPr>
      <w:r>
        <w:rPr>
          <w:rFonts w:ascii="Arial" w:cs="Arial" w:eastAsia="Arial" w:hAnsi="Arial"/>
          <w:sz w:val="15"/>
          <w:szCs w:val="15"/>
          <w:u w:val="single" w:color="auto"/>
          <w:color w:val="auto"/>
        </w:rPr>
        <w:t>Delivery of Shares</w:t>
      </w:r>
      <w:r>
        <w:rPr>
          <w:rFonts w:ascii="Arial" w:cs="Arial" w:eastAsia="Arial" w:hAnsi="Arial"/>
          <w:sz w:val="15"/>
          <w:szCs w:val="15"/>
          <w:color w:val="auto"/>
        </w:rPr>
        <w:t>. Except as otherwise provided in Paragraph 5, the Company shall notify Grantee that a Vesting Date with respect to Restricted Stock Units has occurred. Within ten (10) business days of a Vesting Date, the Company shall, without payment from Grantee, satisfy its obligation to deliver Shares issuable under the Plan either by (i) delivery of a physical certificate for Shares issuable under the Plan or (ii) arranging for the recording of Grantee’s ownership of Shares issuable under the Plan on a book entry recordkeeping system maintained on behalf of the Company, in either case without any legend or restrictions, except for such restrictions as may be imposed by the Committee, in its sole judgment, under Paragraph 7, provided that Shares will not be delivered to Grantee until appropriate arrangements have been made with the Employer for the withholding of any taxes which may be due with respect to such Shares. The Company may condition delivery of certificates for Shares upon the prior receipt from Grantee of any undertakings which it may determine are required to assure that the certificates are being issued in compliance with federal and state securities laws. The right to payment of any fractional Shares shall be satisfied in cash, measured by the product of the fractional amount times the Fair Market Value of a Share on the Vesting Date, as determined by the Committee.</w:t>
      </w:r>
    </w:p>
    <w:p>
      <w:pPr>
        <w:spacing w:after="0" w:line="108" w:lineRule="exact"/>
        <w:rPr>
          <w:rFonts w:ascii="Arial" w:cs="Arial" w:eastAsia="Arial" w:hAnsi="Arial"/>
          <w:sz w:val="15"/>
          <w:szCs w:val="15"/>
          <w:color w:val="auto"/>
        </w:rPr>
      </w:pPr>
    </w:p>
    <w:p>
      <w:pPr>
        <w:ind w:left="1740" w:hanging="248"/>
        <w:spacing w:after="0"/>
        <w:tabs>
          <w:tab w:leader="none" w:pos="1740"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Repayment</w:t>
      </w:r>
      <w:r>
        <w:rPr>
          <w:rFonts w:ascii="Arial" w:cs="Arial" w:eastAsia="Arial" w:hAnsi="Arial"/>
          <w:sz w:val="16"/>
          <w:szCs w:val="16"/>
          <w:color w:val="auto"/>
        </w:rPr>
        <w:t>. If it is determined by the Board that gross negligence, intentional misconduct or fraud by Grantee caused or partially caused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 to have to</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36" w:name="page37"/>
    <w:bookmarkEnd w:id="36"/>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restate all or a portion of its financial statements, the Board, in its sole discretion, may, to the extent permitted by law and to the extent it determines in its sole judgment that it is in the best interests of the Company to do so, require repayment of Shares delivered pursuant to the vesting of the Restricted Stock Units, or to effect the cancellation of unvested Restricted Stock Units, if (i) the vesting of the Award was calculated based upon, or contingent on, the achievement of financial or operating results that were the subject of or affected by the restatement, and (ii) the extent of vesting of the Award would have been less had the financial statements been correct. In addition, to the extent that the receipt of an Award subject to repayment under this Paragraph 8(b) has been deferred pursuant to Paragraph 5 (or any other plan, program or arrangement that permits the deferral of receipt of an Award), such Award (and any earnings credited with respect thereto) shall be forfeited in lieu of repayment.</w:t>
      </w:r>
    </w:p>
    <w:p>
      <w:pPr>
        <w:spacing w:after="0" w:line="118" w:lineRule="exact"/>
        <w:rPr>
          <w:sz w:val="20"/>
          <w:szCs w:val="20"/>
          <w:color w:val="auto"/>
        </w:rPr>
      </w:pPr>
    </w:p>
    <w:p>
      <w:pPr>
        <w:ind w:right="260" w:firstLine="921"/>
        <w:spacing w:after="0" w:line="268" w:lineRule="auto"/>
        <w:tabs>
          <w:tab w:leader="none" w:pos="1088"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Award Not to Affect Employment</w:t>
      </w:r>
      <w:r>
        <w:rPr>
          <w:rFonts w:ascii="Arial" w:cs="Arial" w:eastAsia="Arial" w:hAnsi="Arial"/>
          <w:sz w:val="18"/>
          <w:szCs w:val="18"/>
          <w:color w:val="auto"/>
        </w:rPr>
        <w:t>. The Award granted hereunder shall not confer upon Grantee any right to continue in the employment of the Company or any subsidiary or affiliate of the Company.</w:t>
      </w:r>
    </w:p>
    <w:p>
      <w:pPr>
        <w:spacing w:after="0" w:line="131" w:lineRule="exact"/>
        <w:rPr>
          <w:rFonts w:ascii="Arial" w:cs="Arial" w:eastAsia="Arial" w:hAnsi="Arial"/>
          <w:sz w:val="18"/>
          <w:szCs w:val="18"/>
          <w:color w:val="auto"/>
        </w:rPr>
      </w:pPr>
    </w:p>
    <w:p>
      <w:pPr>
        <w:ind w:left="1180" w:hanging="259"/>
        <w:spacing w:after="0"/>
        <w:tabs>
          <w:tab w:leader="none" w:pos="1180"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740" w:hanging="248"/>
        <w:spacing w:after="0"/>
        <w:tabs>
          <w:tab w:leader="none" w:pos="1740" w:val="left"/>
        </w:tabs>
        <w:numPr>
          <w:ilvl w:val="2"/>
          <w:numId w:val="20"/>
        </w:numPr>
        <w:rPr>
          <w:rFonts w:ascii="Arial" w:cs="Arial" w:eastAsia="Arial" w:hAnsi="Arial"/>
          <w:sz w:val="15"/>
          <w:szCs w:val="15"/>
          <w:color w:val="auto"/>
        </w:rPr>
      </w:pPr>
      <w:r>
        <w:rPr>
          <w:rFonts w:ascii="Arial" w:cs="Arial" w:eastAsia="Arial" w:hAnsi="Arial"/>
          <w:sz w:val="15"/>
          <w:szCs w:val="15"/>
          <w:color w:val="auto"/>
        </w:rPr>
        <w:t>The Award granted hereunder is subject to the approval of the Plan by the shareholders of the Company to the extent that such approval</w:t>
      </w:r>
    </w:p>
    <w:p>
      <w:pPr>
        <w:spacing w:after="0" w:line="49" w:lineRule="exact"/>
        <w:rPr>
          <w:rFonts w:ascii="Arial" w:cs="Arial" w:eastAsia="Arial" w:hAnsi="Arial"/>
          <w:sz w:val="15"/>
          <w:szCs w:val="15"/>
          <w:color w:val="auto"/>
        </w:rPr>
      </w:pPr>
    </w:p>
    <w:p>
      <w:pPr>
        <w:ind w:right="540" w:firstLine="8"/>
        <w:spacing w:after="0" w:line="323" w:lineRule="auto"/>
        <w:tabs>
          <w:tab w:leader="none" w:pos="21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is required pursuant to the By-Laws of the National Association of Securities Dealers, Inc., and the schedules thereto, in connection with issuers whose securities are included in the NASDAQ National Market System, or (ii) is required to satisfy the conditions of Rule 16b-3.</w:t>
      </w:r>
    </w:p>
    <w:p>
      <w:pPr>
        <w:spacing w:after="0" w:line="92" w:lineRule="exact"/>
        <w:rPr>
          <w:rFonts w:ascii="Arial" w:cs="Arial" w:eastAsia="Arial" w:hAnsi="Arial"/>
          <w:sz w:val="16"/>
          <w:szCs w:val="16"/>
          <w:color w:val="auto"/>
        </w:rPr>
      </w:pPr>
    </w:p>
    <w:p>
      <w:pPr>
        <w:ind w:right="680" w:firstLine="1492"/>
        <w:spacing w:after="0" w:line="268" w:lineRule="auto"/>
        <w:tabs>
          <w:tab w:leader="none" w:pos="1732" w:val="left"/>
        </w:tabs>
        <w:numPr>
          <w:ilvl w:val="2"/>
          <w:numId w:val="21"/>
        </w:numPr>
        <w:rPr>
          <w:rFonts w:ascii="Arial" w:cs="Arial" w:eastAsia="Arial" w:hAnsi="Arial"/>
          <w:sz w:val="18"/>
          <w:szCs w:val="18"/>
          <w:color w:val="auto"/>
        </w:rPr>
      </w:pPr>
      <w:r>
        <w:rPr>
          <w:rFonts w:ascii="Arial" w:cs="Arial" w:eastAsia="Arial" w:hAnsi="Arial"/>
          <w:sz w:val="18"/>
          <w:szCs w:val="18"/>
          <w:color w:val="auto"/>
        </w:rPr>
        <w:t>The address for Grantee to which notice, demands and other communications to be given or delivered under or by reason of the provisions hereof shall be Grantee’s address as reflected in the Company’s personnel records.</w:t>
      </w:r>
    </w:p>
    <w:p>
      <w:pPr>
        <w:spacing w:after="0" w:line="131" w:lineRule="exact"/>
        <w:rPr>
          <w:rFonts w:ascii="Arial" w:cs="Arial" w:eastAsia="Arial" w:hAnsi="Arial"/>
          <w:sz w:val="18"/>
          <w:szCs w:val="18"/>
          <w:color w:val="auto"/>
        </w:rPr>
      </w:pPr>
    </w:p>
    <w:p>
      <w:pPr>
        <w:ind w:right="200" w:firstLine="1492"/>
        <w:spacing w:after="0" w:line="268" w:lineRule="auto"/>
        <w:tabs>
          <w:tab w:leader="none" w:pos="1722" w:val="left"/>
        </w:tabs>
        <w:numPr>
          <w:ilvl w:val="2"/>
          <w:numId w:val="21"/>
        </w:numPr>
        <w:rPr>
          <w:rFonts w:ascii="Arial" w:cs="Arial" w:eastAsia="Arial" w:hAnsi="Arial"/>
          <w:sz w:val="18"/>
          <w:szCs w:val="18"/>
          <w:color w:val="auto"/>
        </w:rPr>
      </w:pPr>
      <w:r>
        <w:rPr>
          <w:rFonts w:ascii="Arial" w:cs="Arial" w:eastAsia="Arial" w:hAnsi="Arial"/>
          <w:sz w:val="18"/>
          <w:szCs w:val="18"/>
          <w:color w:val="auto"/>
        </w:rPr>
        <w:t>The validity, performance, construction and effect of this Award shall be governed by the laws of the Commonwealth of Pennsylvania, without giving effect to principles of conflicts of law.</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10795</wp:posOffset>
            </wp:positionV>
            <wp:extent cx="23412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10795</wp:posOffset>
            </wp:positionV>
            <wp:extent cx="23412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04" w:lineRule="exact"/>
        <w:rPr>
          <w:sz w:val="20"/>
          <w:szCs w:val="20"/>
          <w:color w:val="auto"/>
        </w:rPr>
      </w:pPr>
    </w:p>
    <w:p>
      <w:pPr>
        <w:ind w:right="500" w:firstLine="456"/>
        <w:spacing w:after="0" w:line="221" w:lineRule="auto"/>
        <w:rPr>
          <w:sz w:val="20"/>
          <w:szCs w:val="20"/>
          <w:color w:val="auto"/>
        </w:rPr>
      </w:pPr>
      <w:r>
        <w:rPr>
          <w:rFonts w:ascii="Arial" w:cs="Arial" w:eastAsia="Arial" w:hAnsi="Arial"/>
          <w:sz w:val="18"/>
          <w:szCs w:val="18"/>
          <w:color w:val="auto"/>
        </w:rPr>
        <w:t>This EMPLOYMENT AGREEMENT (the “Agreement”) is entered into as of the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of January, 2006, between COMCAST CORPORATION, a Pennsylvania corporation (together with its subsidiaries, the “Company”), and ARTHUR R. BLOCK (“Employee”).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177"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Employee desires to have Employee’s employment relationship with the Company be governed by the terms and conditions of this Agreement, which include material benefits favorable to Employee. In return for such favorable benefits, Employee is agreeing to the terms and conditions contained in this Agreement, which include material obligations on Employee.</w:t>
      </w:r>
    </w:p>
    <w:p>
      <w:pPr>
        <w:spacing w:after="0" w:line="29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AGREEMENT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Intending to be legally bound, the Company and Employee agree as follows:</w:t>
      </w:r>
    </w:p>
    <w:p>
      <w:pPr>
        <w:spacing w:after="0" w:line="90" w:lineRule="exact"/>
        <w:rPr>
          <w:sz w:val="20"/>
          <w:szCs w:val="20"/>
          <w:color w:val="auto"/>
        </w:rPr>
      </w:pPr>
    </w:p>
    <w:p>
      <w:pPr>
        <w:ind w:left="900" w:hanging="446"/>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Position and Duties; Company Property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40" w:firstLine="921"/>
        <w:spacing w:after="0" w:line="332" w:lineRule="auto"/>
        <w:tabs>
          <w:tab w:leader="none" w:pos="1152" w:val="left"/>
        </w:tabs>
        <w:numPr>
          <w:ilvl w:val="3"/>
          <w:numId w:val="22"/>
        </w:numPr>
        <w:rPr>
          <w:rFonts w:ascii="Arial" w:cs="Arial" w:eastAsia="Arial" w:hAnsi="Arial"/>
          <w:sz w:val="16"/>
          <w:szCs w:val="16"/>
          <w:color w:val="auto"/>
        </w:rPr>
      </w:pPr>
      <w:r>
        <w:rPr>
          <w:rFonts w:ascii="Arial" w:cs="Arial" w:eastAsia="Arial" w:hAnsi="Arial"/>
          <w:sz w:val="16"/>
          <w:szCs w:val="16"/>
          <w:color w:val="auto"/>
        </w:rPr>
        <w:t>Employee shall continue to serve and the Company shall continue to employ Employee in the position set forth on Schedule 1. The position and duties of Employee from time to time hereunder will be those assigned by the Company commensurate with Employee’s education, skills and experience.</w:t>
      </w:r>
    </w:p>
    <w:p>
      <w:pPr>
        <w:spacing w:after="0" w:line="85" w:lineRule="exact"/>
        <w:rPr>
          <w:rFonts w:ascii="Arial" w:cs="Arial" w:eastAsia="Arial" w:hAnsi="Arial"/>
          <w:sz w:val="16"/>
          <w:szCs w:val="16"/>
          <w:color w:val="auto"/>
        </w:rPr>
      </w:pPr>
    </w:p>
    <w:p>
      <w:pPr>
        <w:ind w:right="100" w:firstLine="921"/>
        <w:spacing w:after="0" w:line="256" w:lineRule="auto"/>
        <w:tabs>
          <w:tab w:leader="none" w:pos="1162" w:val="left"/>
        </w:tabs>
        <w:numPr>
          <w:ilvl w:val="3"/>
          <w:numId w:val="22"/>
        </w:numPr>
        <w:rPr>
          <w:rFonts w:ascii="Arial" w:cs="Arial" w:eastAsia="Arial" w:hAnsi="Arial"/>
          <w:sz w:val="18"/>
          <w:szCs w:val="18"/>
          <w:color w:val="auto"/>
        </w:rPr>
      </w:pPr>
      <w:r>
        <w:rPr>
          <w:rFonts w:ascii="Arial" w:cs="Arial" w:eastAsia="Arial" w:hAnsi="Arial"/>
          <w:sz w:val="18"/>
          <w:szCs w:val="18"/>
          <w:color w:val="auto"/>
        </w:rPr>
        <w:t>Employee shall work full-time and devote Employee’s reasonable best efforts to the business of the Company in a manner which will further the interests of the Company. Without the prior written consent of the Company, Employee shall not, directly or indirectly, work for or on behalf of any person or business, other than the Company. Nothing herein shall restrict Employee from engaging in non-compensatory civic and charitable activities with the consent of the Company, which consent shall not be unreasonably withheld or delayed.</w:t>
      </w:r>
    </w:p>
    <w:p>
      <w:pPr>
        <w:spacing w:after="0" w:line="143" w:lineRule="exact"/>
        <w:rPr>
          <w:rFonts w:ascii="Arial" w:cs="Arial" w:eastAsia="Arial" w:hAnsi="Arial"/>
          <w:sz w:val="18"/>
          <w:szCs w:val="18"/>
          <w:color w:val="auto"/>
        </w:rPr>
      </w:pPr>
    </w:p>
    <w:p>
      <w:pPr>
        <w:ind w:right="80" w:firstLine="921"/>
        <w:spacing w:after="0" w:line="268" w:lineRule="auto"/>
        <w:tabs>
          <w:tab w:leader="none" w:pos="1152" w:val="left"/>
        </w:tabs>
        <w:numPr>
          <w:ilvl w:val="3"/>
          <w:numId w:val="22"/>
        </w:numPr>
        <w:rPr>
          <w:rFonts w:ascii="Arial" w:cs="Arial" w:eastAsia="Arial" w:hAnsi="Arial"/>
          <w:sz w:val="18"/>
          <w:szCs w:val="18"/>
          <w:color w:val="auto"/>
        </w:rPr>
      </w:pPr>
      <w:r>
        <w:rPr>
          <w:rFonts w:ascii="Arial" w:cs="Arial" w:eastAsia="Arial" w:hAnsi="Arial"/>
          <w:sz w:val="18"/>
          <w:szCs w:val="18"/>
          <w:color w:val="auto"/>
        </w:rPr>
        <w:t>Employee shall comply with all policies of the Company applicable to Employee, including the Employee Handbook and the Code of Ethics and Business Conduct.</w:t>
      </w:r>
    </w:p>
    <w:p>
      <w:pPr>
        <w:spacing w:after="0" w:line="131" w:lineRule="exact"/>
        <w:rPr>
          <w:rFonts w:ascii="Arial" w:cs="Arial" w:eastAsia="Arial" w:hAnsi="Arial"/>
          <w:sz w:val="18"/>
          <w:szCs w:val="18"/>
          <w:color w:val="auto"/>
        </w:rPr>
      </w:pPr>
    </w:p>
    <w:p>
      <w:pPr>
        <w:ind w:right="80" w:firstLine="921"/>
        <w:spacing w:after="0" w:line="294" w:lineRule="auto"/>
        <w:tabs>
          <w:tab w:leader="none" w:pos="1158" w:val="left"/>
        </w:tabs>
        <w:numPr>
          <w:ilvl w:val="3"/>
          <w:numId w:val="22"/>
        </w:numPr>
        <w:rPr>
          <w:rFonts w:ascii="Arial" w:cs="Arial" w:eastAsia="Arial" w:hAnsi="Arial"/>
          <w:sz w:val="16"/>
          <w:szCs w:val="16"/>
          <w:color w:val="auto"/>
        </w:rPr>
      </w:pPr>
      <w:r>
        <w:rPr>
          <w:rFonts w:ascii="Arial" w:cs="Arial" w:eastAsia="Arial" w:hAnsi="Arial"/>
          <w:sz w:val="16"/>
          <w:szCs w:val="16"/>
          <w:color w:val="auto"/>
        </w:rPr>
        <w:t>The Company shall own, and be entitled to receive all of the results and proceeds of, items produced or created by Employee (including, without limitation, inventions, patents, copyrights, trademarks, literary material and any other intellectual property) that: (i) relate to the Company’s businesses, if produced or created during the Term (whether during or after working hours); or (ii) relate to any business, if produced or created during working hours or using the Company’s information, materials or facilities. Employee will, at the request of the Company, execute such instruments as the Company may from time to time reasonably deem necessary or desirable to evidence, establish, maintain, protect, enforce and defend its title in and right to any such items.</w:t>
      </w:r>
    </w:p>
    <w:p>
      <w:pPr>
        <w:spacing w:after="0" w:line="115" w:lineRule="exact"/>
        <w:rPr>
          <w:rFonts w:ascii="Arial" w:cs="Arial" w:eastAsia="Arial" w:hAnsi="Arial"/>
          <w:sz w:val="16"/>
          <w:szCs w:val="16"/>
          <w:color w:val="auto"/>
        </w:rPr>
      </w:pPr>
    </w:p>
    <w:p>
      <w:pPr>
        <w:ind w:left="640" w:hanging="176"/>
        <w:spacing w:after="0"/>
        <w:tabs>
          <w:tab w:leader="none" w:pos="640" w:val="left"/>
        </w:tabs>
        <w:numPr>
          <w:ilvl w:val="2"/>
          <w:numId w:val="22"/>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term of this Agreement (the “Term”) shall be from the date first-above written (the “Commencement Date”) through the first to occur of:</w:t>
      </w:r>
    </w:p>
    <w:p>
      <w:pPr>
        <w:spacing w:after="0" w:line="38" w:lineRule="exact"/>
        <w:rPr>
          <w:rFonts w:ascii="Arial" w:cs="Arial" w:eastAsia="Arial" w:hAnsi="Arial"/>
          <w:sz w:val="16"/>
          <w:szCs w:val="16"/>
          <w:color w:val="auto"/>
        </w:rPr>
      </w:pPr>
    </w:p>
    <w:p>
      <w:pPr>
        <w:ind w:left="220" w:hanging="212"/>
        <w:spacing w:after="0"/>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Employee’s employment is terminated in accordance with Paragraph 6; or (ii) December 31, 2009.</w:t>
      </w:r>
    </w:p>
    <w:p>
      <w:pPr>
        <w:sectPr>
          <w:pgSz w:w="11900" w:h="16838" w:orient="portrait"/>
          <w:cols w:equalWidth="0" w:num="1">
            <w:col w:w="11420"/>
          </w:cols>
          <w:pgMar w:left="240" w:top="125" w:right="239" w:bottom="1440" w:gutter="0" w:footer="0" w:header="0"/>
        </w:sectPr>
      </w:pPr>
    </w:p>
    <w:bookmarkStart w:id="38" w:name="page39"/>
    <w:bookmarkEnd w:id="38"/>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the end of the Term, the Company’s obligation to make any payments expressly set forth herein as to be made after the Term, and the covenants of Employee contained in Paragraph 9, shall be enforceable after the end of the Term.</w:t>
      </w:r>
    </w:p>
    <w:p>
      <w:pPr>
        <w:spacing w:after="0" w:line="132" w:lineRule="exact"/>
        <w:rPr>
          <w:sz w:val="20"/>
          <w:szCs w:val="20"/>
          <w:color w:val="auto"/>
        </w:rPr>
      </w:pPr>
    </w:p>
    <w:p>
      <w:pPr>
        <w:ind w:left="640" w:hanging="17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0" w:firstLine="921"/>
        <w:spacing w:after="0" w:line="306" w:lineRule="auto"/>
        <w:tabs>
          <w:tab w:leader="none" w:pos="1152"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Employee’s base salary from the Commencement Date through December 31, 2006 shall be at the annual rate set forth on Schedule 1 (“Base Salary”). Base Salary, less normal deductions, shall be paid to Employee in accordance with the Company’s payroll practices in effect from time to time. Base Salary shall be increased for each subsequent calendar year (or portion thereof) in the Term as set forth on Schedule 1.</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Stock Option/Restricted Stock Grants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700" w:hanging="208"/>
        <w:spacing w:after="0"/>
        <w:tabs>
          <w:tab w:leader="none" w:pos="1700" w:val="left"/>
        </w:tabs>
        <w:numPr>
          <w:ilvl w:val="2"/>
          <w:numId w:val="24"/>
        </w:numPr>
        <w:rPr>
          <w:rFonts w:ascii="Arial" w:cs="Arial" w:eastAsia="Arial" w:hAnsi="Arial"/>
          <w:sz w:val="18"/>
          <w:szCs w:val="18"/>
          <w:color w:val="auto"/>
        </w:rPr>
      </w:pPr>
      <w:r>
        <w:rPr>
          <w:rFonts w:ascii="Arial" w:cs="Arial" w:eastAsia="Arial" w:hAnsi="Arial"/>
          <w:sz w:val="18"/>
          <w:szCs w:val="18"/>
          <w:color w:val="auto"/>
        </w:rPr>
        <w:t>As soon as practicable after the date hereof, Employee shall receive a grant of:</w:t>
      </w:r>
    </w:p>
    <w:p>
      <w:pPr>
        <w:spacing w:after="0" w:line="90" w:lineRule="exact"/>
        <w:rPr>
          <w:rFonts w:ascii="Arial" w:cs="Arial" w:eastAsia="Arial" w:hAnsi="Arial"/>
          <w:sz w:val="18"/>
          <w:szCs w:val="18"/>
          <w:color w:val="auto"/>
        </w:rPr>
      </w:pPr>
    </w:p>
    <w:p>
      <w:pPr>
        <w:jc w:val="both"/>
        <w:ind w:right="280" w:firstLine="1948"/>
        <w:spacing w:after="0" w:line="306" w:lineRule="auto"/>
        <w:tabs>
          <w:tab w:leader="none" w:pos="2228" w:val="left"/>
        </w:tabs>
        <w:numPr>
          <w:ilvl w:val="3"/>
          <w:numId w:val="24"/>
        </w:numPr>
        <w:rPr>
          <w:rFonts w:ascii="Arial" w:cs="Arial" w:eastAsia="Arial" w:hAnsi="Arial"/>
          <w:sz w:val="16"/>
          <w:szCs w:val="16"/>
          <w:color w:val="auto"/>
        </w:rPr>
      </w:pPr>
      <w:r>
        <w:rPr>
          <w:rFonts w:ascii="Arial" w:cs="Arial" w:eastAsia="Arial" w:hAnsi="Arial"/>
          <w:sz w:val="16"/>
          <w:szCs w:val="16"/>
          <w:color w:val="auto"/>
        </w:rPr>
        <w:t>A non-qualified stock option under a Company Stock Option Plan to purchase the number of shares of the Company’s Class A Common Stock set forth on Schedule 1. The exercise price of such options shall be the closing price of the Class A Common Stock on the date of grant. Such options shall have a term of ten (10) years and shall vest and become exercisable as set forth on Schedule 1.</w:t>
      </w:r>
    </w:p>
    <w:p>
      <w:pPr>
        <w:spacing w:after="0" w:line="106" w:lineRule="exact"/>
        <w:rPr>
          <w:rFonts w:ascii="Arial" w:cs="Arial" w:eastAsia="Arial" w:hAnsi="Arial"/>
          <w:sz w:val="16"/>
          <w:szCs w:val="16"/>
          <w:color w:val="auto"/>
        </w:rPr>
      </w:pPr>
    </w:p>
    <w:p>
      <w:pPr>
        <w:ind w:right="40" w:firstLine="1948"/>
        <w:spacing w:after="0" w:line="268" w:lineRule="auto"/>
        <w:tabs>
          <w:tab w:leader="none" w:pos="2218" w:val="left"/>
        </w:tabs>
        <w:numPr>
          <w:ilvl w:val="3"/>
          <w:numId w:val="24"/>
        </w:numPr>
        <w:rPr>
          <w:rFonts w:ascii="Arial" w:cs="Arial" w:eastAsia="Arial" w:hAnsi="Arial"/>
          <w:sz w:val="18"/>
          <w:szCs w:val="18"/>
          <w:color w:val="auto"/>
        </w:rPr>
      </w:pPr>
      <w:r>
        <w:rPr>
          <w:rFonts w:ascii="Arial" w:cs="Arial" w:eastAsia="Arial" w:hAnsi="Arial"/>
          <w:sz w:val="18"/>
          <w:szCs w:val="18"/>
          <w:color w:val="auto"/>
        </w:rPr>
        <w:t>Restricted stock units under a Company Restricted Stock Plan for the number of shares of the Company’s Class A Common Stock set forth on Schedule 1. Such units shall vest as set forth on Schedule 1.</w:t>
      </w:r>
    </w:p>
    <w:p>
      <w:pPr>
        <w:spacing w:after="0" w:line="131" w:lineRule="exact"/>
        <w:rPr>
          <w:rFonts w:ascii="Arial" w:cs="Arial" w:eastAsia="Arial" w:hAnsi="Arial"/>
          <w:sz w:val="18"/>
          <w:szCs w:val="18"/>
          <w:color w:val="auto"/>
        </w:rPr>
      </w:pPr>
    </w:p>
    <w:p>
      <w:pPr>
        <w:ind w:right="600" w:firstLine="1492"/>
        <w:spacing w:after="0" w:line="306" w:lineRule="auto"/>
        <w:tabs>
          <w:tab w:leader="none" w:pos="1742" w:val="left"/>
        </w:tabs>
        <w:numPr>
          <w:ilvl w:val="2"/>
          <w:numId w:val="24"/>
        </w:numPr>
        <w:rPr>
          <w:rFonts w:ascii="Arial" w:cs="Arial" w:eastAsia="Arial" w:hAnsi="Arial"/>
          <w:sz w:val="16"/>
          <w:szCs w:val="16"/>
          <w:color w:val="auto"/>
        </w:rPr>
      </w:pPr>
      <w:r>
        <w:rPr>
          <w:rFonts w:ascii="Arial" w:cs="Arial" w:eastAsia="Arial" w:hAnsi="Arial"/>
          <w:sz w:val="16"/>
          <w:szCs w:val="16"/>
          <w:color w:val="auto"/>
        </w:rPr>
        <w:t>Commencing in 2006, Employee shall be entitled to participate in any annual (or other) broad-based grant programs under the Company’s Stock Option Plans and/or Restricted Stock Plans (or any successor long-term compensation plans) on the same basis as is applicable to other employees at Employee’s level, taking into account Employee’s position, duties and performance.</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Cash Bonuses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1492"/>
        <w:spacing w:after="0" w:line="306" w:lineRule="auto"/>
        <w:tabs>
          <w:tab w:leader="none" w:pos="1693" w:val="left"/>
        </w:tabs>
        <w:numPr>
          <w:ilvl w:val="2"/>
          <w:numId w:val="24"/>
        </w:numPr>
        <w:rPr>
          <w:rFonts w:ascii="Arial" w:cs="Arial" w:eastAsia="Arial" w:hAnsi="Arial"/>
          <w:sz w:val="16"/>
          <w:szCs w:val="16"/>
          <w:color w:val="auto"/>
        </w:rPr>
      </w:pPr>
      <w:r>
        <w:rPr>
          <w:rFonts w:ascii="Arial" w:cs="Arial" w:eastAsia="Arial" w:hAnsi="Arial"/>
          <w:sz w:val="16"/>
          <w:szCs w:val="16"/>
          <w:color w:val="auto"/>
        </w:rPr>
        <w:t>Employee shall be entitled to participate in the Company’s cash bonus plans as set forth on Schedule 1 through December 31, 2006. Employee’s participation in the plans will be pursuant to the terms and conditions of the plans. The performance standards applicable to such cash bonuses will be the same as those applicable to other employees at Employee’s level, taking into account Employee’s position and duties.</w:t>
      </w:r>
    </w:p>
    <w:p>
      <w:pPr>
        <w:spacing w:after="0" w:line="106" w:lineRule="exact"/>
        <w:rPr>
          <w:rFonts w:ascii="Arial" w:cs="Arial" w:eastAsia="Arial" w:hAnsi="Arial"/>
          <w:sz w:val="16"/>
          <w:szCs w:val="16"/>
          <w:color w:val="auto"/>
        </w:rPr>
      </w:pPr>
    </w:p>
    <w:p>
      <w:pPr>
        <w:ind w:right="80" w:firstLine="1492"/>
        <w:spacing w:after="0" w:line="259" w:lineRule="auto"/>
        <w:tabs>
          <w:tab w:leader="none" w:pos="1742" w:val="left"/>
        </w:tabs>
        <w:numPr>
          <w:ilvl w:val="2"/>
          <w:numId w:val="24"/>
        </w:numPr>
        <w:rPr>
          <w:rFonts w:ascii="Arial" w:cs="Arial" w:eastAsia="Arial" w:hAnsi="Arial"/>
          <w:sz w:val="18"/>
          <w:szCs w:val="18"/>
          <w:color w:val="auto"/>
        </w:rPr>
      </w:pPr>
      <w:r>
        <w:rPr>
          <w:rFonts w:ascii="Arial" w:cs="Arial" w:eastAsia="Arial" w:hAnsi="Arial"/>
          <w:sz w:val="18"/>
          <w:szCs w:val="18"/>
          <w:color w:val="auto"/>
        </w:rPr>
        <w:t>Employee shall be entitled to continued participation in the Company’s cash bonus plans (or any successor performance-based incentive compensation plans) with respect to each subsequent calendar year (or portion thereof) in the Term on the same basis as is applicable to other employees at Employee’s level, taking into account Employee’s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39" w:name="page40"/>
    <w:bookmarkEnd w:id="39"/>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position and duties, provided that in no event will the aggregate bonus potential thereunder be less than the sum of the two percentages in item 6, Schedule 1 of Base Salary assuming full achievement of performance targets.</w:t>
      </w:r>
    </w:p>
    <w:p>
      <w:pPr>
        <w:spacing w:after="0" w:line="132" w:lineRule="exact"/>
        <w:rPr>
          <w:sz w:val="20"/>
          <w:szCs w:val="20"/>
          <w:color w:val="auto"/>
        </w:rPr>
      </w:pPr>
    </w:p>
    <w:p>
      <w:pPr>
        <w:ind w:left="1160" w:hanging="239"/>
        <w:spacing w:after="0"/>
        <w:tabs>
          <w:tab w:leader="none" w:pos="1160"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All compensation under this Agreement is subject to applicable tax withholding requirements.</w:t>
      </w:r>
    </w:p>
    <w:p>
      <w:pPr>
        <w:spacing w:after="0" w:line="171" w:lineRule="exact"/>
        <w:rPr>
          <w:rFonts w:ascii="Arial" w:cs="Arial" w:eastAsia="Arial" w:hAnsi="Arial"/>
          <w:sz w:val="18"/>
          <w:szCs w:val="18"/>
          <w:color w:val="auto"/>
        </w:rPr>
      </w:pPr>
    </w:p>
    <w:p>
      <w:pPr>
        <w:ind w:firstLine="464"/>
        <w:spacing w:after="0" w:line="290" w:lineRule="auto"/>
        <w:tabs>
          <w:tab w:leader="none" w:pos="632"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Other Benefits</w:t>
      </w:r>
      <w:r>
        <w:rPr>
          <w:rFonts w:ascii="Arial" w:cs="Arial" w:eastAsia="Arial" w:hAnsi="Arial"/>
          <w:sz w:val="16"/>
          <w:szCs w:val="16"/>
          <w:color w:val="auto"/>
        </w:rPr>
        <w:t>. Employee shall be entitled to continue to receive and participate in the Company’s other employee benefit plans and programs (including group insurance programs, vacation benefits and applicable directors and officers liability insurance and indemnification and advancement of expenses provisions relating to claims made by third parties against Employee in Employee’s role as an employee, officer or director of the Company), on the same terms (including cost) as are made available to other employees at Employee’s level, in accordance with the terms of such plans and programs. Nothing in this Agreement shall limit the Company’s right to modify or discontinue any plans or programs at any time, provided no such action may adversely affect any vested rights of Employee thereunder. The provisions of this Paragraph 4 shall not apply to compensation and benefit plans and programs specifically addressed in this Agreement, in which case the applicable terms of this Agreement shall apply.</w:t>
      </w:r>
    </w:p>
    <w:p>
      <w:pPr>
        <w:spacing w:after="0" w:line="118" w:lineRule="exact"/>
        <w:rPr>
          <w:rFonts w:ascii="Arial" w:cs="Arial" w:eastAsia="Arial" w:hAnsi="Arial"/>
          <w:sz w:val="16"/>
          <w:szCs w:val="16"/>
          <w:color w:val="auto"/>
        </w:rPr>
      </w:pPr>
    </w:p>
    <w:p>
      <w:pPr>
        <w:ind w:right="140" w:firstLine="464"/>
        <w:spacing w:after="0" w:line="259" w:lineRule="auto"/>
        <w:tabs>
          <w:tab w:leader="none" w:pos="632"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The Company shall pay or reimburse Employee for reasonable travel, lodging, meals, entertainment and other reasonable expenses incurred by Employee in connection with the performance of Employee’s duties hereunder, upon receipt of vouchers therefor submitted to the Company on a timely basis and in accordance with the Company’s practices in effect from time to time.</w:t>
      </w:r>
    </w:p>
    <w:p>
      <w:pPr>
        <w:spacing w:after="0" w:line="140" w:lineRule="exact"/>
        <w:rPr>
          <w:rFonts w:ascii="Arial" w:cs="Arial" w:eastAsia="Arial" w:hAnsi="Arial"/>
          <w:sz w:val="18"/>
          <w:szCs w:val="18"/>
          <w:color w:val="auto"/>
        </w:rPr>
      </w:pPr>
    </w:p>
    <w:p>
      <w:pPr>
        <w:ind w:right="160" w:firstLine="464"/>
        <w:spacing w:after="0" w:line="306" w:lineRule="auto"/>
        <w:tabs>
          <w:tab w:leader="none" w:pos="632"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Employee’s employment, and the Company’s obligations under this Agreement (excluding any obligations the Company may have under Paragraph 7, any other obligations expressly set forth herein as surviving termination of employment, and any obligations with respect to any vested rights of Employee under any benefit plans or programs), shall or may be terminated, in the circumstances set forth below.</w:t>
      </w:r>
    </w:p>
    <w:p>
      <w:pPr>
        <w:spacing w:after="0" w:line="25" w:lineRule="exact"/>
        <w:rPr>
          <w:rFonts w:ascii="Arial" w:cs="Arial" w:eastAsia="Arial" w:hAnsi="Arial"/>
          <w:sz w:val="16"/>
          <w:szCs w:val="16"/>
          <w:color w:val="auto"/>
        </w:rPr>
      </w:pPr>
    </w:p>
    <w:p>
      <w:pPr>
        <w:ind w:left="1160" w:hanging="239"/>
        <w:spacing w:after="0"/>
        <w:tabs>
          <w:tab w:leader="none" w:pos="1160"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Employee’s employment shall terminate automatically in the event of Employee’s death.</w:t>
      </w:r>
    </w:p>
    <w:p>
      <w:pPr>
        <w:spacing w:after="0" w:line="171" w:lineRule="exact"/>
        <w:rPr>
          <w:rFonts w:ascii="Arial" w:cs="Arial" w:eastAsia="Arial" w:hAnsi="Arial"/>
          <w:sz w:val="18"/>
          <w:szCs w:val="18"/>
          <w:color w:val="auto"/>
        </w:rPr>
      </w:pPr>
    </w:p>
    <w:p>
      <w:pPr>
        <w:jc w:val="both"/>
        <w:ind w:right="260" w:firstLine="921"/>
        <w:spacing w:after="0" w:line="306" w:lineRule="auto"/>
        <w:tabs>
          <w:tab w:leader="none" w:pos="1161"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The Company may terminate Employee’s employment in accordance with the provisions of applicable law, in the event Employee becomes substantially unable to perform Employee’s duties hereunder due to partial or total disability or incapacity resulting from a mental or physical illness, injury or other health-related cause (“Disability”) for a period of nine (9) consecutive months or for a cumulative period of fifty-two (52) weeks.</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Discharge With Cause by the Company or Termination by Employee Without Good Reason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40" w:firstLine="1492"/>
        <w:spacing w:after="0" w:line="268" w:lineRule="auto"/>
        <w:tabs>
          <w:tab w:leader="none" w:pos="1693" w:val="left"/>
        </w:tabs>
        <w:numPr>
          <w:ilvl w:val="2"/>
          <w:numId w:val="26"/>
        </w:numPr>
        <w:rPr>
          <w:rFonts w:ascii="Arial" w:cs="Arial" w:eastAsia="Arial" w:hAnsi="Arial"/>
          <w:sz w:val="18"/>
          <w:szCs w:val="18"/>
          <w:color w:val="auto"/>
        </w:rPr>
      </w:pPr>
      <w:r>
        <w:rPr>
          <w:rFonts w:ascii="Arial" w:cs="Arial" w:eastAsia="Arial" w:hAnsi="Arial"/>
          <w:sz w:val="18"/>
          <w:szCs w:val="18"/>
          <w:color w:val="auto"/>
        </w:rPr>
        <w:t>The Company may terminate Employee’s employment as a result of any of the following acts of Employee (“Discharge With Cause”): fraud; misappropriation;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40" w:name="page41"/>
    <w:bookmarkEnd w:id="40"/>
    <w:p>
      <w:pPr>
        <w:ind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embezzlement; gross negligence in the performance of duties; self-dealing; dishonesty; misrepresentation; conviction of a felony; material violation of any Company policy; material violation of the Company’s Code of Ethics and Business Conduct; or material breach of any provision of this Agreement (which, as to the last three items, if capable of being cured, shall remain uncured following thirty (30) days after written notice thereof).</w:t>
      </w:r>
    </w:p>
    <w:p>
      <w:pPr>
        <w:spacing w:after="0" w:line="107" w:lineRule="exact"/>
        <w:rPr>
          <w:sz w:val="20"/>
          <w:szCs w:val="20"/>
          <w:color w:val="auto"/>
        </w:rPr>
      </w:pPr>
    </w:p>
    <w:p>
      <w:pPr>
        <w:ind w:right="700" w:firstLine="1492"/>
        <w:spacing w:after="0" w:line="268" w:lineRule="auto"/>
        <w:tabs>
          <w:tab w:leader="none" w:pos="1742" w:val="left"/>
        </w:tabs>
        <w:numPr>
          <w:ilvl w:val="1"/>
          <w:numId w:val="27"/>
        </w:numPr>
        <w:rPr>
          <w:rFonts w:ascii="Arial" w:cs="Arial" w:eastAsia="Arial" w:hAnsi="Arial"/>
          <w:sz w:val="18"/>
          <w:szCs w:val="18"/>
          <w:color w:val="auto"/>
        </w:rPr>
      </w:pPr>
      <w:r>
        <w:rPr>
          <w:rFonts w:ascii="Arial" w:cs="Arial" w:eastAsia="Arial" w:hAnsi="Arial"/>
          <w:sz w:val="18"/>
          <w:szCs w:val="18"/>
          <w:color w:val="auto"/>
        </w:rPr>
        <w:t>Employee may terminate Employee’s employment at any time without Good Reason (as defined in subparagraph (d)(ii) below) (“Without Good Reason”).</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Discharge Without Cause by the Company or Termination by Employee With Good Reason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700" w:hanging="208"/>
        <w:spacing w:after="0"/>
        <w:tabs>
          <w:tab w:leader="none" w:pos="17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Company may terminate Employee’s employment at any time other than on account of a Discharge With Cause (“Discharge Without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Cause”).</w:t>
      </w:r>
    </w:p>
    <w:p>
      <w:pPr>
        <w:spacing w:after="0" w:line="165" w:lineRule="exact"/>
        <w:rPr>
          <w:sz w:val="20"/>
          <w:szCs w:val="20"/>
          <w:color w:val="auto"/>
        </w:rPr>
      </w:pPr>
    </w:p>
    <w:p>
      <w:pPr>
        <w:ind w:right="100" w:firstLine="1492"/>
        <w:spacing w:after="0" w:line="294" w:lineRule="auto"/>
        <w:tabs>
          <w:tab w:leader="none" w:pos="1742" w:val="left"/>
        </w:tabs>
        <w:numPr>
          <w:ilvl w:val="2"/>
          <w:numId w:val="29"/>
        </w:numPr>
        <w:rPr>
          <w:rFonts w:ascii="Arial" w:cs="Arial" w:eastAsia="Arial" w:hAnsi="Arial"/>
          <w:sz w:val="16"/>
          <w:szCs w:val="16"/>
          <w:color w:val="auto"/>
        </w:rPr>
      </w:pPr>
      <w:r>
        <w:rPr>
          <w:rFonts w:ascii="Arial" w:cs="Arial" w:eastAsia="Arial" w:hAnsi="Arial"/>
          <w:sz w:val="16"/>
          <w:szCs w:val="16"/>
          <w:color w:val="auto"/>
        </w:rPr>
        <w:t>Employee may terminate this Agreement as a result of any of the following acts of the Company (“With Good Reason”), provided Employee has provided Company written notice thereof within sixty (60) days of the occurrence thereof: assignment to Employee of any position or duties inconsistent in any material respect with Employee’s education, skills and experience or any other action by the Company that results in a substantial diminution in Employee’s position or duties; or material breach of any provision of this Agreement (which, as to either such items, if capable of being cured, shall remain uncured following thirty (30) days after written notice thereof) (“Good Reason”).</w:t>
      </w:r>
    </w:p>
    <w:p>
      <w:pPr>
        <w:spacing w:after="0" w:line="115" w:lineRule="exact"/>
        <w:rPr>
          <w:rFonts w:ascii="Arial" w:cs="Arial" w:eastAsia="Arial" w:hAnsi="Arial"/>
          <w:sz w:val="16"/>
          <w:szCs w:val="16"/>
          <w:color w:val="auto"/>
        </w:rPr>
      </w:pPr>
    </w:p>
    <w:p>
      <w:pPr>
        <w:ind w:right="60" w:firstLine="464"/>
        <w:spacing w:after="0" w:line="268" w:lineRule="auto"/>
        <w:tabs>
          <w:tab w:leader="none" w:pos="63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Payments and Other Entitlements As a Result of Termination</w:t>
      </w:r>
      <w:r>
        <w:rPr>
          <w:rFonts w:ascii="Arial" w:cs="Arial" w:eastAsia="Arial" w:hAnsi="Arial"/>
          <w:sz w:val="18"/>
          <w:szCs w:val="18"/>
          <w:color w:val="auto"/>
        </w:rPr>
        <w:t>. Employee’s sole entitlements as a result of a termination under Paragraph 6 shall be as set forth below.</w:t>
      </w:r>
    </w:p>
    <w:p>
      <w:pPr>
        <w:spacing w:after="0" w:line="50" w:lineRule="exact"/>
        <w:rPr>
          <w:rFonts w:ascii="Arial" w:cs="Arial" w:eastAsia="Arial" w:hAnsi="Arial"/>
          <w:sz w:val="18"/>
          <w:szCs w:val="18"/>
          <w:color w:val="auto"/>
        </w:rPr>
      </w:pPr>
    </w:p>
    <w:p>
      <w:pPr>
        <w:ind w:firstLine="921"/>
        <w:spacing w:after="0" w:line="255" w:lineRule="auto"/>
        <w:tabs>
          <w:tab w:leader="none" w:pos="1152"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Death or Disability</w:t>
      </w:r>
      <w:r>
        <w:rPr>
          <w:rFonts w:ascii="Arial" w:cs="Arial" w:eastAsia="Arial" w:hAnsi="Arial"/>
          <w:sz w:val="18"/>
          <w:szCs w:val="18"/>
          <w:color w:val="auto"/>
        </w:rPr>
        <w:t>. Upon termination due to death or Disability, Employee (or Employee’s estate, as applicable) will be entitled to payment of Employee’s then-current Base Salary for a period of three (3) months following the date of termination, amounts accrued or payable under any benefit plans and programs (payable at such times as is provided therein), any accrued but unused vacation time, amounts payable on account of any unreimbursed business expenses, and an amount on account of the current year’s cash bonus program grants (pro-rated through the date of termination, and assuming full achievement of performance targets).</w:t>
      </w:r>
    </w:p>
    <w:p>
      <w:pPr>
        <w:spacing w:after="0" w:line="142" w:lineRule="exact"/>
        <w:rPr>
          <w:rFonts w:ascii="Arial" w:cs="Arial" w:eastAsia="Arial" w:hAnsi="Arial"/>
          <w:sz w:val="18"/>
          <w:szCs w:val="18"/>
          <w:color w:val="auto"/>
        </w:rPr>
      </w:pPr>
    </w:p>
    <w:p>
      <w:pPr>
        <w:ind w:right="20" w:firstLine="921"/>
        <w:spacing w:after="0" w:line="335" w:lineRule="auto"/>
        <w:tabs>
          <w:tab w:leader="none" w:pos="1161" w:val="left"/>
        </w:tabs>
        <w:numPr>
          <w:ilvl w:val="1"/>
          <w:numId w:val="30"/>
        </w:numPr>
        <w:rPr>
          <w:rFonts w:ascii="Arial" w:cs="Arial" w:eastAsia="Arial" w:hAnsi="Arial"/>
          <w:sz w:val="15"/>
          <w:szCs w:val="15"/>
          <w:color w:val="auto"/>
        </w:rPr>
      </w:pPr>
      <w:r>
        <w:rPr>
          <w:rFonts w:ascii="Arial" w:cs="Arial" w:eastAsia="Arial" w:hAnsi="Arial"/>
          <w:sz w:val="15"/>
          <w:szCs w:val="15"/>
          <w:u w:val="single" w:color="auto"/>
          <w:color w:val="auto"/>
        </w:rPr>
        <w:t>Discharge With Cause by the Company or Termination by Employee Without Good Reason</w:t>
      </w:r>
      <w:r>
        <w:rPr>
          <w:rFonts w:ascii="Arial" w:cs="Arial" w:eastAsia="Arial" w:hAnsi="Arial"/>
          <w:sz w:val="15"/>
          <w:szCs w:val="15"/>
          <w:color w:val="auto"/>
        </w:rPr>
        <w:t>. If Employee is Discharged With Cause or Employee terminates Without Good Reason, Employee will be entitled only to payment of amounts accrued or payable under any benefit plans and programs (payable at such times as is provided therein), any accrued but unused vacation time, and amounts payable on account of any unreimbursed business expenses.</w:t>
      </w:r>
    </w:p>
    <w:p>
      <w:pPr>
        <w:spacing w:after="0" w:line="88" w:lineRule="exact"/>
        <w:rPr>
          <w:rFonts w:ascii="Arial" w:cs="Arial" w:eastAsia="Arial" w:hAnsi="Arial"/>
          <w:sz w:val="15"/>
          <w:szCs w:val="15"/>
          <w:color w:val="auto"/>
        </w:rPr>
      </w:pPr>
    </w:p>
    <w:p>
      <w:pPr>
        <w:ind w:right="560" w:firstLine="921"/>
        <w:spacing w:after="0" w:line="268" w:lineRule="auto"/>
        <w:tabs>
          <w:tab w:leader="none" w:pos="1152"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Discharge Without Cause by the Company or Termination by Employee With Good Reason</w:t>
      </w:r>
      <w:r>
        <w:rPr>
          <w:rFonts w:ascii="Arial" w:cs="Arial" w:eastAsia="Arial" w:hAnsi="Arial"/>
          <w:sz w:val="18"/>
          <w:szCs w:val="18"/>
          <w:color w:val="auto"/>
        </w:rPr>
        <w:t>. If Employee is Discharged Without Cause or Employee terminates With Good Reason: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41" w:name="page42"/>
    <w:bookmarkEnd w:id="41"/>
    <w:p>
      <w:pPr>
        <w:ind w:right="40" w:firstLine="1492"/>
        <w:spacing w:after="0" w:line="253" w:lineRule="auto"/>
        <w:tabs>
          <w:tab w:leader="none" w:pos="1693" w:val="left"/>
        </w:tabs>
        <w:numPr>
          <w:ilvl w:val="2"/>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 shall continue to receive: (A) Employee’s then-current Base Salary; and (B) “health and welfare” benefit plans and programs (to the extent permitted under such plans and programs and at a cost to the Company not in excess of that for an “active” employee; and at the same cost to Employee as is paid by other employees at Employee’s level); in each case for the period of time set forth on Schedule 1 from the date of termination; in exchange for Employee’s entering into an agreement containing a release by Employee of the Company with respect to all matters relating to Employee’s employment (other than with respect to those items referred to in the following sentence and rights under this Agreement), and such other terms as Company customarily requires of terminated employees receiving salary continuation payments. Employee shall also receive amounts accrued or payable under any benefit plans and programs (payable at such times as provided therein), any accrued but unused vacation time, and amounts payable on account of any unreimbursed business expenses.</w:t>
      </w:r>
    </w:p>
    <w:p>
      <w:pPr>
        <w:spacing w:after="0" w:line="145" w:lineRule="exact"/>
        <w:rPr>
          <w:rFonts w:ascii="Arial" w:cs="Arial" w:eastAsia="Arial" w:hAnsi="Arial"/>
          <w:sz w:val="18"/>
          <w:szCs w:val="18"/>
          <w:color w:val="auto"/>
        </w:rPr>
      </w:pPr>
    </w:p>
    <w:p>
      <w:pPr>
        <w:ind w:right="240" w:firstLine="1492"/>
        <w:spacing w:after="0" w:line="259" w:lineRule="auto"/>
        <w:tabs>
          <w:tab w:leader="none" w:pos="1742" w:val="left"/>
        </w:tabs>
        <w:numPr>
          <w:ilvl w:val="2"/>
          <w:numId w:val="31"/>
        </w:numPr>
        <w:rPr>
          <w:rFonts w:ascii="Arial" w:cs="Arial" w:eastAsia="Arial" w:hAnsi="Arial"/>
          <w:sz w:val="18"/>
          <w:szCs w:val="18"/>
          <w:color w:val="auto"/>
        </w:rPr>
      </w:pPr>
      <w:r>
        <w:rPr>
          <w:rFonts w:ascii="Arial" w:cs="Arial" w:eastAsia="Arial" w:hAnsi="Arial"/>
          <w:sz w:val="18"/>
          <w:szCs w:val="18"/>
          <w:color w:val="auto"/>
        </w:rPr>
        <w:t>Employee shall have no obligation to obtain employment during the period in which Employee receives salary continuation payments under this subparagraph (c). However, the Company’s obligation to continue “health and welfare” benefit plans and programs shall cease upon Employee’s eligibility for similar benefits from a subsequent employer.</w:t>
      </w:r>
    </w:p>
    <w:p>
      <w:pPr>
        <w:spacing w:after="0" w:line="140" w:lineRule="exact"/>
        <w:rPr>
          <w:rFonts w:ascii="Arial" w:cs="Arial" w:eastAsia="Arial" w:hAnsi="Arial"/>
          <w:sz w:val="18"/>
          <w:szCs w:val="18"/>
          <w:color w:val="auto"/>
        </w:rPr>
      </w:pPr>
    </w:p>
    <w:p>
      <w:pPr>
        <w:ind w:right="160" w:firstLine="1492"/>
        <w:spacing w:after="0" w:line="256" w:lineRule="auto"/>
        <w:tabs>
          <w:tab w:leader="none" w:pos="1791" w:val="left"/>
        </w:tabs>
        <w:numPr>
          <w:ilvl w:val="2"/>
          <w:numId w:val="31"/>
        </w:numPr>
        <w:rPr>
          <w:rFonts w:ascii="Arial" w:cs="Arial" w:eastAsia="Arial" w:hAnsi="Arial"/>
          <w:sz w:val="18"/>
          <w:szCs w:val="18"/>
          <w:color w:val="auto"/>
        </w:rPr>
      </w:pPr>
      <w:r>
        <w:rPr>
          <w:rFonts w:ascii="Arial" w:cs="Arial" w:eastAsia="Arial" w:hAnsi="Arial"/>
          <w:sz w:val="18"/>
          <w:szCs w:val="18"/>
          <w:color w:val="auto"/>
        </w:rPr>
        <w:t>Employee shall be entitled to receive payment on account of cash bonus program grants payable through the date of termination and thereafter through the period of time set forth on Schedule 1 from the date of termination, as if there had been no termination (assuming full achievement of performance targets, and prorated for the period from the beginning of the calendar year following the year in which employment terminated through the end of such period of time).</w:t>
      </w:r>
    </w:p>
    <w:p>
      <w:pPr>
        <w:spacing w:after="0" w:line="143" w:lineRule="exact"/>
        <w:rPr>
          <w:rFonts w:ascii="Arial" w:cs="Arial" w:eastAsia="Arial" w:hAnsi="Arial"/>
          <w:sz w:val="18"/>
          <w:szCs w:val="18"/>
          <w:color w:val="auto"/>
        </w:rPr>
      </w:pPr>
    </w:p>
    <w:p>
      <w:pPr>
        <w:ind w:right="100" w:firstLine="1492"/>
        <w:spacing w:after="0" w:line="268" w:lineRule="auto"/>
        <w:tabs>
          <w:tab w:leader="none" w:pos="1781" w:val="left"/>
        </w:tabs>
        <w:numPr>
          <w:ilvl w:val="2"/>
          <w:numId w:val="31"/>
        </w:numPr>
        <w:rPr>
          <w:rFonts w:ascii="Arial" w:cs="Arial" w:eastAsia="Arial" w:hAnsi="Arial"/>
          <w:sz w:val="18"/>
          <w:szCs w:val="18"/>
          <w:color w:val="auto"/>
        </w:rPr>
      </w:pPr>
      <w:r>
        <w:rPr>
          <w:rFonts w:ascii="Arial" w:cs="Arial" w:eastAsia="Arial" w:hAnsi="Arial"/>
          <w:sz w:val="18"/>
          <w:szCs w:val="18"/>
          <w:color w:val="auto"/>
        </w:rPr>
        <w:t>Employee’s Restricted Stock Plan grants and stock options shall continue to vest during the period of time set forth on Schedule 1 form the date of termination, as if there had been no termination.</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“COBRA” Rights</w:t>
      </w:r>
      <w:r>
        <w:rPr>
          <w:rFonts w:ascii="Arial" w:cs="Arial" w:eastAsia="Arial" w:hAnsi="Arial"/>
          <w:sz w:val="16"/>
          <w:szCs w:val="16"/>
          <w:color w:val="auto"/>
        </w:rPr>
        <w:t>. Nothing herein shall constitute a waiver by Employee of “COBRA” rights under federal law in connection with termination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employment.</w:t>
      </w:r>
    </w:p>
    <w:p>
      <w:pPr>
        <w:spacing w:after="0" w:line="164" w:lineRule="exact"/>
        <w:rPr>
          <w:rFonts w:ascii="Arial" w:cs="Arial" w:eastAsia="Arial" w:hAnsi="Arial"/>
          <w:sz w:val="16"/>
          <w:szCs w:val="16"/>
          <w:color w:val="auto"/>
        </w:rPr>
      </w:pPr>
    </w:p>
    <w:p>
      <w:pPr>
        <w:ind w:right="80" w:firstLine="464"/>
        <w:spacing w:after="0" w:line="254" w:lineRule="auto"/>
        <w:tabs>
          <w:tab w:leader="none" w:pos="632"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by Employee Following the Term</w:t>
      </w:r>
      <w:r>
        <w:rPr>
          <w:rFonts w:ascii="Arial" w:cs="Arial" w:eastAsia="Arial" w:hAnsi="Arial"/>
          <w:sz w:val="18"/>
          <w:szCs w:val="18"/>
          <w:color w:val="auto"/>
        </w:rPr>
        <w:t>. If Employee terminates employment (other than With Good Reason) at any time following December 31, 2009 then either: (a) if the Company so elects by written notice to Employee given within ten (10) days of such termination: (i) the provisions of subparagraph 9(b) shall apply to Employee; and (ii) the Company shall pay to Employee, for the one-year period specified in such subparagraph, Employee’s cash and bonus compensation (in the case of bonus compensation, assuming full achievement of performance targets, and based on Employee’s then existing participation levels), as if there had been no termination; or (b) if the Company does not so elect, the provisions of subparagraph 9(b) shall not apply to Employee.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42" w:name="page43"/>
    <w:bookmarkEnd w:id="42"/>
    <w:p>
      <w:pPr>
        <w:ind w:left="620" w:hanging="176"/>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Non-Solicitation; Non-Competition; Confidentiality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0" w:right="80" w:firstLine="921"/>
        <w:spacing w:after="0" w:line="256" w:lineRule="auto"/>
        <w:tabs>
          <w:tab w:leader="none" w:pos="1132" w:val="left"/>
        </w:tabs>
        <w:numPr>
          <w:ilvl w:val="1"/>
          <w:numId w:val="34"/>
        </w:numPr>
        <w:rPr>
          <w:rFonts w:ascii="Arial" w:cs="Arial" w:eastAsia="Arial" w:hAnsi="Arial"/>
          <w:sz w:val="18"/>
          <w:szCs w:val="18"/>
          <w:color w:val="auto"/>
        </w:rPr>
      </w:pPr>
      <w:r>
        <w:rPr>
          <w:rFonts w:ascii="Arial" w:cs="Arial" w:eastAsia="Arial" w:hAnsi="Arial"/>
          <w:sz w:val="18"/>
          <w:szCs w:val="18"/>
          <w:color w:val="auto"/>
        </w:rPr>
        <w:t>While employed by the Company (whether during the Term or thereafter), and for a period of one year after termination of Employee’s employment for any reason (whether during the Term or thereafter), Employee shall not, directly or indirectly, solicit, induce, encourage or attempt to influence any customer, employee, consultant, independent contractor, service provider or supplier of the Company to cease to do business or terminate the employment or other relationship with the Company.</w:t>
      </w:r>
    </w:p>
    <w:p>
      <w:pPr>
        <w:spacing w:after="0" w:line="143" w:lineRule="exact"/>
        <w:rPr>
          <w:rFonts w:ascii="Arial" w:cs="Arial" w:eastAsia="Arial" w:hAnsi="Arial"/>
          <w:sz w:val="18"/>
          <w:szCs w:val="18"/>
          <w:color w:val="auto"/>
        </w:rPr>
      </w:pPr>
    </w:p>
    <w:p>
      <w:pPr>
        <w:ind w:left="-20" w:firstLine="921"/>
        <w:spacing w:after="0" w:line="286" w:lineRule="auto"/>
        <w:tabs>
          <w:tab w:leader="none" w:pos="1142" w:val="left"/>
        </w:tabs>
        <w:numPr>
          <w:ilvl w:val="1"/>
          <w:numId w:val="34"/>
        </w:numPr>
        <w:rPr>
          <w:rFonts w:ascii="Arial" w:cs="Arial" w:eastAsia="Arial" w:hAnsi="Arial"/>
          <w:sz w:val="16"/>
          <w:szCs w:val="16"/>
          <w:color w:val="auto"/>
        </w:rPr>
      </w:pPr>
      <w:r>
        <w:rPr>
          <w:rFonts w:ascii="Arial" w:cs="Arial" w:eastAsia="Arial" w:hAnsi="Arial"/>
          <w:sz w:val="16"/>
          <w:szCs w:val="16"/>
          <w:color w:val="auto"/>
        </w:rPr>
        <w:t>(i) WHILE EMPLOYED BY THE COMPANY (WHETHER DURING THE TERM OR THEREAFTER), AND FOR A PERIOD OF ONE YEAR AFTER TERMINATION OF EMPLOYEE’S EMPLOYMENT (DURING THE TERM OR THEREAFTER, BUT N THE CIRCUMSTANCES SET FORTH IN SUBPARAGRAPH 8(d)(a)(i), SUBJECT TO THE COMPANY’S PAYMENT OBLIGATIONS SET FORTH IN SUBPARAGRAPH 8(d)(a)(ii)), FOR ANY REASON OTHER THAN DISCHARGE WITHOUT CAUSE OR TERMINATION BY EMPLOYEE WITH GOOD REASON, OR THE CIRCUMSTANCES SET FORTH IN SUBPARAGRAPH 8(b), EMPLOYEE SHALL NOT, DIRECTLY OR INDIRECTLY, ENGAGE OR BE FINANCIALLY INTERESTED IN (AS AN AGENT, CONSULTANT, DIRECTOR, EMPLOYEE, INDEPENDENT CONTRACTOR, OFFICER, OWNER, PARTNER, PRINCIPAL OR OTHERWISE), ANY ACTIVITIES FOR A COMPETITIVE BUSINESS. A “COMPETITIVE BUSINESS” SHALL BE DEFINED AS A BUSINESS (WHETHER CONDUCTED BY AN ENTITY OR INDIVIDUAL, INCLUDING EMPLOYEE IN SELF-EMPLOYMENT) THAT IS ENGAGED IN COMPETITION, DIRECTLY OR INDIRECTLY THROUGH ANY ENTITY CONTROLLING, CONTROLLED BY OR UNDER COMMON CONTROL WITH SUCH BUSINESS, WITH ANY OF THE BUSINESS ACTIVITIES CARRIED ON BY THE COMPANY OR BEING PLANNED BY THE COMPANY WITH EMPLOYEE’S KNOWLEDGE AT THE TIME OF EMPLOYEE’S TERMINATION OF EMPLOYMENT.</w:t>
      </w:r>
    </w:p>
    <w:p>
      <w:pPr>
        <w:spacing w:after="0" w:line="127" w:lineRule="exact"/>
        <w:rPr>
          <w:rFonts w:ascii="Arial" w:cs="Arial" w:eastAsia="Arial" w:hAnsi="Arial"/>
          <w:sz w:val="16"/>
          <w:szCs w:val="16"/>
          <w:color w:val="auto"/>
        </w:rPr>
      </w:pPr>
    </w:p>
    <w:p>
      <w:pPr>
        <w:ind w:left="-20" w:right="340" w:firstLine="1492"/>
        <w:spacing w:after="0" w:line="259" w:lineRule="auto"/>
        <w:tabs>
          <w:tab w:leader="none" w:pos="1719" w:val="left"/>
        </w:tabs>
        <w:numPr>
          <w:ilvl w:val="2"/>
          <w:numId w:val="34"/>
        </w:numPr>
        <w:rPr>
          <w:rFonts w:ascii="Arial" w:cs="Arial" w:eastAsia="Arial" w:hAnsi="Arial"/>
          <w:sz w:val="18"/>
          <w:szCs w:val="18"/>
          <w:color w:val="auto"/>
        </w:rPr>
      </w:pPr>
      <w:r>
        <w:rPr>
          <w:rFonts w:ascii="Arial" w:cs="Arial" w:eastAsia="Arial" w:hAnsi="Arial"/>
          <w:sz w:val="18"/>
          <w:szCs w:val="18"/>
          <w:color w:val="auto"/>
        </w:rPr>
        <w:t>TO APPROPRIATELY TAKE ACCOUNT OF THE HIGHLY COMPETITIVE ENVIRONMENT IN THE COMPANY’S BUSINESSES, THE PARTIES AGREE THAT ANY BUSINESS ENGAGED IN ANY OF THE ACTIVITIES SET FORTH ON SCHEDULE 2 SHALL BE DEEMED TO BE A “COMPETITIVE BUSINESS” UNDER SUBPARAGRAPH (i) ABOVE.</w:t>
      </w:r>
    </w:p>
    <w:p>
      <w:pPr>
        <w:spacing w:after="0" w:line="140" w:lineRule="exact"/>
        <w:rPr>
          <w:rFonts w:ascii="Arial" w:cs="Arial" w:eastAsia="Arial" w:hAnsi="Arial"/>
          <w:sz w:val="18"/>
          <w:szCs w:val="18"/>
          <w:color w:val="auto"/>
        </w:rPr>
      </w:pPr>
    </w:p>
    <w:p>
      <w:pPr>
        <w:jc w:val="both"/>
        <w:ind w:left="-20" w:right="320" w:firstLine="1492"/>
        <w:spacing w:after="0" w:line="256" w:lineRule="auto"/>
        <w:tabs>
          <w:tab w:leader="none" w:pos="1771" w:val="left"/>
        </w:tabs>
        <w:numPr>
          <w:ilvl w:val="2"/>
          <w:numId w:val="34"/>
        </w:numPr>
        <w:rPr>
          <w:rFonts w:ascii="Arial" w:cs="Arial" w:eastAsia="Arial" w:hAnsi="Arial"/>
          <w:sz w:val="18"/>
          <w:szCs w:val="18"/>
          <w:color w:val="auto"/>
        </w:rPr>
      </w:pPr>
      <w:r>
        <w:rPr>
          <w:rFonts w:ascii="Arial" w:cs="Arial" w:eastAsia="Arial" w:hAnsi="Arial"/>
          <w:sz w:val="18"/>
          <w:szCs w:val="18"/>
          <w:color w:val="auto"/>
        </w:rPr>
        <w:t>THIS RESTRICTION SHALL APPLY IN ANY GEOGRAPHIC AREA OF THE UNITED STATES IN WHICH THE COMPANY CARRIES OUT BUSINESS ACTIVITIES. EMPLOYEE AGREES THAT THE LACK OF A MORE SPECIFIC GEOGRAPHIC LIMITATION HEREIN IS REASONABLE IN LIGHT OF THE BROAD GEOGRAPHIC SCOPE OF THE ACTIVITIES CARRIED OUT BY THE COMPANY IN THE UNITED STATES.</w:t>
      </w:r>
    </w:p>
    <w:p>
      <w:pPr>
        <w:spacing w:after="0" w:line="143" w:lineRule="exact"/>
        <w:rPr>
          <w:rFonts w:ascii="Arial" w:cs="Arial" w:eastAsia="Arial" w:hAnsi="Arial"/>
          <w:sz w:val="18"/>
          <w:szCs w:val="18"/>
          <w:color w:val="auto"/>
        </w:rPr>
      </w:pPr>
    </w:p>
    <w:p>
      <w:pPr>
        <w:ind w:left="-20" w:right="180" w:firstLine="1492"/>
        <w:spacing w:after="0" w:line="332" w:lineRule="auto"/>
        <w:tabs>
          <w:tab w:leader="none" w:pos="1761" w:val="left"/>
        </w:tabs>
        <w:numPr>
          <w:ilvl w:val="2"/>
          <w:numId w:val="34"/>
        </w:numPr>
        <w:rPr>
          <w:rFonts w:ascii="Arial" w:cs="Arial" w:eastAsia="Arial" w:hAnsi="Arial"/>
          <w:sz w:val="16"/>
          <w:szCs w:val="16"/>
          <w:color w:val="auto"/>
        </w:rPr>
      </w:pPr>
      <w:r>
        <w:rPr>
          <w:rFonts w:ascii="Arial" w:cs="Arial" w:eastAsia="Arial" w:hAnsi="Arial"/>
          <w:sz w:val="16"/>
          <w:szCs w:val="16"/>
          <w:color w:val="auto"/>
        </w:rPr>
        <w:t>Nothing herein shall prevent Employee from owning for investment up to five percent (5%) of any class of equity security of an entity whose securities are traded on a national securities exchange or market. Further, if Employee is an attorney, Employee may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80" w:right="259" w:bottom="1440" w:gutter="0" w:footer="0" w:header="0"/>
        </w:sectPr>
      </w:pPr>
    </w:p>
    <w:bookmarkStart w:id="43" w:name="page44"/>
    <w:bookmarkEnd w:id="4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engage in the practice of law in accordance with the canons of ethics of the state or states in which Employee is authorized or may be authorized to practice law.</w:t>
      </w:r>
    </w:p>
    <w:p>
      <w:pPr>
        <w:spacing w:after="0" w:line="194" w:lineRule="exact"/>
        <w:rPr>
          <w:sz w:val="20"/>
          <w:szCs w:val="20"/>
          <w:color w:val="auto"/>
        </w:rPr>
      </w:pPr>
    </w:p>
    <w:p>
      <w:pPr>
        <w:ind w:right="40" w:firstLine="921"/>
        <w:spacing w:after="0" w:line="285" w:lineRule="auto"/>
        <w:tabs>
          <w:tab w:leader="none" w:pos="1152" w:val="left"/>
        </w:tabs>
        <w:numPr>
          <w:ilvl w:val="0"/>
          <w:numId w:val="35"/>
        </w:numPr>
        <w:rPr>
          <w:rFonts w:ascii="Arial" w:cs="Arial" w:eastAsia="Arial" w:hAnsi="Arial"/>
          <w:sz w:val="16"/>
          <w:szCs w:val="16"/>
          <w:color w:val="auto"/>
        </w:rPr>
      </w:pPr>
      <w:r>
        <w:rPr>
          <w:rFonts w:ascii="Arial" w:cs="Arial" w:eastAsia="Arial" w:hAnsi="Arial"/>
          <w:sz w:val="16"/>
          <w:szCs w:val="16"/>
          <w:color w:val="auto"/>
        </w:rPr>
        <w:t>During the Term and at all times thereafter, Employee shall not, directly or indirectly, use for Employee’s personal benefit, or disclose to or use for the direct or indirect benefit of anyone other than the Company (except as may be required within the scope of Employee’s duties hereunder), any secret, confidential or non-public information, knowledge or data of the Company or any of its subsidiaries, affiliates, employees, officers, directors or agents, which Employee acquires in the course of Employee’s employment, and which is not otherwise lawfully known by the general public. This information includes, but is not limited to: sales, marketing and other business methods; policies, plans, procedures, strategies and techniques; research and development projects and results; software and firmware; trade secrets, know-how, processes and other intellectual property; information on or relating to past, present or prospective employees or suppliers; and information on or relating to past, present or prospective customers, including customer lists. Employee confirms that such information is the exclusive property of the Company, and agrees that, immediately upon Employee’s termination of employment for any reason (whether during or after the Term), Employee shall deliver to the Company all correspondence, documents, books, records, lists and other materials containing such information that are within Employee’s possession or control, regardless of the medium in which such materials are maintained; and Employee shall retain no copies thereof in any medium. As part of this restriction, Employee agrees neither to prepare, participate in or assist in the preparation of any article, book, speech or other writing or communication relating to the business, operations, personnel or prospects of the Company, its subsidiaries and affiliates, nor to encourage or assist others to do any of the foregoing, without the prior written consent of the Company (which may be withheld in the Company’s sole discretion). Nothing herein shall prevent Employee from complying with a valid subpoena or other legal requirement for disclosure of information; provided that Employee shall use good faith efforts to notify the Company promptly and in advance of disclosure if Employee believes Employee is under a legal requirement to disclose information otherwise protected from disclosure under this subparagraph.</w:t>
      </w:r>
    </w:p>
    <w:p>
      <w:pPr>
        <w:spacing w:after="0" w:line="123" w:lineRule="exact"/>
        <w:rPr>
          <w:rFonts w:ascii="Arial" w:cs="Arial" w:eastAsia="Arial" w:hAnsi="Arial"/>
          <w:sz w:val="16"/>
          <w:szCs w:val="16"/>
          <w:color w:val="auto"/>
        </w:rPr>
      </w:pPr>
    </w:p>
    <w:p>
      <w:pPr>
        <w:ind w:firstLine="921"/>
        <w:spacing w:after="0" w:line="290" w:lineRule="auto"/>
        <w:tabs>
          <w:tab w:leader="none" w:pos="1162" w:val="left"/>
        </w:tabs>
        <w:numPr>
          <w:ilvl w:val="0"/>
          <w:numId w:val="35"/>
        </w:numPr>
        <w:rPr>
          <w:rFonts w:ascii="Arial" w:cs="Arial" w:eastAsia="Arial" w:hAnsi="Arial"/>
          <w:sz w:val="16"/>
          <w:szCs w:val="16"/>
          <w:color w:val="auto"/>
        </w:rPr>
      </w:pPr>
      <w:r>
        <w:rPr>
          <w:rFonts w:ascii="Arial" w:cs="Arial" w:eastAsia="Arial" w:hAnsi="Arial"/>
          <w:sz w:val="16"/>
          <w:szCs w:val="16"/>
          <w:color w:val="auto"/>
        </w:rPr>
        <w:t>Employee acknowledges that the restrictions contained in this Paragraph 9, in light of the nature of the business in which the Company is engaged and Employee’s position with the Company, are reasonable and necessary to protect the legitimate interests of the Company, and that any violation of these restrictions would result in irreparable injury to the Company. Employee therefore agrees that, in the event of Employee’s violation or threatened violation of any of these restrictions, the Company shall be entitled to seek from any court of competent jurisdiction: (i) preliminary and permanent injunctive relief against Employee; (ii) damages from Employee (including the Company’s reasonable legal fees and other costs and expenses); and (iii) an equitable accounting of all compensation, commissions, earnings, profits and other benefits to Employee arising from such violation; all of which rights shall be cumulative and in addition to any other rights and remedies to which the Company may be entitled as set forth herein or as a matter of law.</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44" w:name="page45"/>
    <w:bookmarkEnd w:id="44"/>
    <w:p>
      <w:pPr>
        <w:jc w:val="both"/>
        <w:ind w:firstLine="921"/>
        <w:spacing w:after="0" w:line="255" w:lineRule="auto"/>
        <w:tabs>
          <w:tab w:leader="none" w:pos="1152" w:val="left"/>
        </w:tabs>
        <w:numPr>
          <w:ilvl w:val="1"/>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 agrees that if any portion of the restrictions contained in this Paragraph 9, or the application thereof, is construed to be invalid or unenforceable, the remainder of such restrictions or the application thereof shall not be affected and the remaining restrictions will have full force and effect without regard to the invalid or unenforceable portions. If any restriction is held to be unenforceable because of the area covered, the duration thereof or the scope thereof, Employee agrees that the court making such determination shall have the power to reduce the area and/or the duration, and/or limit the scope thereof, and the restriction shall then be enforceable in its reduced form.</w:t>
      </w:r>
    </w:p>
    <w:p>
      <w:pPr>
        <w:spacing w:after="0" w:line="142" w:lineRule="exact"/>
        <w:rPr>
          <w:rFonts w:ascii="Arial" w:cs="Arial" w:eastAsia="Arial" w:hAnsi="Arial"/>
          <w:sz w:val="18"/>
          <w:szCs w:val="18"/>
          <w:color w:val="auto"/>
        </w:rPr>
      </w:pPr>
    </w:p>
    <w:p>
      <w:pPr>
        <w:ind w:right="260" w:firstLine="921"/>
        <w:spacing w:after="0" w:line="268" w:lineRule="auto"/>
        <w:tabs>
          <w:tab w:leader="none" w:pos="1132" w:val="left"/>
        </w:tabs>
        <w:numPr>
          <w:ilvl w:val="1"/>
          <w:numId w:val="36"/>
        </w:numPr>
        <w:rPr>
          <w:rFonts w:ascii="Arial" w:cs="Arial" w:eastAsia="Arial" w:hAnsi="Arial"/>
          <w:sz w:val="18"/>
          <w:szCs w:val="18"/>
          <w:color w:val="auto"/>
        </w:rPr>
      </w:pPr>
      <w:r>
        <w:rPr>
          <w:rFonts w:ascii="Arial" w:cs="Arial" w:eastAsia="Arial" w:hAnsi="Arial"/>
          <w:sz w:val="18"/>
          <w:szCs w:val="18"/>
          <w:color w:val="auto"/>
        </w:rPr>
        <w:t>If Employee violates any such restrictions, the period of such violation (from the commencement of any such violation until such time as such violation shall be cured by Employee) shall not count toward or be included in any applicable restrictive period.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Representations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Employee represents that:</w:t>
      </w:r>
    </w:p>
    <w:p>
      <w:pPr>
        <w:spacing w:after="0" w:line="90" w:lineRule="exact"/>
        <w:rPr>
          <w:rFonts w:ascii="Arial" w:cs="Arial" w:eastAsia="Arial" w:hAnsi="Arial"/>
          <w:sz w:val="18"/>
          <w:szCs w:val="18"/>
          <w:color w:val="auto"/>
        </w:rPr>
      </w:pPr>
    </w:p>
    <w:p>
      <w:pPr>
        <w:ind w:left="1700" w:hanging="208"/>
        <w:spacing w:after="0"/>
        <w:tabs>
          <w:tab w:leader="none" w:pos="1700" w:val="left"/>
        </w:tabs>
        <w:numPr>
          <w:ilvl w:val="2"/>
          <w:numId w:val="37"/>
        </w:numPr>
        <w:rPr>
          <w:rFonts w:ascii="Arial" w:cs="Arial" w:eastAsia="Arial" w:hAnsi="Arial"/>
          <w:sz w:val="16"/>
          <w:szCs w:val="16"/>
          <w:color w:val="auto"/>
        </w:rPr>
      </w:pPr>
      <w:r>
        <w:rPr>
          <w:rFonts w:ascii="Arial" w:cs="Arial" w:eastAsia="Arial" w:hAnsi="Arial"/>
          <w:sz w:val="16"/>
          <w:szCs w:val="16"/>
          <w:color w:val="auto"/>
        </w:rPr>
        <w:t>Employee has had the opportunity to retain and consult with legal counsel and tax advisors of Employee’s choice regarding the terms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164" w:lineRule="exact"/>
        <w:rPr>
          <w:rFonts w:ascii="Arial" w:cs="Arial" w:eastAsia="Arial" w:hAnsi="Arial"/>
          <w:sz w:val="16"/>
          <w:szCs w:val="16"/>
          <w:color w:val="auto"/>
        </w:rPr>
      </w:pPr>
    </w:p>
    <w:p>
      <w:pPr>
        <w:ind w:left="1760" w:hanging="268"/>
        <w:spacing w:after="0"/>
        <w:tabs>
          <w:tab w:leader="none" w:pos="17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Subject to equitable principles, this Agreement is enforceable against Employee in accordance with its terms.</w:t>
      </w:r>
    </w:p>
    <w:p>
      <w:pPr>
        <w:spacing w:after="0" w:line="171" w:lineRule="exact"/>
        <w:rPr>
          <w:rFonts w:ascii="Arial" w:cs="Arial" w:eastAsia="Arial" w:hAnsi="Arial"/>
          <w:sz w:val="18"/>
          <w:szCs w:val="18"/>
          <w:color w:val="auto"/>
        </w:rPr>
      </w:pPr>
    </w:p>
    <w:p>
      <w:pPr>
        <w:ind w:right="160" w:firstLine="1492"/>
        <w:spacing w:after="0" w:line="268" w:lineRule="auto"/>
        <w:tabs>
          <w:tab w:leader="none" w:pos="1787" w:val="left"/>
        </w:tabs>
        <w:numPr>
          <w:ilvl w:val="2"/>
          <w:numId w:val="37"/>
        </w:numPr>
        <w:rPr>
          <w:rFonts w:ascii="Arial" w:cs="Arial" w:eastAsia="Arial" w:hAnsi="Arial"/>
          <w:sz w:val="18"/>
          <w:szCs w:val="18"/>
          <w:color w:val="auto"/>
        </w:rPr>
      </w:pPr>
      <w:r>
        <w:rPr>
          <w:rFonts w:ascii="Arial" w:cs="Arial" w:eastAsia="Arial" w:hAnsi="Arial"/>
          <w:sz w:val="18"/>
          <w:szCs w:val="18"/>
          <w:color w:val="auto"/>
        </w:rPr>
        <w:t>This Agreement does not conflict with, violate or give rise to any rights of third parties under, any agreement, benefit plan or program, order, decree or judgment to which Employee is a party or by which Employee is bound.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Company represents that:</w:t>
      </w:r>
    </w:p>
    <w:p>
      <w:pPr>
        <w:spacing w:after="0" w:line="90" w:lineRule="exact"/>
        <w:rPr>
          <w:rFonts w:ascii="Arial" w:cs="Arial" w:eastAsia="Arial" w:hAnsi="Arial"/>
          <w:sz w:val="18"/>
          <w:szCs w:val="18"/>
          <w:color w:val="auto"/>
        </w:rPr>
      </w:pPr>
    </w:p>
    <w:p>
      <w:pPr>
        <w:ind w:left="1700" w:hanging="208"/>
        <w:spacing w:after="0"/>
        <w:tabs>
          <w:tab w:leader="none" w:pos="1700" w:val="left"/>
        </w:tabs>
        <w:numPr>
          <w:ilvl w:val="2"/>
          <w:numId w:val="37"/>
        </w:numPr>
        <w:rPr>
          <w:rFonts w:ascii="Arial" w:cs="Arial" w:eastAsia="Arial" w:hAnsi="Arial"/>
          <w:sz w:val="18"/>
          <w:szCs w:val="18"/>
          <w:color w:val="auto"/>
        </w:rPr>
      </w:pPr>
      <w:r>
        <w:rPr>
          <w:rFonts w:ascii="Arial" w:cs="Arial" w:eastAsia="Arial" w:hAnsi="Arial"/>
          <w:sz w:val="18"/>
          <w:szCs w:val="18"/>
          <w:color w:val="auto"/>
        </w:rPr>
        <w:t>Subject to equitable principles, this Agreement is enforceable against the Company in accordance with its terms.</w:t>
      </w:r>
    </w:p>
    <w:p>
      <w:pPr>
        <w:spacing w:after="0" w:line="171" w:lineRule="exact"/>
        <w:rPr>
          <w:rFonts w:ascii="Arial" w:cs="Arial" w:eastAsia="Arial" w:hAnsi="Arial"/>
          <w:sz w:val="18"/>
          <w:szCs w:val="18"/>
          <w:color w:val="auto"/>
        </w:rPr>
      </w:pPr>
    </w:p>
    <w:p>
      <w:pPr>
        <w:ind w:right="120" w:firstLine="1492"/>
        <w:spacing w:after="0" w:line="268" w:lineRule="auto"/>
        <w:tabs>
          <w:tab w:leader="none" w:pos="1739" w:val="left"/>
        </w:tabs>
        <w:numPr>
          <w:ilvl w:val="2"/>
          <w:numId w:val="37"/>
        </w:numPr>
        <w:rPr>
          <w:rFonts w:ascii="Arial" w:cs="Arial" w:eastAsia="Arial" w:hAnsi="Arial"/>
          <w:sz w:val="18"/>
          <w:szCs w:val="18"/>
          <w:color w:val="auto"/>
        </w:rPr>
      </w:pPr>
      <w:r>
        <w:rPr>
          <w:rFonts w:ascii="Arial" w:cs="Arial" w:eastAsia="Arial" w:hAnsi="Arial"/>
          <w:sz w:val="18"/>
          <w:szCs w:val="18"/>
          <w:color w:val="auto"/>
        </w:rPr>
        <w:t>This Agreement does not conflict with, violate or give rise to any rights to third parties under, any agreement, order, decree or judgment to which the Company is a party or by which it is bound.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60" w:firstLine="921"/>
        <w:spacing w:after="0" w:line="306" w:lineRule="auto"/>
        <w:tabs>
          <w:tab w:leader="none" w:pos="1152" w:val="left"/>
        </w:tabs>
        <w:numPr>
          <w:ilvl w:val="1"/>
          <w:numId w:val="37"/>
        </w:numPr>
        <w:rPr>
          <w:rFonts w:ascii="Arial" w:cs="Arial" w:eastAsia="Arial" w:hAnsi="Arial"/>
          <w:sz w:val="16"/>
          <w:szCs w:val="16"/>
          <w:color w:val="auto"/>
        </w:rPr>
      </w:pPr>
      <w:r>
        <w:rPr>
          <w:rFonts w:ascii="Arial" w:cs="Arial" w:eastAsia="Arial" w:hAnsi="Arial"/>
          <w:sz w:val="16"/>
          <w:szCs w:val="16"/>
          <w:color w:val="auto"/>
        </w:rPr>
        <w:t>If the Company merges with, or transfers all or substantially all of its assets to, or as part of a reorganization, restructuring or other transaction becomes a subsidiary of, another entity, such other entity shall be deemed to be the successor to the Company hereunder, and the term “Company” as used herein shall mean such other entity as is appropriate, and this Agreement shall continue in full force and effect.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45" w:name="page46"/>
    <w:bookmarkEnd w:id="45"/>
    <w:p>
      <w:pPr>
        <w:ind w:left="-100" w:right="40" w:firstLine="921"/>
        <w:spacing w:after="0" w:line="298" w:lineRule="auto"/>
        <w:tabs>
          <w:tab w:leader="none" w:pos="1062" w:val="left"/>
        </w:tabs>
        <w:numPr>
          <w:ilvl w:val="1"/>
          <w:numId w:val="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Company transfers part of its assets to another entity owned by the shareholders of the Company (or any substantial portion of them), or distributes stock or other interests in a subsidiary or affiliate of the Company to the shareholders of the Company (or any substantial portion of them), and Employee works for the portion of the Company or the entity so transferred, then such other entity shall be deemed the successor to the Company hereunder, the term “Company” as used herein shall mean such other entity, and this Agreement shall continue in full force and effect.</w:t>
      </w:r>
    </w:p>
    <w:p>
      <w:pPr>
        <w:spacing w:after="0" w:line="112" w:lineRule="exact"/>
        <w:rPr>
          <w:rFonts w:ascii="Arial" w:cs="Arial" w:eastAsia="Arial" w:hAnsi="Arial"/>
          <w:sz w:val="16"/>
          <w:szCs w:val="16"/>
          <w:color w:val="auto"/>
        </w:rPr>
      </w:pPr>
    </w:p>
    <w:p>
      <w:pPr>
        <w:ind w:left="-100" w:right="20" w:firstLine="464"/>
        <w:spacing w:after="0" w:line="288" w:lineRule="auto"/>
        <w:tabs>
          <w:tab w:leader="none" w:pos="620"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Jurisdiction; Governing Law</w:t>
      </w:r>
      <w:r>
        <w:rPr>
          <w:rFonts w:ascii="Arial" w:cs="Arial" w:eastAsia="Arial" w:hAnsi="Arial"/>
          <w:sz w:val="16"/>
          <w:szCs w:val="16"/>
          <w:color w:val="auto"/>
        </w:rPr>
        <w:t>. Litigation concerning this Agreement, if initiated by or on behalf of Employee, shall be brought only in a state court in Philadelphia County, Pennsylvania or federal court in the Eastern District of Pennsylvania, or, if initiated by the Company, in either such jurisdiction or in a jurisdiction in which Employee then resides or works. Employee consents to jurisdiction in any such jurisdiction, regardless of the location of Employee’s residence or place of business. Employee and the Company irrevocably waive any objection, including any objection to the laying of venue or based on the grounds of forum non conveniens, which Employee or the Company may now or hereafter have to the bringing of any action or proceeding in any such jurisdiction. Employee and the Company acknowledge and agree that any service of legal process by mail constitutes proper legal service of process under applicable law in any such action or proceeding. This Agreement shall be interpreted and enforced in accordance with the substantive law of the Commonwealth of Pennsylvania, without regard to any choice-of-law doctrines. In any litigation concerning this Agreement, the prevailing party shall be entitled to reimbursement from the other party for all costs of defending or maintaining such action, including reasonable attorneys’ fees.</w:t>
      </w:r>
    </w:p>
    <w:p>
      <w:pPr>
        <w:spacing w:after="0" w:line="119" w:lineRule="exact"/>
        <w:rPr>
          <w:rFonts w:ascii="Arial" w:cs="Arial" w:eastAsia="Arial" w:hAnsi="Arial"/>
          <w:sz w:val="16"/>
          <w:szCs w:val="16"/>
          <w:color w:val="auto"/>
        </w:rPr>
      </w:pPr>
    </w:p>
    <w:p>
      <w:pPr>
        <w:ind w:left="-100" w:firstLine="464"/>
        <w:spacing w:after="0" w:line="259" w:lineRule="auto"/>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referred to in this Agreement shall be given in writing and shall be effective: (a) if given by fax, when transmitted to the number below (with an appropriate confirmation received); or (b) if given by registered or certified mail, when received at the address below (with an appropriate receipt received):</w:t>
      </w:r>
    </w:p>
    <w:p>
      <w:pPr>
        <w:spacing w:after="0" w:line="5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if to the Company:</w:t>
      </w:r>
    </w:p>
    <w:p>
      <w:pPr>
        <w:spacing w:after="0" w:line="9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c/o Comcast Corporation</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Philadelphia, PA 19102</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Fax: (215) 981-7794; and</w:t>
      </w:r>
    </w:p>
    <w:p>
      <w:pPr>
        <w:spacing w:after="0" w:line="16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if to Employee:</w:t>
      </w:r>
    </w:p>
    <w:p>
      <w:pPr>
        <w:spacing w:after="0" w:line="9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Employee’s address and fax number as indicated in the Company’s records.</w:t>
      </w:r>
    </w:p>
    <w:p>
      <w:pPr>
        <w:spacing w:after="0" w:line="171" w:lineRule="exact"/>
        <w:rPr>
          <w:sz w:val="20"/>
          <w:szCs w:val="20"/>
          <w:color w:val="auto"/>
        </w:rPr>
      </w:pPr>
    </w:p>
    <w:p>
      <w:pPr>
        <w:ind w:left="-100" w:right="120" w:firstLine="464"/>
        <w:spacing w:after="0" w:line="259" w:lineRule="auto"/>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Schedules 1 and 2 hereto) constitutes the entire agreement of the parties with respect to the subject matter hereof. In the event of any conflict between the terms of this Agreement and the terms of any plans or policies of the Company (including the Employee Handbook), the terms of this Agreement shall control.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40" w:top="280" w:right="339" w:bottom="1440" w:gutter="0" w:footer="0" w:header="0"/>
        </w:sectPr>
      </w:pPr>
    </w:p>
    <w:bookmarkStart w:id="46" w:name="page47"/>
    <w:bookmarkEnd w:id="46"/>
    <w:p>
      <w:pPr>
        <w:ind w:left="-20" w:firstLine="464"/>
        <w:spacing w:after="0" w:line="259"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Invalidity or Unenforceability</w:t>
      </w:r>
      <w:r>
        <w:rPr>
          <w:rFonts w:ascii="Arial" w:cs="Arial" w:eastAsia="Arial" w:hAnsi="Arial"/>
          <w:sz w:val="18"/>
          <w:szCs w:val="18"/>
          <w:color w:val="auto"/>
        </w:rPr>
        <w:t>. If any term or provision of this Agreement is held to be invalid or unenforceable for any reason, such invalidity or enforceability shall not affect any other term or provision hereof and this Agreement shall continue in full force and effect as if such invalid or unenforceable term or provision (to the extent of the invalidity or unenforceability) had not been contained herein.</w:t>
      </w:r>
    </w:p>
    <w:p>
      <w:pPr>
        <w:spacing w:after="0" w:line="140" w:lineRule="exact"/>
        <w:rPr>
          <w:rFonts w:ascii="Arial" w:cs="Arial" w:eastAsia="Arial" w:hAnsi="Arial"/>
          <w:sz w:val="18"/>
          <w:szCs w:val="18"/>
          <w:color w:val="auto"/>
        </w:rPr>
      </w:pPr>
    </w:p>
    <w:p>
      <w:pPr>
        <w:ind w:left="-20" w:right="140" w:firstLine="464"/>
        <w:spacing w:after="0" w:line="256"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No amendment or waiver of this Agreement or any provision hereof shall be binding upon the party against whom enforcement of such amendment or waiver is sought unless it is made in writing and signed by or on behalf of such party. The waiver by either party of a breach of any provision of this Agreement by the other party shall not operate and be construed as a waiver or a continuing waiver by that party of the same or any subsequent breach of any provision of this Agreement by the other party.</w:t>
      </w:r>
    </w:p>
    <w:p>
      <w:pPr>
        <w:spacing w:after="0" w:line="143" w:lineRule="exact"/>
        <w:rPr>
          <w:rFonts w:ascii="Arial" w:cs="Arial" w:eastAsia="Arial" w:hAnsi="Arial"/>
          <w:sz w:val="18"/>
          <w:szCs w:val="18"/>
          <w:color w:val="auto"/>
        </w:rPr>
      </w:pPr>
    </w:p>
    <w:p>
      <w:pPr>
        <w:jc w:val="both"/>
        <w:ind w:left="-20" w:right="80" w:firstLine="464"/>
        <w:spacing w:after="0" w:line="259"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Binding Effect; No Assignment</w:t>
      </w:r>
      <w:r>
        <w:rPr>
          <w:rFonts w:ascii="Arial" w:cs="Arial" w:eastAsia="Arial" w:hAnsi="Arial"/>
          <w:sz w:val="18"/>
          <w:szCs w:val="18"/>
          <w:color w:val="auto"/>
        </w:rPr>
        <w:t>. This Agreement shall be binding on and inure to the benefit of the parties hereto and their respective heirs, executors, administrators, successors and assigns, except that (other to effect the provisions of Paragraph 11) it may not be assigned by either party without the other party’s consent.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60" w:top="280" w:right="259" w:bottom="1440" w:gutter="0" w:footer="0" w:header="0"/>
        </w:sectPr>
      </w:pPr>
    </w:p>
    <w:bookmarkStart w:id="47" w:name="page48"/>
    <w:bookmarkEnd w:id="47"/>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and delivered this Agreement as of the date first-above written.</w:t>
      </w:r>
    </w:p>
    <w:p>
      <w:pPr>
        <w:spacing w:after="0" w:line="24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10795</wp:posOffset>
            </wp:positionV>
            <wp:extent cx="26587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David L. Cohen</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10795</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Arthur R. Block</w:t>
      </w:r>
    </w:p>
    <w:p>
      <w:pPr>
        <w:spacing w:after="0" w:line="158"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299"/>
          </w:cols>
          <w:pgMar w:left="1160" w:top="280" w:right="1440" w:bottom="1440" w:gutter="0" w:footer="0" w:header="0"/>
        </w:sectPr>
      </w:pPr>
    </w:p>
    <w:bookmarkStart w:id="48" w:name="page49"/>
    <w:bookmarkEnd w:id="48"/>
    <w:p>
      <w:pPr>
        <w:ind w:left="280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 TO EMPLOYMENT AGREEMENT WITH ARTHUR R. BLOCK</w:t>
      </w:r>
    </w:p>
    <w:p>
      <w:pPr>
        <w:spacing w:after="0" w:line="212" w:lineRule="exact"/>
        <w:rPr>
          <w:sz w:val="20"/>
          <w:szCs w:val="20"/>
          <w:color w:val="auto"/>
        </w:rPr>
      </w:pPr>
    </w:p>
    <w:p>
      <w:pPr>
        <w:spacing w:after="0"/>
        <w:tabs>
          <w:tab w:leader="none" w:pos="440" w:val="left"/>
          <w:tab w:leader="none" w:pos="16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Position:</w:t>
      </w:r>
      <w:r>
        <w:rPr>
          <w:sz w:val="20"/>
          <w:szCs w:val="20"/>
          <w:color w:val="auto"/>
        </w:rPr>
        <w:tab/>
      </w:r>
      <w:r>
        <w:rPr>
          <w:rFonts w:ascii="Arial" w:cs="Arial" w:eastAsia="Arial" w:hAnsi="Arial"/>
          <w:sz w:val="15"/>
          <w:szCs w:val="15"/>
          <w:color w:val="auto"/>
        </w:rPr>
        <w:t>Senior Vice President, Secretary and General Counsel Corporate Division</w:t>
      </w:r>
    </w:p>
    <w:p>
      <w:pPr>
        <w:spacing w:after="0" w:line="90"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 Salary:</w:t>
      </w:r>
      <w:r>
        <w:rPr>
          <w:rFonts w:ascii="Arial" w:cs="Arial" w:eastAsia="Arial" w:hAnsi="Arial"/>
          <w:sz w:val="15"/>
          <w:szCs w:val="15"/>
          <w:color w:val="auto"/>
        </w:rPr>
        <w:t>$700,000</w:t>
      </w:r>
    </w:p>
    <w:p>
      <w:pPr>
        <w:spacing w:after="0" w:line="90" w:lineRule="exact"/>
        <w:rPr>
          <w:rFonts w:ascii="Arial" w:cs="Arial" w:eastAsia="Arial" w:hAnsi="Arial"/>
          <w:sz w:val="18"/>
          <w:szCs w:val="18"/>
          <w:color w:val="auto"/>
        </w:rPr>
      </w:pPr>
    </w:p>
    <w:p>
      <w:pPr>
        <w:ind w:left="460" w:right="140" w:hanging="452"/>
        <w:spacing w:after="0" w:line="332"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 Salary Increases: The greater of (i) 5% or (ii) the percentage increase during the previous year in the Consumer Price Index for all urban consumers published by the U.S. Department of Labor or (if such index is discontinued) the nearest equivalent index, up to a maximum of 10%.</w:t>
      </w:r>
    </w:p>
    <w:p>
      <w:pPr>
        <w:spacing w:after="0" w:line="4" w:lineRule="exact"/>
        <w:rPr>
          <w:rFonts w:ascii="Arial" w:cs="Arial" w:eastAsia="Arial" w:hAnsi="Arial"/>
          <w:sz w:val="16"/>
          <w:szCs w:val="16"/>
          <w:color w:val="auto"/>
        </w:rPr>
      </w:pPr>
    </w:p>
    <w:p>
      <w:pPr>
        <w:ind w:left="460" w:right="40" w:hanging="452"/>
        <w:spacing w:after="0" w:line="306"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Stock Option Amount and Vesting Schedule: 45,500 shares; vesting: as to 22,750 shares, 40% on the second anniversary of the date of grant, and 20% on each of the third to fifth anniversaries of the date of grant; and as to 22,750 shares, 20% on the second anniversary of the date of grant, 10% on each of the third to the ninth anniversaries of the date of grant, and 10% on the nine year and six month anniversary of the date of grant.</w:t>
      </w:r>
    </w:p>
    <w:p>
      <w:pPr>
        <w:spacing w:after="0" w:line="25" w:lineRule="exact"/>
        <w:rPr>
          <w:rFonts w:ascii="Arial" w:cs="Arial" w:eastAsia="Arial" w:hAnsi="Arial"/>
          <w:sz w:val="16"/>
          <w:szCs w:val="16"/>
          <w:color w:val="auto"/>
        </w:rPr>
      </w:pPr>
    </w:p>
    <w:p>
      <w:pPr>
        <w:ind w:left="460" w:right="320" w:hanging="452"/>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Restricted Stock Amount and Vesting Schedule: 17,500 units; vesting: 15% on the thirteen-month anniversary of the date of grant, 15% on each of the second to fourth anniversaries of the date of grant, and 40% on the fifth anniversary of the date of grant.</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Cash Bonuses. Bonus potential under Management Achievement Plan: 50% of Base Salary. Bonus potential under Supplemental Cash Bonus Plan: 50% of Base Salary.</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 Salary Continuation Period following Discharge Without Cause or Termination With Good Reason: 24 months.</w:t>
      </w:r>
    </w:p>
    <w:p>
      <w:pPr>
        <w:spacing w:after="0" w:line="90" w:lineRule="exact"/>
        <w:rPr>
          <w:rFonts w:ascii="Arial" w:cs="Arial" w:eastAsia="Arial" w:hAnsi="Arial"/>
          <w:sz w:val="18"/>
          <w:szCs w:val="18"/>
          <w:color w:val="auto"/>
        </w:rPr>
      </w:pPr>
    </w:p>
    <w:p>
      <w:pPr>
        <w:ind w:left="460" w:right="320" w:hanging="452"/>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Cash Bonus Programs, Restricted Stock Plan and Stock Option Plan Grants Continued Payment/Vesting Period following Discharge Without Cause or Termination With Good Reason: 12 months.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280" w:right="31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COMPETITIVE BUSINESS ACTIVITIES</w:t>
      </w:r>
    </w:p>
    <w:p>
      <w:pPr>
        <w:spacing w:after="0" w:line="212" w:lineRule="exact"/>
        <w:rPr>
          <w:sz w:val="20"/>
          <w:szCs w:val="20"/>
          <w:color w:val="auto"/>
        </w:rPr>
      </w:pPr>
    </w:p>
    <w:p>
      <w:pPr>
        <w:ind w:left="460" w:right="220" w:hanging="452"/>
        <w:spacing w:after="0" w:line="290"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distribution of video programming to residential or commercial subscribers, whether by analog or digital technology, to any type of end-user equipment (television, computer or other), and by any distribution method (including coaxial cable, fiber optic cable, digital subscriber line, power line, satellite and wireless) or protocol (IP or other). Employee agrees that the following companies (or their parents, subsidiaries or controlled affiliates), and their successors and assigns, are among those engaged in competitive video programming distribution as of the date hereof: Adelphia Communications Corporation; Bell South Corporation; Cablevision Systems Corp.; Charter Communications, Inc.; Cox Communications, Inc.; DirecTV, Inc.; Echostar Communications Corporation; Knology Holdings, Inc.; Qwest Communications International, Inc.; RCN Corporation; SBC Communications, Inc.; Time Warner Cable, Inc.; Verizon Communications, Inc.; and Wide Open West.</w:t>
      </w:r>
    </w:p>
    <w:p>
      <w:pPr>
        <w:spacing w:after="0" w:line="37" w:lineRule="exact"/>
        <w:rPr>
          <w:rFonts w:ascii="Arial" w:cs="Arial" w:eastAsia="Arial" w:hAnsi="Arial"/>
          <w:sz w:val="16"/>
          <w:szCs w:val="16"/>
          <w:color w:val="auto"/>
        </w:rPr>
      </w:pPr>
    </w:p>
    <w:p>
      <w:pPr>
        <w:ind w:left="460" w:right="60" w:hanging="452"/>
        <w:spacing w:after="0" w:line="290"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provision of voice and/or data service to residential or commercial subscribers, whether by analog or digital technology, by any distribution method (including coaxial cable, fiber optic cable, digital subscriber line, power line, satellite and wireless) or protocol (IP or other). Employee agrees that the following companies (or their parents, subsidiaries or controlled affiliates), and their successors and assigns, are among those engaged in competitive voice and/or data transport service as of the date hereof: Adelphia Communications Corporation; AT&amp;T Corp.; Bell South Corporation; Cablevision Systems Corp.; Charter Communications, Inc.; Cox Communications, Inc.; DirecTV, Inc.; Echostar Communications Corporation; Knology Holdings, Inc.; Qwest Communications International, Inc.; RCN Corporation; SBC Communications, Inc.; Sprint Corporation; MCI, Inc.; Time Warner Inc.; Verizon Communications, Inc.; and Wide Open West.</w:t>
      </w:r>
    </w:p>
    <w:p>
      <w:pPr>
        <w:spacing w:after="0" w:line="37" w:lineRule="exact"/>
        <w:rPr>
          <w:rFonts w:ascii="Arial" w:cs="Arial" w:eastAsia="Arial" w:hAnsi="Arial"/>
          <w:sz w:val="16"/>
          <w:szCs w:val="16"/>
          <w:color w:val="auto"/>
        </w:rPr>
      </w:pPr>
    </w:p>
    <w:p>
      <w:pPr>
        <w:ind w:left="460" w:hanging="452"/>
        <w:spacing w:after="0" w:line="289"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provision of Internet access or portal service to residential or commercial subscribers, whether by analog or digital technology, to any type of end-user equipment (television, computer or other), and by any distribution method (including dial-up, coaxial cable, fiber optic cable, digital subscriber line, power line, satellite and wireless) or protocol (IP or other). Employee agrees that the following companies (or their parents, subsidiaries or controlled affiliates), and their successors and assigns, are among those engaged in competitive high-speed Internet access and/or portal service as of the date hereof: Adelphia Communications Corporation, AT&amp;T Corp.; Bell South Corporation; Cablevision Systems Corp.; Charter Communications Inc.; Cox Communications, Inc.; DirecTV, Inc.; Echostar Communications Corporation; Google, Inc.; Knology Holdings, Inc.; MCI, Inc.; Microsoft Corporation (including MSN); Qwest Communications International, Inc.; RCN Corporation; SBC Communications, Inc.; Sprint Corporation; Time Warner Inc. (including AOL); Verizon Communications, Inc.; and Yahoo, Inc.</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50" w:name="page51"/>
    <w:bookmarkEnd w:id="50"/>
    <w:p>
      <w:pPr>
        <w:ind w:left="452" w:right="140" w:hanging="452"/>
        <w:spacing w:after="0" w:line="323" w:lineRule="auto"/>
        <w:tabs>
          <w:tab w:leader="none" w:pos="452" w:val="left"/>
        </w:tabs>
        <w:numPr>
          <w:ilvl w:val="0"/>
          <w:numId w:val="4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provision of wireless communications services to residential or commercial subscribers, whether by analog or digital technology, to any type of end-user equipment (television, computer, phone, personal digital assistant or other) and by any technology or protocol (IP or other). Employee agrees that the following companies (or their parents, subsidiaries or controlled affiliates), and their successor and assigns, are among those engaged in the provision of competitive wireless service as of the date hereof: Cingular Wireless LLC, Sprint Corporation; T-Mobile USA, Inc.; and Verizon Communications, Inc.</w:t>
      </w:r>
    </w:p>
    <w:p>
      <w:pPr>
        <w:spacing w:after="0" w:line="16" w:lineRule="exact"/>
        <w:rPr>
          <w:rFonts w:ascii="Arial" w:cs="Arial" w:eastAsia="Arial" w:hAnsi="Arial"/>
          <w:sz w:val="15"/>
          <w:szCs w:val="15"/>
          <w:color w:val="auto"/>
        </w:rPr>
      </w:pPr>
    </w:p>
    <w:p>
      <w:pPr>
        <w:ind w:left="452" w:hanging="452"/>
        <w:spacing w:after="0" w:line="253" w:lineRule="auto"/>
        <w:tabs>
          <w:tab w:leader="none" w:pos="4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 creation, (ii) production or (iii) sale, license or other provision, of audio and/or video program content, whether for use by program content providers, broadcast, satellite or other program networks, distributors of program content, or providers of high-speed Internet portal or other Internet-based services or websites. Employee agrees that the following companies (or their parents, subsidiaries or controlled affiliates), and their successors and assigns, are among those engaged in the competitive creation, production or provision of audio and/or video program content as of the date hereof: A&amp;E Television Networks; Cablevision Systems Corp. (including Rainbow); Discovery Communications, Inc.; Dreamworks; EW Scripps Co.; General Electric Co. (including NBC-Universal); IAC/Interactive Corp.; Liberty Media Corp.; Metro-Goldwyn-Mayer Inc.; News Corp. (including Fox); Sony Corporation of America; The Walt Disney Company, Inc. (including ABC); Time Warner Inc. (including AOL, Turner and Warner Bros.); and Viacom Inc. (including CBS and Paramount).</w:t>
      </w:r>
    </w:p>
    <w:p>
      <w:pPr>
        <w:spacing w:after="0" w:line="13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12"/>
          </w:cols>
          <w:pgMar w:left="248" w:top="2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NO. 1 TO EMPLOYMENT AGREEMENT</w:t>
      </w:r>
    </w:p>
    <w:p>
      <w:pPr>
        <w:spacing w:after="0" w:line="204" w:lineRule="exact"/>
        <w:rPr>
          <w:sz w:val="20"/>
          <w:szCs w:val="20"/>
          <w:color w:val="auto"/>
        </w:rPr>
      </w:pPr>
    </w:p>
    <w:p>
      <w:pPr>
        <w:ind w:right="120" w:firstLine="456"/>
        <w:spacing w:after="0" w:line="221" w:lineRule="auto"/>
        <w:rPr>
          <w:sz w:val="20"/>
          <w:szCs w:val="20"/>
          <w:color w:val="auto"/>
        </w:rPr>
      </w:pPr>
      <w:r>
        <w:rPr>
          <w:rFonts w:ascii="Arial" w:cs="Arial" w:eastAsia="Arial" w:hAnsi="Arial"/>
          <w:sz w:val="18"/>
          <w:szCs w:val="18"/>
          <w:color w:val="auto"/>
        </w:rPr>
        <w:t>This AMENDMENT NO. 1 TO EMPLOYMENT AGREEMENT is entered into on the 25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January, 2006, between COMCAST CORPORATION, a Pennsylvania corporation (together with its subsidiaries, the “Company”), and ARTHUR R. BLOCK (“Employee”).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 and Employee entered into an Employment Agreement (the “Agreement”) as of January 1, 2006 (the “Effective Date”), and desire to amend the Agreement as provided herein.</w:t>
      </w:r>
    </w:p>
    <w:p>
      <w:pPr>
        <w:spacing w:after="0" w:line="288"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AGREEMENT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Intending to be legally bound hereby, the Company and Employee agree as follows:</w:t>
      </w:r>
    </w:p>
    <w:p>
      <w:pPr>
        <w:spacing w:after="0" w:line="90" w:lineRule="exact"/>
        <w:rPr>
          <w:sz w:val="20"/>
          <w:szCs w:val="20"/>
          <w:color w:val="auto"/>
        </w:rPr>
      </w:pPr>
    </w:p>
    <w:p>
      <w:pPr>
        <w:ind w:left="640" w:hanging="17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Subparagraph 7(c)(iv) is deleted in its entirety, as of the Effective Date.</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new subparagraph 7(c)(iv) is hereby added to read in its entirety as follows, effective as of the date hereof:</w:t>
      </w:r>
    </w:p>
    <w:p>
      <w:pPr>
        <w:spacing w:after="0" w:line="90" w:lineRule="exact"/>
        <w:rPr>
          <w:sz w:val="20"/>
          <w:szCs w:val="20"/>
          <w:color w:val="auto"/>
        </w:rPr>
      </w:pPr>
    </w:p>
    <w:p>
      <w:pPr>
        <w:ind w:left="920" w:right="360"/>
        <w:spacing w:after="0" w:line="370" w:lineRule="auto"/>
        <w:rPr>
          <w:sz w:val="20"/>
          <w:szCs w:val="20"/>
          <w:color w:val="auto"/>
        </w:rPr>
      </w:pPr>
      <w:r>
        <w:rPr>
          <w:rFonts w:ascii="Arial" w:cs="Arial" w:eastAsia="Arial" w:hAnsi="Arial"/>
          <w:sz w:val="15"/>
          <w:szCs w:val="15"/>
          <w:color w:val="auto"/>
        </w:rPr>
        <w:t>“(iv) Employee’s Restricted Stock Plan grants and stock options shall continue to vest, and Employee’s stock options shall continue to be exercisable, during the period of time set forth in Items 8 and 9 on Schedule 1 from the date of termination, as if there had been no termination.”</w:t>
      </w:r>
    </w:p>
    <w:p>
      <w:pPr>
        <w:spacing w:after="0" w:line="62" w:lineRule="exact"/>
        <w:rPr>
          <w:sz w:val="20"/>
          <w:szCs w:val="20"/>
          <w:color w:val="auto"/>
        </w:rPr>
      </w:pPr>
    </w:p>
    <w:p>
      <w:pPr>
        <w:ind w:left="640" w:hanging="17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Item 8 of Schedule 1 is deleted in its entirety, as of the Effective Date.</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new Item 8 of Schedule 1 is hereby added, to read in its entirety as follows, effective as of the date hereof:</w:t>
      </w:r>
    </w:p>
    <w:p>
      <w:pPr>
        <w:spacing w:after="0" w:line="90" w:lineRule="exact"/>
        <w:rPr>
          <w:sz w:val="20"/>
          <w:szCs w:val="20"/>
          <w:color w:val="auto"/>
        </w:rPr>
      </w:pPr>
    </w:p>
    <w:p>
      <w:pPr>
        <w:ind w:left="920" w:right="340"/>
        <w:spacing w:after="0" w:line="268" w:lineRule="auto"/>
        <w:rPr>
          <w:sz w:val="20"/>
          <w:szCs w:val="20"/>
          <w:color w:val="auto"/>
        </w:rPr>
      </w:pPr>
      <w:r>
        <w:rPr>
          <w:rFonts w:ascii="Arial" w:cs="Arial" w:eastAsia="Arial" w:hAnsi="Arial"/>
          <w:sz w:val="18"/>
          <w:szCs w:val="18"/>
          <w:color w:val="auto"/>
        </w:rPr>
        <w:t>“8. Cash Bonus Program and Restricted Stock Plan Continued Payment/Vesting Period following Discharge Without Cause or Termination With Good Reason: 12 months.”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 A new Item 9 of Schedule 1 is hereby added, to read in its entirety as follows, effective as of the date hereof:</w:t>
      </w:r>
    </w:p>
    <w:p>
      <w:pPr>
        <w:spacing w:after="0" w:line="90" w:lineRule="exact"/>
        <w:rPr>
          <w:sz w:val="20"/>
          <w:szCs w:val="20"/>
          <w:color w:val="auto"/>
        </w:rPr>
      </w:pPr>
    </w:p>
    <w:p>
      <w:pPr>
        <w:ind w:left="920" w:right="40"/>
        <w:spacing w:after="0" w:line="259" w:lineRule="auto"/>
        <w:rPr>
          <w:sz w:val="20"/>
          <w:szCs w:val="20"/>
          <w:color w:val="auto"/>
        </w:rPr>
      </w:pPr>
      <w:r>
        <w:rPr>
          <w:rFonts w:ascii="Arial" w:cs="Arial" w:eastAsia="Arial" w:hAnsi="Arial"/>
          <w:sz w:val="18"/>
          <w:szCs w:val="18"/>
          <w:color w:val="auto"/>
        </w:rPr>
        <w:t>“9. Stock Option Plan Grants Continued Vesting/Exerciseability Period following Discharge Without Cause or Termination With Good Reason: That period of time, no longer than 12 months, which may apply without effecting a modification, extension or renewal under Internal Revenue Code section 409A (and the rules, regulations or proposed regulations thereunder).”</w:t>
      </w:r>
    </w:p>
    <w:p>
      <w:pPr>
        <w:sectPr>
          <w:pgSz w:w="11900" w:h="16838" w:orient="portrait"/>
          <w:cols w:equalWidth="0" w:num="1">
            <w:col w:w="11420"/>
          </w:cols>
          <w:pgMar w:left="240" w:top="125"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 Other than as amended hereby, the Agreement remains in full force and effect.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executed and delivered this Amendment No. 1 on the date first above written.</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10795</wp:posOffset>
            </wp:positionV>
            <wp:extent cx="26587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10795</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Arthur R. Block</w:t>
      </w:r>
    </w:p>
    <w:p>
      <w:pPr>
        <w:sectPr>
          <w:pgSz w:w="11900" w:h="16838" w:orient="portrait"/>
          <w:cols w:equalWidth="0" w:num="1">
            <w:col w:w="9759"/>
          </w:cols>
          <w:pgMar w:left="700" w:top="280" w:right="1440"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44"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2009</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25"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Michael J. Angelakis, certify that:</w:t>
      </w:r>
    </w:p>
    <w:p>
      <w:pPr>
        <w:spacing w:after="0" w:line="144"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2009</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2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36" w:lineRule="exact"/>
        <w:rPr>
          <w:sz w:val="20"/>
          <w:szCs w:val="20"/>
          <w:color w:val="auto"/>
        </w:rPr>
      </w:pPr>
    </w:p>
    <w:p>
      <w:pPr>
        <w:ind w:left="10400"/>
        <w:spacing w:after="0"/>
        <w:rPr>
          <w:sz w:val="20"/>
          <w:szCs w:val="20"/>
          <w:color w:val="auto"/>
        </w:rPr>
      </w:pPr>
      <w:r>
        <w:rPr>
          <w:rFonts w:ascii="Arial" w:cs="Arial" w:eastAsia="Arial" w:hAnsi="Arial"/>
          <w:sz w:val="16"/>
          <w:szCs w:val="16"/>
          <w:color w:val="auto"/>
        </w:rPr>
        <w:t>April 30, 2009</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Washington, D.C. 20549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Brian L. Roberts, the Principal Executive Officer and Michael J. Angelakis, the Principal Financial Officer, each certifies that, to the best of his knowledge:</w:t>
      </w:r>
    </w:p>
    <w:p>
      <w:pPr>
        <w:spacing w:after="0" w:line="100"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Comcast Corporation.</w:t>
      </w:r>
    </w:p>
    <w:p>
      <w:pPr>
        <w:spacing w:after="0" w:line="3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1)"/>
      <w:numFmt w:val="lowerLetter"/>
      <w:start w:val="1"/>
    </w:lvl>
  </w:abstractNum>
  <w:abstractNum w:abstractNumId="4">
    <w:nsid w:val="54E49EB4"/>
    <w:multiLevelType w:val="hybridMultilevel"/>
    <w:lvl w:ilvl="0">
      <w:lvlJc w:val="left"/>
      <w:lvlText w:val="(%1)"/>
      <w:numFmt w:val="lowerLetter"/>
      <w:start w:val="2"/>
    </w:lvl>
    <w:lvl w:ilvl="1">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1)"/>
      <w:numFmt w:val="lowerLetter"/>
      <w:start w:val="1"/>
    </w:lvl>
  </w:abstractNum>
  <w:abstractNum w:abstractNumId="7">
    <w:nsid w:val="836C40E"/>
    <w:multiLevelType w:val="hybridMultilevel"/>
    <w:lvl w:ilvl="0">
      <w:lvlJc w:val="left"/>
      <w:lvlText w:val="%1"/>
      <w:numFmt w:val="decimal"/>
      <w:start w:val="3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0">
    <w:nsid w:val="8138641"/>
    <w:multiLevelType w:val="hybridMultilevel"/>
    <w:lvl w:ilvl="0">
      <w:lvlJc w:val="left"/>
      <w:lvlText w:val="(%1)"/>
      <w:numFmt w:val="lowerLetter"/>
      <w:start w:val="10"/>
    </w:lvl>
  </w:abstractNum>
  <w:abstractNum w:abstractNumId="11">
    <w:nsid w:val="1E7FF521"/>
    <w:multiLevelType w:val="hybridMultilevel"/>
    <w:lvl w:ilvl="0">
      <w:lvlJc w:val="left"/>
      <w:lvlText w:val="%1"/>
      <w:numFmt w:val="decimal"/>
      <w:start w:val="1"/>
    </w:lvl>
    <w:lvl w:ilvl="1">
      <w:lvlJc w:val="left"/>
      <w:lvlText w:val="(%2)"/>
      <w:numFmt w:val="lowerLetter"/>
      <w:start w:val="17"/>
    </w:lvl>
  </w:abstractNum>
  <w:abstractNum w:abstractNumId="12">
    <w:nsid w:val="7C3DBD3D"/>
    <w:multiLevelType w:val="hybridMultilevel"/>
    <w:lvl w:ilvl="0">
      <w:lvlJc w:val="left"/>
      <w:lvlText w:val="%1."/>
      <w:numFmt w:val="decimal"/>
      <w:start w:val="2"/>
    </w:lvl>
    <w:lvl w:ilvl="1">
      <w:lvlJc w:val="left"/>
      <w:lvlText w:val="(%2)"/>
      <w:numFmt w:val="lowerLetter"/>
      <w:start w:val="1"/>
    </w:lvl>
  </w:abstractNum>
  <w:abstractNum w:abstractNumId="13">
    <w:nsid w:val="737B8DDC"/>
    <w:multiLevelType w:val="hybridMultilevel"/>
    <w:lvl w:ilvl="0">
      <w:lvlJc w:val="left"/>
      <w:lvlText w:val="%1."/>
      <w:numFmt w:val="decimal"/>
      <w:start w:val="4"/>
    </w:lvl>
    <w:lvl w:ilvl="1">
      <w:lvlJc w:val="left"/>
      <w:lvlText w:val="(%2)"/>
      <w:numFmt w:val="lowerLetter"/>
      <w:start w:val="1"/>
    </w:lvl>
  </w:abstractNum>
  <w:abstractNum w:abstractNumId="14">
    <w:nsid w:val="6CEAF087"/>
    <w:multiLevelType w:val="hybridMultilevel"/>
    <w:lvl w:ilvl="0">
      <w:lvlJc w:val="left"/>
      <w:lvlText w:val="(%1)"/>
      <w:numFmt w:val="lowerLetter"/>
      <w:start w:val="1"/>
    </w:lvl>
    <w:lvl w:ilvl="1">
      <w:lvlJc w:val="left"/>
      <w:lvlText w:val="(%2)"/>
      <w:numFmt w:val="decimal"/>
      <w:start w:val="1"/>
    </w:lvl>
  </w:abstractNum>
  <w:abstractNum w:abstractNumId="15">
    <w:nsid w:val="22221A70"/>
    <w:multiLevelType w:val="hybridMultilevel"/>
    <w:lvl w:ilvl="0">
      <w:lvlJc w:val="left"/>
      <w:lvlText w:val="%1"/>
      <w:numFmt w:val="lowerLetter"/>
      <w:start w:val="1"/>
    </w:lvl>
    <w:lvl w:ilvl="1">
      <w:lvlJc w:val="left"/>
      <w:lvlText w:val="(%2)"/>
      <w:numFmt w:val="decimal"/>
      <w:start w:val="1"/>
    </w:lvl>
  </w:abstractNum>
  <w:abstractNum w:abstractNumId="16">
    <w:nsid w:val="4516DDE9"/>
    <w:multiLevelType w:val="hybridMultilevel"/>
    <w:lvl w:ilvl="0">
      <w:lvlJc w:val="left"/>
      <w:lvlText w:val="(%1)"/>
      <w:numFmt w:val="lowerLetter"/>
      <w:start w:val="3"/>
    </w:lvl>
    <w:lvl w:ilvl="1">
      <w:lvlJc w:val="left"/>
      <w:lvlText w:val="%2"/>
      <w:numFmt w:val="decimal"/>
      <w:start w:val="1"/>
    </w:lvl>
  </w:abstractNum>
  <w:abstractNum w:abstractNumId="17">
    <w:nsid w:val="3006C83E"/>
    <w:multiLevelType w:val="hybridMultilevel"/>
    <w:lvl w:ilvl="0">
      <w:lvlJc w:val="left"/>
      <w:lvlText w:val="%1"/>
      <w:numFmt w:val="decimal"/>
      <w:start w:val="1"/>
    </w:lvl>
    <w:lvl w:ilvl="1">
      <w:lvlJc w:val="left"/>
      <w:lvlText w:val="(%2)"/>
      <w:numFmt w:val="lowerLetter"/>
      <w:start w:val="5"/>
    </w:lvl>
  </w:abstractNum>
  <w:abstractNum w:abstractNumId="18">
    <w:nsid w:val="614FD4A1"/>
    <w:multiLevelType w:val="hybridMultilevel"/>
    <w:lvl w:ilvl="0">
      <w:lvlJc w:val="left"/>
      <w:lvlText w:val="%1."/>
      <w:numFmt w:val="decimal"/>
      <w:start w:val="6"/>
    </w:lvl>
    <w:lvl w:ilvl="1">
      <w:lvlJc w:val="left"/>
      <w:lvlText w:val="(%2)"/>
      <w:numFmt w:val="lowerLetter"/>
      <w:start w:val="1"/>
    </w:lvl>
  </w:abstractNum>
  <w:abstractNum w:abstractNumId="19">
    <w:nsid w:val="419AC241"/>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20">
    <w:nsid w:val="5577F8E1"/>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21">
    <w:nsid w:val="440BADFC"/>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22">
    <w:nsid w:val="5072367"/>
    <w:multiLevelType w:val="hybridMultilevel"/>
    <w:lvl w:ilvl="0">
      <w:lvlJc w:val="left"/>
      <w:lvlText w:val="(%1)"/>
      <w:numFmt w:val="lowerLetter"/>
      <w:start w:val="9"/>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23">
    <w:nsid w:val="3804823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4">
    <w:nsid w:val="77465F01"/>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25">
    <w:nsid w:val="7724C67E"/>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26">
    <w:nsid w:val="5C482A97"/>
    <w:multiLevelType w:val="hybridMultilevel"/>
    <w:lvl w:ilvl="0">
      <w:lvlJc w:val="left"/>
      <w:lvlText w:val="%1"/>
      <w:numFmt w:val="lowerLetter"/>
      <w:start w:val="1"/>
    </w:lvl>
    <w:lvl w:ilvl="1">
      <w:lvlJc w:val="left"/>
      <w:lvlText w:val="(%2)"/>
      <w:numFmt w:val="lowerLetter"/>
      <w:start w:val="35"/>
    </w:lvl>
  </w:abstractNum>
  <w:abstractNum w:abstractNumId="27">
    <w:nsid w:val="2463B9EA"/>
    <w:multiLevelType w:val="hybridMultilevel"/>
    <w:lvl w:ilvl="0">
      <w:lvlJc w:val="left"/>
      <w:lvlText w:val="(%1)"/>
      <w:numFmt w:val="lowerLetter"/>
      <w:start w:val="4"/>
    </w:lvl>
    <w:lvl w:ilvl="1">
      <w:lvlJc w:val="left"/>
      <w:lvlText w:val="(%2)"/>
      <w:numFmt w:val="lowerLetter"/>
      <w:start w:val="9"/>
    </w:lvl>
  </w:abstractNum>
  <w:abstractNum w:abstractNumId="28">
    <w:nsid w:val="5E884AD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9">
    <w:nsid w:val="51EAD36B"/>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30">
    <w:nsid w:val="2D51779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1">
    <w:nsid w:val="580BD78F"/>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2">
    <w:nsid w:val="153EA438"/>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3">
    <w:nsid w:val="3855585C"/>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2"/>
    </w:lvl>
  </w:abstractNum>
  <w:abstractNum w:abstractNumId="34">
    <w:nsid w:val="70A64E2A"/>
    <w:multiLevelType w:val="hybridMultilevel"/>
    <w:lvl w:ilvl="0">
      <w:lvlJc w:val="left"/>
      <w:lvlText w:val="(%1)"/>
      <w:numFmt w:val="lowerLetter"/>
      <w:start w:val="3"/>
    </w:lvl>
  </w:abstractNum>
  <w:abstractNum w:abstractNumId="35">
    <w:nsid w:val="6A2342EC"/>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6">
    <w:nsid w:val="2A487CB0"/>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37">
    <w:nsid w:val="1D4ED43B"/>
    <w:multiLevelType w:val="hybridMultilevel"/>
    <w:lvl w:ilvl="0">
      <w:lvlJc w:val="left"/>
      <w:lvlText w:val="%1"/>
      <w:numFmt w:val="decimal"/>
      <w:start w:val="1"/>
    </w:lvl>
    <w:lvl w:ilvl="1">
      <w:lvlJc w:val="left"/>
      <w:lvlText w:val="(%2)"/>
      <w:numFmt w:val="lowerLetter"/>
      <w:start w:val="2"/>
    </w:lvl>
  </w:abstractNum>
  <w:abstractNum w:abstractNumId="38">
    <w:nsid w:val="725A06FB"/>
    <w:multiLevelType w:val="hybridMultilevel"/>
    <w:lvl w:ilvl="0">
      <w:lvlJc w:val="left"/>
      <w:lvlText w:val="%1."/>
      <w:numFmt w:val="decimal"/>
      <w:start w:val="12"/>
    </w:lvl>
    <w:lvl w:ilvl="1">
      <w:lvlJc w:val="left"/>
      <w:lvlText w:val="%2"/>
      <w:numFmt w:val="lowerLetter"/>
      <w:start w:val="1"/>
    </w:lvl>
  </w:abstractNum>
  <w:abstractNum w:abstractNumId="39">
    <w:nsid w:val="2CD89A32"/>
    <w:multiLevelType w:val="hybridMultilevel"/>
    <w:lvl w:ilvl="0">
      <w:lvlJc w:val="left"/>
      <w:lvlText w:val="%1."/>
      <w:numFmt w:val="decimal"/>
      <w:start w:val="14"/>
    </w:lvl>
  </w:abstractNum>
  <w:abstractNum w:abstractNumId="40">
    <w:nsid w:val="57E4CCAF"/>
    <w:multiLevelType w:val="hybridMultilevel"/>
    <w:lvl w:ilvl="0">
      <w:lvlJc w:val="left"/>
      <w:lvlText w:val="%1."/>
      <w:numFmt w:val="decimal"/>
      <w:start w:val="15"/>
    </w:lvl>
  </w:abstractNum>
  <w:abstractNum w:abstractNumId="41">
    <w:nsid w:val="7A6D8D3C"/>
    <w:multiLevelType w:val="hybridMultilevel"/>
    <w:lvl w:ilvl="0">
      <w:lvlJc w:val="left"/>
      <w:lvlText w:val="%1."/>
      <w:numFmt w:val="decimal"/>
      <w:start w:val="2"/>
    </w:lvl>
  </w:abstractNum>
  <w:abstractNum w:abstractNumId="42">
    <w:nsid w:val="4B588F54"/>
    <w:multiLevelType w:val="hybridMultilevel"/>
    <w:lvl w:ilvl="0">
      <w:lvlJc w:val="left"/>
      <w:lvlText w:val="%1."/>
      <w:numFmt w:val="upperLetter"/>
      <w:start w:val="1"/>
    </w:lvl>
  </w:abstractNum>
  <w:abstractNum w:abstractNumId="43">
    <w:nsid w:val="542289EC"/>
    <w:multiLevelType w:val="hybridMultilevel"/>
    <w:lvl w:ilvl="0">
      <w:lvlJc w:val="left"/>
      <w:lvlText w:val="%1."/>
      <w:numFmt w:val="upperLetter"/>
      <w:start w:val="4"/>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1."/>
      <w:numFmt w:val="decimal"/>
      <w:start w:val="3"/>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2019-12-10T21:11:49Z</dcterms:created>
  <dcterms:modified xsi:type="dcterms:W3CDTF">2019-12-10T21:11:49Z</dcterms:modified>
</cp:coreProperties>
</file>