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362585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tbl>
      <w:tblPr>
        <w:tblLayout w:type="fixed"/>
        <w:tblInd w:w="700" w:type="dxa"/>
        <w:tblCellMar>
          <w:top w:w="0" w:type="dxa"/>
          <w:left w:w="0" w:type="dxa"/>
          <w:bottom w:w="0" w:type="dxa"/>
          <w:right w:w="0" w:type="dxa"/>
        </w:tblCellMar>
      </w:tblPr>
      <w:tr>
        <w:trPr>
          <w:trHeight w:val="421"/>
        </w:trPr>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40" w:type="dxa"/>
            <w:vAlign w:val="bottom"/>
            <w:gridSpan w:val="2"/>
          </w:tcPr>
          <w:p>
            <w:pPr>
              <w:jc w:val="center"/>
              <w:ind w:right="3808"/>
              <w:spacing w:after="0"/>
              <w:rPr>
                <w:sz w:val="20"/>
                <w:szCs w:val="20"/>
                <w:color w:val="auto"/>
              </w:rPr>
            </w:pPr>
            <w:r>
              <w:rPr>
                <w:rFonts w:ascii="Arial" w:cs="Arial" w:eastAsia="Arial" w:hAnsi="Arial"/>
                <w:sz w:val="32"/>
                <w:szCs w:val="32"/>
                <w:b w:val="1"/>
                <w:bCs w:val="1"/>
                <w:color w:val="auto"/>
              </w:rPr>
              <w:t>FORM 8-K</w:t>
            </w:r>
          </w:p>
        </w:tc>
      </w:tr>
      <w:tr>
        <w:trPr>
          <w:trHeight w:val="534"/>
        </w:trPr>
        <w:tc>
          <w:tcPr>
            <w:tcW w:w="2580" w:type="dxa"/>
            <w:vAlign w:val="bottom"/>
          </w:tcPr>
          <w:p>
            <w:pPr>
              <w:spacing w:after="0"/>
              <w:rPr>
                <w:sz w:val="24"/>
                <w:szCs w:val="24"/>
                <w:color w:val="auto"/>
              </w:rPr>
            </w:pPr>
          </w:p>
        </w:tc>
        <w:tc>
          <w:tcPr>
            <w:tcW w:w="7200" w:type="dxa"/>
            <w:vAlign w:val="bottom"/>
            <w:gridSpan w:val="3"/>
          </w:tcPr>
          <w:p>
            <w:pPr>
              <w:jc w:val="center"/>
              <w:ind w:right="2248"/>
              <w:spacing w:after="0"/>
              <w:rPr>
                <w:sz w:val="20"/>
                <w:szCs w:val="20"/>
                <w:color w:val="auto"/>
              </w:rPr>
            </w:pPr>
            <w:r>
              <w:rPr>
                <w:rFonts w:ascii="Arial" w:cs="Arial" w:eastAsia="Arial" w:hAnsi="Arial"/>
                <w:sz w:val="29"/>
                <w:szCs w:val="29"/>
                <w:b w:val="1"/>
                <w:bCs w:val="1"/>
                <w:color w:val="auto"/>
                <w:w w:val="99"/>
              </w:rPr>
              <w:t>CURRENT REPORT</w:t>
            </w:r>
          </w:p>
        </w:tc>
      </w:tr>
      <w:tr>
        <w:trPr>
          <w:trHeight w:val="338"/>
        </w:trPr>
        <w:tc>
          <w:tcPr>
            <w:tcW w:w="2580" w:type="dxa"/>
            <w:vAlign w:val="bottom"/>
          </w:tcPr>
          <w:p>
            <w:pPr>
              <w:spacing w:after="0"/>
              <w:rPr>
                <w:sz w:val="24"/>
                <w:szCs w:val="24"/>
                <w:color w:val="auto"/>
              </w:rPr>
            </w:pPr>
          </w:p>
        </w:tc>
        <w:tc>
          <w:tcPr>
            <w:tcW w:w="7200" w:type="dxa"/>
            <w:vAlign w:val="bottom"/>
            <w:gridSpan w:val="3"/>
          </w:tcPr>
          <w:p>
            <w:pPr>
              <w:jc w:val="center"/>
              <w:ind w:right="2268"/>
              <w:spacing w:after="0"/>
              <w:rPr>
                <w:sz w:val="20"/>
                <w:szCs w:val="20"/>
                <w:color w:val="auto"/>
              </w:rPr>
            </w:pPr>
            <w:r>
              <w:rPr>
                <w:rFonts w:ascii="Arial" w:cs="Arial" w:eastAsia="Arial" w:hAnsi="Arial"/>
                <w:sz w:val="29"/>
                <w:szCs w:val="29"/>
                <w:b w:val="1"/>
                <w:bCs w:val="1"/>
                <w:color w:val="auto"/>
                <w:w w:val="89"/>
              </w:rPr>
              <w:t>Pursuant To Section 13 or 15(d) of</w:t>
            </w:r>
          </w:p>
        </w:tc>
      </w:tr>
      <w:tr>
        <w:trPr>
          <w:trHeight w:val="375"/>
        </w:trPr>
        <w:tc>
          <w:tcPr>
            <w:tcW w:w="2580" w:type="dxa"/>
            <w:vAlign w:val="bottom"/>
          </w:tcPr>
          <w:p>
            <w:pPr>
              <w:spacing w:after="0"/>
              <w:rPr>
                <w:sz w:val="24"/>
                <w:szCs w:val="24"/>
                <w:color w:val="auto"/>
              </w:rPr>
            </w:pPr>
          </w:p>
        </w:tc>
        <w:tc>
          <w:tcPr>
            <w:tcW w:w="7200" w:type="dxa"/>
            <w:vAlign w:val="bottom"/>
            <w:gridSpan w:val="3"/>
          </w:tcPr>
          <w:p>
            <w:pPr>
              <w:jc w:val="center"/>
              <w:ind w:right="2248"/>
              <w:spacing w:after="0"/>
              <w:rPr>
                <w:sz w:val="20"/>
                <w:szCs w:val="20"/>
                <w:color w:val="auto"/>
              </w:rPr>
            </w:pPr>
            <w:r>
              <w:rPr>
                <w:rFonts w:ascii="Arial" w:cs="Arial" w:eastAsia="Arial" w:hAnsi="Arial"/>
                <w:sz w:val="29"/>
                <w:szCs w:val="29"/>
                <w:b w:val="1"/>
                <w:bCs w:val="1"/>
                <w:color w:val="auto"/>
                <w:w w:val="88"/>
              </w:rPr>
              <w:t>the Securities Exchange Act of 1934</w:t>
            </w:r>
          </w:p>
        </w:tc>
      </w:tr>
      <w:tr>
        <w:trPr>
          <w:trHeight w:val="435"/>
        </w:trPr>
        <w:tc>
          <w:tcPr>
            <w:tcW w:w="2580" w:type="dxa"/>
            <w:vAlign w:val="bottom"/>
          </w:tcPr>
          <w:p>
            <w:pPr>
              <w:spacing w:after="0"/>
              <w:rPr>
                <w:sz w:val="24"/>
                <w:szCs w:val="24"/>
                <w:color w:val="auto"/>
              </w:rPr>
            </w:pPr>
          </w:p>
        </w:tc>
        <w:tc>
          <w:tcPr>
            <w:tcW w:w="7200" w:type="dxa"/>
            <w:vAlign w:val="bottom"/>
            <w:gridSpan w:val="3"/>
          </w:tcPr>
          <w:p>
            <w:pPr>
              <w:jc w:val="center"/>
              <w:ind w:right="2268"/>
              <w:spacing w:after="0"/>
              <w:rPr>
                <w:sz w:val="20"/>
                <w:szCs w:val="20"/>
                <w:color w:val="auto"/>
              </w:rPr>
            </w:pPr>
            <w:r>
              <w:rPr>
                <w:rFonts w:ascii="Arial" w:cs="Arial" w:eastAsia="Arial" w:hAnsi="Arial"/>
                <w:sz w:val="16"/>
                <w:szCs w:val="16"/>
                <w:color w:val="auto"/>
                <w:w w:val="92"/>
              </w:rPr>
              <w:t>Date of report (Date of earliest event reported): December 10, 2008</w:t>
            </w:r>
          </w:p>
        </w:tc>
      </w:tr>
      <w:tr>
        <w:trPr>
          <w:trHeight w:val="473"/>
        </w:trPr>
        <w:tc>
          <w:tcPr>
            <w:tcW w:w="2580" w:type="dxa"/>
            <w:vAlign w:val="bottom"/>
          </w:tcPr>
          <w:p>
            <w:pPr>
              <w:spacing w:after="0"/>
              <w:rPr>
                <w:sz w:val="24"/>
                <w:szCs w:val="24"/>
                <w:color w:val="auto"/>
              </w:rPr>
            </w:pPr>
          </w:p>
        </w:tc>
        <w:tc>
          <w:tcPr>
            <w:tcW w:w="7200" w:type="dxa"/>
            <w:vAlign w:val="bottom"/>
            <w:gridSpan w:val="3"/>
          </w:tcPr>
          <w:p>
            <w:pPr>
              <w:jc w:val="center"/>
              <w:ind w:right="2248"/>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40" w:type="dxa"/>
            <w:vAlign w:val="bottom"/>
            <w:gridSpan w:val="2"/>
          </w:tcPr>
          <w:p>
            <w:pPr>
              <w:jc w:val="center"/>
              <w:ind w:right="3828"/>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640" w:type="dxa"/>
            <w:vAlign w:val="bottom"/>
            <w:gridSpan w:val="2"/>
          </w:tcPr>
          <w:p>
            <w:pPr>
              <w:jc w:val="center"/>
              <w:ind w:right="3808"/>
              <w:spacing w:after="0"/>
              <w:rPr>
                <w:sz w:val="20"/>
                <w:szCs w:val="20"/>
                <w:color w:val="auto"/>
              </w:rPr>
            </w:pPr>
            <w:r>
              <w:rPr>
                <w:rFonts w:ascii="Arial" w:cs="Arial" w:eastAsia="Arial" w:hAnsi="Arial"/>
                <w:sz w:val="14"/>
                <w:szCs w:val="14"/>
                <w:color w:val="auto"/>
                <w:w w:val="92"/>
              </w:rPr>
              <w:t>as Specified in Charter)</w:t>
            </w:r>
          </w:p>
        </w:tc>
      </w:tr>
      <w:tr>
        <w:trPr>
          <w:trHeight w:val="317"/>
        </w:trPr>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40" w:type="dxa"/>
            <w:vAlign w:val="bottom"/>
            <w:gridSpan w:val="2"/>
          </w:tcPr>
          <w:p>
            <w:pPr>
              <w:jc w:val="center"/>
              <w:ind w:right="3968"/>
              <w:spacing w:after="0"/>
              <w:rPr>
                <w:sz w:val="20"/>
                <w:szCs w:val="20"/>
                <w:color w:val="auto"/>
              </w:rPr>
            </w:pPr>
            <w:r>
              <w:rPr>
                <w:rFonts w:ascii="Arial" w:cs="Arial" w:eastAsia="Arial" w:hAnsi="Arial"/>
                <w:sz w:val="16"/>
                <w:szCs w:val="16"/>
                <w:b w:val="1"/>
                <w:bCs w:val="1"/>
                <w:color w:val="auto"/>
                <w:w w:val="89"/>
              </w:rPr>
              <w:t>Pennsylvania</w:t>
            </w:r>
          </w:p>
        </w:tc>
      </w:tr>
      <w:tr>
        <w:trPr>
          <w:trHeight w:val="182"/>
        </w:trPr>
        <w:tc>
          <w:tcPr>
            <w:tcW w:w="2580" w:type="dxa"/>
            <w:vAlign w:val="bottom"/>
          </w:tcPr>
          <w:p>
            <w:pPr>
              <w:spacing w:after="0"/>
              <w:rPr>
                <w:sz w:val="15"/>
                <w:szCs w:val="15"/>
                <w:color w:val="auto"/>
              </w:rPr>
            </w:pPr>
          </w:p>
        </w:tc>
        <w:tc>
          <w:tcPr>
            <w:tcW w:w="7200" w:type="dxa"/>
            <w:vAlign w:val="bottom"/>
            <w:gridSpan w:val="3"/>
          </w:tcPr>
          <w:p>
            <w:pPr>
              <w:jc w:val="center"/>
              <w:ind w:right="2388"/>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17"/>
        </w:trPr>
        <w:tc>
          <w:tcPr>
            <w:tcW w:w="2580" w:type="dxa"/>
            <w:vAlign w:val="bottom"/>
          </w:tcPr>
          <w:p>
            <w:pPr>
              <w:jc w:val="center"/>
              <w:ind w:right="163"/>
              <w:spacing w:after="0"/>
              <w:rPr>
                <w:sz w:val="20"/>
                <w:szCs w:val="20"/>
                <w:color w:val="auto"/>
              </w:rPr>
            </w:pPr>
            <w:r>
              <w:rPr>
                <w:rFonts w:ascii="Arial" w:cs="Arial" w:eastAsia="Arial" w:hAnsi="Arial"/>
                <w:sz w:val="16"/>
                <w:szCs w:val="16"/>
                <w:b w:val="1"/>
                <w:bCs w:val="1"/>
                <w:color w:val="auto"/>
                <w:w w:val="91"/>
              </w:rPr>
              <w:t>001-32871</w:t>
            </w:r>
          </w:p>
        </w:tc>
        <w:tc>
          <w:tcPr>
            <w:tcW w:w="7200" w:type="dxa"/>
            <w:vAlign w:val="bottom"/>
            <w:gridSpan w:val="3"/>
          </w:tcPr>
          <w:p>
            <w:pPr>
              <w:jc w:val="center"/>
              <w:ind w:left="5116"/>
              <w:spacing w:after="0"/>
              <w:rPr>
                <w:sz w:val="20"/>
                <w:szCs w:val="20"/>
                <w:color w:val="auto"/>
              </w:rPr>
            </w:pPr>
            <w:r>
              <w:rPr>
                <w:rFonts w:ascii="Arial" w:cs="Arial" w:eastAsia="Arial" w:hAnsi="Arial"/>
                <w:sz w:val="16"/>
                <w:szCs w:val="16"/>
                <w:b w:val="1"/>
                <w:bCs w:val="1"/>
                <w:color w:val="auto"/>
                <w:w w:val="91"/>
              </w:rPr>
              <w:t>27-0000798</w:t>
            </w:r>
          </w:p>
        </w:tc>
      </w:tr>
      <w:tr>
        <w:trPr>
          <w:trHeight w:val="182"/>
        </w:trPr>
        <w:tc>
          <w:tcPr>
            <w:tcW w:w="2580" w:type="dxa"/>
            <w:vAlign w:val="bottom"/>
          </w:tcPr>
          <w:p>
            <w:pPr>
              <w:jc w:val="center"/>
              <w:ind w:right="183"/>
              <w:spacing w:after="0"/>
              <w:rPr>
                <w:sz w:val="20"/>
                <w:szCs w:val="20"/>
                <w:color w:val="auto"/>
              </w:rPr>
            </w:pPr>
            <w:r>
              <w:rPr>
                <w:rFonts w:ascii="Arial" w:cs="Arial" w:eastAsia="Arial" w:hAnsi="Arial"/>
                <w:sz w:val="14"/>
                <w:szCs w:val="14"/>
                <w:color w:val="auto"/>
                <w:w w:val="96"/>
              </w:rPr>
              <w:t>(Commission File Number)</w:t>
            </w:r>
          </w:p>
        </w:tc>
        <w:tc>
          <w:tcPr>
            <w:tcW w:w="1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900" w:type="dxa"/>
            <w:vAlign w:val="bottom"/>
          </w:tcPr>
          <w:p>
            <w:pPr>
              <w:jc w:val="center"/>
              <w:ind w:left="1848"/>
              <w:spacing w:after="0"/>
              <w:rPr>
                <w:sz w:val="20"/>
                <w:szCs w:val="20"/>
                <w:color w:val="auto"/>
              </w:rPr>
            </w:pPr>
            <w:r>
              <w:rPr>
                <w:rFonts w:ascii="Arial" w:cs="Arial" w:eastAsia="Arial" w:hAnsi="Arial"/>
                <w:sz w:val="14"/>
                <w:szCs w:val="14"/>
                <w:color w:val="auto"/>
                <w:w w:val="97"/>
              </w:rPr>
              <w:t>(IRS Employer Identification No.)</w:t>
            </w:r>
          </w:p>
        </w:tc>
      </w:tr>
      <w:tr>
        <w:trPr>
          <w:trHeight w:val="322"/>
        </w:trPr>
        <w:tc>
          <w:tcPr>
            <w:tcW w:w="2580" w:type="dxa"/>
            <w:vAlign w:val="bottom"/>
          </w:tcPr>
          <w:p>
            <w:pPr>
              <w:jc w:val="center"/>
              <w:ind w:right="183"/>
              <w:spacing w:after="0"/>
              <w:rPr>
                <w:sz w:val="20"/>
                <w:szCs w:val="20"/>
                <w:color w:val="auto"/>
              </w:rPr>
            </w:pPr>
            <w:r>
              <w:rPr>
                <w:rFonts w:ascii="Arial" w:cs="Arial" w:eastAsia="Arial" w:hAnsi="Arial"/>
                <w:sz w:val="16"/>
                <w:szCs w:val="16"/>
                <w:b w:val="1"/>
                <w:bCs w:val="1"/>
                <w:color w:val="auto"/>
                <w:w w:val="90"/>
              </w:rPr>
              <w:t>One Comcast Center</w:t>
            </w:r>
          </w:p>
        </w:tc>
        <w:tc>
          <w:tcPr>
            <w:tcW w:w="1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98"/>
        </w:trPr>
        <w:tc>
          <w:tcPr>
            <w:tcW w:w="2580" w:type="dxa"/>
            <w:vAlign w:val="bottom"/>
          </w:tcPr>
          <w:p>
            <w:pPr>
              <w:jc w:val="center"/>
              <w:ind w:right="183"/>
              <w:spacing w:after="0"/>
              <w:rPr>
                <w:sz w:val="20"/>
                <w:szCs w:val="20"/>
                <w:color w:val="auto"/>
              </w:rPr>
            </w:pPr>
            <w:r>
              <w:rPr>
                <w:rFonts w:ascii="Arial" w:cs="Arial" w:eastAsia="Arial" w:hAnsi="Arial"/>
                <w:sz w:val="16"/>
                <w:szCs w:val="16"/>
                <w:b w:val="1"/>
                <w:bCs w:val="1"/>
                <w:color w:val="auto"/>
                <w:w w:val="92"/>
              </w:rPr>
              <w:t>Philadelphia, PA</w:t>
            </w:r>
          </w:p>
        </w:tc>
        <w:tc>
          <w:tcPr>
            <w:tcW w:w="7200" w:type="dxa"/>
            <w:vAlign w:val="bottom"/>
            <w:gridSpan w:val="3"/>
          </w:tcPr>
          <w:p>
            <w:pPr>
              <w:jc w:val="center"/>
              <w:ind w:left="5116"/>
              <w:spacing w:after="0"/>
              <w:rPr>
                <w:sz w:val="20"/>
                <w:szCs w:val="20"/>
                <w:color w:val="auto"/>
              </w:rPr>
            </w:pPr>
            <w:r>
              <w:rPr>
                <w:rFonts w:ascii="Arial" w:cs="Arial" w:eastAsia="Arial" w:hAnsi="Arial"/>
                <w:sz w:val="16"/>
                <w:szCs w:val="16"/>
                <w:b w:val="1"/>
                <w:bCs w:val="1"/>
                <w:color w:val="auto"/>
                <w:w w:val="91"/>
              </w:rPr>
              <w:t>19103-2838</w:t>
            </w:r>
          </w:p>
        </w:tc>
      </w:tr>
      <w:tr>
        <w:trPr>
          <w:trHeight w:val="182"/>
        </w:trPr>
        <w:tc>
          <w:tcPr>
            <w:tcW w:w="2580" w:type="dxa"/>
            <w:vAlign w:val="bottom"/>
          </w:tcPr>
          <w:p>
            <w:pPr>
              <w:jc w:val="center"/>
              <w:ind w:right="163"/>
              <w:spacing w:after="0"/>
              <w:rPr>
                <w:sz w:val="20"/>
                <w:szCs w:val="20"/>
                <w:color w:val="auto"/>
              </w:rPr>
            </w:pPr>
            <w:r>
              <w:rPr>
                <w:rFonts w:ascii="Arial" w:cs="Arial" w:eastAsia="Arial" w:hAnsi="Arial"/>
                <w:sz w:val="14"/>
                <w:szCs w:val="14"/>
                <w:color w:val="auto"/>
                <w:w w:val="95"/>
              </w:rPr>
              <w:t>(Address of Principal Executive Offices)</w:t>
            </w:r>
          </w:p>
        </w:tc>
        <w:tc>
          <w:tcPr>
            <w:tcW w:w="1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900" w:type="dxa"/>
            <w:vAlign w:val="bottom"/>
          </w:tcPr>
          <w:p>
            <w:pPr>
              <w:jc w:val="center"/>
              <w:ind w:left="1868"/>
              <w:spacing w:after="0"/>
              <w:rPr>
                <w:sz w:val="20"/>
                <w:szCs w:val="20"/>
                <w:color w:val="auto"/>
              </w:rPr>
            </w:pPr>
            <w:r>
              <w:rPr>
                <w:rFonts w:ascii="Arial" w:cs="Arial" w:eastAsia="Arial" w:hAnsi="Arial"/>
                <w:sz w:val="14"/>
                <w:szCs w:val="14"/>
                <w:color w:val="auto"/>
                <w:w w:val="96"/>
              </w:rPr>
              <w:t>(Zip Code)</w:t>
            </w:r>
          </w:p>
        </w:tc>
      </w:tr>
      <w:tr>
        <w:trPr>
          <w:trHeight w:val="479"/>
        </w:trPr>
        <w:tc>
          <w:tcPr>
            <w:tcW w:w="2580" w:type="dxa"/>
            <w:vAlign w:val="bottom"/>
          </w:tcPr>
          <w:p>
            <w:pPr>
              <w:spacing w:after="0"/>
              <w:rPr>
                <w:sz w:val="24"/>
                <w:szCs w:val="24"/>
                <w:color w:val="auto"/>
              </w:rPr>
            </w:pPr>
          </w:p>
        </w:tc>
        <w:tc>
          <w:tcPr>
            <w:tcW w:w="7200" w:type="dxa"/>
            <w:vAlign w:val="bottom"/>
            <w:gridSpan w:val="3"/>
          </w:tcPr>
          <w:p>
            <w:pPr>
              <w:jc w:val="center"/>
              <w:ind w:right="2248"/>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6"/>
                <w:szCs w:val="16"/>
                <w:b w:val="1"/>
                <w:bCs w:val="1"/>
                <w:color w:val="auto"/>
                <w:w w:val="92"/>
              </w:rPr>
              <w:t>(215) 286-1700</w:t>
            </w:r>
          </w:p>
        </w:tc>
      </w:tr>
      <w:tr>
        <w:trPr>
          <w:trHeight w:val="338"/>
        </w:trPr>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40" w:type="dxa"/>
            <w:vAlign w:val="bottom"/>
            <w:gridSpan w:val="2"/>
          </w:tcPr>
          <w:p>
            <w:pPr>
              <w:jc w:val="center"/>
              <w:ind w:right="3808"/>
              <w:spacing w:after="0"/>
              <w:rPr>
                <w:sz w:val="20"/>
                <w:szCs w:val="20"/>
                <w:color w:val="auto"/>
              </w:rPr>
            </w:pPr>
            <w:r>
              <w:rPr>
                <w:rFonts w:ascii="Arial" w:cs="Arial" w:eastAsia="Arial" w:hAnsi="Arial"/>
                <w:sz w:val="16"/>
                <w:szCs w:val="16"/>
                <w:b w:val="1"/>
                <w:bCs w:val="1"/>
                <w:color w:val="auto"/>
                <w:w w:val="92"/>
              </w:rPr>
              <w:t>Not Applicable</w:t>
            </w:r>
          </w:p>
        </w:tc>
      </w:tr>
      <w:tr>
        <w:trPr>
          <w:trHeight w:val="182"/>
        </w:trPr>
        <w:tc>
          <w:tcPr>
            <w:tcW w:w="2580" w:type="dxa"/>
            <w:vAlign w:val="bottom"/>
          </w:tcPr>
          <w:p>
            <w:pPr>
              <w:spacing w:after="0"/>
              <w:rPr>
                <w:sz w:val="15"/>
                <w:szCs w:val="15"/>
                <w:color w:val="auto"/>
              </w:rPr>
            </w:pPr>
          </w:p>
        </w:tc>
        <w:tc>
          <w:tcPr>
            <w:tcW w:w="7200" w:type="dxa"/>
            <w:vAlign w:val="bottom"/>
            <w:gridSpan w:val="3"/>
          </w:tcPr>
          <w:p>
            <w:pPr>
              <w:jc w:val="center"/>
              <w:ind w:right="2248"/>
              <w:spacing w:after="0"/>
              <w:rPr>
                <w:sz w:val="20"/>
                <w:szCs w:val="20"/>
                <w:color w:val="auto"/>
              </w:rPr>
            </w:pPr>
            <w:r>
              <w:rPr>
                <w:rFonts w:ascii="Arial" w:cs="Arial" w:eastAsia="Arial" w:hAnsi="Arial"/>
                <w:sz w:val="14"/>
                <w:szCs w:val="14"/>
                <w:color w:val="auto"/>
                <w:w w:val="93"/>
              </w:rPr>
              <w:t>(Former Name or Former Address, if Changed Since Last Report)</w:t>
            </w:r>
          </w:p>
        </w:tc>
      </w:tr>
      <w:tr>
        <w:trPr>
          <w:trHeight w:val="242"/>
        </w:trPr>
        <w:tc>
          <w:tcPr>
            <w:tcW w:w="25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740" w:type="dxa"/>
            <w:vAlign w:val="bottom"/>
            <w:tcBorders>
              <w:bottom w:val="single" w:sz="8" w:color="808080"/>
            </w:tcBorders>
          </w:tcPr>
          <w:p>
            <w:pPr>
              <w:spacing w:after="0"/>
              <w:rPr>
                <w:sz w:val="21"/>
                <w:szCs w:val="21"/>
                <w:color w:val="auto"/>
              </w:rPr>
            </w:pPr>
          </w:p>
        </w:tc>
        <w:tc>
          <w:tcPr>
            <w:tcW w:w="3900" w:type="dxa"/>
            <w:vAlign w:val="bottom"/>
          </w:tcPr>
          <w:p>
            <w:pPr>
              <w:spacing w:after="0"/>
              <w:rPr>
                <w:sz w:val="21"/>
                <w:szCs w:val="21"/>
                <w:color w:val="auto"/>
              </w:rPr>
            </w:pPr>
          </w:p>
        </w:tc>
      </w:tr>
    </w:tbl>
    <w:p>
      <w:pPr>
        <w:spacing w:after="0" w:line="341" w:lineRule="exact"/>
        <w:rPr>
          <w:sz w:val="24"/>
          <w:szCs w:val="24"/>
          <w:color w:val="auto"/>
        </w:rPr>
      </w:pPr>
    </w:p>
    <w:p>
      <w:pPr>
        <w:ind w:firstLine="324"/>
        <w:spacing w:after="0" w:line="293"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72" w:lineRule="exact"/>
        <w:rPr>
          <w:sz w:val="24"/>
          <w:szCs w:val="24"/>
          <w:color w:val="auto"/>
        </w:rPr>
      </w:pPr>
    </w:p>
    <w:p>
      <w:pPr>
        <w:ind w:left="980" w:hanging="576"/>
        <w:spacing w:after="0"/>
        <w:tabs>
          <w:tab w:leader="none" w:pos="98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Written communications pursuant to Rule 425 under the Securities Act (17 CFR 230.425)</w:t>
      </w:r>
    </w:p>
    <w:p>
      <w:pPr>
        <w:spacing w:after="0" w:line="159" w:lineRule="exact"/>
        <w:rPr>
          <w:rFonts w:ascii="Arial" w:cs="Arial" w:eastAsia="Arial" w:hAnsi="Arial"/>
          <w:sz w:val="29"/>
          <w:szCs w:val="29"/>
          <w:color w:val="auto"/>
          <w:vertAlign w:val="superscript"/>
        </w:rPr>
      </w:pPr>
    </w:p>
    <w:p>
      <w:pPr>
        <w:ind w:left="980" w:hanging="576"/>
        <w:spacing w:after="0" w:line="206" w:lineRule="auto"/>
        <w:tabs>
          <w:tab w:leader="none" w:pos="98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Soliciting material pursuant to Rule 14a-12(b) under the Exchange Act (17 CFR 240.14a-12(b))</w:t>
      </w:r>
    </w:p>
    <w:p>
      <w:pPr>
        <w:spacing w:after="0" w:line="159" w:lineRule="exact"/>
        <w:rPr>
          <w:rFonts w:ascii="Arial" w:cs="Arial" w:eastAsia="Arial" w:hAnsi="Arial"/>
          <w:sz w:val="29"/>
          <w:szCs w:val="29"/>
          <w:color w:val="auto"/>
          <w:vertAlign w:val="superscript"/>
        </w:rPr>
      </w:pPr>
    </w:p>
    <w:p>
      <w:pPr>
        <w:ind w:left="980" w:hanging="576"/>
        <w:spacing w:after="0" w:line="206" w:lineRule="auto"/>
        <w:tabs>
          <w:tab w:leader="none" w:pos="98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Pre-commencement communications pursuant to Rule 14d-2(b) under the Exchange Act (17 CFR 240.14d-2(b))</w:t>
      </w:r>
    </w:p>
    <w:p>
      <w:pPr>
        <w:spacing w:after="0" w:line="159" w:lineRule="exact"/>
        <w:rPr>
          <w:rFonts w:ascii="Arial" w:cs="Arial" w:eastAsia="Arial" w:hAnsi="Arial"/>
          <w:sz w:val="29"/>
          <w:szCs w:val="29"/>
          <w:color w:val="auto"/>
          <w:vertAlign w:val="superscript"/>
        </w:rPr>
      </w:pPr>
    </w:p>
    <w:p>
      <w:pPr>
        <w:ind w:left="980" w:hanging="576"/>
        <w:spacing w:after="0" w:line="206" w:lineRule="auto"/>
        <w:tabs>
          <w:tab w:leader="none" w:pos="98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297" w:right="43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5.02. Departure of Directors or Certain Officers; Election of Directors; Appointment of Certain Officers; Compensatory Arrangements of Certain Officers.</w:t>
      </w:r>
    </w:p>
    <w:p>
      <w:pPr>
        <w:spacing w:after="0" w:line="277" w:lineRule="exact"/>
        <w:rPr>
          <w:sz w:val="20"/>
          <w:szCs w:val="20"/>
          <w:color w:val="auto"/>
        </w:rPr>
      </w:pPr>
    </w:p>
    <w:p>
      <w:pPr>
        <w:ind w:firstLine="486"/>
        <w:spacing w:after="0" w:line="289" w:lineRule="auto"/>
        <w:rPr>
          <w:sz w:val="20"/>
          <w:szCs w:val="20"/>
          <w:color w:val="auto"/>
        </w:rPr>
      </w:pPr>
      <w:r>
        <w:rPr>
          <w:rFonts w:ascii="Arial" w:cs="Arial" w:eastAsia="Arial" w:hAnsi="Arial"/>
          <w:sz w:val="15"/>
          <w:szCs w:val="15"/>
          <w:color w:val="auto"/>
        </w:rPr>
        <w:t>At its meeting on December 10, 2008, the Board of Directors confirmed that the executive officers of the Company subject to Section 16 of the Securities Exchange Act are Brian L. Roberts, Chairman and Chief Executive Officer; Michael J. Angelakis, Executive Vice President and Chief Financial Officer; Stephen B. Burke, Executive Vice President, Chief Operating Officer and President, Comcast Cable; David L. Cohen, Executive Vice President; Arthur R. Block, Senior Vice President, General Counsel and Secretary; and Lawrence J. Salva, Senior Vice President, Chief Accounting Officer and Controller. The Board also elected Ralph J. Roberts as Founder and Chairman Emeritus of the Board of Directors in lieu of his current position as Chair of the Executive and Finance Committee of the Board. Mr. Roberts will continue as an active director and employee of the Company, providing the benefit of his years of experience to the Board, senior executives, and employees. As a result of these actions, Mr. Roberts is no longer a named executive officer of the Company under Securities and Exchange Commission proxy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358775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26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8"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28" w:lineRule="exact"/>
        <w:rPr>
          <w:sz w:val="20"/>
          <w:szCs w:val="20"/>
          <w:color w:val="auto"/>
        </w:rPr>
      </w:pPr>
    </w:p>
    <w:p>
      <w:pPr>
        <w:spacing w:after="0"/>
        <w:tabs>
          <w:tab w:leader="none" w:pos="560" w:val="left"/>
          <w:tab w:leader="none" w:pos="5140" w:val="left"/>
          <w:tab w:leader="none" w:pos="5600" w:val="left"/>
        </w:tabs>
        <w:rPr>
          <w:sz w:val="20"/>
          <w:szCs w:val="20"/>
          <w:color w:val="auto"/>
        </w:rPr>
      </w:pPr>
      <w:r>
        <w:rPr>
          <w:rFonts w:ascii="Arial" w:cs="Arial" w:eastAsia="Arial" w:hAnsi="Arial"/>
          <w:sz w:val="16"/>
          <w:szCs w:val="16"/>
          <w:color w:val="auto"/>
        </w:rPr>
        <w:t>Date:</w:t>
        <w:tab/>
        <w:t>December 10, 2008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17780</wp:posOffset>
            </wp:positionV>
            <wp:extent cx="23837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2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Arthur R. Block</w:t>
      </w:r>
    </w:p>
    <w:p>
      <w:pPr>
        <w:spacing w:after="0" w:line="22"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6"/>
          <w:szCs w:val="16"/>
          <w:color w:val="auto"/>
        </w:rPr>
        <w:t>Title:</w:t>
        <w:tab/>
        <w:t>Senior Vice President, General Counsel and</w:t>
      </w:r>
    </w:p>
    <w:p>
      <w:pPr>
        <w:spacing w:after="0" w:line="1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836930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61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2019-12-15T06:41:29Z</dcterms:created>
  <dcterms:modified xsi:type="dcterms:W3CDTF">2019-12-15T06:41:29Z</dcterms:modified>
</cp:coreProperties>
</file>