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 Comcast Corp.</w:t>
      </w:r>
    </w:p>
    <w:p>
      <w:pPr>
        <w:spacing w:after="0" w:line="207" w:lineRule="exact"/>
        <w:rPr>
          <w:sz w:val="24"/>
          <w:szCs w:val="24"/>
          <w:color w:val="auto"/>
        </w:rPr>
      </w:pPr>
    </w:p>
    <w:p>
      <w:pPr>
        <w:ind w:right="4839"/>
        <w:spacing w:after="0" w:line="470" w:lineRule="auto"/>
        <w:rPr>
          <w:sz w:val="20"/>
          <w:szCs w:val="20"/>
          <w:color w:val="auto"/>
        </w:rPr>
      </w:pPr>
      <w:r>
        <w:rPr>
          <w:rFonts w:ascii="Courier New" w:cs="Courier New" w:eastAsia="Courier New" w:hAnsi="Courier New"/>
          <w:sz w:val="18"/>
          <w:szCs w:val="18"/>
          <w:color w:val="auto"/>
        </w:rPr>
        <w:t>Title or Class of Securities - Class A Common Stock CUSIP Number - 0200300101</w:t>
      </w:r>
    </w:p>
    <w:p>
      <w:pPr>
        <w:spacing w:after="0" w:line="12"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0200300101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10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right="409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0200300101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10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right="4099" w:firstLine="8"/>
        <w:spacing w:after="0" w:line="235"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0200300101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10 Pages</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right="4099" w:firstLine="8"/>
        <w:spacing w:after="0" w:line="235"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0200300101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10 Pages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 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right="409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1234 Market Street</w:t>
      </w: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19107</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Twentieth Century Companies, Inc., on its behalf and on behalf 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Investors Research Corporation</w:t>
      </w:r>
    </w:p>
    <w:p>
      <w:pPr>
        <w:ind w:left="540"/>
        <w:spacing w:after="0" w:line="238" w:lineRule="auto"/>
        <w:rPr>
          <w:sz w:val="20"/>
          <w:szCs w:val="20"/>
          <w:color w:val="auto"/>
        </w:rPr>
      </w:pPr>
      <w:r>
        <w:rPr>
          <w:rFonts w:ascii="Courier New" w:cs="Courier New" w:eastAsia="Courier New" w:hAnsi="Courier New"/>
          <w:sz w:val="18"/>
          <w:szCs w:val="18"/>
          <w:color w:val="auto"/>
        </w:rPr>
        <w:t>Twentieth Century Investors, Inc.</w:t>
      </w:r>
    </w:p>
    <w:p>
      <w:pPr>
        <w:ind w:left="540"/>
        <w:spacing w:after="0"/>
        <w:rPr>
          <w:sz w:val="20"/>
          <w:szCs w:val="20"/>
          <w:color w:val="auto"/>
        </w:rPr>
      </w:pPr>
      <w:r>
        <w:rPr>
          <w:rFonts w:ascii="Courier New" w:cs="Courier New" w:eastAsia="Courier New" w:hAnsi="Courier New"/>
          <w:sz w:val="18"/>
          <w:szCs w:val="18"/>
          <w:color w:val="auto"/>
        </w:rPr>
        <w:t>James E. Stowers, Jr.</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48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4500 Main Street, P.O. Box 418210, Kansas City, MO 64141-</w:t>
      </w:r>
    </w:p>
    <w:p>
      <w:pPr>
        <w:ind w:left="540"/>
        <w:spacing w:after="0"/>
        <w:tabs>
          <w:tab w:leader="none" w:pos="1140" w:val="left"/>
          <w:tab w:leader="none" w:pos="1880" w:val="left"/>
        </w:tabs>
        <w:rPr>
          <w:sz w:val="20"/>
          <w:szCs w:val="20"/>
          <w:color w:val="auto"/>
        </w:rPr>
      </w:pPr>
      <w:r>
        <w:rPr>
          <w:rFonts w:ascii="Courier New" w:cs="Courier New" w:eastAsia="Courier New" w:hAnsi="Courier New"/>
          <w:sz w:val="18"/>
          <w:szCs w:val="18"/>
          <w:color w:val="auto"/>
        </w:rPr>
        <w:t>9210</w:t>
        <w:tab/>
        <w:t>Attn:</w:t>
      </w:r>
      <w:r>
        <w:rPr>
          <w:sz w:val="20"/>
          <w:szCs w:val="20"/>
          <w:color w:val="auto"/>
        </w:rPr>
        <w:tab/>
      </w:r>
      <w:r>
        <w:rPr>
          <w:rFonts w:ascii="Courier New" w:cs="Courier New" w:eastAsia="Courier New" w:hAnsi="Courier New"/>
          <w:sz w:val="16"/>
          <w:szCs w:val="16"/>
          <w:color w:val="auto"/>
        </w:rPr>
        <w:t>David H. Reinmiller</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0200300101</w:t>
      </w:r>
    </w:p>
    <w:p>
      <w:pPr>
        <w:spacing w:after="0" w:line="207"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 CHECK WHETHER THE PERSON FILING IS A</w:t>
      </w:r>
    </w:p>
    <w:p>
      <w:pPr>
        <w:spacing w:after="0" w:line="170" w:lineRule="exact"/>
        <w:rPr>
          <w:sz w:val="20"/>
          <w:szCs w:val="20"/>
          <w:color w:val="auto"/>
        </w:rPr>
      </w:pPr>
    </w:p>
    <w:p>
      <w:pPr>
        <w:ind w:left="1580" w:right="4199" w:hanging="1052"/>
        <w:spacing w:after="0" w:line="290" w:lineRule="auto"/>
        <w:tabs>
          <w:tab w:leader="none" w:pos="1560" w:val="left"/>
        </w:tabs>
        <w:rPr>
          <w:sz w:val="20"/>
          <w:szCs w:val="20"/>
          <w:color w:val="auto"/>
        </w:rPr>
      </w:pPr>
      <w:r>
        <w:rPr>
          <w:rFonts w:ascii="Courier New" w:cs="Courier New" w:eastAsia="Courier New" w:hAnsi="Courier New"/>
          <w:sz w:val="18"/>
          <w:szCs w:val="18"/>
          <w:color w:val="auto"/>
        </w:rPr>
        <w:t>g [ X ]</w:t>
      </w:r>
      <w:r>
        <w:rPr>
          <w:sz w:val="20"/>
          <w:szCs w:val="20"/>
          <w:color w:val="auto"/>
        </w:rPr>
        <w:tab/>
      </w:r>
      <w:r>
        <w:rPr>
          <w:rFonts w:ascii="Courier New" w:cs="Courier New" w:eastAsia="Courier New" w:hAnsi="Courier New"/>
          <w:sz w:val="16"/>
          <w:szCs w:val="16"/>
          <w:color w:val="auto"/>
        </w:rPr>
        <w:t>Parent Holding Company, in accordance with Rule 13d-1(b)(ii)(G) (Note: See Item 7).</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5359" w:hanging="525"/>
        <w:spacing w:after="0" w:line="470"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N/A</w:t>
      </w:r>
    </w:p>
    <w:p>
      <w:pPr>
        <w:spacing w:after="0" w:line="11" w:lineRule="exact"/>
        <w:rPr>
          <w:rFonts w:ascii="Courier New" w:cs="Courier New" w:eastAsia="Courier New" w:hAnsi="Courier New"/>
          <w:sz w:val="18"/>
          <w:szCs w:val="18"/>
          <w:color w:val="auto"/>
        </w:rPr>
      </w:pPr>
    </w:p>
    <w:p>
      <w:pPr>
        <w:ind w:left="1060" w:right="7359" w:hanging="525"/>
        <w:spacing w:after="0" w:line="470"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N/A</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580" w:right="4319" w:hanging="519"/>
        <w:spacing w:after="0" w:line="235"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8" w:lineRule="exact"/>
        <w:rPr>
          <w:rFonts w:ascii="Courier New" w:cs="Courier New" w:eastAsia="Courier New" w:hAnsi="Courier New"/>
          <w:sz w:val="18"/>
          <w:szCs w:val="18"/>
          <w:color w:val="auto"/>
        </w:rPr>
      </w:pPr>
    </w:p>
    <w:p>
      <w:pPr>
        <w:ind w:left="1580" w:right="4099" w:hanging="519"/>
        <w:spacing w:after="0" w:line="235"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(iii)sole power to dispose or to direct the</w:t>
      </w:r>
    </w:p>
    <w:p>
      <w:pPr>
        <w:ind w:left="1580"/>
        <w:spacing w:after="0" w:line="238" w:lineRule="auto"/>
        <w:rPr>
          <w:sz w:val="20"/>
          <w:szCs w:val="20"/>
          <w:color w:val="auto"/>
        </w:rPr>
      </w:pPr>
      <w:r>
        <w:rPr>
          <w:rFonts w:ascii="Courier New" w:cs="Courier New" w:eastAsia="Courier New" w:hAnsi="Courier New"/>
          <w:sz w:val="18"/>
          <w:szCs w:val="18"/>
          <w:color w:val="auto"/>
        </w:rPr>
        <w:t>disposition of: N/A</w:t>
      </w:r>
    </w:p>
    <w:p>
      <w:pPr>
        <w:spacing w:after="0" w:line="207" w:lineRule="exact"/>
        <w:rPr>
          <w:sz w:val="20"/>
          <w:szCs w:val="20"/>
          <w:color w:val="auto"/>
        </w:rPr>
      </w:pPr>
    </w:p>
    <w:p>
      <w:pPr>
        <w:ind w:left="1580" w:right="4419" w:hanging="519"/>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hereofthe reporting person has ceased to be the beneficial owner of more than five percent of the class of securities, check the following [X].</w:t>
      </w:r>
    </w:p>
    <w:p>
      <w:pPr>
        <w:spacing w:after="0" w:line="207" w:lineRule="exact"/>
        <w:rPr>
          <w:sz w:val="20"/>
          <w:szCs w:val="20"/>
          <w:color w:val="auto"/>
        </w:rPr>
      </w:pPr>
    </w:p>
    <w:p>
      <w:pPr>
        <w:ind w:left="1060" w:right="4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ectPr>
          <w:pgSz w:w="11900" w:h="16838" w:orient="portrait"/>
          <w:cols w:equalWidth="0" w:num="1">
            <w:col w:w="10219"/>
          </w:cols>
          <w:pgMar w:left="240" w:top="514" w:right="1440" w:bottom="0" w:gutter="0" w:footer="0" w:header="0"/>
        </w:sectPr>
      </w:pPr>
    </w:p>
    <w:bookmarkStart w:id="5" w:name="page6"/>
    <w:bookmarkEnd w:id="5"/>
    <w:p>
      <w:pPr>
        <w:ind w:right="3359" w:firstLine="527"/>
        <w:spacing w:after="0" w:line="270" w:lineRule="auto"/>
        <w:rPr>
          <w:sz w:val="20"/>
          <w:szCs w:val="20"/>
          <w:color w:val="auto"/>
        </w:rPr>
      </w:pPr>
      <w:r>
        <w:rPr>
          <w:rFonts w:ascii="Courier New" w:cs="Courier New" w:eastAsia="Courier New" w:hAnsi="Courier New"/>
          <w:sz w:val="16"/>
          <w:szCs w:val="16"/>
          <w:color w:val="auto"/>
        </w:rPr>
        <w:t>Investors Research Corporation, a registered investment adviser and a wholly-owned subsidiary of Twentieth Century Companies, Inc., manages, pursuant to management agreements, the investments of five registered investment companies, Twentieth Century Investors, Inc., Twentieth Century World Investors, Inc., Twentieth Century Capital Portfolios, Inc., Twentieth Century Premium Reserves, Inc. and TCI Portfolios, Inc. It also manages the assets of institutional investor accounts. The securities that are the subject of this report are owned by and held for such investment companies and separate institutional investor accounts. Any dividends received from such securities, or</w:t>
      </w:r>
    </w:p>
    <w:p>
      <w:pPr>
        <w:spacing w:after="0" w:line="189"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the proceeds of any sale of such securities, are for the benefit of, and are held for such investment companies and separate institutional investor accounts.</w:t>
      </w:r>
    </w:p>
    <w:p>
      <w:pPr>
        <w:spacing w:after="0" w:line="209" w:lineRule="exact"/>
        <w:rPr>
          <w:sz w:val="20"/>
          <w:szCs w:val="20"/>
          <w:color w:val="auto"/>
        </w:rPr>
      </w:pPr>
    </w:p>
    <w:p>
      <w:pPr>
        <w:ind w:right="3779" w:firstLine="527"/>
        <w:spacing w:after="0" w:line="236" w:lineRule="auto"/>
        <w:rPr>
          <w:sz w:val="20"/>
          <w:szCs w:val="20"/>
          <w:color w:val="auto"/>
        </w:rPr>
      </w:pPr>
      <w:r>
        <w:rPr>
          <w:rFonts w:ascii="Courier New" w:cs="Courier New" w:eastAsia="Courier New" w:hAnsi="Courier New"/>
          <w:sz w:val="18"/>
          <w:szCs w:val="18"/>
          <w:color w:val="auto"/>
        </w:rPr>
        <w:t>For further information regarding the ownership of the securities that are the subject of this report, see Exhibit A attached hereto.</w:t>
      </w:r>
    </w:p>
    <w:p>
      <w:pPr>
        <w:spacing w:after="0" w:line="209" w:lineRule="exact"/>
        <w:rPr>
          <w:sz w:val="20"/>
          <w:szCs w:val="20"/>
          <w:color w:val="auto"/>
        </w:rPr>
      </w:pPr>
    </w:p>
    <w:p>
      <w:pPr>
        <w:ind w:left="1060" w:right="4519" w:hanging="947"/>
        <w:spacing w:after="0" w:line="279"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attached Exhibits A and B.</w:t>
      </w:r>
    </w:p>
    <w:p>
      <w:pPr>
        <w:spacing w:after="0" w:line="207" w:lineRule="exact"/>
        <w:rPr>
          <w:sz w:val="20"/>
          <w:szCs w:val="20"/>
          <w:color w:val="auto"/>
        </w:rPr>
      </w:pPr>
    </w:p>
    <w:p>
      <w:pPr>
        <w:ind w:left="1060" w:right="41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1995</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TWENTIETH CENTURY COMPANIES, INC.</w:t>
      </w:r>
    </w:p>
    <w:p>
      <w:pPr>
        <w:spacing w:after="0" w:line="419" w:lineRule="exact"/>
        <w:rPr>
          <w:sz w:val="20"/>
          <w:szCs w:val="20"/>
          <w:color w:val="auto"/>
        </w:rPr>
      </w:pPr>
    </w:p>
    <w:p>
      <w:pPr>
        <w:sectPr>
          <w:pgSz w:w="11900" w:h="16838" w:orient="portrait"/>
          <w:cols w:equalWidth="0" w:num="2">
            <w:col w:w="2560" w:space="720"/>
            <w:col w:w="6939"/>
          </w:cols>
          <w:pgMar w:left="240" w:top="142" w:right="1440" w:bottom="1440" w:gutter="0" w:footer="0" w:header="0"/>
          <w:type w:val="continuous"/>
        </w:sectPr>
      </w:pP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William M. Lyons</w:t>
      </w:r>
    </w:p>
    <w:p>
      <w:pPr>
        <w:ind w:left="3700"/>
        <w:spacing w:after="0" w:line="238" w:lineRule="auto"/>
        <w:rPr>
          <w:sz w:val="20"/>
          <w:szCs w:val="20"/>
          <w:color w:val="auto"/>
        </w:rPr>
      </w:pPr>
      <w:r>
        <w:rPr>
          <w:rFonts w:ascii="Courier New" w:cs="Courier New" w:eastAsia="Courier New" w:hAnsi="Courier New"/>
          <w:sz w:val="18"/>
          <w:szCs w:val="18"/>
          <w:color w:val="auto"/>
        </w:rPr>
        <w:t>William M. Lyons</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Executive Vice President</w:t>
      </w:r>
    </w:p>
    <w:p>
      <w:pPr>
        <w:sectPr>
          <w:pgSz w:w="11900" w:h="16838" w:orient="portrait"/>
          <w:cols w:equalWidth="0" w:num="1">
            <w:col w:w="10219"/>
          </w:cols>
          <w:pgMar w:left="240" w:top="142"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IDENTITY AND ITEM 3 CLASSIFICATION OF A SUBSIDIARY OF PARENT HOLDING COMPANIES</w:t>
      </w:r>
    </w:p>
    <w:p>
      <w:pPr>
        <w:spacing w:after="0" w:line="208"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This Schedule 13G is being filed by Twentieth Century Companies, Inc. ("TCC"). Investors Research Corporation ("IRC"), an investment advisor registered under Section 203 of the Investment Advisors Act of 1940, is a wholly-owned subsidiary of TCC. Mr. James E. Stowers, Jr., controls TCC by virtue of his ownership of approximately 60% of the voting stock of TCC.</w:t>
      </w:r>
    </w:p>
    <w:p>
      <w:pPr>
        <w:spacing w:after="0" w:line="186"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As a result of its status as investment advisor to five investment companies registered under Section 8 of the Investment Company Act and to several institutional investors, IRC is deemed to be the beneficial owner of and has the sole authority to dispose of and vote certain shares (the "Shares") of the outstanding Class A common stock of Comcast Corp. (the "Issuer").</w:t>
      </w:r>
    </w:p>
    <w:p>
      <w:pPr>
        <w:spacing w:after="0" w:line="38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TCC, as a result of its control of IRC, and Mr. Stowers, as a result of his control of TCC, are also deemed to beneficially own all such shares deemed to be beneficially owned by IRC. Mr. Stowers, TCC and IRC all disclaim beneficial ownership of the Shares.</w:t>
      </w:r>
    </w:p>
    <w:p>
      <w:pPr>
        <w:spacing w:after="0" w:line="209"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The ownership of one investment company client of IRC, Twentieth Century Investors, Inc. ("TCI"), formerly totalled more than 5% of a class of securities of the Issuer.</w:t>
      </w:r>
    </w:p>
    <w:p>
      <w:pPr>
        <w:spacing w:after="0" w:line="209"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This Schedule 13G is being filed by TCC on behalf of TCC, IRC, TCI and Mr. Stowers.</w:t>
      </w:r>
    </w:p>
    <w:p>
      <w:pPr>
        <w:sectPr>
          <w:pgSz w:w="11900" w:h="16838" w:orient="portrait"/>
          <w:cols w:equalWidth="0" w:num="1">
            <w:col w:w="10219"/>
          </w:cols>
          <w:pgMar w:left="240" w:top="51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13d-1(f)(1)(iii) Agreement</w:t>
      </w:r>
    </w:p>
    <w:p>
      <w:pPr>
        <w:spacing w:after="0" w:line="207"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Each of the undersigned hereby agrees and consents to the execution and joint filing on its or his behalf by Twentieth Century Companies, Inc. of this Schedule 13G respecting the beneficial ownership of the common stock of Comcast Corp. at December 31, 1994.</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this 10th day of February, 1995.</w:t>
      </w:r>
    </w:p>
    <w:p>
      <w:pPr>
        <w:spacing w:after="0" w:line="20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Twentieth Century Companies, Inc.</w:t>
      </w:r>
    </w:p>
    <w:p>
      <w:pPr>
        <w:spacing w:after="0" w:line="200" w:lineRule="exact"/>
        <w:rPr>
          <w:sz w:val="20"/>
          <w:szCs w:val="20"/>
          <w:color w:val="auto"/>
        </w:rPr>
      </w:pPr>
    </w:p>
    <w:p>
      <w:pPr>
        <w:spacing w:after="0" w:line="221"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William M. Lyons</w:t>
      </w:r>
    </w:p>
    <w:p>
      <w:pPr>
        <w:ind w:left="380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Investors Research Corporation</w:t>
      </w:r>
    </w:p>
    <w:p>
      <w:pPr>
        <w:spacing w:after="0" w:line="200" w:lineRule="exact"/>
        <w:rPr>
          <w:sz w:val="20"/>
          <w:szCs w:val="20"/>
          <w:color w:val="auto"/>
        </w:rPr>
      </w:pPr>
    </w:p>
    <w:p>
      <w:pPr>
        <w:spacing w:after="0" w:line="204"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William M. Lyons</w:t>
      </w:r>
    </w:p>
    <w:p>
      <w:pPr>
        <w:ind w:left="380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Twentieth Century Investors, Inc.</w:t>
      </w:r>
    </w:p>
    <w:p>
      <w:pPr>
        <w:spacing w:after="0" w:line="200" w:lineRule="exact"/>
        <w:rPr>
          <w:sz w:val="20"/>
          <w:szCs w:val="20"/>
          <w:color w:val="auto"/>
        </w:rPr>
      </w:pPr>
    </w:p>
    <w:p>
      <w:pPr>
        <w:spacing w:after="0" w:line="221"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8"/>
          <w:szCs w:val="18"/>
          <w:color w:val="auto"/>
        </w:rPr>
        <w:t>By: /s/ William M. Lyons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William M. Lyons</w:t>
      </w:r>
    </w:p>
    <w:p>
      <w:pPr>
        <w:ind w:left="380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James E. Stowers,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James E. Stowers, Jr.</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5"/>
    </w:lvl>
  </w:abstractNum>
  <w:abstractNum w:abstractNumId="3">
    <w:nsid w:val="1F16E9E8"/>
    <w:multiLevelType w:val="hybridMultilevel"/>
    <w:lvl w:ilvl="0">
      <w:lvlJc w:val="left"/>
      <w:lvlText w:val="%1."/>
      <w:numFmt w:val="decimal"/>
      <w:start w:val="1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1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decimal"/>
      <w:start w:val="11"/>
    </w:lvl>
  </w:abstractNum>
  <w:abstractNum w:abstractNumId="16">
    <w:nsid w:val="519B500D"/>
    <w:multiLevelType w:val="hybridMultilevel"/>
    <w:lvl w:ilvl="0">
      <w:lvlJc w:val="left"/>
      <w:lvlText w:val="(%1)"/>
      <w:numFmt w:val="lowerLetter"/>
      <w:start w:val="1"/>
    </w:lvl>
    <w:lvl w:ilvl="1">
      <w:lvlJc w:val="left"/>
      <w:lvlText w:val="(%2)"/>
      <w:numFmt w:val="lowerRoman"/>
      <w:start w:val="1"/>
    </w:lvl>
  </w:abstractNum>
  <w:abstractNum w:abstractNumId="17">
    <w:nsid w:val="431BD7B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2019-12-12T23:00:31Z</dcterms:created>
  <dcterms:modified xsi:type="dcterms:W3CDTF">2019-12-12T23:00:31Z</dcterms:modified>
</cp:coreProperties>
</file>