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333-158816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November 17, 2010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625,000,000 5.500% NOTES DUE 2029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382" w:right="2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240"/>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5.500% Notes due 2029</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3560"/>
        <w:spacing w:after="0"/>
        <w:rPr>
          <w:sz w:val="20"/>
          <w:szCs w:val="20"/>
          <w:color w:val="auto"/>
        </w:rPr>
      </w:pPr>
      <w:r>
        <w:rPr>
          <w:rFonts w:ascii="Arial" w:cs="Arial" w:eastAsia="Arial" w:hAnsi="Arial"/>
          <w:sz w:val="15"/>
          <w:szCs w:val="15"/>
          <w:color w:val="auto"/>
        </w:rPr>
        <w:t>£50,000 and multiples of £1,000 in excess thereof</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£625,000,000</w:t>
      </w:r>
    </w:p>
    <w:p>
      <w:pPr>
        <w:spacing w:after="0" w:line="205"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Maturity: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November 23, 2029</w:t>
      </w:r>
    </w:p>
    <w:p>
      <w:pPr>
        <w:spacing w:after="0" w:line="205"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5.500% per annum (computed on the basis of the actual number of days in the period for which interest is being calculated and the actual number of days from and including the date from which interest begins to accrue for the period (or November 23, 2010 if no interest has been paid on the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66"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November 23 commencing November 23, 2011</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Pricing Benchmark: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UK Gilt 6.000% due 12/2028</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UK Gilt Spot (Yield):</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125-15 (4.026% )</w:t>
      </w:r>
    </w:p>
    <w:p>
      <w:pPr>
        <w:spacing w:after="0" w:line="200"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Spread to Benchmark:</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+140 bps</w:t>
      </w:r>
    </w:p>
    <w:p>
      <w:pPr>
        <w:spacing w:after="0" w:line="205"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Yield to Maturity (s.a):</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5.426%</w:t>
      </w:r>
    </w:p>
    <w:p>
      <w:pPr>
        <w:spacing w:after="0" w:line="205" w:lineRule="exact"/>
        <w:rPr>
          <w:sz w:val="24"/>
          <w:szCs w:val="24"/>
          <w:color w:val="auto"/>
        </w:rPr>
      </w:pPr>
    </w:p>
    <w:p>
      <w:pPr>
        <w:sectPr>
          <w:pgSz w:w="11900" w:h="16838" w:orient="portrait"/>
          <w:cols w:equalWidth="0" w:num="2">
            <w:col w:w="3640" w:space="720"/>
            <w:col w:w="7060"/>
          </w:cols>
          <w:pgMar w:left="240" w:top="38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Makewhole Redemption:</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2660"/>
        <w:spacing w:after="0"/>
        <w:rPr>
          <w:sz w:val="20"/>
          <w:szCs w:val="20"/>
          <w:color w:val="auto"/>
        </w:rPr>
      </w:pPr>
      <w:r>
        <w:rPr>
          <w:rFonts w:ascii="Arial" w:cs="Arial" w:eastAsia="Arial" w:hAnsi="Arial"/>
          <w:sz w:val="15"/>
          <w:szCs w:val="15"/>
          <w:color w:val="auto"/>
        </w:rPr>
        <w:t>The Notes are redeemable at the option of the Company at any</w:t>
      </w:r>
    </w:p>
    <w:p>
      <w:pPr>
        <w:sectPr>
          <w:pgSz w:w="11900" w:h="16838" w:orient="portrait"/>
          <w:cols w:equalWidth="0" w:num="2">
            <w:col w:w="3640" w:space="720"/>
            <w:col w:w="7060"/>
          </w:cols>
          <w:pgMar w:left="240" w:top="382"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time, in whole or in part, at a redemption price equal to the greater of (i) 100% of the principal amount of the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-938530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unlimited amount of additional 5.500% Notes due 2029 may be issued. The 5.500% Notes due 2029 and any additional 5.500% Notes due 2029 that may be issued may be treated as a single series for all purposes under the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20030N BC4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XS0562326214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100.00% plus accrued interest, if any, from November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99.35% per £1,000 principal amount of Notes; £620,937,500 total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intends to use the proceeds from this offering, after deducting fees and expenses, for working capital and general corporate purposes, which may include funding a portion of its payment to General Electric Company due upon closing of the NBC Universal transaction (as described in the Company’s Quarterly Report on Form 10-Q for the quarterly period ended September 30, 2010).</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Indenture dated as of January 7, 2003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640" w:space="720"/>
            <w:col w:w="704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Baa1; S&amp;P: BBB+; Fitch: BBB+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-205105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7020"/>
          </w:cols>
          <w:pgMar w:left="240" w:top="274" w:right="27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Deutsche Bank AG, London Branch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200"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November 17, 2010</w:t>
      </w:r>
    </w:p>
    <w:p>
      <w:pPr>
        <w:spacing w:after="0" w:line="205"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November 23, 2010 (T+4)</w:t>
      </w:r>
    </w:p>
    <w:p>
      <w:pPr>
        <w:spacing w:after="0" w:line="200"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of Payment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payments of interest and principal, including any payments made upon any redemption of the Notes, will be made in Sterling, or, if the United Kingdom adopts euro as its lawful currency, in euro. If Sterling or, in the event the Notes are redenominated into euro, euro is unavailable to the Company due to the imposition of exchange controls or other circumstances beyond the Company’s control, then all payments in respect of the Notes will be made in U.S. dollars until Sterling or euro, as the case may be, is again available to the Company or so used.</w:t>
      </w:r>
    </w:p>
    <w:p>
      <w:pPr>
        <w:spacing w:after="0" w:line="168"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Additional Amounts</w:t>
      </w:r>
    </w:p>
    <w:p>
      <w:pPr>
        <w:spacing w:after="0" w:line="20" w:lineRule="exact"/>
        <w:rPr>
          <w:sz w:val="20"/>
          <w:szCs w:val="20"/>
          <w:color w:val="auto"/>
        </w:rPr>
      </w:pPr>
      <w:r>
        <w:rPr>
          <w:sz w:val="20"/>
          <w:szCs w:val="20"/>
          <w:color w:val="auto"/>
        </w:rPr>
        <w:br w:type="column"/>
      </w:r>
    </w:p>
    <w:p>
      <w:pPr>
        <w:ind w:right="260"/>
        <w:spacing w:after="0" w:line="291" w:lineRule="auto"/>
        <w:rPr>
          <w:sz w:val="20"/>
          <w:szCs w:val="20"/>
          <w:color w:val="auto"/>
        </w:rPr>
      </w:pPr>
      <w:r>
        <w:rPr>
          <w:rFonts w:ascii="Arial" w:cs="Arial" w:eastAsia="Arial" w:hAnsi="Arial"/>
          <w:sz w:val="16"/>
          <w:szCs w:val="16"/>
          <w:color w:val="auto"/>
        </w:rPr>
        <w:t>The Company will, subject to certain exceptions and limitations, pay additional amounts on the Notes as are necessary in order that the net payment by the Company or a paying agent of the principal of and interest on the Notes to a holder who is not a United States person, after withholding or deduction for any present or future tax, assessment or other governmental charge imposed by the United States or a taxing authority in the United States will not be less than the amount provided in the Notes to be then due and payable.</w:t>
      </w:r>
    </w:p>
    <w:p>
      <w:pPr>
        <w:spacing w:after="0" w:line="168"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Redemption for Tax Reasons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The Company may offer to redeem all but not part of the Notes in the event of certain changes in the tax laws of the United States (or any taxing authority in the United States). This redemption would be at 100% of the principal amount, together with interest accrued but unpaid on the Notes to the date fixed for redemption.</w:t>
      </w:r>
    </w:p>
    <w:p>
      <w:pPr>
        <w:spacing w:after="0" w:line="191"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Paying Agent</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The Bank of New York Mellon, London Branch</w:t>
      </w:r>
    </w:p>
    <w:p>
      <w:pPr>
        <w:spacing w:after="0" w:line="200"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886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Company intends to apply to list the Notes on the New York Stock Exchange.</w:t>
      </w:r>
    </w:p>
    <w:p>
      <w:pPr>
        <w:spacing w:after="0" w:line="205" w:lineRule="exact"/>
        <w:rPr>
          <w:sz w:val="20"/>
          <w:szCs w:val="20"/>
          <w:color w:val="auto"/>
        </w:rPr>
      </w:pPr>
    </w:p>
    <w:p>
      <w:pPr>
        <w:sectPr>
          <w:pgSz w:w="11900" w:h="16838" w:orient="portrait"/>
          <w:cols w:equalWidth="0" w:num="2">
            <w:col w:w="3640" w:space="720"/>
            <w:col w:w="7020"/>
          </w:cols>
          <w:pgMar w:left="240" w:top="274" w:right="279" w:bottom="1440" w:gutter="0" w:footer="0" w:header="0"/>
          <w:type w:val="continuous"/>
        </w:sectPr>
      </w:pPr>
    </w:p>
    <w:p>
      <w:pPr>
        <w:spacing w:after="0" w:line="189" w:lineRule="exact"/>
        <w:rPr>
          <w:sz w:val="20"/>
          <w:szCs w:val="20"/>
          <w:color w:val="auto"/>
        </w:rPr>
      </w:pPr>
    </w:p>
    <w:p>
      <w:pPr>
        <w:ind w:left="5680" w:right="800" w:hanging="4759"/>
        <w:spacing w:after="0" w:line="440" w:lineRule="auto"/>
        <w:tabs>
          <w:tab w:leader="none" w:pos="1382" w:val="left"/>
        </w:tabs>
        <w:numPr>
          <w:ilvl w:val="0"/>
          <w:numId w:val="1"/>
        </w:numPr>
        <w:rPr>
          <w:rFonts w:ascii="Arial" w:cs="Arial" w:eastAsia="Arial" w:hAnsi="Arial"/>
          <w:sz w:val="11"/>
          <w:szCs w:val="11"/>
          <w:color w:val="auto"/>
        </w:rPr>
      </w:pPr>
      <w:r>
        <w:rPr>
          <w:rFonts w:ascii="Arial" w:cs="Arial" w:eastAsia="Arial" w:hAnsi="Arial"/>
          <w:sz w:val="18"/>
          <w:szCs w:val="18"/>
          <w:color w:val="auto"/>
        </w:rPr>
        <w:t>A securities rating is not a recommendation to buy, sell or hold securities and may be subject to revision or withdrawal at any time. 3</w:t>
      </w:r>
    </w:p>
    <w:p>
      <w:pPr>
        <w:sectPr>
          <w:pgSz w:w="11900" w:h="16838" w:orient="portrait"/>
          <w:cols w:equalWidth="0" w:num="1">
            <w:col w:w="11380"/>
          </w:cols>
          <w:pgMar w:left="240" w:top="274" w:right="279" w:bottom="1440" w:gutter="0" w:footer="0" w:header="0"/>
          <w:type w:val="continuous"/>
        </w:sectPr>
      </w:pPr>
    </w:p>
    <w:bookmarkStart w:id="3" w:name="page4"/>
    <w:bookmarkEnd w:id="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November 23, 2010,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T+4, to specify an alternative settlement cycle at the time of any such trade to prevent failed settlement and should consult their own advisors.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Barclays Bank PLC toll-free at 1-888-603-5847, Deutsche Bank AG, London Branch toll-free at 1-800-503-4611, Goldman Sachs International toll-free at 1-866-471-2526 or The Royal Bank of Scotland plc toll-free at 1-866-884-2071.</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sectPr>
      <w:pgSz w:w="11900" w:h="16838" w:orient="portrait"/>
      <w:cols w:equalWidth="0" w:num="1">
        <w:col w:w="11180"/>
      </w:cols>
      <w:pgMar w:left="240" w:top="34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2019-12-10T21:29:11Z</dcterms:created>
  <dcterms:modified xsi:type="dcterms:W3CDTF">2019-12-10T21:29:11Z</dcterms:modified>
</cp:coreProperties>
</file>