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right="3119" w:hanging="4614"/>
        <w:spacing w:after="0" w:line="277" w:lineRule="auto"/>
        <w:rPr>
          <w:sz w:val="20"/>
          <w:szCs w:val="20"/>
          <w:color w:val="auto"/>
        </w:rPr>
      </w:pPr>
      <w:r>
        <w:rPr>
          <w:rFonts w:ascii="Courier New" w:cs="Courier New" w:eastAsia="Courier New" w:hAnsi="Courier New"/>
          <w:sz w:val="14"/>
          <w:szCs w:val="14"/>
          <w:color w:val="auto"/>
        </w:rPr>
        <w:t>As Filed with the Securities and Exchange Commission on September 15, 1999 Registration No. 333-81391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98"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45"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AMENDMENT NO. 2</w:t>
      </w:r>
    </w:p>
    <w:p>
      <w:pPr>
        <w:spacing w:after="0" w:line="27"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S-3</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THE SECURITIES ACT OF 1933</w:t>
      </w:r>
    </w:p>
    <w:p>
      <w:pPr>
        <w:spacing w:after="0" w:line="316"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jc w:val="center"/>
              <w:ind w:left="2106"/>
              <w:spacing w:after="0"/>
              <w:rPr>
                <w:sz w:val="20"/>
                <w:szCs w:val="20"/>
                <w:color w:val="auto"/>
              </w:rPr>
            </w:pPr>
            <w:r>
              <w:rPr>
                <w:rFonts w:ascii="Courier New" w:cs="Courier New" w:eastAsia="Courier New" w:hAnsi="Courier New"/>
                <w:sz w:val="15"/>
                <w:szCs w:val="15"/>
                <w:color w:val="auto"/>
                <w:w w:val="98"/>
              </w:rPr>
              <w:t>COMCAST CORPORATION</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71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0" w:type="dxa"/>
            <w:vAlign w:val="bottom"/>
          </w:tcPr>
          <w:p>
            <w:pPr>
              <w:spacing w:after="0"/>
              <w:rPr>
                <w:sz w:val="1"/>
                <w:szCs w:val="1"/>
                <w:color w:val="auto"/>
              </w:rPr>
            </w:pPr>
          </w:p>
        </w:tc>
      </w:tr>
      <w:tr>
        <w:trPr>
          <w:trHeight w:val="341"/>
        </w:trPr>
        <w:tc>
          <w:tcPr>
            <w:tcW w:w="48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20" w:type="dxa"/>
            <w:vAlign w:val="bottom"/>
          </w:tcPr>
          <w:p>
            <w:pPr>
              <w:jc w:val="center"/>
              <w:ind w:right="2106"/>
              <w:spacing w:after="0"/>
              <w:rPr>
                <w:sz w:val="20"/>
                <w:szCs w:val="20"/>
                <w:color w:val="auto"/>
              </w:rPr>
            </w:pPr>
            <w:r>
              <w:rPr>
                <w:rFonts w:ascii="Courier New" w:cs="Courier New" w:eastAsia="Courier New" w:hAnsi="Courier New"/>
                <w:sz w:val="15"/>
                <w:szCs w:val="15"/>
                <w:color w:val="auto"/>
                <w:w w:val="99"/>
              </w:rPr>
              <w:t>Pennsylvania</w:t>
            </w:r>
          </w:p>
        </w:tc>
        <w:tc>
          <w:tcPr>
            <w:tcW w:w="2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23-1709202</w:t>
            </w:r>
          </w:p>
        </w:tc>
        <w:tc>
          <w:tcPr>
            <w:tcW w:w="0" w:type="dxa"/>
            <w:vAlign w:val="bottom"/>
          </w:tcPr>
          <w:p>
            <w:pPr>
              <w:spacing w:after="0"/>
              <w:rPr>
                <w:sz w:val="1"/>
                <w:szCs w:val="1"/>
                <w:color w:val="auto"/>
              </w:rPr>
            </w:pPr>
          </w:p>
        </w:tc>
      </w:tr>
      <w:tr>
        <w:trPr>
          <w:trHeight w:val="171"/>
        </w:trPr>
        <w:tc>
          <w:tcPr>
            <w:tcW w:w="48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(State or</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jurisdiction of</w:t>
            </w:r>
          </w:p>
        </w:tc>
        <w:tc>
          <w:tcPr>
            <w:tcW w:w="2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2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(I.R.S. Employer</w:t>
            </w:r>
          </w:p>
        </w:tc>
        <w:tc>
          <w:tcPr>
            <w:tcW w:w="0" w:type="dxa"/>
            <w:vAlign w:val="bottom"/>
          </w:tcPr>
          <w:p>
            <w:pPr>
              <w:spacing w:after="0"/>
              <w:rPr>
                <w:sz w:val="1"/>
                <w:szCs w:val="1"/>
                <w:color w:val="auto"/>
              </w:rPr>
            </w:pPr>
          </w:p>
        </w:tc>
      </w:tr>
      <w:tr>
        <w:trPr>
          <w:trHeight w:val="249"/>
        </w:trPr>
        <w:tc>
          <w:tcPr>
            <w:tcW w:w="4820" w:type="dxa"/>
            <w:vAlign w:val="bottom"/>
          </w:tcPr>
          <w:p>
            <w:pPr>
              <w:jc w:val="center"/>
              <w:ind w:right="2086"/>
              <w:spacing w:after="0"/>
              <w:rPr>
                <w:sz w:val="20"/>
                <w:szCs w:val="20"/>
                <w:color w:val="auto"/>
              </w:rPr>
            </w:pPr>
            <w:r>
              <w:rPr>
                <w:rFonts w:ascii="Courier New" w:cs="Courier New" w:eastAsia="Courier New" w:hAnsi="Courier New"/>
                <w:sz w:val="15"/>
                <w:szCs w:val="15"/>
                <w:color w:val="auto"/>
                <w:w w:val="98"/>
              </w:rPr>
              <w:t>incorporation or organization)</w:t>
            </w:r>
          </w:p>
        </w:tc>
        <w:tc>
          <w:tcPr>
            <w:tcW w:w="2280" w:type="dxa"/>
            <w:vAlign w:val="bottom"/>
          </w:tcPr>
          <w:p>
            <w:pPr>
              <w:ind w:left="320"/>
              <w:spacing w:after="0"/>
              <w:rPr>
                <w:sz w:val="20"/>
                <w:szCs w:val="20"/>
                <w:color w:val="auto"/>
              </w:rPr>
            </w:pPr>
            <w:r>
              <w:rPr>
                <w:rFonts w:ascii="Courier New" w:cs="Courier New" w:eastAsia="Courier New" w:hAnsi="Courier New"/>
                <w:sz w:val="15"/>
                <w:szCs w:val="15"/>
                <w:color w:val="auto"/>
                <w:w w:val="97"/>
              </w:rPr>
              <w:t>Identification Number)</w:t>
            </w: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See Table of Additional Registrants</w:t>
      </w:r>
    </w:p>
    <w:p>
      <w:pPr>
        <w:spacing w:after="0" w:line="27"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(215) 665-1700</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(Address, including zip code, and telephone number, including area</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code, of Registrant's principal executive offices)</w:t>
      </w:r>
    </w:p>
    <w:p>
      <w:pPr>
        <w:spacing w:after="0" w:line="14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John R. Alchin, Senior Vice President and Treasurer</w:t>
      </w:r>
    </w:p>
    <w:p>
      <w:pPr>
        <w:spacing w:after="0" w:line="2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(215) 665-1700</w:t>
      </w:r>
    </w:p>
    <w:p>
      <w:pPr>
        <w:spacing w:after="0" w:line="1"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1"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45"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Copies of communications to:</w:t>
      </w:r>
    </w:p>
    <w:p>
      <w:pPr>
        <w:spacing w:after="0" w:line="2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Bruce K. Dallas, Esquire</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Davis Polk &amp; Wardwell</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450 Lexington Avenue</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New York, New York 10017</w:t>
      </w:r>
    </w:p>
    <w:p>
      <w:pPr>
        <w:spacing w:after="0" w:line="1" w:lineRule="exact"/>
        <w:rPr>
          <w:sz w:val="24"/>
          <w:szCs w:val="24"/>
          <w:color w:val="auto"/>
        </w:rPr>
      </w:pPr>
    </w:p>
    <w:p>
      <w:pPr>
        <w:ind w:left="3460" w:hanging="540"/>
        <w:spacing w:after="0"/>
        <w:tabs>
          <w:tab w:leader="none" w:pos="34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450-4000</w:t>
      </w:r>
    </w:p>
    <w:p>
      <w:pPr>
        <w:spacing w:after="0" w:line="145" w:lineRule="exact"/>
        <w:rPr>
          <w:rFonts w:ascii="Courier New" w:cs="Courier New" w:eastAsia="Courier New" w:hAnsi="Courier New"/>
          <w:sz w:val="15"/>
          <w:szCs w:val="15"/>
          <w:color w:val="auto"/>
        </w:rPr>
      </w:pPr>
    </w:p>
    <w:p>
      <w:pPr>
        <w:ind w:left="2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12" w:lineRule="exact"/>
        <w:rPr>
          <w:sz w:val="24"/>
          <w:szCs w:val="24"/>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52" w:lineRule="exact"/>
        <w:rPr>
          <w:sz w:val="24"/>
          <w:szCs w:val="24"/>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please check the following box. [x]</w:t>
      </w:r>
    </w:p>
    <w:p>
      <w:pPr>
        <w:spacing w:after="0" w:line="72" w:lineRule="exact"/>
        <w:rPr>
          <w:sz w:val="24"/>
          <w:szCs w:val="24"/>
          <w:color w:val="auto"/>
        </w:rPr>
      </w:pPr>
    </w:p>
    <w:p>
      <w:pPr>
        <w:jc w:val="both"/>
        <w:ind w:right="3479" w:firstLine="444"/>
        <w:spacing w:after="0" w:line="303"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52" w:lineRule="exact"/>
        <w:rPr>
          <w:sz w:val="24"/>
          <w:szCs w:val="24"/>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number of the earlier effective registration statement for the same offering. [ ]</w:t>
      </w:r>
    </w:p>
    <w:p>
      <w:pPr>
        <w:spacing w:after="0" w:line="66" w:lineRule="exact"/>
        <w:rPr>
          <w:sz w:val="24"/>
          <w:szCs w:val="24"/>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2"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Pursuant to Rule 429 promulgated under the Securities Act of 1933, the prospectus which forms a part of this Registration Statement also relates to the remaining $295,774,064 initial offering price of Securities registered under the Registrant's Registration Statement on Form S-3, File No. 333-74289, which was declared effective on March 11, 1999.</w:t>
      </w:r>
    </w:p>
    <w:p>
      <w:pPr>
        <w:spacing w:after="0" w:line="242"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48" w:right="1440" w:bottom="0" w:gutter="0" w:footer="0" w:header="0"/>
        </w:sectPr>
      </w:pPr>
    </w:p>
    <w:bookmarkStart w:id="1" w:name="page2"/>
    <w:bookmarkEnd w:id="1"/>
    <w:p>
      <w:pPr>
        <w:ind w:left="44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DATES AS MAY BE NECESSARY TO DELAY ITS EFFECTIVE DATE UNTIL THE REGISTRANT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FILE A FURTHER AMENDMENT WHICH SPECIFICALLY STATES THAT THIS REGISTRATION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SHALL THEREAFTER BECOME EFFECTIVE IN ACCORDANCE WITH SECTION 8(a)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ACT OF 1933 OR UNTIL THE REGISTRATION STATEMENT SHALL BECOME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ON SUCH DATE AS THE COMMISSION, ACTING PURSUANT TO SAID SECTION 8(a),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DETERMINE.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Additional Registrants</w:t>
      </w:r>
    </w:p>
    <w:p>
      <w:pPr>
        <w:sectPr>
          <w:pgSz w:w="11900" w:h="16838" w:orient="portrait"/>
          <w:cols w:equalWidth="0" w:num="1">
            <w:col w:w="10280"/>
          </w:cols>
          <w:pgMar w:left="240" w:top="286"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Comcast Corporation Trust I</w:t>
      </w:r>
    </w:p>
    <w:p>
      <w:pPr>
        <w:spacing w:after="0" w:line="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Corporation Trust II</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Corporation Trust III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(Exact name of registrant as Specified in</w:t>
      </w:r>
    </w:p>
    <w:p>
      <w:pPr>
        <w:spacing w:after="0" w:line="1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its Charter)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2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Other Jurisdiction or</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 be applied for</w:t>
      </w:r>
    </w:p>
    <w:p>
      <w:pPr>
        <w:spacing w:after="0" w:line="2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 be applied for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 be applied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81" w:lineRule="exact"/>
        <w:rPr>
          <w:sz w:val="20"/>
          <w:szCs w:val="20"/>
          <w:color w:val="auto"/>
        </w:rPr>
      </w:pPr>
    </w:p>
    <w:p>
      <w:pPr>
        <w:sectPr>
          <w:pgSz w:w="11900" w:h="16838" w:orient="portrait"/>
          <w:cols w:equalWidth="0" w:num="3">
            <w:col w:w="3620" w:space="280"/>
            <w:col w:w="2740" w:space="460"/>
            <w:col w:w="3180"/>
          </w:cols>
          <w:pgMar w:left="240" w:top="286" w:right="13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80"/>
          </w:cols>
          <w:pgMar w:left="240" w:top="286" w:right="1379" w:bottom="1440" w:gutter="0" w:footer="0" w:header="0"/>
          <w:type w:val="continuous"/>
        </w:sectPr>
      </w:pPr>
    </w:p>
    <w:bookmarkStart w:id="2" w:name="page3"/>
    <w:bookmarkEnd w:id="2"/>
    <w:p>
      <w:pPr>
        <w:ind w:left="9" w:right="3399"/>
        <w:spacing w:after="0" w:line="269"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is not permitted.</w:t>
      </w:r>
    </w:p>
    <w:p>
      <w:pPr>
        <w:spacing w:after="0" w:line="2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PROSPECTUS Subject to Completion</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Issued September 15, 1999</w:t>
      </w:r>
    </w:p>
    <w:p>
      <w:pPr>
        <w:spacing w:after="0" w:line="316"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Comcast Corporation</w:t>
      </w:r>
    </w:p>
    <w:p>
      <w:pPr>
        <w:spacing w:after="0" w:line="27"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COMCAST CORPORATION TRUST I</w:t>
      </w:r>
    </w:p>
    <w:p>
      <w:pPr>
        <w:spacing w:after="0" w:line="1" w:lineRule="exact"/>
        <w:rPr>
          <w:sz w:val="20"/>
          <w:szCs w:val="20"/>
          <w:color w:val="auto"/>
        </w:rPr>
      </w:pPr>
    </w:p>
    <w:p>
      <w:pPr>
        <w:ind w:left="9"/>
        <w:spacing w:after="0"/>
        <w:tabs>
          <w:tab w:leader="none" w:pos="2289" w:val="left"/>
        </w:tabs>
        <w:rPr>
          <w:sz w:val="20"/>
          <w:szCs w:val="20"/>
          <w:color w:val="auto"/>
        </w:rPr>
      </w:pPr>
      <w:r>
        <w:rPr>
          <w:rFonts w:ascii="Courier New" w:cs="Courier New" w:eastAsia="Courier New" w:hAnsi="Courier New"/>
          <w:sz w:val="15"/>
          <w:szCs w:val="15"/>
          <w:color w:val="auto"/>
        </w:rPr>
        <w:t>$3,000,000,000</w:t>
      </w:r>
      <w:r>
        <w:rPr>
          <w:sz w:val="20"/>
          <w:szCs w:val="20"/>
          <w:color w:val="auto"/>
        </w:rPr>
        <w:tab/>
      </w:r>
      <w:r>
        <w:rPr>
          <w:rFonts w:ascii="Courier New" w:cs="Courier New" w:eastAsia="Courier New" w:hAnsi="Courier New"/>
          <w:sz w:val="14"/>
          <w:szCs w:val="14"/>
          <w:color w:val="auto"/>
        </w:rPr>
        <w:t>COMCAST CORPORATION TRUST II</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COMCAST CORPORATION TRUST III</w:t>
      </w:r>
    </w:p>
    <w:p>
      <w:pPr>
        <w:spacing w:after="0" w:line="145"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1500 Market Street</w:t>
      </w:r>
    </w:p>
    <w:p>
      <w:pPr>
        <w:spacing w:after="0" w:line="27"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 w:lineRule="exact"/>
        <w:rPr>
          <w:sz w:val="20"/>
          <w:szCs w:val="20"/>
          <w:color w:val="auto"/>
        </w:rPr>
      </w:pPr>
    </w:p>
    <w:p>
      <w:pPr>
        <w:ind w:left="3469" w:hanging="540"/>
        <w:spacing w:after="0"/>
        <w:tabs>
          <w:tab w:leader="none" w:pos="346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665-1700</w:t>
      </w: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9" w:right="3579"/>
        <w:spacing w:after="0" w:line="353" w:lineRule="auto"/>
        <w:rPr>
          <w:sz w:val="20"/>
          <w:szCs w:val="20"/>
          <w:color w:val="auto"/>
        </w:rPr>
      </w:pPr>
      <w:r>
        <w:rPr>
          <w:rFonts w:ascii="Courier New" w:cs="Courier New" w:eastAsia="Courier New" w:hAnsi="Courier New"/>
          <w:sz w:val="15"/>
          <w:szCs w:val="15"/>
          <w:color w:val="auto"/>
        </w:rPr>
        <w:t>The following are types of securities that we may offer and sell under this prospectus:</w:t>
      </w:r>
    </w:p>
    <w:p>
      <w:pPr>
        <w:spacing w:after="0" w:line="12" w:lineRule="exact"/>
        <w:rPr>
          <w:sz w:val="20"/>
          <w:szCs w:val="20"/>
          <w:color w:val="auto"/>
        </w:rPr>
      </w:pPr>
    </w:p>
    <w:tbl>
      <w:tblPr>
        <w:tblLayout w:type="fixed"/>
        <w:tblInd w:w="349" w:type="dxa"/>
        <w:tblCellMar>
          <w:top w:w="0" w:type="dxa"/>
          <w:left w:w="0" w:type="dxa"/>
          <w:bottom w:w="0" w:type="dxa"/>
          <w:right w:w="0" w:type="dxa"/>
        </w:tblCellMar>
      </w:tblP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160" w:type="dxa"/>
            <w:vAlign w:val="bottom"/>
          </w:tcPr>
          <w:p>
            <w:pPr>
              <w:ind w:left="140"/>
              <w:spacing w:after="0"/>
              <w:rPr>
                <w:sz w:val="20"/>
                <w:szCs w:val="20"/>
                <w:color w:val="auto"/>
              </w:rPr>
            </w:pPr>
            <w:r>
              <w:rPr>
                <w:rFonts w:ascii="Courier New" w:cs="Courier New" w:eastAsia="Courier New" w:hAnsi="Courier New"/>
                <w:sz w:val="15"/>
                <w:szCs w:val="15"/>
                <w:color w:val="auto"/>
              </w:rPr>
              <w:t>Class A common stock</w:t>
            </w:r>
          </w:p>
        </w:tc>
        <w:tc>
          <w:tcPr>
            <w:tcW w:w="30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   Class A special common stock</w:t>
            </w:r>
          </w:p>
        </w:tc>
      </w:t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160" w:type="dxa"/>
            <w:vAlign w:val="bottom"/>
          </w:tcPr>
          <w:p>
            <w:pPr>
              <w:ind w:left="140"/>
              <w:spacing w:after="0"/>
              <w:rPr>
                <w:sz w:val="20"/>
                <w:szCs w:val="20"/>
                <w:color w:val="auto"/>
              </w:rPr>
            </w:pPr>
            <w:r>
              <w:rPr>
                <w:rFonts w:ascii="Courier New" w:cs="Courier New" w:eastAsia="Courier New" w:hAnsi="Courier New"/>
                <w:sz w:val="15"/>
                <w:szCs w:val="15"/>
                <w:color w:val="auto"/>
              </w:rPr>
              <w:t>Preferred stock</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40"/>
              <w:spacing w:after="0"/>
              <w:rPr>
                <w:sz w:val="20"/>
                <w:szCs w:val="20"/>
                <w:color w:val="auto"/>
              </w:rPr>
            </w:pPr>
            <w:r>
              <w:rPr>
                <w:rFonts w:ascii="Courier New" w:cs="Courier New" w:eastAsia="Courier New" w:hAnsi="Courier New"/>
                <w:sz w:val="15"/>
                <w:szCs w:val="15"/>
                <w:color w:val="auto"/>
              </w:rPr>
              <w:t>Purchase contracts</w:t>
            </w:r>
          </w:p>
        </w:tc>
      </w:tr>
      <w:tr>
        <w:trPr>
          <w:trHeight w:val="197"/>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160" w:type="dxa"/>
            <w:vAlign w:val="bottom"/>
          </w:tcPr>
          <w:p>
            <w:pPr>
              <w:ind w:left="140"/>
              <w:spacing w:after="0"/>
              <w:rPr>
                <w:sz w:val="20"/>
                <w:szCs w:val="20"/>
                <w:color w:val="auto"/>
              </w:rPr>
            </w:pPr>
            <w:r>
              <w:rPr>
                <w:rFonts w:ascii="Courier New" w:cs="Courier New" w:eastAsia="Courier New" w:hAnsi="Courier New"/>
                <w:sz w:val="15"/>
                <w:szCs w:val="15"/>
                <w:color w:val="auto"/>
              </w:rPr>
              <w:t>Unsecured senior debt securities</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40"/>
              <w:spacing w:after="0"/>
              <w:rPr>
                <w:sz w:val="20"/>
                <w:szCs w:val="20"/>
                <w:color w:val="auto"/>
              </w:rPr>
            </w:pPr>
            <w:r>
              <w:rPr>
                <w:rFonts w:ascii="Courier New" w:cs="Courier New" w:eastAsia="Courier New" w:hAnsi="Courier New"/>
                <w:sz w:val="15"/>
                <w:szCs w:val="15"/>
                <w:color w:val="auto"/>
              </w:rPr>
              <w:t>Depositary shares</w:t>
            </w:r>
          </w:p>
        </w:tc>
      </w:tr>
    </w:tbl>
    <w:p>
      <w:pPr>
        <w:ind w:left="889" w:right="7119" w:hanging="534"/>
        <w:spacing w:after="0" w:line="241" w:lineRule="auto"/>
        <w:tabs>
          <w:tab w:leader="none" w:pos="71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subordinated debt securities</w:t>
      </w:r>
    </w:p>
    <w:p>
      <w:pPr>
        <w:ind w:left="709" w:hanging="354"/>
        <w:spacing w:after="0"/>
        <w:tabs>
          <w:tab w:leader="none" w:pos="70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w:t>
      </w:r>
    </w:p>
    <w:p>
      <w:pPr>
        <w:ind w:left="709" w:hanging="354"/>
        <w:spacing w:after="0"/>
        <w:tabs>
          <w:tab w:leader="none" w:pos="70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Units</w:t>
      </w:r>
    </w:p>
    <w:p>
      <w:pPr>
        <w:spacing w:after="0" w:line="145" w:lineRule="exact"/>
        <w:rPr>
          <w:sz w:val="20"/>
          <w:szCs w:val="20"/>
          <w:color w:val="auto"/>
        </w:rPr>
      </w:pPr>
    </w:p>
    <w:p>
      <w:pPr>
        <w:ind w:left="9" w:right="3299" w:firstLine="355"/>
        <w:spacing w:after="0" w:line="353" w:lineRule="auto"/>
        <w:rPr>
          <w:sz w:val="20"/>
          <w:szCs w:val="20"/>
          <w:color w:val="auto"/>
        </w:rPr>
      </w:pPr>
      <w:r>
        <w:rPr>
          <w:rFonts w:ascii="Courier New" w:cs="Courier New" w:eastAsia="Courier New" w:hAnsi="Courier New"/>
          <w:sz w:val="15"/>
          <w:szCs w:val="15"/>
          <w:color w:val="auto"/>
        </w:rPr>
        <w:t>In addition, we, in conjunction with our newly created trust subsidiaries, may offer and sell:</w:t>
      </w:r>
    </w:p>
    <w:p>
      <w:pPr>
        <w:spacing w:after="0" w:line="12" w:lineRule="exact"/>
        <w:rPr>
          <w:sz w:val="20"/>
          <w:szCs w:val="20"/>
          <w:color w:val="auto"/>
        </w:rPr>
      </w:pPr>
    </w:p>
    <w:p>
      <w:pPr>
        <w:ind w:left="709" w:hanging="354"/>
        <w:spacing w:after="0"/>
        <w:tabs>
          <w:tab w:leader="none" w:pos="70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trust preferred securities and guarantees thereof</w:t>
      </w:r>
    </w:p>
    <w:p>
      <w:pPr>
        <w:spacing w:after="0" w:line="171" w:lineRule="exact"/>
        <w:rPr>
          <w:sz w:val="20"/>
          <w:szCs w:val="20"/>
          <w:color w:val="auto"/>
        </w:rPr>
      </w:pPr>
    </w:p>
    <w:p>
      <w:pPr>
        <w:ind w:left="9" w:right="3219" w:firstLine="355"/>
        <w:spacing w:after="0" w:line="297" w:lineRule="auto"/>
        <w:rPr>
          <w:sz w:val="20"/>
          <w:szCs w:val="20"/>
          <w:color w:val="auto"/>
        </w:rPr>
      </w:pPr>
      <w:r>
        <w:rPr>
          <w:rFonts w:ascii="Courier New" w:cs="Courier New" w:eastAsia="Courier New" w:hAnsi="Courier New"/>
          <w:sz w:val="15"/>
          <w:szCs w:val="15"/>
          <w:color w:val="auto"/>
        </w:rPr>
        <w:t>We will describe in a prospectus supplement, which must accompany this prospectus, the securities we are offering and selling, as well as the specific terms of the securities. Those terms may include:</w:t>
      </w:r>
    </w:p>
    <w:p>
      <w:pPr>
        <w:spacing w:after="0" w:line="52" w:lineRule="exact"/>
        <w:rPr>
          <w:sz w:val="20"/>
          <w:szCs w:val="20"/>
          <w:color w:val="auto"/>
        </w:rPr>
      </w:pPr>
    </w:p>
    <w:tbl>
      <w:tblPr>
        <w:tblLayout w:type="fixed"/>
        <w:tblInd w:w="349" w:type="dxa"/>
        <w:tblCellMar>
          <w:top w:w="0" w:type="dxa"/>
          <w:left w:w="0" w:type="dxa"/>
          <w:bottom w:w="0" w:type="dxa"/>
          <w:right w:w="0" w:type="dxa"/>
        </w:tblCellMar>
      </w:tblP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40"/>
              <w:spacing w:after="0"/>
              <w:rPr>
                <w:sz w:val="20"/>
                <w:szCs w:val="20"/>
                <w:color w:val="auto"/>
              </w:rPr>
            </w:pPr>
            <w:r>
              <w:rPr>
                <w:rFonts w:ascii="Courier New" w:cs="Courier New" w:eastAsia="Courier New" w:hAnsi="Courier New"/>
                <w:sz w:val="15"/>
                <w:szCs w:val="15"/>
                <w:color w:val="auto"/>
              </w:rPr>
              <w:t>Maturity</w:t>
            </w:r>
          </w:p>
        </w:tc>
        <w:tc>
          <w:tcPr>
            <w:tcW w:w="940" w:type="dxa"/>
            <w:vAlign w:val="bottom"/>
          </w:tcPr>
          <w:p>
            <w:pPr>
              <w:ind w:left="720"/>
              <w:spacing w:after="0"/>
              <w:rPr>
                <w:sz w:val="20"/>
                <w:szCs w:val="20"/>
                <w:color w:val="auto"/>
              </w:rPr>
            </w:pPr>
            <w:r>
              <w:rPr>
                <w:rFonts w:ascii="Courier New" w:cs="Courier New" w:eastAsia="Courier New" w:hAnsi="Courier New"/>
                <w:sz w:val="15"/>
                <w:szCs w:val="15"/>
                <w:color w:val="auto"/>
              </w:rPr>
              <w:t>o</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Redemption</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terms</w:t>
            </w:r>
          </w:p>
        </w:tc>
      </w:t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40"/>
              <w:spacing w:after="0"/>
              <w:rPr>
                <w:sz w:val="20"/>
                <w:szCs w:val="20"/>
                <w:color w:val="auto"/>
              </w:rPr>
            </w:pPr>
            <w:r>
              <w:rPr>
                <w:rFonts w:ascii="Courier New" w:cs="Courier New" w:eastAsia="Courier New" w:hAnsi="Courier New"/>
                <w:sz w:val="15"/>
                <w:szCs w:val="15"/>
                <w:color w:val="auto"/>
              </w:rPr>
              <w:t>Interest rate</w:t>
            </w:r>
          </w:p>
        </w:tc>
        <w:tc>
          <w:tcPr>
            <w:tcW w:w="200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o   Listing on</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a securities exchange</w:t>
            </w:r>
          </w:p>
        </w:tc>
      </w:t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40"/>
              <w:spacing w:after="0"/>
              <w:rPr>
                <w:sz w:val="20"/>
                <w:szCs w:val="20"/>
                <w:color w:val="auto"/>
              </w:rPr>
            </w:pPr>
            <w:r>
              <w:rPr>
                <w:rFonts w:ascii="Courier New" w:cs="Courier New" w:eastAsia="Courier New" w:hAnsi="Courier New"/>
                <w:sz w:val="15"/>
                <w:szCs w:val="15"/>
                <w:color w:val="auto"/>
              </w:rPr>
              <w:t>Sinking fund terms</w:t>
            </w:r>
          </w:p>
        </w:tc>
        <w:tc>
          <w:tcPr>
            <w:tcW w:w="940" w:type="dxa"/>
            <w:vAlign w:val="bottom"/>
          </w:tcPr>
          <w:p>
            <w:pPr>
              <w:ind w:left="720"/>
              <w:spacing w:after="0"/>
              <w:rPr>
                <w:sz w:val="20"/>
                <w:szCs w:val="20"/>
                <w:color w:val="auto"/>
              </w:rPr>
            </w:pPr>
            <w:r>
              <w:rPr>
                <w:rFonts w:ascii="Courier New" w:cs="Courier New" w:eastAsia="Courier New" w:hAnsi="Courier New"/>
                <w:sz w:val="15"/>
                <w:szCs w:val="15"/>
                <w:color w:val="auto"/>
              </w:rPr>
              <w:t>o</w:t>
            </w:r>
          </w:p>
        </w:tc>
        <w:tc>
          <w:tcPr>
            <w:tcW w:w="2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Amount payable at maturity</w:t>
            </w:r>
          </w:p>
        </w:tc>
      </w:t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40"/>
              <w:spacing w:after="0"/>
              <w:rPr>
                <w:sz w:val="20"/>
                <w:szCs w:val="20"/>
                <w:color w:val="auto"/>
              </w:rPr>
            </w:pPr>
            <w:r>
              <w:rPr>
                <w:rFonts w:ascii="Courier New" w:cs="Courier New" w:eastAsia="Courier New" w:hAnsi="Courier New"/>
                <w:sz w:val="15"/>
                <w:szCs w:val="15"/>
                <w:color w:val="auto"/>
              </w:rPr>
              <w:t>Currency of payments</w:t>
            </w:r>
          </w:p>
        </w:tc>
        <w:tc>
          <w:tcPr>
            <w:tcW w:w="940" w:type="dxa"/>
            <w:vAlign w:val="bottom"/>
          </w:tcPr>
          <w:p>
            <w:pPr>
              <w:ind w:left="720"/>
              <w:spacing w:after="0"/>
              <w:rPr>
                <w:sz w:val="20"/>
                <w:szCs w:val="20"/>
                <w:color w:val="auto"/>
              </w:rPr>
            </w:pPr>
            <w:r>
              <w:rPr>
                <w:rFonts w:ascii="Courier New" w:cs="Courier New" w:eastAsia="Courier New" w:hAnsi="Courier New"/>
                <w:sz w:val="15"/>
                <w:szCs w:val="15"/>
                <w:color w:val="auto"/>
              </w:rPr>
              <w:t>o</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Conversion</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or exchange rights</w:t>
            </w:r>
          </w:p>
        </w:tc>
      </w:tr>
      <w:tr>
        <w:trPr>
          <w:trHeight w:val="197"/>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40"/>
              <w:spacing w:after="0"/>
              <w:rPr>
                <w:sz w:val="20"/>
                <w:szCs w:val="20"/>
                <w:color w:val="auto"/>
              </w:rPr>
            </w:pPr>
            <w:r>
              <w:rPr>
                <w:rFonts w:ascii="Courier New" w:cs="Courier New" w:eastAsia="Courier New" w:hAnsi="Courier New"/>
                <w:sz w:val="15"/>
                <w:szCs w:val="15"/>
                <w:color w:val="auto"/>
              </w:rPr>
              <w:t>Dividends</w:t>
            </w:r>
          </w:p>
        </w:tc>
        <w:tc>
          <w:tcPr>
            <w:tcW w:w="940" w:type="dxa"/>
            <w:vAlign w:val="bottom"/>
          </w:tcPr>
          <w:p>
            <w:pPr>
              <w:ind w:left="720"/>
              <w:spacing w:after="0"/>
              <w:rPr>
                <w:sz w:val="20"/>
                <w:szCs w:val="20"/>
                <w:color w:val="auto"/>
              </w:rPr>
            </w:pPr>
            <w:r>
              <w:rPr>
                <w:rFonts w:ascii="Courier New" w:cs="Courier New" w:eastAsia="Courier New" w:hAnsi="Courier New"/>
                <w:sz w:val="15"/>
                <w:szCs w:val="15"/>
                <w:color w:val="auto"/>
              </w:rPr>
              <w:t>o</w:t>
            </w:r>
          </w:p>
        </w:tc>
        <w:tc>
          <w:tcPr>
            <w:tcW w:w="2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Liquidation amount</w:t>
            </w:r>
          </w:p>
        </w:tc>
      </w:tr>
    </w:tbl>
    <w:p>
      <w:pPr>
        <w:ind w:left="9"/>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p>
      <w:pPr>
        <w:ind w:left="9" w:right="3579" w:firstLine="355"/>
        <w:spacing w:after="0" w:line="353" w:lineRule="auto"/>
        <w:rPr>
          <w:sz w:val="20"/>
          <w:szCs w:val="20"/>
          <w:color w:val="auto"/>
        </w:rPr>
      </w:pPr>
      <w:r>
        <w:rPr>
          <w:rFonts w:ascii="Courier New" w:cs="Courier New" w:eastAsia="Courier New" w:hAnsi="Courier New"/>
          <w:sz w:val="15"/>
          <w:szCs w:val="15"/>
          <w:color w:val="auto"/>
        </w:rPr>
        <w:t>Investing in the securities involves risks that are described under the caption "Risk Factors" beginning on page 3.</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9" w:right="3579" w:firstLine="444"/>
        <w:spacing w:after="0" w:line="278" w:lineRule="auto"/>
        <w:rPr>
          <w:sz w:val="20"/>
          <w:szCs w:val="20"/>
          <w:color w:val="auto"/>
        </w:rPr>
      </w:pPr>
      <w:r>
        <w:rPr>
          <w:rFonts w:ascii="Courier New" w:cs="Courier New" w:eastAsia="Courier New" w:hAnsi="Courier New"/>
          <w:sz w:val="15"/>
          <w:szCs w:val="15"/>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6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9" w:right="3219" w:firstLine="444"/>
        <w:spacing w:after="0" w:line="292" w:lineRule="auto"/>
        <w:rPr>
          <w:sz w:val="20"/>
          <w:szCs w:val="20"/>
          <w:color w:val="auto"/>
        </w:rPr>
      </w:pPr>
      <w:r>
        <w:rPr>
          <w:rFonts w:ascii="Courier New" w:cs="Courier New" w:eastAsia="Courier New" w:hAnsi="Courier New"/>
          <w:sz w:val="14"/>
          <w:szCs w:val="14"/>
          <w:color w:val="auto"/>
        </w:rPr>
        <w:t>We may offer the securities in amounts, at prices and on terms determined at the time of offering. We and our trust subsidiaries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59" w:lineRule="exact"/>
        <w:rPr>
          <w:sz w:val="20"/>
          <w:szCs w:val="20"/>
          <w:color w:val="auto"/>
        </w:rPr>
      </w:pPr>
    </w:p>
    <w:p>
      <w:pPr>
        <w:ind w:left="9"/>
        <w:spacing w:after="0"/>
        <w:tabs>
          <w:tab w:leader="none" w:pos="1049" w:val="left"/>
        </w:tabs>
        <w:rPr>
          <w:sz w:val="20"/>
          <w:szCs w:val="20"/>
          <w:color w:val="auto"/>
        </w:rPr>
      </w:pPr>
      <w:r>
        <w:rPr>
          <w:rFonts w:ascii="Courier New" w:cs="Courier New" w:eastAsia="Courier New" w:hAnsi="Courier New"/>
          <w:sz w:val="15"/>
          <w:szCs w:val="15"/>
          <w:color w:val="auto"/>
        </w:rPr>
        <w:t>September</w:t>
      </w:r>
      <w:r>
        <w:rPr>
          <w:sz w:val="20"/>
          <w:szCs w:val="20"/>
          <w:color w:val="auto"/>
        </w:rPr>
        <w:tab/>
      </w:r>
      <w:r>
        <w:rPr>
          <w:rFonts w:ascii="Courier New" w:cs="Courier New" w:eastAsia="Courier New" w:hAnsi="Courier New"/>
          <w:sz w:val="15"/>
          <w:szCs w:val="15"/>
          <w:color w:val="auto"/>
        </w:rPr>
        <w:t>, 1999.</w:t>
      </w:r>
    </w:p>
    <w:p>
      <w:pPr>
        <w:sectPr>
          <w:pgSz w:w="11900" w:h="16838" w:orient="portrait"/>
          <w:cols w:equalWidth="0" w:num="1">
            <w:col w:w="10228"/>
          </w:cols>
          <w:pgMar w:left="231" w:top="77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9"/>
        </w:trPr>
        <w:tc>
          <w:tcPr>
            <w:tcW w:w="1320" w:type="dxa"/>
            <w:vAlign w:val="bottom"/>
          </w:tcPr>
          <w:p>
            <w:pPr>
              <w:spacing w:after="0"/>
              <w:rPr>
                <w:sz w:val="21"/>
                <w:szCs w:val="21"/>
                <w:color w:val="auto"/>
              </w:rPr>
            </w:pPr>
          </w:p>
        </w:tc>
        <w:tc>
          <w:tcPr>
            <w:tcW w:w="49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1320" w:type="dxa"/>
            <w:vAlign w:val="bottom"/>
          </w:tcPr>
          <w:p>
            <w:pPr>
              <w:spacing w:after="0"/>
              <w:rPr>
                <w:sz w:val="24"/>
                <w:szCs w:val="24"/>
                <w:color w:val="auto"/>
              </w:rPr>
            </w:pPr>
          </w:p>
        </w:tc>
        <w:tc>
          <w:tcPr>
            <w:tcW w:w="4980" w:type="dxa"/>
            <w:vAlign w:val="bottom"/>
          </w:tcPr>
          <w:p>
            <w:pPr>
              <w:ind w:left="98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6"/>
              </w:rPr>
              <w:t>Risk Factors............................................................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6"/>
              </w:rPr>
              <w:t>Special Note Regarding Forward-Looking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6"/>
              </w:rPr>
              <w:t>Comcast Corporation.....................................................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6"/>
              </w:rPr>
              <w:t>Trust Subsidiaries......................................................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Use of Proceeds</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Dividend Policy</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line="170" w:lineRule="exact"/>
              <w:rPr>
                <w:sz w:val="20"/>
                <w:szCs w:val="20"/>
                <w:color w:val="auto"/>
              </w:rPr>
            </w:pPr>
            <w:r>
              <w:rPr>
                <w:rFonts w:ascii="Courier New" w:cs="Courier New" w:eastAsia="Courier New" w:hAnsi="Courier New"/>
                <w:sz w:val="12"/>
                <w:szCs w:val="12"/>
                <w:color w:val="auto"/>
                <w:w w:val="96"/>
              </w:rPr>
              <w:t>Ratio of Earnings to Fixed Charges and to</w:t>
            </w:r>
            <w:r>
              <w:rPr>
                <w:rFonts w:ascii="Courier New" w:cs="Courier New" w:eastAsia="Courier New" w:hAnsi="Courier New"/>
                <w:sz w:val="20"/>
                <w:szCs w:val="20"/>
                <w:color w:val="auto"/>
                <w:w w:val="96"/>
                <w:vertAlign w:val="subscript"/>
              </w:rPr>
              <w:t>.................................</w:t>
            </w:r>
            <w:r>
              <w:rPr>
                <w:rFonts w:ascii="Courier New" w:cs="Courier New" w:eastAsia="Courier New" w:hAnsi="Courier New"/>
                <w:sz w:val="12"/>
                <w:szCs w:val="12"/>
                <w:color w:val="auto"/>
                <w:w w:val="96"/>
              </w:rPr>
              <w:t>CombinedFixed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1"/>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Charges and Preferred Stock Dividends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line="170" w:lineRule="exact"/>
              <w:rPr>
                <w:sz w:val="20"/>
                <w:szCs w:val="20"/>
                <w:color w:val="auto"/>
              </w:rPr>
            </w:pPr>
            <w:r>
              <w:rPr>
                <w:rFonts w:ascii="Courier New" w:cs="Courier New" w:eastAsia="Courier New" w:hAnsi="Courier New"/>
                <w:sz w:val="20"/>
                <w:szCs w:val="20"/>
                <w:color w:val="auto"/>
                <w:w w:val="94"/>
                <w:vertAlign w:val="superscript"/>
              </w:rPr>
              <w:t>the Senior Debt</w:t>
            </w:r>
            <w:r>
              <w:rPr>
                <w:rFonts w:ascii="Courier New" w:cs="Courier New" w:eastAsia="Courier New" w:hAnsi="Courier New"/>
                <w:sz w:val="12"/>
                <w:szCs w:val="12"/>
                <w:color w:val="auto"/>
                <w:w w:val="94"/>
              </w:rPr>
              <w:t>..........................................</w:t>
            </w:r>
            <w:r>
              <w:rPr>
                <w:rFonts w:ascii="Courier New" w:cs="Courier New" w:eastAsia="Courier New" w:hAnsi="Courier New"/>
                <w:sz w:val="20"/>
                <w:szCs w:val="20"/>
                <w:color w:val="auto"/>
                <w:w w:val="94"/>
                <w:vertAlign w:val="superscript"/>
              </w:rPr>
              <w:t>Securitiesand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1"/>
        </w:trPr>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Subordinated</w:t>
            </w:r>
          </w:p>
        </w:tc>
        <w:tc>
          <w:tcPr>
            <w:tcW w:w="498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Warrants................................................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Purchase 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Units...................................................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the Guaranteed Trust Preferred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rPr>
              <w:t>the Guaranteed Trust Preferred Securities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21</w:t>
            </w:r>
          </w:p>
        </w:tc>
        <w:tc>
          <w:tcPr>
            <w:tcW w:w="0" w:type="dxa"/>
            <w:vAlign w:val="bottom"/>
          </w:tcPr>
          <w:p>
            <w:pPr>
              <w:spacing w:after="0"/>
              <w:rPr>
                <w:sz w:val="1"/>
                <w:szCs w:val="1"/>
                <w:color w:val="auto"/>
              </w:rPr>
            </w:pPr>
          </w:p>
        </w:tc>
      </w:tr>
      <w:tr>
        <w:trPr>
          <w:trHeight w:val="171"/>
        </w:trPr>
        <w:tc>
          <w:tcPr>
            <w:tcW w:w="63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Guarantees...........................................................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8"/>
              </w:rPr>
              <w:t>Global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Preferred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Depositary Shares.......................................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Description of</w:t>
            </w:r>
          </w:p>
        </w:tc>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Common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8"/>
              </w:rPr>
              <w:t>Plan of Distribution...................................................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8"/>
              </w:rPr>
              <w:t>Legal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8"/>
              </w:rPr>
              <w:t>Experts................................................................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c>
          <w:tcPr>
            <w:tcW w:w="0" w:type="dxa"/>
            <w:vAlign w:val="bottom"/>
          </w:tcPr>
          <w:p>
            <w:pPr>
              <w:spacing w:after="0"/>
              <w:rPr>
                <w:sz w:val="1"/>
                <w:szCs w:val="1"/>
                <w:color w:val="auto"/>
              </w:rPr>
            </w:pP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8"/>
              </w:rPr>
              <w:t>Available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c>
          <w:tcPr>
            <w:tcW w:w="0" w:type="dxa"/>
            <w:vAlign w:val="bottom"/>
          </w:tcPr>
          <w:p>
            <w:pPr>
              <w:spacing w:after="0"/>
              <w:rPr>
                <w:sz w:val="1"/>
                <w:szCs w:val="1"/>
                <w:color w:val="auto"/>
              </w:rPr>
            </w:pPr>
          </w:p>
        </w:tc>
      </w:tr>
      <w:tr>
        <w:trPr>
          <w:trHeight w:val="249"/>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Incorporation of Certain Documents by Reference........................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946" w:right="1440" w:bottom="1440" w:gutter="0" w:footer="0" w:header="0"/>
        </w:sectPr>
      </w:pPr>
    </w:p>
    <w:bookmarkStart w:id="4" w:name="page5"/>
    <w:bookmarkEnd w:id="4"/>
    <w:p>
      <w:pPr>
        <w:ind w:left="2840"/>
        <w:spacing w:after="0"/>
        <w:rPr>
          <w:sz w:val="20"/>
          <w:szCs w:val="20"/>
          <w:color w:val="auto"/>
        </w:rPr>
      </w:pPr>
      <w:r>
        <w:rPr>
          <w:rFonts w:ascii="Courier New" w:cs="Courier New" w:eastAsia="Courier New" w:hAnsi="Courier New"/>
          <w:sz w:val="15"/>
          <w:szCs w:val="15"/>
          <w:color w:val="auto"/>
        </w:rPr>
        <w:t>RISK FACTORS</w:t>
      </w:r>
    </w:p>
    <w:p>
      <w:pPr>
        <w:spacing w:after="0" w:line="171" w:lineRule="exact"/>
        <w:rPr>
          <w:sz w:val="20"/>
          <w:szCs w:val="20"/>
          <w:color w:val="auto"/>
        </w:rPr>
      </w:pPr>
    </w:p>
    <w:p>
      <w:pPr>
        <w:ind w:right="3399" w:firstLine="444"/>
        <w:spacing w:after="0" w:line="297" w:lineRule="auto"/>
        <w:rPr>
          <w:sz w:val="20"/>
          <w:szCs w:val="20"/>
          <w:color w:val="auto"/>
        </w:rPr>
      </w:pPr>
      <w:r>
        <w:rPr>
          <w:rFonts w:ascii="Courier New" w:cs="Courier New" w:eastAsia="Courier New" w:hAnsi="Courier New"/>
          <w:sz w:val="15"/>
          <w:szCs w:val="15"/>
          <w:color w:val="auto"/>
        </w:rPr>
        <w:t>You should carefully review the information contained in this prospectus and in the other reports we file with the SEC, but should particularly consider the following matters.</w:t>
      </w:r>
    </w:p>
    <w:p>
      <w:pPr>
        <w:spacing w:after="0" w:line="52"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Our Ability to Successfully Integrate Our New Cable Communications Operations Will Affect Our Future Results of Operations.</w:t>
      </w:r>
    </w:p>
    <w:p>
      <w:pPr>
        <w:spacing w:after="0" w:line="12" w:lineRule="exact"/>
        <w:rPr>
          <w:sz w:val="20"/>
          <w:szCs w:val="20"/>
          <w:color w:val="auto"/>
        </w:rPr>
      </w:pPr>
    </w:p>
    <w:p>
      <w:pPr>
        <w:ind w:right="3399" w:firstLine="444"/>
        <w:spacing w:after="0" w:line="273" w:lineRule="auto"/>
        <w:rPr>
          <w:sz w:val="20"/>
          <w:szCs w:val="20"/>
          <w:color w:val="auto"/>
        </w:rPr>
      </w:pPr>
      <w:r>
        <w:rPr>
          <w:rFonts w:ascii="Courier New" w:cs="Courier New" w:eastAsia="Courier New" w:hAnsi="Courier New"/>
          <w:sz w:val="14"/>
          <w:szCs w:val="14"/>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5.6 million, as of June 30, 1999, to in excess of 8 million. We will be acquiring systems in new communities in which we do not have established relationships with the local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73" w:lineRule="exact"/>
        <w:rPr>
          <w:sz w:val="20"/>
          <w:szCs w:val="20"/>
          <w:color w:val="auto"/>
        </w:rPr>
      </w:pPr>
    </w:p>
    <w:p>
      <w:pPr>
        <w:ind w:right="3299"/>
        <w:spacing w:after="0" w:line="297" w:lineRule="auto"/>
        <w:rPr>
          <w:sz w:val="20"/>
          <w:szCs w:val="20"/>
          <w:color w:val="auto"/>
        </w:rPr>
      </w:pPr>
      <w:r>
        <w:rPr>
          <w:rFonts w:ascii="Courier New" w:cs="Courier New" w:eastAsia="Courier New" w:hAnsi="Courier New"/>
          <w:sz w:val="15"/>
          <w:szCs w:val="15"/>
          <w:color w:val="auto"/>
        </w:rPr>
        <w:t>Our Ability to Pay Our Obligations, Including Our Obligation to Pay Holders of Our Securities, Is Dependent Upon Payments That We Receive from Our Subsidiaries.</w:t>
      </w:r>
    </w:p>
    <w:p>
      <w:pPr>
        <w:spacing w:after="0" w:line="52"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Our ability to pay our obligations, including our obligation to make payments on the securities we are offering, depends upon our subsidiaries' results of operations and on their paying us under the terms of our management agreements with them for programming, and for investments and advances we have made to them. Our subsidiaries are separate and distinct legal entities and have no obligation whatsoever to pay any amounts due on the securities we are offering or to make funds available to us. Some of our subsidiaries' loan agreements require them to maintain certain financial ratios and restrict their ability to make dividends, pay management fees and advance funds to affiliated entities, including us.</w:t>
      </w:r>
    </w:p>
    <w:p>
      <w:pPr>
        <w:spacing w:after="0" w:line="86" w:lineRule="exact"/>
        <w:rPr>
          <w:sz w:val="20"/>
          <w:szCs w:val="20"/>
          <w:color w:val="auto"/>
        </w:rPr>
      </w:pPr>
    </w:p>
    <w:p>
      <w:pPr>
        <w:ind w:right="3219" w:firstLine="444"/>
        <w:spacing w:after="0" w:line="285" w:lineRule="auto"/>
        <w:rPr>
          <w:sz w:val="20"/>
          <w:szCs w:val="20"/>
          <w:color w:val="auto"/>
        </w:rPr>
      </w:pPr>
      <w:r>
        <w:rPr>
          <w:rFonts w:ascii="Courier New" w:cs="Courier New" w:eastAsia="Courier New" w:hAnsi="Courier New"/>
          <w:sz w:val="14"/>
          <w:szCs w:val="14"/>
          <w:color w:val="auto"/>
        </w:rPr>
        <w:t>Our subsidiaries must satisfy all of their liabilities, including paying their trade creditors and preferred stockholders in full, before their assets will become available to us to pay holders of our debt securities and our trust subsidiaries' guaranteed trust preferred securities. In addition, even if we are a creditor of one of our subsidiaries, our claim would be subordinated to any security interest in its assets and to any of its indebtedness.</w:t>
      </w:r>
    </w:p>
    <w:p>
      <w:pPr>
        <w:spacing w:after="0" w:line="65"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We Face a Wide Range of Competition in Areas Served by Our Cable Systems, Which Could Affect Our Future Results of Operations.</w:t>
      </w:r>
    </w:p>
    <w:p>
      <w:pPr>
        <w:spacing w:after="0" w:line="12"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78"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Our Competition May Increase Because of Technological and Other Advances, Which Could Affect Our Future Results of Operations.</w:t>
      </w:r>
    </w:p>
    <w:p>
      <w:pPr>
        <w:spacing w:after="0" w:line="1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Recently, a number of companies, including telephone companies and ISPs have asked local authorities and the FCC to mandate that cable operators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expect other advances in communications</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46" w:right="1440" w:bottom="1440" w:gutter="0" w:footer="0" w:header="0"/>
        </w:sectPr>
      </w:pPr>
    </w:p>
    <w:bookmarkStart w:id="5" w:name="page6"/>
    <w:bookmarkEnd w:id="5"/>
    <w:p>
      <w:pPr>
        <w:ind w:right="3119"/>
        <w:spacing w:after="0" w:line="269" w:lineRule="auto"/>
        <w:rPr>
          <w:sz w:val="20"/>
          <w:szCs w:val="20"/>
          <w:color w:val="auto"/>
        </w:rPr>
      </w:pPr>
      <w:r>
        <w:rPr>
          <w:rFonts w:ascii="Courier New" w:cs="Courier New" w:eastAsia="Courier New" w:hAnsi="Courier New"/>
          <w:sz w:val="15"/>
          <w:szCs w:val="15"/>
          <w:color w:val="auto"/>
        </w:rPr>
        <w:t>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72" w:lineRule="exact"/>
        <w:rPr>
          <w:sz w:val="20"/>
          <w:szCs w:val="20"/>
          <w:color w:val="auto"/>
        </w:rPr>
      </w:pPr>
    </w:p>
    <w:p>
      <w:pPr>
        <w:ind w:right="4199"/>
        <w:spacing w:after="0" w:line="353" w:lineRule="auto"/>
        <w:rPr>
          <w:sz w:val="20"/>
          <w:szCs w:val="20"/>
          <w:color w:val="auto"/>
        </w:rPr>
      </w:pPr>
      <w:r>
        <w:rPr>
          <w:rFonts w:ascii="Courier New" w:cs="Courier New" w:eastAsia="Courier New" w:hAnsi="Courier New"/>
          <w:sz w:val="15"/>
          <w:szCs w:val="15"/>
          <w:color w:val="auto"/>
        </w:rPr>
        <w:t>Our Cost of Providing Programming May Increase More Than That of Our Competitors, Which Could Make Our Services Less Competitive.</w:t>
      </w:r>
    </w:p>
    <w:p>
      <w:pPr>
        <w:spacing w:after="0" w:line="12" w:lineRule="exact"/>
        <w:rPr>
          <w:sz w:val="20"/>
          <w:szCs w:val="20"/>
          <w:color w:val="auto"/>
        </w:rPr>
      </w:pPr>
    </w:p>
    <w:p>
      <w:pPr>
        <w:ind w:right="3299" w:firstLine="444"/>
        <w:spacing w:after="0" w:line="255" w:lineRule="auto"/>
        <w:rPr>
          <w:sz w:val="20"/>
          <w:szCs w:val="20"/>
          <w:color w:val="auto"/>
        </w:rPr>
      </w:pPr>
      <w:r>
        <w:rPr>
          <w:rFonts w:ascii="Courier New" w:cs="Courier New" w:eastAsia="Courier New" w:hAnsi="Courier New"/>
          <w:sz w:val="15"/>
          <w:szCs w:val="15"/>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 are higher than our costs today, particularly for sports programming, which could make our service less competitive.</w:t>
      </w:r>
    </w:p>
    <w:p>
      <w:pPr>
        <w:spacing w:after="0" w:line="82" w:lineRule="exact"/>
        <w:rPr>
          <w:sz w:val="20"/>
          <w:szCs w:val="20"/>
          <w:color w:val="auto"/>
        </w:rPr>
      </w:pPr>
    </w:p>
    <w:p>
      <w:pPr>
        <w:ind w:right="3299"/>
        <w:spacing w:after="0" w:line="297" w:lineRule="auto"/>
        <w:rPr>
          <w:sz w:val="20"/>
          <w:szCs w:val="20"/>
          <w:color w:val="auto"/>
        </w:rPr>
      </w:pPr>
      <w:r>
        <w:rPr>
          <w:rFonts w:ascii="Courier New" w:cs="Courier New" w:eastAsia="Courier New" w:hAnsi="Courier New"/>
          <w:sz w:val="15"/>
          <w:szCs w:val="15"/>
          <w:color w:val="auto"/>
        </w:rPr>
        <w:t>We Face Competition in Electronic Retailing from the Retail Industry and Other Satellite-Transmitted Programs, Which Could Affect QVC's Future Results of Operations.</w:t>
      </w:r>
    </w:p>
    <w:p>
      <w:pPr>
        <w:spacing w:after="0" w:line="223"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249" w:lineRule="exact"/>
        <w:rPr>
          <w:sz w:val="20"/>
          <w:szCs w:val="20"/>
          <w:color w:val="auto"/>
        </w:rPr>
      </w:pPr>
    </w:p>
    <w:p>
      <w:pPr>
        <w:ind w:right="4459"/>
        <w:spacing w:after="0" w:line="353" w:lineRule="auto"/>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1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77" w:lineRule="exact"/>
        <w:rPr>
          <w:sz w:val="20"/>
          <w:szCs w:val="20"/>
          <w:color w:val="auto"/>
        </w:rPr>
      </w:pPr>
    </w:p>
    <w:p>
      <w:pPr>
        <w:ind w:right="3479"/>
        <w:spacing w:after="0" w:line="387" w:lineRule="auto"/>
        <w:rPr>
          <w:sz w:val="20"/>
          <w:szCs w:val="20"/>
          <w:color w:val="auto"/>
        </w:rPr>
      </w:pPr>
      <w:r>
        <w:rPr>
          <w:rFonts w:ascii="Courier New" w:cs="Courier New" w:eastAsia="Courier New" w:hAnsi="Courier New"/>
          <w:sz w:val="14"/>
          <w:szCs w:val="14"/>
          <w:color w:val="auto"/>
        </w:rPr>
        <w:t>Our Indentures Do Not Restrict Our Ability to Incur Additional Indebtedness, Which Could Make Our Debt Securities More Risky in the Future.</w:t>
      </w:r>
    </w:p>
    <w:p>
      <w:pPr>
        <w:spacing w:after="0" w:line="1" w:lineRule="exact"/>
        <w:rPr>
          <w:sz w:val="20"/>
          <w:szCs w:val="20"/>
          <w:color w:val="auto"/>
        </w:rPr>
      </w:pPr>
    </w:p>
    <w:p>
      <w:pPr>
        <w:ind w:right="3299" w:firstLine="444"/>
        <w:spacing w:after="0" w:line="277" w:lineRule="auto"/>
        <w:rPr>
          <w:sz w:val="20"/>
          <w:szCs w:val="20"/>
          <w:color w:val="auto"/>
        </w:rPr>
      </w:pPr>
      <w:r>
        <w:rPr>
          <w:rFonts w:ascii="Courier New" w:cs="Courier New" w:eastAsia="Courier New" w:hAnsi="Courier New"/>
          <w:sz w:val="14"/>
          <w:szCs w:val="14"/>
          <w:color w:val="auto"/>
        </w:rPr>
        <w:t>As of June 30, 1999, our consolidated indebtedness was $7.843 billion, of which $3.135 billion constituted "Senior Indebtedness" as defined under the subordinated indenture dated as of June 15, 1999 between us and Bankers Trust Company, as trustee. As of June 30, 1999, our consolidated stockholders' equity was $6.742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242" w:lineRule="exact"/>
        <w:rPr>
          <w:sz w:val="20"/>
          <w:szCs w:val="20"/>
          <w:color w:val="auto"/>
        </w:rPr>
      </w:pPr>
    </w:p>
    <w:p>
      <w:pPr>
        <w:ind w:right="3399" w:firstLine="444"/>
        <w:spacing w:after="0" w:line="297" w:lineRule="auto"/>
        <w:rPr>
          <w:sz w:val="20"/>
          <w:szCs w:val="20"/>
          <w:color w:val="auto"/>
        </w:rPr>
      </w:pPr>
      <w:r>
        <w:rPr>
          <w:rFonts w:ascii="Courier New" w:cs="Courier New" w:eastAsia="Courier New" w:hAnsi="Courier New"/>
          <w:sz w:val="15"/>
          <w:szCs w:val="15"/>
          <w:color w:val="auto"/>
        </w:rPr>
        <w:t>o limiting our ability to obtain any necessary financing in the future for working capital, capital expenditures, debt service requirements or other purposes;</w:t>
      </w:r>
    </w:p>
    <w:p>
      <w:pPr>
        <w:spacing w:after="0" w:line="52" w:lineRule="exact"/>
        <w:rPr>
          <w:sz w:val="20"/>
          <w:szCs w:val="20"/>
          <w:color w:val="auto"/>
        </w:rPr>
      </w:pPr>
    </w:p>
    <w:p>
      <w:pPr>
        <w:ind w:right="3219" w:firstLine="435"/>
        <w:spacing w:after="0" w:line="297" w:lineRule="auto"/>
        <w:tabs>
          <w:tab w:leader="none" w:pos="8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us to dedicate a substantial portion of our cash flows from operations to the payment of indebtedness and not for other purposes, such as working capital and capital expenditures;</w:t>
      </w:r>
    </w:p>
    <w:p>
      <w:pPr>
        <w:spacing w:after="0" w:line="51" w:lineRule="exact"/>
        <w:rPr>
          <w:rFonts w:ascii="Courier New" w:cs="Courier New" w:eastAsia="Courier New" w:hAnsi="Courier New"/>
          <w:sz w:val="15"/>
          <w:szCs w:val="15"/>
          <w:color w:val="auto"/>
        </w:rPr>
      </w:pPr>
    </w:p>
    <w:p>
      <w:pPr>
        <w:ind w:right="3579" w:firstLine="435"/>
        <w:spacing w:after="0" w:line="353" w:lineRule="auto"/>
        <w:tabs>
          <w:tab w:leader="none" w:pos="8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to plan for, or react to, changes in our businesses;</w:t>
      </w:r>
    </w:p>
    <w:p>
      <w:pPr>
        <w:spacing w:after="0" w:line="12" w:lineRule="exact"/>
        <w:rPr>
          <w:rFonts w:ascii="Courier New" w:cs="Courier New" w:eastAsia="Courier New" w:hAnsi="Courier New"/>
          <w:sz w:val="15"/>
          <w:szCs w:val="15"/>
          <w:color w:val="auto"/>
        </w:rPr>
      </w:pPr>
    </w:p>
    <w:p>
      <w:pPr>
        <w:ind w:right="3219" w:firstLine="435"/>
        <w:spacing w:after="0" w:line="353" w:lineRule="auto"/>
        <w:tabs>
          <w:tab w:leader="none" w:pos="8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indebted than some of our competitors, which may place us at a competitive disadvantage; and</w:t>
      </w:r>
    </w:p>
    <w:p>
      <w:pPr>
        <w:spacing w:after="0" w:line="1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vulnerable to a downturn in our businesses.</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75" w:right="1440" w:bottom="1440" w:gutter="0" w:footer="0" w:header="0"/>
        </w:sectPr>
      </w:pPr>
    </w:p>
    <w:bookmarkStart w:id="6" w:name="page7"/>
    <w:bookmarkEnd w:id="6"/>
    <w:p>
      <w:pPr>
        <w:ind w:right="3399"/>
        <w:spacing w:after="0" w:line="353" w:lineRule="auto"/>
        <w:rPr>
          <w:sz w:val="20"/>
          <w:szCs w:val="20"/>
          <w:color w:val="auto"/>
        </w:rPr>
      </w:pPr>
      <w:r>
        <w:rPr>
          <w:rFonts w:ascii="Courier New" w:cs="Courier New" w:eastAsia="Courier New" w:hAnsi="Courier New"/>
          <w:sz w:val="15"/>
          <w:szCs w:val="15"/>
          <w:color w:val="auto"/>
        </w:rPr>
        <w:t>The Securities We Are Offering May Not Develop an Active Public Market, Which Could Depress the Resale Price of the Securities.</w:t>
      </w:r>
    </w:p>
    <w:p>
      <w:pPr>
        <w:spacing w:after="0" w:line="183"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77" w:lineRule="exact"/>
        <w:rPr>
          <w:sz w:val="20"/>
          <w:szCs w:val="20"/>
          <w:color w:val="auto"/>
        </w:rPr>
      </w:pPr>
    </w:p>
    <w:p>
      <w:pPr>
        <w:ind w:right="3399" w:firstLine="444"/>
        <w:spacing w:after="0" w:line="257" w:lineRule="auto"/>
        <w:rPr>
          <w:sz w:val="20"/>
          <w:szCs w:val="20"/>
          <w:color w:val="auto"/>
        </w:rPr>
      </w:pPr>
      <w:r>
        <w:rPr>
          <w:rFonts w:ascii="Courier New" w:cs="Courier New" w:eastAsia="Courier New" w:hAnsi="Courier New"/>
          <w:sz w:val="15"/>
          <w:szCs w:val="15"/>
          <w:color w:val="auto"/>
        </w:rPr>
        <w:t>In addition, the guaranteed trust preferred securities may trade at a price that does not fully reflect the value of accrued but unpaid interest on the underlying subordinated debt securities. This could have adverse tax consequences to you if you dispose of your guaranteed trust preferred securities between record dates for payments. See any accompanying prospectus supplement relating to guaranteed trust preferred securities for more information on the tax implications of your purchase of guaranteed trust preferred securities.</w:t>
      </w:r>
    </w:p>
    <w:p>
      <w:pPr>
        <w:spacing w:after="0" w:line="8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changes in laws and regulations;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judicial and administrative decisions;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changes in the competitive environment;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changes in technology;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franchise related matters;</w:t>
      </w:r>
    </w:p>
    <w:p>
      <w:pPr>
        <w:spacing w:after="0" w:line="34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o market conditions that may adversely affect the availability of debt and equity financing for working capital, capital expenditures or other purposes; and demand for the programming content we distribute or the willingness of other video program providers to carry our content and general economic conditions.</w:t>
      </w:r>
    </w:p>
    <w:p>
      <w:pPr>
        <w:spacing w:after="0" w:line="7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5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right="3299" w:firstLine="444"/>
        <w:spacing w:after="0" w:line="285" w:lineRule="auto"/>
        <w:rPr>
          <w:sz w:val="20"/>
          <w:szCs w:val="20"/>
          <w:color w:val="auto"/>
        </w:rPr>
      </w:pPr>
      <w:r>
        <w:rPr>
          <w:rFonts w:ascii="Courier New" w:cs="Courier New" w:eastAsia="Courier New" w:hAnsi="Courier New"/>
          <w:sz w:val="14"/>
          <w:szCs w:val="14"/>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235" w:lineRule="exact"/>
        <w:rPr>
          <w:sz w:val="20"/>
          <w:szCs w:val="20"/>
          <w:color w:val="auto"/>
        </w:rPr>
      </w:pPr>
    </w:p>
    <w:p>
      <w:pPr>
        <w:ind w:right="3219" w:firstLine="444"/>
        <w:spacing w:after="0" w:line="275" w:lineRule="auto"/>
        <w:rPr>
          <w:sz w:val="20"/>
          <w:szCs w:val="20"/>
          <w:color w:val="auto"/>
        </w:rPr>
      </w:pPr>
      <w:r>
        <w:rPr>
          <w:rFonts w:ascii="Courier New" w:cs="Courier New" w:eastAsia="Courier New" w:hAnsi="Courier New"/>
          <w:sz w:val="14"/>
          <w:szCs w:val="14"/>
          <w:color w:val="auto"/>
        </w:rPr>
        <w:t>Our consolidated cable operations served approximately 5.6 million subscribers and passed approximately 9.2 million homes in the United States as of June 30, 1999. We own interests in other cable communications companies serving more than 238,000 subscribers as of June 30, 1999. In May of 1999, we entered into a series of transactions with AT&amp;T Corp. whereby we will acquire, subject to receipt of necessary regulatory and other approvals, approximately 2 million cable subscribers from AT&amp;T in a series of transactions over the next three years. Upon completion of the AT&amp;T transactions and other pending transactions, we will serve in excess of 8 million subscribers.</w:t>
      </w:r>
    </w:p>
    <w:p>
      <w:pPr>
        <w:spacing w:after="0" w:line="2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46" w:right="1440" w:bottom="1440" w:gutter="0" w:footer="0" w:header="0"/>
        </w:sectPr>
      </w:pPr>
    </w:p>
    <w:bookmarkStart w:id="7" w:name="page8"/>
    <w:bookmarkEnd w:id="7"/>
    <w:p>
      <w:pPr>
        <w:ind w:right="3299" w:firstLine="444"/>
        <w:spacing w:after="0" w:line="277" w:lineRule="auto"/>
        <w:rPr>
          <w:sz w:val="20"/>
          <w:szCs w:val="20"/>
          <w:color w:val="auto"/>
        </w:rPr>
      </w:pPr>
      <w:r>
        <w:rPr>
          <w:rFonts w:ascii="Courier New" w:cs="Courier New" w:eastAsia="Courier New" w:hAnsi="Courier New"/>
          <w:sz w:val="14"/>
          <w:szCs w:val="14"/>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June 30, 1999, QVC is available, on a full and part-time basis, to over 72.4 million homes in the United States, over 7.6 million homes in the United Kingdom and Ireland and over 14.9 million homes in Germany.</w:t>
      </w:r>
    </w:p>
    <w:p>
      <w:pPr>
        <w:spacing w:after="0" w:line="7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2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TRUST SUBSIDIARIES</w:t>
      </w:r>
    </w:p>
    <w:p>
      <w:pPr>
        <w:spacing w:after="0" w:line="171"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Comcast Corporation Trust I, Comcast Corporation Trust II and Comcast Corporation Trust III are statutory business trusts formed under Delaware law under separate declarations of trust on June 16, 1999. We executed, as sponsor for each trust, together with the relevant trustees, declarations of trust with respect to each trust subsidiary and will execute together with the relevant trustees and institutional trustee, an amended and restated declaration of trust that provides for the issuance of guaranteed trust preferred securities, when we issue them. Any reference to the "declaration" means the original declaration prior to such issuance, and the amended and restated declaration following issuance, unless otherwise indicated.</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our trust subsidiaries exists for the exclusive purposes of:</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o issuing the guaranteed trust preferred securities and common securities representing undivided beneficial interests in its assets;</w:t>
      </w:r>
    </w:p>
    <w:p>
      <w:pPr>
        <w:spacing w:after="0" w:line="12" w:lineRule="exact"/>
        <w:rPr>
          <w:sz w:val="20"/>
          <w:szCs w:val="20"/>
          <w:color w:val="auto"/>
        </w:rPr>
      </w:pPr>
    </w:p>
    <w:p>
      <w:pPr>
        <w:ind w:right="3759" w:firstLine="444"/>
        <w:spacing w:after="0" w:line="387" w:lineRule="auto"/>
        <w:rPr>
          <w:sz w:val="20"/>
          <w:szCs w:val="20"/>
          <w:color w:val="auto"/>
        </w:rPr>
      </w:pPr>
      <w:r>
        <w:rPr>
          <w:rFonts w:ascii="Courier New" w:cs="Courier New" w:eastAsia="Courier New" w:hAnsi="Courier New"/>
          <w:sz w:val="14"/>
          <w:szCs w:val="14"/>
          <w:color w:val="auto"/>
        </w:rPr>
        <w:t>o investing the gross proceeds of the guaranteed trust preferred securities and common securities in our subordinated debt securities; and</w:t>
      </w:r>
    </w:p>
    <w:p>
      <w:pPr>
        <w:spacing w:after="0" w:line="1"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o engaging in only those other activities necessary or incidental to the first two purposes.</w:t>
      </w:r>
    </w:p>
    <w:p>
      <w:pPr>
        <w:spacing w:after="0" w:line="12" w:lineRule="exact"/>
        <w:rPr>
          <w:sz w:val="20"/>
          <w:szCs w:val="20"/>
          <w:color w:val="auto"/>
        </w:rPr>
      </w:pPr>
    </w:p>
    <w:p>
      <w:pPr>
        <w:ind w:right="3119"/>
        <w:spacing w:after="0" w:line="263" w:lineRule="auto"/>
        <w:rPr>
          <w:sz w:val="20"/>
          <w:szCs w:val="20"/>
          <w:color w:val="auto"/>
        </w:rPr>
      </w:pPr>
      <w:r>
        <w:rPr>
          <w:rFonts w:ascii="Courier New" w:cs="Courier New" w:eastAsia="Courier New" w:hAnsi="Courier New"/>
          <w:sz w:val="14"/>
          <w:szCs w:val="14"/>
          <w:color w:val="auto"/>
        </w:rPr>
        <w:t>We will directly or indirectly own all of the common securities of each of our trust subsidiaries. The common securities will have an aggregate liquidation amount equal to no less than 3 percent of the total capital of each trust subsidiary. The common securities will rank equally with, and each trust subsidiary will make payments on the common securities in proportion to, the guaranteed trust preferred securities, except that if an event of default occurs under the declaration, our rights as holder of the common securities to payments will be subordinated to your rights as holder of the guaranteed trust preferred securities. Each of our trust subsidiaries has a term of 55 years, but may terminate earlier as provided in its declaration. Each trust subsidiary's business and affairs will be conducted by the trustees we appoint, as the direct or indirect holder of all the common securities. We, as holder of the common securities, are entitled to appoint, remove or replace any of, or increase or decrease the number of, the trustees of each trust subsidiary. The trustees' duties and obligations are governed by the trust subsidiaries' declarations. Prior to the issuance of any guaranteed trust preferred securities, we will ensure that a majority of each trust subsidiary's trustees are persons who are our employees or officers or affiliates and that one trustee of each trust subsidiary is a financial institution that is not an affiliate of ours. The unaffiliated financial institution will act as institutional trustee and as indenture trustee for purposes of the Trust Indenture Act of 1939, pursuant to the terms set forth in a prospectus supplement. In addition, unless the institutional trustee maintains a principal place of business in the State of Delaware, and otherwise meets the requirements of applicable law, one trustee of each trust subsidiary will have its principal place of business or reside in the State of Delaware. We will pay each trust subsidiary's fees and expenses, including those relating to any offering of guaranteed trust preferred securities. In addition, we guarantee payments on the guaranteed trust preferred securities to the extent our trust subsidiaries can themselves make payments on the guaranteed trust preferred securities.</w:t>
      </w:r>
    </w:p>
    <w:p>
      <w:pPr>
        <w:spacing w:after="0" w:line="200" w:lineRule="exact"/>
        <w:rPr>
          <w:sz w:val="20"/>
          <w:szCs w:val="20"/>
          <w:color w:val="auto"/>
        </w:rPr>
      </w:pP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75" w:right="1440" w:bottom="1440" w:gutter="0" w:footer="0" w:header="0"/>
        </w:sectPr>
      </w:pPr>
    </w:p>
    <w:bookmarkStart w:id="8" w:name="page9"/>
    <w:bookmarkEnd w:id="8"/>
    <w:p>
      <w:pPr>
        <w:ind w:left="449"/>
        <w:spacing w:after="0"/>
        <w:rPr>
          <w:sz w:val="20"/>
          <w:szCs w:val="20"/>
          <w:color w:val="auto"/>
        </w:rPr>
      </w:pPr>
      <w:r>
        <w:rPr>
          <w:rFonts w:ascii="Courier New" w:cs="Courier New" w:eastAsia="Courier New" w:hAnsi="Courier New"/>
          <w:sz w:val="15"/>
          <w:szCs w:val="15"/>
          <w:color w:val="auto"/>
        </w:rPr>
        <w:t>Each trust subsidiary's principal place of business is c/o Comcast</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Corporation, 1500 Market Street, Philadelphia, Pennsylvania 19102-2148.</w:t>
      </w:r>
    </w:p>
    <w:p>
      <w:pPr>
        <w:spacing w:after="0" w:line="316"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USE OF PROCEEDS</w:t>
      </w:r>
    </w:p>
    <w:p>
      <w:pPr>
        <w:spacing w:after="0" w:line="171" w:lineRule="exact"/>
        <w:rPr>
          <w:sz w:val="20"/>
          <w:szCs w:val="20"/>
          <w:color w:val="auto"/>
        </w:rPr>
      </w:pPr>
    </w:p>
    <w:p>
      <w:pPr>
        <w:ind w:left="9" w:right="3219" w:firstLine="444"/>
        <w:spacing w:after="0" w:line="257" w:lineRule="auto"/>
        <w:rPr>
          <w:sz w:val="20"/>
          <w:szCs w:val="20"/>
          <w:color w:val="auto"/>
        </w:rPr>
      </w:pPr>
      <w:r>
        <w:rPr>
          <w:rFonts w:ascii="Courier New" w:cs="Courier New" w:eastAsia="Courier New" w:hAnsi="Courier New"/>
          <w:sz w:val="15"/>
          <w:szCs w:val="15"/>
          <w:color w:val="auto"/>
        </w:rPr>
        <w:t>We intend to use the net proceeds from the sale of the securities for working capital and general corporate purposes. We may also invest the proceeds in certificates of deposit, United States government securities or certain other interest bearing securities. If we decide to use the net proceeds from a particular offering of securities for a specific purpose, we will describe that in a prospectus supplement. Each of our trust subsidiaries will use all proceeds received from the sale of the guaranteed trust preferred securities to purchase subordinated debt securities from us.</w:t>
      </w:r>
    </w:p>
    <w:p>
      <w:pPr>
        <w:spacing w:after="0" w:line="25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DIVIDEND POLICY</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We paid quarterly dividends on our common stock of $0.012 per share in</w:t>
      </w:r>
    </w:p>
    <w:p>
      <w:pPr>
        <w:spacing w:after="0" w:line="27" w:lineRule="exact"/>
        <w:rPr>
          <w:sz w:val="20"/>
          <w:szCs w:val="20"/>
          <w:color w:val="auto"/>
        </w:rPr>
      </w:pPr>
    </w:p>
    <w:p>
      <w:pPr>
        <w:ind w:left="9" w:right="3759"/>
        <w:spacing w:after="0" w:line="316" w:lineRule="auto"/>
        <w:rPr>
          <w:sz w:val="20"/>
          <w:szCs w:val="20"/>
          <w:color w:val="auto"/>
        </w:rPr>
      </w:pPr>
      <w:r>
        <w:rPr>
          <w:rFonts w:ascii="Courier New" w:cs="Courier New" w:eastAsia="Courier New" w:hAnsi="Courier New"/>
          <w:sz w:val="15"/>
          <w:szCs w:val="15"/>
          <w:color w:val="auto"/>
        </w:rPr>
        <w:t>1997 and 1998 and in March 1999. We do not intend to pay dividends on our common stock for the foreseeable future.</w:t>
      </w:r>
    </w:p>
    <w:p>
      <w:pPr>
        <w:spacing w:after="0" w:line="39"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RATIO OF EARNINGS TO FIXED CHARGES AND TO COMBINED FIXED CHARGES</w:t>
      </w:r>
    </w:p>
    <w:p>
      <w:pPr>
        <w:spacing w:after="0" w:line="27"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AND PREFERRED STOCK DIVIDENDS</w:t>
      </w:r>
    </w:p>
    <w:p>
      <w:pPr>
        <w:spacing w:after="0" w:line="145" w:lineRule="exact"/>
        <w:rPr>
          <w:sz w:val="20"/>
          <w:szCs w:val="20"/>
          <w:color w:val="auto"/>
        </w:rPr>
      </w:pPr>
    </w:p>
    <w:p>
      <w:pPr>
        <w:ind w:left="9" w:right="3219" w:firstLine="444"/>
        <w:spacing w:after="0" w:line="255" w:lineRule="auto"/>
        <w:rPr>
          <w:sz w:val="20"/>
          <w:szCs w:val="20"/>
          <w:color w:val="auto"/>
        </w:rPr>
      </w:pPr>
      <w:r>
        <w:rPr>
          <w:rFonts w:ascii="Courier New" w:cs="Courier New" w:eastAsia="Courier New" w:hAnsi="Courier New"/>
          <w:sz w:val="15"/>
          <w:szCs w:val="15"/>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200" w:lineRule="exact"/>
        <w:rPr>
          <w:sz w:val="20"/>
          <w:szCs w:val="20"/>
          <w:color w:val="auto"/>
        </w:rPr>
      </w:pPr>
    </w:p>
    <w:p>
      <w:pPr>
        <w:spacing w:after="0" w:line="22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Six Months</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Ended</w:t>
            </w:r>
          </w:p>
        </w:tc>
        <w:tc>
          <w:tcPr>
            <w:tcW w:w="760" w:type="dxa"/>
            <w:vAlign w:val="bottom"/>
          </w:tcPr>
          <w:p>
            <w:pPr>
              <w:spacing w:after="0"/>
              <w:rPr>
                <w:sz w:val="14"/>
                <w:szCs w:val="14"/>
                <w:color w:val="auto"/>
              </w:rPr>
            </w:pPr>
          </w:p>
        </w:tc>
        <w:tc>
          <w:tcPr>
            <w:tcW w:w="2440" w:type="dxa"/>
            <w:vAlign w:val="bottom"/>
            <w:gridSpan w:val="3"/>
            <w:vMerge w:val="restart"/>
          </w:tcPr>
          <w:p>
            <w:pPr>
              <w:ind w:left="120"/>
              <w:spacing w:after="0"/>
              <w:rPr>
                <w:sz w:val="20"/>
                <w:szCs w:val="20"/>
                <w:color w:val="auto"/>
              </w:rPr>
            </w:pPr>
            <w:r>
              <w:rPr>
                <w:rFonts w:ascii="Courier New" w:cs="Courier New" w:eastAsia="Courier New" w:hAnsi="Courier New"/>
                <w:sz w:val="15"/>
                <w:szCs w:val="15"/>
                <w:color w:val="auto"/>
              </w:rPr>
              <w:t>Years Ended December 31,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June 30,</w:t>
            </w:r>
          </w:p>
        </w:tc>
        <w:tc>
          <w:tcPr>
            <w:tcW w:w="760" w:type="dxa"/>
            <w:vAlign w:val="bottom"/>
          </w:tcPr>
          <w:p>
            <w:pPr>
              <w:spacing w:after="0"/>
              <w:rPr>
                <w:sz w:val="14"/>
                <w:szCs w:val="14"/>
                <w:color w:val="auto"/>
              </w:rPr>
            </w:pPr>
          </w:p>
        </w:tc>
        <w:tc>
          <w:tcPr>
            <w:tcW w:w="24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60" w:type="dxa"/>
            <w:vAlign w:val="bottom"/>
            <w:vMerge w:val="restart"/>
          </w:tcPr>
          <w:p>
            <w:pPr>
              <w:ind w:left="8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1999</w:t>
            </w:r>
          </w:p>
        </w:tc>
        <w:tc>
          <w:tcPr>
            <w:tcW w:w="620" w:type="dxa"/>
            <w:vAlign w:val="bottom"/>
            <w:vMerge w:val="restart"/>
          </w:tcPr>
          <w:p>
            <w:pPr>
              <w:spacing w:after="0"/>
              <w:rPr>
                <w:sz w:val="20"/>
                <w:szCs w:val="20"/>
                <w:color w:val="auto"/>
              </w:rPr>
            </w:pPr>
            <w:r>
              <w:rPr>
                <w:rFonts w:ascii="Courier New" w:cs="Courier New" w:eastAsia="Courier New" w:hAnsi="Courier New"/>
                <w:sz w:val="15"/>
                <w:szCs w:val="15"/>
                <w:color w:val="auto"/>
              </w:rPr>
              <w:t>1998</w:t>
            </w:r>
          </w:p>
        </w:tc>
        <w:tc>
          <w:tcPr>
            <w:tcW w:w="38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9"/>
        </w:trPr>
        <w:tc>
          <w:tcPr>
            <w:tcW w:w="4700" w:type="dxa"/>
            <w:vAlign w:val="bottom"/>
          </w:tcPr>
          <w:p>
            <w:pPr>
              <w:spacing w:after="0"/>
              <w:rPr>
                <w:sz w:val="21"/>
                <w:szCs w:val="21"/>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7.49x</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1.41x</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5.54x</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1.45x</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1.45x</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1.48x</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 fixed charges and</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6.87x</w:t>
            </w:r>
          </w:p>
        </w:tc>
        <w:tc>
          <w:tcPr>
            <w:tcW w:w="620" w:type="dxa"/>
            <w:vAlign w:val="bottom"/>
            <w:vMerge w:val="restart"/>
          </w:tcPr>
          <w:p>
            <w:pPr>
              <w:spacing w:after="0"/>
              <w:rPr>
                <w:sz w:val="20"/>
                <w:szCs w:val="20"/>
                <w:color w:val="auto"/>
              </w:rPr>
            </w:pPr>
            <w:r>
              <w:rPr>
                <w:rFonts w:ascii="Courier New" w:cs="Courier New" w:eastAsia="Courier New" w:hAnsi="Courier New"/>
                <w:sz w:val="15"/>
                <w:szCs w:val="15"/>
                <w:color w:val="auto"/>
              </w:rPr>
              <w:t>1.29x</w:t>
            </w:r>
          </w:p>
        </w:tc>
        <w:tc>
          <w:tcPr>
            <w:tcW w:w="7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5.05x</w:t>
            </w:r>
          </w:p>
        </w:tc>
        <w:tc>
          <w:tcPr>
            <w:tcW w:w="8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1.38x</w:t>
            </w:r>
          </w:p>
        </w:tc>
        <w:tc>
          <w:tcPr>
            <w:tcW w:w="8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1.44x</w:t>
            </w:r>
          </w:p>
        </w:tc>
        <w:tc>
          <w:tcPr>
            <w:tcW w:w="8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1.48x</w:t>
            </w:r>
          </w:p>
        </w:tc>
        <w:tc>
          <w:tcPr>
            <w:tcW w:w="6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3"/>
              </w:rPr>
              <w:t>--(1)</w:t>
            </w:r>
          </w:p>
        </w:tc>
        <w:tc>
          <w:tcPr>
            <w:tcW w:w="0" w:type="dxa"/>
            <w:vAlign w:val="bottom"/>
          </w:tcPr>
          <w:p>
            <w:pPr>
              <w:spacing w:after="0"/>
              <w:rPr>
                <w:sz w:val="1"/>
                <w:szCs w:val="1"/>
                <w:color w:val="auto"/>
              </w:rPr>
            </w:pPr>
          </w:p>
        </w:tc>
      </w:tr>
      <w:tr>
        <w:trPr>
          <w:trHeight w:val="171"/>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49" w:right="3399" w:hanging="449"/>
        <w:spacing w:after="0" w:line="27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and combined fixed charges and preferred stock dividends by $6.4 million for the year ended December 31, 1994.</w:t>
      </w:r>
    </w:p>
    <w:p>
      <w:pPr>
        <w:spacing w:after="0" w:line="200" w:lineRule="exact"/>
        <w:rPr>
          <w:sz w:val="20"/>
          <w:szCs w:val="20"/>
          <w:color w:val="auto"/>
        </w:rPr>
      </w:pPr>
    </w:p>
    <w:p>
      <w:pPr>
        <w:spacing w:after="0" w:line="208"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DESCRIPTION OF THE SENIOR DEBT SECURITIES AND</w:t>
      </w:r>
    </w:p>
    <w:p>
      <w:pPr>
        <w:spacing w:after="0" w:line="27"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SUBORDINATED DEBT SECURITIES</w:t>
      </w:r>
    </w:p>
    <w:p>
      <w:pPr>
        <w:spacing w:after="0" w:line="145" w:lineRule="exact"/>
        <w:rPr>
          <w:sz w:val="20"/>
          <w:szCs w:val="20"/>
          <w:color w:val="auto"/>
        </w:rPr>
      </w:pPr>
    </w:p>
    <w:p>
      <w:pPr>
        <w:ind w:left="9" w:right="3219" w:firstLine="444"/>
        <w:spacing w:after="0" w:line="353" w:lineRule="auto"/>
        <w:rPr>
          <w:sz w:val="20"/>
          <w:szCs w:val="20"/>
          <w:color w:val="auto"/>
        </w:rPr>
      </w:pPr>
      <w:r>
        <w:rPr>
          <w:rFonts w:ascii="Courier New" w:cs="Courier New" w:eastAsia="Courier New" w:hAnsi="Courier New"/>
          <w:sz w:val="15"/>
          <w:szCs w:val="15"/>
          <w:color w:val="auto"/>
        </w:rPr>
        <w:t>Our debt securities, consisting of notes, debentures or other evidences of indebtedness, may be issued from time to time in one or more series:</w:t>
      </w:r>
    </w:p>
    <w:p>
      <w:pPr>
        <w:spacing w:after="0" w:line="12" w:lineRule="exact"/>
        <w:rPr>
          <w:sz w:val="20"/>
          <w:szCs w:val="20"/>
          <w:color w:val="auto"/>
        </w:rPr>
      </w:pPr>
    </w:p>
    <w:p>
      <w:pPr>
        <w:ind w:left="9" w:right="3479" w:firstLine="444"/>
        <w:spacing w:after="0" w:line="297" w:lineRule="auto"/>
        <w:rPr>
          <w:sz w:val="20"/>
          <w:szCs w:val="20"/>
          <w:color w:val="auto"/>
        </w:rPr>
      </w:pPr>
      <w:r>
        <w:rPr>
          <w:rFonts w:ascii="Courier New" w:cs="Courier New" w:eastAsia="Courier New" w:hAnsi="Courier New"/>
          <w:sz w:val="15"/>
          <w:szCs w:val="15"/>
          <w:color w:val="auto"/>
        </w:rPr>
        <w:t>o in the case of senior debt securities, under a senior indenture to be dated as of June 15, 1999 between us and Bank of Montreal Trust Company, as trustee; and</w:t>
      </w:r>
    </w:p>
    <w:p>
      <w:pPr>
        <w:spacing w:after="0" w:line="52" w:lineRule="exact"/>
        <w:rPr>
          <w:sz w:val="20"/>
          <w:szCs w:val="20"/>
          <w:color w:val="auto"/>
        </w:rPr>
      </w:pPr>
    </w:p>
    <w:p>
      <w:pPr>
        <w:ind w:left="9" w:right="3219" w:firstLine="444"/>
        <w:spacing w:after="0" w:line="297" w:lineRule="auto"/>
        <w:rPr>
          <w:sz w:val="20"/>
          <w:szCs w:val="20"/>
          <w:color w:val="auto"/>
        </w:rPr>
      </w:pPr>
      <w:r>
        <w:rPr>
          <w:rFonts w:ascii="Courier New" w:cs="Courier New" w:eastAsia="Courier New" w:hAnsi="Courier New"/>
          <w:sz w:val="15"/>
          <w:szCs w:val="15"/>
          <w:color w:val="auto"/>
        </w:rPr>
        <w:t>o in the case of subordinated debt securities, under a subordinated indenture to be dated as of June 15, 1999 between us and Bankers Trust Company, as trustee.</w:t>
      </w:r>
    </w:p>
    <w:p>
      <w:pPr>
        <w:spacing w:after="0" w:line="52" w:lineRule="exact"/>
        <w:rPr>
          <w:sz w:val="20"/>
          <w:szCs w:val="20"/>
          <w:color w:val="auto"/>
        </w:rPr>
      </w:pPr>
    </w:p>
    <w:p>
      <w:pPr>
        <w:ind w:left="9" w:right="3659" w:firstLine="444"/>
        <w:spacing w:after="0" w:line="395" w:lineRule="auto"/>
        <w:rPr>
          <w:sz w:val="20"/>
          <w:szCs w:val="20"/>
          <w:color w:val="auto"/>
        </w:rPr>
      </w:pPr>
      <w:r>
        <w:rPr>
          <w:rFonts w:ascii="Courier New" w:cs="Courier New" w:eastAsia="Courier New" w:hAnsi="Courier New"/>
          <w:sz w:val="14"/>
          <w:szCs w:val="14"/>
          <w:color w:val="auto"/>
        </w:rPr>
        <w:t>The senior indenture and the subordinated indenture are included as exhibits to the registration statement of which this prospectus is a part.</w:t>
      </w:r>
    </w:p>
    <w:p>
      <w:pPr>
        <w:spacing w:after="0" w:line="161" w:lineRule="exact"/>
        <w:rPr>
          <w:sz w:val="20"/>
          <w:szCs w:val="20"/>
          <w:color w:val="auto"/>
        </w:rPr>
      </w:pPr>
    </w:p>
    <w:p>
      <w:pPr>
        <w:ind w:left="9" w:right="3579" w:firstLine="444"/>
        <w:spacing w:after="0" w:line="353" w:lineRule="auto"/>
        <w:rPr>
          <w:sz w:val="20"/>
          <w:szCs w:val="20"/>
          <w:color w:val="auto"/>
        </w:rPr>
      </w:pPr>
      <w:r>
        <w:rPr>
          <w:rFonts w:ascii="Courier New" w:cs="Courier New" w:eastAsia="Courier New" w:hAnsi="Courier New"/>
          <w:sz w:val="15"/>
          <w:szCs w:val="15"/>
          <w:color w:val="auto"/>
        </w:rPr>
        <w:t>Because the following is only a summary of the indentures and the debt securities, it does not contain</w:t>
      </w:r>
    </w:p>
    <w:p>
      <w:pPr>
        <w:spacing w:after="0" w:line="18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775" w:right="1440" w:bottom="1440" w:gutter="0" w:footer="0" w:header="0"/>
        </w:sectPr>
      </w:pPr>
    </w:p>
    <w:bookmarkStart w:id="9" w:name="page10"/>
    <w:bookmarkEnd w:id="9"/>
    <w:p>
      <w:pPr>
        <w:ind w:right="3299"/>
        <w:spacing w:after="0" w:line="263" w:lineRule="auto"/>
        <w:rPr>
          <w:sz w:val="20"/>
          <w:szCs w:val="20"/>
          <w:color w:val="auto"/>
        </w:rPr>
      </w:pPr>
      <w:r>
        <w:rPr>
          <w:rFonts w:ascii="Courier New" w:cs="Courier New" w:eastAsia="Courier New" w:hAnsi="Courier New"/>
          <w:sz w:val="15"/>
          <w:szCs w:val="15"/>
          <w:color w:val="auto"/>
        </w:rPr>
        <w:t>all information that you may find useful. For further information about the indentures and the debt securities, you should read the indentures. As used in this Section of the prospectus and under captions "Description of Debt Warrants," "Description of Common Stock," "Description of Purchase Contracts" and "Description of Units," the terms we, us and our mean Comcast Corporation only, and not subsidiaries of Comcast Corporation.</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The senior debt securities will constitute unsecured and unsubordinated obligations of ours and the subordinated debt securities will constitute unsecured and subordinated obligations of ours. A detailed description of the subordination provisions is provided below under the caption "Certain Terms of the subordinated debt securities -- Subordination". In general, however, if we declare bankruptcy the senior debt securities will be paid in full before the subordinated debt securities will receive anything.</w:t>
      </w:r>
    </w:p>
    <w:p>
      <w:pPr>
        <w:spacing w:after="0" w:line="252" w:lineRule="exact"/>
        <w:rPr>
          <w:sz w:val="20"/>
          <w:szCs w:val="20"/>
          <w:color w:val="auto"/>
        </w:rPr>
      </w:pPr>
    </w:p>
    <w:p>
      <w:pPr>
        <w:ind w:right="3219" w:firstLine="444"/>
        <w:spacing w:after="0" w:line="247" w:lineRule="auto"/>
        <w:rPr>
          <w:sz w:val="20"/>
          <w:szCs w:val="20"/>
          <w:color w:val="auto"/>
        </w:rPr>
      </w:pPr>
      <w:r>
        <w:rPr>
          <w:rFonts w:ascii="Courier New" w:cs="Courier New" w:eastAsia="Courier New" w:hAnsi="Courier New"/>
          <w:sz w:val="15"/>
          <w:szCs w:val="15"/>
          <w:color w:val="auto"/>
        </w:rPr>
        <w:t>We are a holding company and conduct all of our operations through subsidiaries. Consequently, our ability to pay our obligations, including our obligation to pay principal or interest on the debt securities, to pay the debt securities at maturity or upon redemption or to buy the debt securities will depend upon our subsidiaries paying us management fees under the terms of our management agreements with them, paying us for programming and repaying investments and advances we have made to them, and upon our subsidiaries' earnings and their distributing those earnings to us.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loan agreements require them to maintain financial ratios and cash flow levels and contain restrictions on their ability to make dividend payments, pay management fees and make advances to affiliated entities, including us. The indentures will not limit our subsidiaries' ability to enter into other agreements that prohibit or restrict dividends or other payments or advances to us.</w:t>
      </w:r>
    </w:p>
    <w:p>
      <w:pPr>
        <w:spacing w:after="0" w:line="9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You should look in the prospectus supplement for the following terms of the debt securities being offered:</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debt securities' designation;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aggregate principal amount of the debt securities;</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o the percentage of their principal amount (i.e. price) at which the debt securities will be issued;</w:t>
      </w:r>
    </w:p>
    <w:p>
      <w:pPr>
        <w:spacing w:after="0" w:line="1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o the date or dates on which the debt securities will mature and the right, if any, to extend such date or dates;</w:t>
      </w:r>
    </w:p>
    <w:p>
      <w:pPr>
        <w:spacing w:after="0" w:line="12"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o the rate or rates, if any, per year, at which the debt securities will bear interest, or the method of determining such rate or rates;</w:t>
      </w:r>
    </w:p>
    <w:p>
      <w:pPr>
        <w:spacing w:after="0" w:line="12" w:lineRule="exact"/>
        <w:rPr>
          <w:sz w:val="20"/>
          <w:szCs w:val="20"/>
          <w:color w:val="auto"/>
        </w:rPr>
      </w:pPr>
    </w:p>
    <w:p>
      <w:pPr>
        <w:ind w:right="3479" w:firstLine="444"/>
        <w:spacing w:after="0" w:line="269" w:lineRule="auto"/>
        <w:rPr>
          <w:sz w:val="20"/>
          <w:szCs w:val="20"/>
          <w:color w:val="auto"/>
        </w:rPr>
      </w:pPr>
      <w:r>
        <w:rPr>
          <w:rFonts w:ascii="Courier New" w:cs="Courier New" w:eastAsia="Courier New" w:hAnsi="Courier New"/>
          <w:sz w:val="15"/>
          <w:szCs w:val="15"/>
          <w:color w:val="auto"/>
        </w:rPr>
        <w:t>o 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72"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o the right, if any, to extend the interest payment periods and the duration of that extension;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provisions for a sinking fund purchase or other analogous fund, if any;</w:t>
      </w:r>
    </w:p>
    <w:p>
      <w:pPr>
        <w:spacing w:after="0" w:line="183" w:lineRule="exact"/>
        <w:rPr>
          <w:sz w:val="20"/>
          <w:szCs w:val="20"/>
          <w:color w:val="auto"/>
        </w:rPr>
      </w:pPr>
    </w:p>
    <w:p>
      <w:pPr>
        <w:ind w:right="3659" w:firstLine="444"/>
        <w:spacing w:after="0" w:line="297" w:lineRule="auto"/>
        <w:rPr>
          <w:sz w:val="20"/>
          <w:szCs w:val="20"/>
          <w:color w:val="auto"/>
        </w:rPr>
      </w:pPr>
      <w:r>
        <w:rPr>
          <w:rFonts w:ascii="Courier New" w:cs="Courier New" w:eastAsia="Courier New" w:hAnsi="Courier New"/>
          <w:sz w:val="15"/>
          <w:szCs w:val="15"/>
          <w:color w:val="auto"/>
        </w:rPr>
        <w:t>o the period or periods, if any, within which, the price or prices of which, and the terms and conditions upon which the debt securities may be redeemed, in whole or in part, at our option or at your option;</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form of the debt securities;</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o any provisions for payment of additional amounts for taxes and any provision for redemption, if we must pay such additional amounts in respect of any debt security;</w:t>
      </w:r>
    </w:p>
    <w:p>
      <w:pPr>
        <w:spacing w:after="0" w:line="5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 the terms and conditions, if any, upon which we may have to repay the debt securities early at your option and the price or prices in the currency or currency unit in which the debt securities are payable;</w:t>
      </w:r>
    </w:p>
    <w:p>
      <w:pPr>
        <w:spacing w:after="0" w:line="22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75" w:right="1440" w:bottom="1440" w:gutter="0" w:footer="0" w:header="0"/>
        </w:sectPr>
      </w:pPr>
    </w:p>
    <w:bookmarkStart w:id="10" w:name="page11"/>
    <w:bookmarkEnd w:id="10"/>
    <w:p>
      <w:pPr>
        <w:ind w:right="3479" w:firstLine="444"/>
        <w:spacing w:after="0" w:line="326" w:lineRule="auto"/>
        <w:rPr>
          <w:sz w:val="20"/>
          <w:szCs w:val="20"/>
          <w:color w:val="auto"/>
        </w:rPr>
      </w:pPr>
      <w:r>
        <w:rPr>
          <w:rFonts w:ascii="Courier New" w:cs="Courier New" w:eastAsia="Courier New" w:hAnsi="Courier New"/>
          <w:sz w:val="14"/>
          <w:szCs w:val="14"/>
          <w:color w:val="auto"/>
        </w:rPr>
        <w:t>o the currency, currencies or currency units for which you may purchase the debt securities and the currency, currencies or currency units in which principal and interest, if any, on the debt securities may be payable;</w:t>
      </w:r>
    </w:p>
    <w:p>
      <w:pPr>
        <w:spacing w:after="0" w:line="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terms and conditions, if any, pursuant to</w:t>
      </w:r>
    </w:p>
    <w:p>
      <w:pPr>
        <w:spacing w:after="0" w:line="171"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which the debt securities may be converted or exchanged for the cash value of other securities issued by us or by a third party; and</w:t>
      </w:r>
    </w:p>
    <w:p>
      <w:pPr>
        <w:spacing w:after="0" w:line="12"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o any other terms of the debt securities, including any additional events of default or covenants provided for with respect to the debt securities, and any terms which may be required by or advisable under applicable laws or regulations.</w:t>
      </w:r>
    </w:p>
    <w:p>
      <w:pPr>
        <w:spacing w:after="0" w:line="66"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You may present debt securities for exchange and you may present debt securities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77"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0"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Senior Debt Securities</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Certain Covenants</w:t>
      </w:r>
    </w:p>
    <w:p>
      <w:pPr>
        <w:spacing w:after="0" w:line="1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Financial Information. We will file with the trustee, within 15 days after we are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 day period.</w:t>
      </w:r>
    </w:p>
    <w:p>
      <w:pPr>
        <w:spacing w:after="0" w:line="8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Consolidation, Merger and Sale of Assets. We may not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or of ours shall be issued or distributed to our stockholders) or permit any person to merge with or into us unless:</w:t>
      </w:r>
    </w:p>
    <w:p>
      <w:pPr>
        <w:spacing w:after="0" w:line="85"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o we are the continuing person or the person formed by such consolidation or into which we are merged or that acquired or leased our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debt securities and under the indenture;</w:t>
      </w:r>
    </w:p>
    <w:p>
      <w:pPr>
        <w:spacing w:after="0" w:line="8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immediately after giving effect to such transaction, no default or event of default shall have occurred and be continuing; and</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75" w:right="1440" w:bottom="1440" w:gutter="0" w:footer="0" w:header="0"/>
        </w:sectPr>
      </w:pPr>
    </w:p>
    <w:bookmarkStart w:id="11" w:name="page12"/>
    <w:bookmarkEnd w:id="11"/>
    <w:p>
      <w:pPr>
        <w:ind w:right="3299" w:firstLine="444"/>
        <w:spacing w:after="0" w:line="273" w:lineRule="auto"/>
        <w:rPr>
          <w:sz w:val="20"/>
          <w:szCs w:val="20"/>
          <w:color w:val="auto"/>
        </w:rPr>
      </w:pPr>
      <w:r>
        <w:rPr>
          <w:rFonts w:ascii="Courier New" w:cs="Courier New" w:eastAsia="Courier New" w:hAnsi="Courier New"/>
          <w:sz w:val="14"/>
          <w:szCs w:val="14"/>
          <w:color w:val="auto"/>
        </w:rPr>
        <w:t>o we deliver to the trustee an officers' certificate and opinion of counsel, in each case stating that such consolidation, merger, or transfer and such supplemental indenture complies with this provision and that all conditions precedent provided for in the indenture and the debt securities relating to such transaction have been complied with; provided, however, that the foregoing limitations will not apply if, in the good faith determination of our board of directors, whose determination must be set forth in a board resolution, the principal purpose of such transaction is to change our state of incorporation; and provided further that any such transaction shall not have as one of its purposes the evasion of the foregoing limitations.</w:t>
      </w:r>
    </w:p>
    <w:p>
      <w:pPr>
        <w:spacing w:after="0" w:line="7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Events of Default</w:t>
      </w:r>
    </w:p>
    <w:p>
      <w:pPr>
        <w:spacing w:after="0" w:line="171"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An event of default for a series of senior debt securities is defined under the senior indenture as being:</w:t>
      </w:r>
    </w:p>
    <w:p>
      <w:pPr>
        <w:spacing w:after="0" w:line="12"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o our default in the payment of principal or premium on the senior debt securities of such series when due and payable whether at maturity, upon acceleration, redemption, or otherwise;</w:t>
      </w:r>
    </w:p>
    <w:p>
      <w:pPr>
        <w:spacing w:after="0" w:line="52" w:lineRule="exact"/>
        <w:rPr>
          <w:sz w:val="20"/>
          <w:szCs w:val="20"/>
          <w:color w:val="auto"/>
        </w:rPr>
      </w:pPr>
    </w:p>
    <w:p>
      <w:pPr>
        <w:jc w:val="both"/>
        <w:ind w:right="3299" w:firstLine="444"/>
        <w:spacing w:after="0" w:line="297" w:lineRule="auto"/>
        <w:rPr>
          <w:sz w:val="20"/>
          <w:szCs w:val="20"/>
          <w:color w:val="auto"/>
        </w:rPr>
      </w:pPr>
      <w:r>
        <w:rPr>
          <w:rFonts w:ascii="Courier New" w:cs="Courier New" w:eastAsia="Courier New" w:hAnsi="Courier New"/>
          <w:sz w:val="15"/>
          <w:szCs w:val="15"/>
          <w:color w:val="auto"/>
        </w:rPr>
        <w:t>o our default in the payment of interest on any senior debt securities of such series when due and payable, if that default continues for a period of 30 days;</w:t>
      </w:r>
    </w:p>
    <w:p>
      <w:pPr>
        <w:spacing w:after="0" w:line="5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o we default in the performance of or we breach any of our other covenants or agreements in the senior indenture applicable to all the senior debt securities or applicable to senior debt securities of such series and that default or breach continues for a period of 90 consecutive days after we receive written notice from the trustee or from the holders of 25% or more in aggregate principal amount of the senior debt securities of such series;</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 court having jurisdiction enters a decree or order for:</w:t>
      </w:r>
    </w:p>
    <w:p>
      <w:pPr>
        <w:spacing w:after="0" w:line="171" w:lineRule="exact"/>
        <w:rPr>
          <w:sz w:val="20"/>
          <w:szCs w:val="20"/>
          <w:color w:val="auto"/>
        </w:rPr>
      </w:pPr>
    </w:p>
    <w:p>
      <w:pPr>
        <w:ind w:left="440" w:right="3219" w:firstLine="444"/>
        <w:spacing w:after="0" w:line="387" w:lineRule="auto"/>
        <w:rPr>
          <w:sz w:val="20"/>
          <w:szCs w:val="20"/>
          <w:color w:val="auto"/>
        </w:rPr>
      </w:pPr>
      <w:r>
        <w:rPr>
          <w:rFonts w:ascii="Courier New" w:cs="Courier New" w:eastAsia="Courier New" w:hAnsi="Courier New"/>
          <w:sz w:val="14"/>
          <w:szCs w:val="14"/>
          <w:color w:val="auto"/>
        </w:rPr>
        <w:t>o relief in respect of us in an involuntary case under any applicable bankruptcy, insolvency, or other similar law now or hereafter in effect;</w:t>
      </w:r>
    </w:p>
    <w:p>
      <w:pPr>
        <w:spacing w:after="0" w:line="1" w:lineRule="exact"/>
        <w:rPr>
          <w:sz w:val="20"/>
          <w:szCs w:val="20"/>
          <w:color w:val="auto"/>
        </w:rPr>
      </w:pPr>
    </w:p>
    <w:p>
      <w:pPr>
        <w:ind w:left="440" w:right="3919" w:firstLine="444"/>
        <w:spacing w:after="0" w:line="297" w:lineRule="auto"/>
        <w:rPr>
          <w:sz w:val="20"/>
          <w:szCs w:val="20"/>
          <w:color w:val="auto"/>
        </w:rPr>
      </w:pPr>
      <w:r>
        <w:rPr>
          <w:rFonts w:ascii="Courier New" w:cs="Courier New" w:eastAsia="Courier New" w:hAnsi="Courier New"/>
          <w:sz w:val="15"/>
          <w:szCs w:val="15"/>
          <w:color w:val="auto"/>
        </w:rPr>
        <w:t>o appointment of a receiver, liquidator, assignee, custodian, trustee, sequestrator, or similar official of us or for all or substantially all of our property and assets; or</w:t>
      </w:r>
    </w:p>
    <w:p>
      <w:pPr>
        <w:spacing w:after="0" w:line="52" w:lineRule="exact"/>
        <w:rPr>
          <w:sz w:val="20"/>
          <w:szCs w:val="20"/>
          <w:color w:val="auto"/>
        </w:rPr>
      </w:pPr>
    </w:p>
    <w:p>
      <w:pPr>
        <w:ind w:left="440" w:right="3299" w:firstLine="444"/>
        <w:spacing w:after="0" w:line="297" w:lineRule="auto"/>
        <w:rPr>
          <w:sz w:val="20"/>
          <w:szCs w:val="20"/>
          <w:color w:val="auto"/>
        </w:rPr>
      </w:pPr>
      <w:r>
        <w:rPr>
          <w:rFonts w:ascii="Courier New" w:cs="Courier New" w:eastAsia="Courier New" w:hAnsi="Courier New"/>
          <w:sz w:val="15"/>
          <w:szCs w:val="15"/>
          <w:color w:val="auto"/>
        </w:rPr>
        <w:t>o the winding up or liquidation of our affairs and such decree or order shall remain unstayed and in effect for a period of 180 consecutive days.</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we:</w:t>
      </w:r>
    </w:p>
    <w:p>
      <w:pPr>
        <w:spacing w:after="0" w:line="171" w:lineRule="exact"/>
        <w:rPr>
          <w:sz w:val="20"/>
          <w:szCs w:val="20"/>
          <w:color w:val="auto"/>
        </w:rPr>
      </w:pPr>
    </w:p>
    <w:p>
      <w:pPr>
        <w:ind w:left="440" w:right="3219" w:firstLine="444"/>
        <w:spacing w:after="0" w:line="278" w:lineRule="auto"/>
        <w:rPr>
          <w:sz w:val="20"/>
          <w:szCs w:val="20"/>
          <w:color w:val="auto"/>
        </w:rPr>
      </w:pPr>
      <w:r>
        <w:rPr>
          <w:rFonts w:ascii="Courier New" w:cs="Courier New" w:eastAsia="Courier New" w:hAnsi="Courier New"/>
          <w:sz w:val="15"/>
          <w:szCs w:val="15"/>
          <w:color w:val="auto"/>
        </w:rPr>
        <w:t>o commence a voluntary case under any applicable bankruptcy, insolvency, or other similar law now or hereafter in effect, or consent to the entry of an order for relief in an involuntary case under any such law;</w:t>
      </w:r>
    </w:p>
    <w:p>
      <w:pPr>
        <w:spacing w:after="0" w:line="66" w:lineRule="exact"/>
        <w:rPr>
          <w:sz w:val="20"/>
          <w:szCs w:val="20"/>
          <w:color w:val="auto"/>
        </w:rPr>
      </w:pPr>
    </w:p>
    <w:p>
      <w:pPr>
        <w:ind w:left="440" w:right="3399" w:firstLine="444"/>
        <w:spacing w:after="0" w:line="278" w:lineRule="auto"/>
        <w:rPr>
          <w:sz w:val="20"/>
          <w:szCs w:val="20"/>
          <w:color w:val="auto"/>
        </w:rPr>
      </w:pPr>
      <w:r>
        <w:rPr>
          <w:rFonts w:ascii="Courier New" w:cs="Courier New" w:eastAsia="Courier New" w:hAnsi="Courier New"/>
          <w:sz w:val="15"/>
          <w:szCs w:val="15"/>
          <w:color w:val="auto"/>
        </w:rPr>
        <w:t>o consent to the appointment of or taking possession by a receiver, liquidator, assignee, custodian, trustee, sequestrator, or similar official of ours or for all or substantially all of our property and assets; or</w:t>
      </w:r>
    </w:p>
    <w:p>
      <w:pPr>
        <w:spacing w:after="0" w:line="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 effect any general assignment for the benefit of creditors.</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4"/>
          <w:szCs w:val="14"/>
          <w:color w:val="auto"/>
        </w:rPr>
        <w:t>If an event of default other than an event of default specified in the last two bullet points above occurs with respect to an issue of senior debt securities and is continuing under the indenture, then, and in each and every such case, either the trustee or the holders of not less than 25% in aggregate principal amount of such senior debt securities then outstanding under the indenture by written notice to us and to the trustee, if such notice is given by the holders, may, and the trustee at the request of such holders shall, declare the principal amount of and accrued interest, if any, on such senior debt securities to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78" w:lineRule="exact"/>
        <w:rPr>
          <w:sz w:val="20"/>
          <w:szCs w:val="20"/>
          <w:color w:val="auto"/>
        </w:rPr>
      </w:pPr>
    </w:p>
    <w:p>
      <w:pPr>
        <w:ind w:right="3399" w:firstLine="444"/>
        <w:spacing w:after="0" w:line="263" w:lineRule="auto"/>
        <w:rPr>
          <w:sz w:val="20"/>
          <w:szCs w:val="20"/>
          <w:color w:val="auto"/>
        </w:rPr>
      </w:pPr>
      <w:r>
        <w:rPr>
          <w:rFonts w:ascii="Courier New" w:cs="Courier New" w:eastAsia="Courier New" w:hAnsi="Courier New"/>
          <w:sz w:val="15"/>
          <w:szCs w:val="15"/>
          <w:color w:val="auto"/>
        </w:rPr>
        <w:t>Upon a declaration of acceleration, such principal amount of and accrued interest, if any, on such senior debt securities shall be immediately due and payable. If an event of default specified in the last two bullet points above occurs with respect to us, the principal amount of and accrued interest, if any, on each issue of senior debt securities then outstanding shall be and become immediately due</w:t>
      </w:r>
    </w:p>
    <w:p>
      <w:pPr>
        <w:spacing w:after="0" w:line="2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75" w:right="1440" w:bottom="1440" w:gutter="0" w:footer="0" w:header="0"/>
        </w:sectPr>
      </w:pPr>
    </w:p>
    <w:bookmarkStart w:id="12" w:name="page13"/>
    <w:bookmarkEnd w:id="12"/>
    <w:p>
      <w:pPr>
        <w:ind w:right="3119"/>
        <w:spacing w:after="0" w:line="266" w:lineRule="auto"/>
        <w:rPr>
          <w:sz w:val="20"/>
          <w:szCs w:val="20"/>
          <w:color w:val="auto"/>
        </w:rPr>
      </w:pPr>
      <w:r>
        <w:rPr>
          <w:rFonts w:ascii="Courier New" w:cs="Courier New" w:eastAsia="Courier New" w:hAnsi="Courier New"/>
          <w:sz w:val="14"/>
          <w:szCs w:val="14"/>
          <w:color w:val="auto"/>
        </w:rPr>
        <w:t>and payable without any notice or other action on the part of the trustee or any holder. 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260" w:lineRule="exact"/>
        <w:rPr>
          <w:sz w:val="20"/>
          <w:szCs w:val="20"/>
          <w:color w:val="auto"/>
        </w:rPr>
      </w:pPr>
    </w:p>
    <w:p>
      <w:pPr>
        <w:ind w:right="3219" w:firstLine="444"/>
        <w:spacing w:after="0" w:line="250" w:lineRule="auto"/>
        <w:rPr>
          <w:sz w:val="20"/>
          <w:szCs w:val="20"/>
          <w:color w:val="auto"/>
        </w:rPr>
      </w:pPr>
      <w:r>
        <w:rPr>
          <w:rFonts w:ascii="Courier New" w:cs="Courier New" w:eastAsia="Courier New" w:hAnsi="Courier New"/>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indenture or any series of senior debt securities unless:</w:t>
      </w:r>
    </w:p>
    <w:p>
      <w:pPr>
        <w:spacing w:after="0" w:line="88"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o the holder gives the trustee written notice of a continuing event of default;</w:t>
      </w:r>
    </w:p>
    <w:p>
      <w:pPr>
        <w:spacing w:after="0" w:line="1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 the holders of at least 25% in aggregate principal amount of such series of senior debt securities make a written request to the trustee to pursue the remedy in respect of such event of default;</w:t>
      </w:r>
    </w:p>
    <w:p>
      <w:pPr>
        <w:spacing w:after="0" w:line="52" w:lineRule="exact"/>
        <w:rPr>
          <w:sz w:val="20"/>
          <w:szCs w:val="20"/>
          <w:color w:val="auto"/>
        </w:rPr>
      </w:pPr>
    </w:p>
    <w:p>
      <w:pPr>
        <w:ind w:right="4099" w:firstLine="444"/>
        <w:spacing w:after="0" w:line="387" w:lineRule="auto"/>
        <w:rPr>
          <w:sz w:val="20"/>
          <w:szCs w:val="20"/>
          <w:color w:val="auto"/>
        </w:rPr>
      </w:pPr>
      <w:r>
        <w:rPr>
          <w:rFonts w:ascii="Courier New" w:cs="Courier New" w:eastAsia="Courier New" w:hAnsi="Courier New"/>
          <w:sz w:val="14"/>
          <w:szCs w:val="14"/>
          <w:color w:val="auto"/>
        </w:rPr>
        <w:t>o the requesting holder or holders offer the trustee indemnity satisfactory to the trustee against any costs, liability, or expense;</w:t>
      </w:r>
    </w:p>
    <w:p>
      <w:pPr>
        <w:spacing w:after="0" w:line="1"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o the trustee does not comply with the request within 60 days after receipt of the request and the offer of indemnity; and</w:t>
      </w:r>
    </w:p>
    <w:p>
      <w:pPr>
        <w:spacing w:after="0" w:line="12" w:lineRule="exact"/>
        <w:rPr>
          <w:sz w:val="20"/>
          <w:szCs w:val="20"/>
          <w:color w:val="auto"/>
        </w:rPr>
      </w:pPr>
    </w:p>
    <w:p>
      <w:pPr>
        <w:jc w:val="both"/>
        <w:ind w:right="3759" w:firstLine="444"/>
        <w:spacing w:after="0" w:line="297" w:lineRule="auto"/>
        <w:rPr>
          <w:sz w:val="20"/>
          <w:szCs w:val="20"/>
          <w:color w:val="auto"/>
        </w:rPr>
      </w:pPr>
      <w:r>
        <w:rPr>
          <w:rFonts w:ascii="Courier New" w:cs="Courier New" w:eastAsia="Courier New" w:hAnsi="Courier New"/>
          <w:sz w:val="15"/>
          <w:szCs w:val="15"/>
          <w:color w:val="auto"/>
        </w:rPr>
        <w:t>o during such 60-day period, the holders of a majority in aggregate principal amount of such series of senior debt securities do not give the trustee a direction that is inconsistent with the request.</w:t>
      </w:r>
    </w:p>
    <w:p>
      <w:pPr>
        <w:spacing w:after="0" w:line="52" w:lineRule="exact"/>
        <w:rPr>
          <w:sz w:val="20"/>
          <w:szCs w:val="20"/>
          <w:color w:val="auto"/>
        </w:rPr>
      </w:pPr>
    </w:p>
    <w:p>
      <w:pPr>
        <w:ind w:right="3399" w:firstLine="444"/>
        <w:spacing w:after="0" w:line="292" w:lineRule="auto"/>
        <w:rPr>
          <w:sz w:val="20"/>
          <w:szCs w:val="20"/>
          <w:color w:val="auto"/>
        </w:rPr>
      </w:pPr>
      <w:r>
        <w:rPr>
          <w:rFonts w:ascii="Courier New" w:cs="Courier New" w:eastAsia="Courier New" w:hAnsi="Courier New"/>
          <w:sz w:val="14"/>
          <w:szCs w:val="14"/>
          <w:color w:val="auto"/>
        </w:rPr>
        <w:t>These limitations, however, do not apply to the right of any holder of a debt security to receive payment of the principal of or interest, if any, on such senior debt security, or to bring suit for the enforcement of any such payment, on or after the due date for the senior debt securities, which right shall not be impaired or affected without the consent of the holder.</w:t>
      </w:r>
    </w:p>
    <w:p>
      <w:pPr>
        <w:spacing w:after="0" w:line="59"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senior indenture will require certain of our officers to certify, on or before a date not more than 120 days after the end of each fiscal year, as to their knowledge of our compliance with all conditions and covenants under the indenture, such compliance to be determined without regard to any period of grace or requirement of notice provided under the indenture.</w:t>
      </w:r>
    </w:p>
    <w:p>
      <w:pPr>
        <w:spacing w:after="0" w:line="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Discharge and Defeasance</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The senior indenture provides that, except as otherwise provided in this paragraph, we may discharge our obligations with respect to an issue of senior debt securities and the indenture with respect to such series of senior debt securities if:</w:t>
      </w:r>
    </w:p>
    <w:p>
      <w:pPr>
        <w:spacing w:after="0" w:line="66" w:lineRule="exact"/>
        <w:rPr>
          <w:sz w:val="20"/>
          <w:szCs w:val="20"/>
          <w:color w:val="auto"/>
        </w:rPr>
      </w:pPr>
    </w:p>
    <w:p>
      <w:pPr>
        <w:ind w:right="3399" w:firstLine="444"/>
        <w:spacing w:after="0" w:line="326" w:lineRule="auto"/>
        <w:rPr>
          <w:sz w:val="20"/>
          <w:szCs w:val="20"/>
          <w:color w:val="auto"/>
        </w:rPr>
      </w:pPr>
      <w:r>
        <w:rPr>
          <w:rFonts w:ascii="Courier New" w:cs="Courier New" w:eastAsia="Courier New" w:hAnsi="Courier New"/>
          <w:sz w:val="14"/>
          <w:szCs w:val="14"/>
          <w:color w:val="auto"/>
        </w:rPr>
        <w:t>o all senior debt securities of such series previously authenticated and delivered with certain exceptions, have been delivered to the trustee for cancellation and we have paid all sums payable by it under the indenture; or</w:t>
      </w:r>
    </w:p>
    <w:p>
      <w:pPr>
        <w:spacing w:after="0" w:line="36" w:lineRule="exact"/>
        <w:rPr>
          <w:sz w:val="20"/>
          <w:szCs w:val="20"/>
          <w:color w:val="auto"/>
        </w:rPr>
      </w:pPr>
    </w:p>
    <w:p>
      <w:pPr>
        <w:ind w:left="440" w:right="3219" w:hanging="5"/>
        <w:spacing w:after="0" w:line="278" w:lineRule="auto"/>
        <w:tabs>
          <w:tab w:leader="none" w:pos="8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 the senior debt securities of such series mature within one year or all of them are to be called for redemption within one year under arrangements satisfactory to the trustee for giving the notice of redemption;</w:t>
      </w:r>
    </w:p>
    <w:p>
      <w:pPr>
        <w:spacing w:after="0" w:line="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 we irrevocably deposit in trust with</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75" w:right="1440" w:bottom="1440" w:gutter="0" w:footer="0" w:header="0"/>
        </w:sectPr>
      </w:pPr>
    </w:p>
    <w:bookmarkStart w:id="13" w:name="page14"/>
    <w:bookmarkEnd w:id="13"/>
    <w:p>
      <w:pPr>
        <w:ind w:left="440" w:right="3119"/>
        <w:spacing w:after="0" w:line="252" w:lineRule="auto"/>
        <w:rPr>
          <w:sz w:val="20"/>
          <w:szCs w:val="20"/>
          <w:color w:val="auto"/>
        </w:rPr>
      </w:pPr>
      <w:r>
        <w:rPr>
          <w:rFonts w:ascii="Courier New" w:cs="Courier New" w:eastAsia="Courier New" w:hAnsi="Courier New"/>
          <w:sz w:val="15"/>
          <w:szCs w:val="15"/>
          <w:color w:val="auto"/>
        </w:rPr>
        <w:t>the trustee, as trust funds solely for the benefit of the holders of the senior debt securities of such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such series to maturity or redemption, as the case may be, and to pay all other sums payable by it under the senior indenture; and</w:t>
      </w:r>
    </w:p>
    <w:p>
      <w:pPr>
        <w:spacing w:after="0" w:line="85" w:lineRule="exact"/>
        <w:rPr>
          <w:sz w:val="20"/>
          <w:szCs w:val="20"/>
          <w:color w:val="auto"/>
        </w:rPr>
      </w:pPr>
    </w:p>
    <w:p>
      <w:pPr>
        <w:ind w:left="440" w:right="3399" w:firstLine="444"/>
        <w:spacing w:after="0" w:line="269" w:lineRule="auto"/>
        <w:rPr>
          <w:sz w:val="20"/>
          <w:szCs w:val="20"/>
          <w:color w:val="auto"/>
        </w:rPr>
      </w:pPr>
      <w:r>
        <w:rPr>
          <w:rFonts w:ascii="Courier New" w:cs="Courier New" w:eastAsia="Courier New" w:hAnsi="Courier New"/>
          <w:sz w:val="15"/>
          <w:szCs w:val="15"/>
          <w:color w:val="auto"/>
        </w:rPr>
        <w:t>o we deliver to the trustee an officers' certificate and an opinion of counsel, in each case stating that all conditions precedent provided for in the indenture relating to the satisfaction and discharge of the indenture with respect to the senior debt securities of such series have been complied with.</w:t>
      </w:r>
    </w:p>
    <w:p>
      <w:pPr>
        <w:spacing w:after="0" w:line="72" w:lineRule="exact"/>
        <w:rPr>
          <w:sz w:val="20"/>
          <w:szCs w:val="20"/>
          <w:color w:val="auto"/>
        </w:rPr>
      </w:pPr>
    </w:p>
    <w:p>
      <w:pPr>
        <w:ind w:right="3219" w:firstLine="444"/>
        <w:spacing w:after="0" w:line="268" w:lineRule="auto"/>
        <w:rPr>
          <w:sz w:val="20"/>
          <w:szCs w:val="20"/>
          <w:color w:val="auto"/>
        </w:rPr>
      </w:pPr>
      <w:r>
        <w:rPr>
          <w:rFonts w:ascii="Courier New" w:cs="Courier New" w:eastAsia="Courier New" w:hAnsi="Courier New"/>
          <w:sz w:val="14"/>
          <w:szCs w:val="14"/>
          <w:color w:val="auto"/>
        </w:rPr>
        <w:t>With respect to the first bullet point, only our obligations to compensate and indemnify the trustee and our right to recover excess money held by the trustee under the indenture shall survive. With respect to the second bullet point,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to be canceled,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258"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The senior indenture also provides that, except as otherwise provided in this paragraph, we:</w:t>
      </w:r>
    </w:p>
    <w:p>
      <w:pPr>
        <w:spacing w:after="0" w:line="12"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o will be deemed to have paid and will be discharged from any and all obligations in respect of a series of senior debt securities, and the provisions of the senior indenture will no longer be in effect with respect to such senior debt securities ("legal defeasance"); and</w:t>
      </w:r>
    </w:p>
    <w:p>
      <w:pPr>
        <w:spacing w:after="0" w:line="66"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o may omit to comply with any term, provision or condition of the senior indenture described above under "--Certain Covenants" and such omission shall be deemed not to be an event of default under the third clause of the first paragraph of "--events of default" with respect to such series of senior debt securities ("covenant defeasance");</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provided that the following conditions shall have been satisfied:</w:t>
      </w:r>
    </w:p>
    <w:p>
      <w:pPr>
        <w:spacing w:after="0" w:line="171" w:lineRule="exact"/>
        <w:rPr>
          <w:sz w:val="20"/>
          <w:szCs w:val="20"/>
          <w:color w:val="auto"/>
        </w:rPr>
      </w:pPr>
    </w:p>
    <w:p>
      <w:pPr>
        <w:ind w:left="440" w:right="3219" w:firstLine="444"/>
        <w:spacing w:after="0" w:line="269" w:lineRule="auto"/>
        <w:rPr>
          <w:sz w:val="20"/>
          <w:szCs w:val="20"/>
          <w:color w:val="auto"/>
        </w:rPr>
      </w:pPr>
      <w:r>
        <w:rPr>
          <w:rFonts w:ascii="Courier New" w:cs="Courier New" w:eastAsia="Courier New" w:hAnsi="Courier New"/>
          <w:sz w:val="14"/>
          <w:szCs w:val="14"/>
          <w:color w:val="auto"/>
        </w:rPr>
        <w:t>o 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78" w:lineRule="exact"/>
        <w:rPr>
          <w:sz w:val="20"/>
          <w:szCs w:val="20"/>
          <w:color w:val="auto"/>
        </w:rPr>
      </w:pPr>
    </w:p>
    <w:p>
      <w:pPr>
        <w:ind w:left="440" w:right="3299" w:firstLine="444"/>
        <w:spacing w:after="0" w:line="326" w:lineRule="auto"/>
        <w:rPr>
          <w:sz w:val="20"/>
          <w:szCs w:val="20"/>
          <w:color w:val="auto"/>
        </w:rPr>
      </w:pPr>
      <w:r>
        <w:rPr>
          <w:rFonts w:ascii="Courier New" w:cs="Courier New" w:eastAsia="Courier New" w:hAnsi="Courier New"/>
          <w:sz w:val="14"/>
          <w:szCs w:val="14"/>
          <w:color w:val="auto"/>
        </w:rPr>
        <w:t>o such deposit will not result in a breach or violation of, or constitute a default under, the indenture or any other material agreement or instrument to which we are a party or by which we are bound;</w:t>
      </w:r>
    </w:p>
    <w:p>
      <w:pPr>
        <w:spacing w:after="0" w:line="36" w:lineRule="exact"/>
        <w:rPr>
          <w:sz w:val="20"/>
          <w:szCs w:val="20"/>
          <w:color w:val="auto"/>
        </w:rPr>
      </w:pPr>
    </w:p>
    <w:p>
      <w:pPr>
        <w:ind w:left="440" w:right="3579" w:firstLine="444"/>
        <w:spacing w:after="0" w:line="297" w:lineRule="auto"/>
        <w:rPr>
          <w:sz w:val="20"/>
          <w:szCs w:val="20"/>
          <w:color w:val="auto"/>
        </w:rPr>
      </w:pPr>
      <w:r>
        <w:rPr>
          <w:rFonts w:ascii="Courier New" w:cs="Courier New" w:eastAsia="Courier New" w:hAnsi="Courier New"/>
          <w:sz w:val="15"/>
          <w:szCs w:val="15"/>
          <w:color w:val="auto"/>
        </w:rPr>
        <w:t>o no default or event of default with respect to the senior debt securities of such series shall have occurred and be continuing on the date of such deposit;</w:t>
      </w:r>
    </w:p>
    <w:p>
      <w:pPr>
        <w:spacing w:after="0" w:line="5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 we shall have delivered to the trustee:</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 either an opinion of counsel that the holders of the senior</w:t>
      </w:r>
    </w:p>
    <w:p>
      <w:pPr>
        <w:spacing w:after="0" w:line="2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debt</w:t>
      </w: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75" w:right="1440" w:bottom="1440" w:gutter="0" w:footer="0" w:header="0"/>
        </w:sectPr>
      </w:pPr>
    </w:p>
    <w:bookmarkStart w:id="14" w:name="page15"/>
    <w:bookmarkEnd w:id="14"/>
    <w:p>
      <w:pPr>
        <w:ind w:left="880" w:right="3219"/>
        <w:spacing w:after="0" w:line="277" w:lineRule="auto"/>
        <w:rPr>
          <w:sz w:val="20"/>
          <w:szCs w:val="20"/>
          <w:color w:val="auto"/>
        </w:rPr>
      </w:pPr>
      <w:r>
        <w:rPr>
          <w:rFonts w:ascii="Courier New" w:cs="Courier New" w:eastAsia="Courier New" w:hAnsi="Courier New"/>
          <w:sz w:val="14"/>
          <w:szCs w:val="14"/>
          <w:color w:val="auto"/>
        </w:rPr>
        <w:t>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72" w:lineRule="exact"/>
        <w:rPr>
          <w:sz w:val="20"/>
          <w:szCs w:val="20"/>
          <w:color w:val="auto"/>
        </w:rPr>
      </w:pPr>
    </w:p>
    <w:p>
      <w:pPr>
        <w:ind w:left="880" w:right="3219" w:firstLine="442"/>
        <w:spacing w:after="0" w:line="278" w:lineRule="auto"/>
        <w:tabs>
          <w:tab w:leader="none" w:pos="167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that the holders of the senior debt securities of such series have a valid security interest in the trust funds subject to no prior liens under the Uniform Commercial Code; and</w:t>
      </w:r>
    </w:p>
    <w:p>
      <w:pPr>
        <w:spacing w:after="0" w:line="66" w:lineRule="exact"/>
        <w:rPr>
          <w:sz w:val="20"/>
          <w:szCs w:val="20"/>
          <w:color w:val="auto"/>
        </w:rPr>
      </w:pPr>
    </w:p>
    <w:p>
      <w:pPr>
        <w:ind w:left="440" w:right="3399" w:firstLine="444"/>
        <w:spacing w:after="0" w:line="303" w:lineRule="auto"/>
        <w:rPr>
          <w:sz w:val="20"/>
          <w:szCs w:val="20"/>
          <w:color w:val="auto"/>
        </w:rPr>
      </w:pPr>
      <w:r>
        <w:rPr>
          <w:rFonts w:ascii="Courier New" w:cs="Courier New" w:eastAsia="Courier New" w:hAnsi="Courier New"/>
          <w:sz w:val="14"/>
          <w:szCs w:val="14"/>
          <w:color w:val="auto"/>
        </w:rPr>
        <w:t>o we have delivered to the trustee an officers' certificate and an opinion of counsel, in each case stating that all conditions precedent provided for in the indenture relating to the defeasance contemplated of the senior debt securities of such series have been complied with.</w:t>
      </w:r>
    </w:p>
    <w:p>
      <w:pPr>
        <w:spacing w:after="0" w:line="5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4"/>
          <w:szCs w:val="14"/>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debt securities for replacement or to be canceled, to compensate and indemnify the trustee and to appoint a successor trustee, and its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Modification and Waiver</w:t>
      </w:r>
    </w:p>
    <w:p>
      <w:pPr>
        <w:spacing w:after="0" w:line="171" w:lineRule="exact"/>
        <w:rPr>
          <w:sz w:val="20"/>
          <w:szCs w:val="20"/>
          <w:color w:val="auto"/>
        </w:rPr>
      </w:pPr>
    </w:p>
    <w:p>
      <w:pPr>
        <w:ind w:right="3579" w:firstLine="444"/>
        <w:spacing w:after="0" w:line="387" w:lineRule="auto"/>
        <w:rPr>
          <w:sz w:val="20"/>
          <w:szCs w:val="20"/>
          <w:color w:val="auto"/>
        </w:rPr>
      </w:pPr>
      <w:r>
        <w:rPr>
          <w:rFonts w:ascii="Courier New" w:cs="Courier New" w:eastAsia="Courier New" w:hAnsi="Courier New"/>
          <w:sz w:val="14"/>
          <w:szCs w:val="14"/>
          <w:color w:val="auto"/>
        </w:rPr>
        <w:t>We and the trustee may amend or supplement the senior indenture or the senior debt securities without notice to or the consent of any holder:</w:t>
      </w:r>
    </w:p>
    <w:p>
      <w:pPr>
        <w:spacing w:after="0" w:line="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 to cure any ambiguity, defect, or inconsistency in the senior indenture; provided that such amendments or supplements shall not adversely affect the interests of the holders in any material respect;</w:t>
      </w:r>
    </w:p>
    <w:p>
      <w:pPr>
        <w:spacing w:after="0" w:line="52" w:lineRule="exact"/>
        <w:rPr>
          <w:sz w:val="20"/>
          <w:szCs w:val="20"/>
          <w:color w:val="auto"/>
        </w:rPr>
      </w:pPr>
    </w:p>
    <w:p>
      <w:pPr>
        <w:ind w:right="4639" w:firstLine="444"/>
        <w:spacing w:after="0" w:line="353" w:lineRule="auto"/>
        <w:rPr>
          <w:sz w:val="20"/>
          <w:szCs w:val="20"/>
          <w:color w:val="auto"/>
        </w:rPr>
      </w:pPr>
      <w:r>
        <w:rPr>
          <w:rFonts w:ascii="Courier New" w:cs="Courier New" w:eastAsia="Courier New" w:hAnsi="Courier New"/>
          <w:sz w:val="15"/>
          <w:szCs w:val="15"/>
          <w:color w:val="auto"/>
        </w:rPr>
        <w:t>o to comply with the provisions described under "--Certain Covenants--Consolidation, Merger and Sale of Assets";</w:t>
      </w:r>
    </w:p>
    <w:p>
      <w:pPr>
        <w:spacing w:after="0" w:line="12" w:lineRule="exact"/>
        <w:rPr>
          <w:sz w:val="20"/>
          <w:szCs w:val="20"/>
          <w:color w:val="auto"/>
        </w:rPr>
      </w:pPr>
    </w:p>
    <w:p>
      <w:pPr>
        <w:ind w:right="3839" w:firstLine="444"/>
        <w:spacing w:after="0" w:line="387" w:lineRule="auto"/>
        <w:rPr>
          <w:sz w:val="20"/>
          <w:szCs w:val="20"/>
          <w:color w:val="auto"/>
        </w:rPr>
      </w:pPr>
      <w:r>
        <w:rPr>
          <w:rFonts w:ascii="Courier New" w:cs="Courier New" w:eastAsia="Courier New" w:hAnsi="Courier New"/>
          <w:sz w:val="14"/>
          <w:szCs w:val="14"/>
          <w:color w:val="auto"/>
        </w:rPr>
        <w:t>o to comply with any requirements of the SEC in connection with the qualification of the senior indenture under the Trust Indenture Act;</w:t>
      </w:r>
    </w:p>
    <w:p>
      <w:pPr>
        <w:spacing w:after="0" w:line="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to evidence and provide for the acceptance of appointment hereunder by a successor trustee;</w:t>
      </w:r>
    </w:p>
    <w:p>
      <w:pPr>
        <w:spacing w:after="0" w:line="1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to establish the form or forms or terms of the senior debt securities as permitted by the senior indenture;</w:t>
      </w:r>
    </w:p>
    <w:p>
      <w:pPr>
        <w:spacing w:after="0" w:line="12"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o to provide for uncertificated senior debt securities and to make all appropriate changes for such purpose;</w:t>
      </w:r>
    </w:p>
    <w:p>
      <w:pPr>
        <w:spacing w:after="0" w:line="12"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o to make any change that does not adversely affect the rights of any holder;</w:t>
      </w:r>
    </w:p>
    <w:p>
      <w:pPr>
        <w:spacing w:after="0" w:line="12"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o 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 to make any change so long as no senior debt securities are outstanding.</w:t>
      </w:r>
    </w:p>
    <w:p>
      <w:pPr>
        <w:spacing w:after="0" w:line="18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Subject to certain conditions, without prior notice to any holder of an issue of senior debt securities, modifications and amendments of the senior indenture may be made by us and the trustee with the written consent of the holders of a majority in principal amount of such series of senior debt securities, and compliance by us with any provision of the indenture with respect to such series of senior debt securities may be waived by written notice to</w:t>
      </w:r>
    </w:p>
    <w:p>
      <w:pPr>
        <w:spacing w:after="0" w:line="2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75" w:right="1440" w:bottom="1440" w:gutter="0" w:footer="0" w:header="0"/>
        </w:sectPr>
      </w:pPr>
    </w:p>
    <w:bookmarkStart w:id="15" w:name="page16"/>
    <w:bookmarkEnd w:id="15"/>
    <w:p>
      <w:pPr>
        <w:ind w:right="3119"/>
        <w:spacing w:after="0" w:line="297" w:lineRule="auto"/>
        <w:rPr>
          <w:sz w:val="20"/>
          <w:szCs w:val="20"/>
          <w:color w:val="auto"/>
        </w:rPr>
      </w:pPr>
      <w:r>
        <w:rPr>
          <w:rFonts w:ascii="Courier New" w:cs="Courier New" w:eastAsia="Courier New" w:hAnsi="Courier New"/>
          <w:sz w:val="15"/>
          <w:szCs w:val="15"/>
          <w:color w:val="auto"/>
        </w:rPr>
        <w:t>the trustee by the holders of a majority in principal amount of such series of senior debt securities outstanding; provided, however, that each affected holder must consent to any modification, amendment or waiver that,</w:t>
      </w:r>
    </w:p>
    <w:p>
      <w:pPr>
        <w:spacing w:after="0" w:line="52"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o changes the stated maturity of the principal of, or any installment of interest on, any senior debt securities of such series;</w:t>
      </w:r>
    </w:p>
    <w:p>
      <w:pPr>
        <w:spacing w:after="0" w:line="1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reduces the principal amount of, or premium, if any, or interest on, any senior debt securities of such series;</w:t>
      </w:r>
    </w:p>
    <w:p>
      <w:pPr>
        <w:spacing w:after="0" w:line="1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changes the place or currency of payment of principal of, or premium, if any, or interest on, any senior debt securities of such series;</w:t>
      </w:r>
    </w:p>
    <w:p>
      <w:pPr>
        <w:spacing w:after="0" w:line="1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o changes the provisions for calculating the optional redemption price, including the definitions relating thereto;</w:t>
      </w:r>
    </w:p>
    <w:p>
      <w:pPr>
        <w:spacing w:after="0" w:line="1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o changes the provisions relating to the waiver of past defaults or change or impair the right of holders to receive payment or to institute suit for the enforcement of any payment of any senior debt securities of such series on or after the due date therefor;</w:t>
      </w:r>
    </w:p>
    <w:p>
      <w:pPr>
        <w:spacing w:after="0" w:line="66" w:lineRule="exact"/>
        <w:rPr>
          <w:sz w:val="20"/>
          <w:szCs w:val="20"/>
          <w:color w:val="auto"/>
        </w:rPr>
      </w:pPr>
    </w:p>
    <w:p>
      <w:pPr>
        <w:ind w:right="3399" w:firstLine="444"/>
        <w:spacing w:after="0" w:line="326" w:lineRule="auto"/>
        <w:rPr>
          <w:sz w:val="20"/>
          <w:szCs w:val="20"/>
          <w:color w:val="auto"/>
        </w:rPr>
      </w:pPr>
      <w:r>
        <w:rPr>
          <w:rFonts w:ascii="Courier New" w:cs="Courier New" w:eastAsia="Courier New" w:hAnsi="Courier New"/>
          <w:sz w:val="14"/>
          <w:szCs w:val="14"/>
          <w:color w:val="auto"/>
        </w:rPr>
        <w:t>o reduces the above-stated percentage of outstanding senior debt securities of such series the consent of whose holders is necessary to modify or amend or to waive certain provisions of or defaults under the indenture;</w:t>
      </w:r>
    </w:p>
    <w:p>
      <w:pPr>
        <w:spacing w:after="0" w:line="36"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o alters or impairs the right to convert the senior debt security at the rate and upon the terms provided in the indenture;</w:t>
      </w:r>
    </w:p>
    <w:p>
      <w:pPr>
        <w:spacing w:after="0" w:line="1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o waives a default in the payment of principal of or interest on the senior debt securities;</w:t>
      </w:r>
    </w:p>
    <w:p>
      <w:pPr>
        <w:spacing w:after="0" w:line="1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o adversely affects the rights of such holder under any mandatory redemption or repurchase provision or any right of redemption or repurchase at the option of such holder; or</w:t>
      </w:r>
    </w:p>
    <w:p>
      <w:pPr>
        <w:spacing w:after="0" w:line="5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o modifies any of the provisions of this paragraph, except to increase any required percentage or to provide that certain other provisions cannot be modified or waived with the consent of the holder of each senior debt security of such series affected by the modification.</w:t>
      </w:r>
    </w:p>
    <w:p>
      <w:pPr>
        <w:spacing w:after="0" w:line="66"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we must give to the holders affected thereby a notice briefly describing the amendment, supplement, or waiver. We will mail supplemental indentures to holders upon request. Any failure by us to mail such notice, or any defect therein, shall not, however, in any way impair or affect the validity of any such supplemental indenture or waiver.</w:t>
      </w:r>
    </w:p>
    <w:p>
      <w:pPr>
        <w:spacing w:after="0" w:line="86"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With respect to any issue of senior debt securities, neither we nor any of our subsidiaries will, directly or indirectly, pay or cause to be paid any consideration, whether by way of interest, fee, or otherwise, to any holder of any such senior debt securities for or as an inducement to any consent, waiver, or amendment of any of the terms or provisions of such series of senior debt securities or the indenture with respect to such series of senior debt securities unless such consideration is offered to be paid or agreed to be paid to all holders of such senior debt securities of such series that consent, waive, or agree to amend in the time frame set forth in the solicitation documents relating to such consent, waiver, or agreement.</w:t>
      </w:r>
    </w:p>
    <w:p>
      <w:pPr>
        <w:spacing w:after="0" w:line="86" w:lineRule="exact"/>
        <w:rPr>
          <w:sz w:val="20"/>
          <w:szCs w:val="20"/>
          <w:color w:val="auto"/>
        </w:rPr>
      </w:pPr>
    </w:p>
    <w:p>
      <w:pPr>
        <w:ind w:left="260" w:right="3399"/>
        <w:spacing w:after="0" w:line="353" w:lineRule="auto"/>
        <w:rPr>
          <w:sz w:val="20"/>
          <w:szCs w:val="20"/>
          <w:color w:val="auto"/>
        </w:rPr>
      </w:pPr>
      <w:r>
        <w:rPr>
          <w:rFonts w:ascii="Courier New" w:cs="Courier New" w:eastAsia="Courier New" w:hAnsi="Courier New"/>
          <w:sz w:val="15"/>
          <w:szCs w:val="15"/>
          <w:color w:val="auto"/>
        </w:rPr>
        <w:t>No Personal Liability of Incorporators, Stockholders, Officers, Directors, or Employees</w:t>
      </w:r>
    </w:p>
    <w:p>
      <w:pPr>
        <w:spacing w:after="0" w:line="12"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The senior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Concerning the Trustee</w:t>
      </w:r>
    </w:p>
    <w:p>
      <w:pPr>
        <w:spacing w:after="0" w:line="171" w:lineRule="exact"/>
        <w:rPr>
          <w:sz w:val="20"/>
          <w:szCs w:val="20"/>
          <w:color w:val="auto"/>
        </w:rPr>
      </w:pPr>
    </w:p>
    <w:p>
      <w:pPr>
        <w:ind w:right="3579" w:firstLine="444"/>
        <w:spacing w:after="0" w:line="395" w:lineRule="auto"/>
        <w:rPr>
          <w:sz w:val="20"/>
          <w:szCs w:val="20"/>
          <w:color w:val="auto"/>
        </w:rPr>
      </w:pPr>
      <w:r>
        <w:rPr>
          <w:rFonts w:ascii="Courier New" w:cs="Courier New" w:eastAsia="Courier New" w:hAnsi="Courier New"/>
          <w:sz w:val="14"/>
          <w:szCs w:val="14"/>
          <w:color w:val="auto"/>
        </w:rPr>
        <w:t>The senior indenture provides that, except during the continuance of a default, the trustee will not be liable, except for the performance of such</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75" w:right="1440" w:bottom="1440" w:gutter="0" w:footer="0" w:header="0"/>
        </w:sectPr>
      </w:pPr>
    </w:p>
    <w:bookmarkStart w:id="16" w:name="page17"/>
    <w:bookmarkEnd w:id="16"/>
    <w:p>
      <w:pPr>
        <w:ind w:right="3219"/>
        <w:spacing w:after="0" w:line="269" w:lineRule="auto"/>
        <w:rPr>
          <w:sz w:val="20"/>
          <w:szCs w:val="20"/>
          <w:color w:val="auto"/>
        </w:rPr>
      </w:pPr>
      <w:r>
        <w:rPr>
          <w:rFonts w:ascii="Courier New" w:cs="Courier New" w:eastAsia="Courier New" w:hAnsi="Courier New"/>
          <w:sz w:val="15"/>
          <w:szCs w:val="15"/>
          <w:color w:val="auto"/>
        </w:rPr>
        <w:t>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Governing Law</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indentures and the debt securities will be governed by, and construed in accordance with, the internal laws of the State of New York.</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Trustees</w:t>
      </w:r>
    </w:p>
    <w:p>
      <w:pPr>
        <w:spacing w:after="0" w:line="171"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We may have normal banking relationships with the trustees under the indentures in the ordinary course of business.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Subordinated Debt Securities</w:t>
      </w:r>
    </w:p>
    <w:p>
      <w:pPr>
        <w:spacing w:after="0" w:line="171"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Subordination</w:t>
      </w:r>
    </w:p>
    <w:p>
      <w:pPr>
        <w:spacing w:after="0" w:line="171" w:lineRule="exact"/>
        <w:rPr>
          <w:sz w:val="20"/>
          <w:szCs w:val="20"/>
          <w:color w:val="auto"/>
        </w:rPr>
      </w:pPr>
    </w:p>
    <w:p>
      <w:pPr>
        <w:ind w:right="3219" w:firstLine="444"/>
        <w:spacing w:after="0" w:line="267" w:lineRule="auto"/>
        <w:rPr>
          <w:sz w:val="20"/>
          <w:szCs w:val="20"/>
          <w:color w:val="auto"/>
        </w:rPr>
      </w:pPr>
      <w:r>
        <w:rPr>
          <w:rFonts w:ascii="Courier New" w:cs="Courier New" w:eastAsia="Courier New" w:hAnsi="Courier New"/>
          <w:sz w:val="14"/>
          <w:szCs w:val="14"/>
          <w:color w:val="auto"/>
        </w:rPr>
        <w:t>The indebtedness evidenced by the subordinated debt securities is subordinate to the prior payment in full of all Senior Indebtedness, as defined in the subordinated indenture. During the continuance beyond any applicable grace period of any default in the payment of principal, premium, interest or any other payment due on any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senior indebtedness. Because of this subordination, if we dissolve or otherwise liquidate, holders of senior indebtedness may receive more, ratably, and holders of our subordinated debt securities may receive less, ratably, than our other creditors. The subordination provisions do not prevent the occurrence of an event of default under the subordinated indenture.</w:t>
      </w:r>
    </w:p>
    <w:p>
      <w:pPr>
        <w:spacing w:after="0" w:line="255"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The term "Senior Indebtedness" means the principal of, premium, if any, interest on, and any other payment due pursuant to any of the following, whether outstanding today or incurred by us in the future:</w:t>
      </w:r>
    </w:p>
    <w:p>
      <w:pPr>
        <w:spacing w:after="0" w:line="5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o 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72"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o all of our indebtedness evidences by notes, debentures, bonds or other securities sold by us for money;</w:t>
      </w:r>
    </w:p>
    <w:p>
      <w:pPr>
        <w:spacing w:after="0" w:line="1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o all of our lease obligations which are capitalized on our books in accordance with generally accepted accounting principles;</w:t>
      </w:r>
    </w:p>
    <w:p>
      <w:pPr>
        <w:spacing w:after="0" w:line="1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o 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7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o all renewals, extensions or refundings of indebtedness of the kinds described in the first, second or fourth bullet point above and all renewals or extensions of leases of the kinds described in the third or fourth bullet point above;</w:t>
      </w:r>
    </w:p>
    <w:p>
      <w:pPr>
        <w:spacing w:after="0" w:line="6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indebtedness outstanding under our senior subordinated debentures Indenture dated as of October 17, 1991</w:t>
      </w:r>
    </w:p>
    <w:p>
      <w:pPr>
        <w:spacing w:after="0" w:line="2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75" w:right="1440" w:bottom="1440" w:gutter="0" w:footer="0" w:header="0"/>
        </w:sectPr>
      </w:pPr>
    </w:p>
    <w:bookmarkStart w:id="17" w:name="page18"/>
    <w:bookmarkEnd w:id="17"/>
    <w:p>
      <w:pPr>
        <w:ind w:right="3119"/>
        <w:spacing w:after="0" w:line="387" w:lineRule="auto"/>
        <w:rPr>
          <w:sz w:val="20"/>
          <w:szCs w:val="20"/>
          <w:color w:val="auto"/>
        </w:rPr>
      </w:pPr>
      <w:r>
        <w:rPr>
          <w:rFonts w:ascii="Courier New" w:cs="Courier New" w:eastAsia="Courier New" w:hAnsi="Courier New"/>
          <w:sz w:val="14"/>
          <w:szCs w:val="14"/>
          <w:color w:val="auto"/>
        </w:rPr>
        <w:t>between us and Morgan Guaranty Trust Company of New York, as trustee, constitute Senior Indebtedness for purposes of the subordinated debt indenture.</w:t>
      </w:r>
    </w:p>
    <w:p>
      <w:pPr>
        <w:spacing w:after="0" w:line="1"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Special Terms Applicable to the Issuance of Subordinated Debt Securities to one of our Trust Subsidiaries</w:t>
      </w:r>
    </w:p>
    <w:p>
      <w:pPr>
        <w:spacing w:after="0" w:line="12"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If we issue subordinated debt securities to one of our trust subsidiaries or a trustee of such trust in connection with its issuance of guaranteed trust preferred securities, such subordinated debt securities subsequently may be distributed pro rata to the holders of such guaranteed preferred trust securities in connection with the dissolution of such trust subsidiary upon the occurrence of certain events described in the prospectus supplement relating to such guaranteed preferred trust securities. Only one series of subordinated debt securities will be issued to a trust subsidiary or a trustee of such trust in connection with the issuance of guaranteed preferred trust securities by such trust subsidiary.</w:t>
      </w:r>
    </w:p>
    <w:p>
      <w:pPr>
        <w:spacing w:after="0" w:line="8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Certain Covenants</w:t>
      </w:r>
    </w:p>
    <w:p>
      <w:pPr>
        <w:spacing w:after="0" w:line="171" w:lineRule="exact"/>
        <w:rPr>
          <w:sz w:val="20"/>
          <w:szCs w:val="20"/>
          <w:color w:val="auto"/>
        </w:rPr>
      </w:pPr>
    </w:p>
    <w:p>
      <w:pPr>
        <w:jc w:val="both"/>
        <w:ind w:right="3759" w:firstLine="444"/>
        <w:spacing w:after="0" w:line="297" w:lineRule="auto"/>
        <w:rPr>
          <w:sz w:val="20"/>
          <w:szCs w:val="20"/>
          <w:color w:val="auto"/>
        </w:rPr>
      </w:pPr>
      <w:r>
        <w:rPr>
          <w:rFonts w:ascii="Courier New" w:cs="Courier New" w:eastAsia="Courier New" w:hAnsi="Courier New"/>
          <w:sz w:val="15"/>
          <w:szCs w:val="15"/>
          <w:color w:val="auto"/>
        </w:rPr>
        <w:t>If we issue subordinated debt securities to a trust subsidiary or a trustee of such trust in connection with the issuance of guaranteed trust preferred securities by such trust subsidiary and:</w:t>
      </w:r>
    </w:p>
    <w:p>
      <w:pPr>
        <w:spacing w:after="0" w:line="5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o there shall have occurred any event that would constitute an event of default; or</w:t>
      </w:r>
    </w:p>
    <w:p>
      <w:pPr>
        <w:spacing w:after="0" w:line="12" w:lineRule="exact"/>
        <w:rPr>
          <w:sz w:val="20"/>
          <w:szCs w:val="20"/>
          <w:color w:val="auto"/>
        </w:rPr>
      </w:pPr>
    </w:p>
    <w:p>
      <w:pPr>
        <w:ind w:right="3399" w:firstLine="444"/>
        <w:spacing w:after="0" w:line="297" w:lineRule="auto"/>
        <w:rPr>
          <w:sz w:val="20"/>
          <w:szCs w:val="20"/>
          <w:color w:val="auto"/>
        </w:rPr>
      </w:pPr>
      <w:r>
        <w:rPr>
          <w:rFonts w:ascii="Courier New" w:cs="Courier New" w:eastAsia="Courier New" w:hAnsi="Courier New"/>
          <w:sz w:val="15"/>
          <w:szCs w:val="15"/>
          <w:color w:val="auto"/>
        </w:rPr>
        <w:t>o we are in default with respect to our payment of any obligations under the related guaranteed trust preferred securities guarantee or common securities guarantee, then</w:t>
      </w:r>
    </w:p>
    <w:p>
      <w:pPr>
        <w:spacing w:after="0" w:line="52" w:lineRule="exact"/>
        <w:rPr>
          <w:sz w:val="20"/>
          <w:szCs w:val="20"/>
          <w:color w:val="auto"/>
        </w:rPr>
      </w:pPr>
    </w:p>
    <w:p>
      <w:pPr>
        <w:ind w:left="440" w:right="3219" w:firstLine="444"/>
        <w:spacing w:after="0" w:line="266" w:lineRule="auto"/>
        <w:rPr>
          <w:sz w:val="20"/>
          <w:szCs w:val="20"/>
          <w:color w:val="auto"/>
        </w:rPr>
      </w:pPr>
      <w:r>
        <w:rPr>
          <w:rFonts w:ascii="Courier New" w:cs="Courier New" w:eastAsia="Courier New" w:hAnsi="Courier New"/>
          <w:sz w:val="14"/>
          <w:szCs w:val="14"/>
          <w:color w:val="auto"/>
        </w:rPr>
        <w:t>o we shall not declare or pay any dividend on, make any distributions with respect to, or redeem, purchase or make a liquidation payment with respect to, any of our capital stock (other than (1) purchases or acquisitions of shares of our common stock in connection with the satisfaction by us of our obligations under any employee benefit plans,</w:t>
      </w:r>
    </w:p>
    <w:p>
      <w:pPr>
        <w:ind w:left="440" w:right="3219" w:hanging="5"/>
        <w:spacing w:after="0" w:line="253" w:lineRule="auto"/>
        <w:tabs>
          <w:tab w:leader="none" w:pos="79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reclassification of our capital stock or the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85" w:lineRule="exact"/>
        <w:rPr>
          <w:sz w:val="20"/>
          <w:szCs w:val="20"/>
          <w:color w:val="auto"/>
        </w:rPr>
      </w:pPr>
    </w:p>
    <w:p>
      <w:pPr>
        <w:ind w:left="440" w:right="3219" w:firstLine="444"/>
        <w:spacing w:after="0" w:line="292" w:lineRule="auto"/>
        <w:rPr>
          <w:sz w:val="20"/>
          <w:szCs w:val="20"/>
          <w:color w:val="auto"/>
        </w:rPr>
      </w:pPr>
      <w:r>
        <w:rPr>
          <w:rFonts w:ascii="Courier New" w:cs="Courier New" w:eastAsia="Courier New" w:hAnsi="Courier New"/>
          <w:sz w:val="14"/>
          <w:szCs w:val="14"/>
          <w:color w:val="auto"/>
        </w:rPr>
        <w:t>o we shall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59"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If (1) we issue subordinated debt securities to a trust subsidiary or a trustee of such trust in connection with the issuance of guaranteed trust preferred securities by such trust subsidiary and we have exercised our right to defer payments of interest on such subordinated debt securities by extending the interest payment period of such subordinated debt securities as provided in the supplemental indenture relating to such subordinated debt securities and such period, or any extension thereof, shall be continuing, or (2) there shall have occurred any event of default, as defined in the subordinated indenture, then:</w:t>
      </w:r>
    </w:p>
    <w:p>
      <w:pPr>
        <w:spacing w:after="0" w:line="82"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o we shall not declare or pay any dividend on, make any distributions with respect to, or redeem, purchase, acquire or make a liquidation payment with respect to, any of our capital stock or make any guarantee payment with respect thereto (other than (1) purchases or acquisitions of shares of our common stock to satisfy our obligations under any employee benefit plans, (2) as a result of a reclassification of our capital stock for another class or series of our capital stock or (3) the purchase of fractional interests in shares of our capital stock pursuant to the conversion or exchange provisions of such capital stock or security being converted or exchanged), or make any guarantee payment with respect thereto; and</w:t>
      </w:r>
    </w:p>
    <w:p>
      <w:pPr>
        <w:spacing w:after="0" w:line="86"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o we shall not make any payment of interest, principal or premium, if any, on or repay, repurchase or redeem any debt securities issued by us that rank equally with or junior to such subordinated debt securities; except in the case of debt securities that rank equally with such subordinated debt securities, on a pro rata basis.</w:t>
      </w:r>
    </w:p>
    <w:p>
      <w:pPr>
        <w:spacing w:after="0" w:line="72" w:lineRule="exact"/>
        <w:rPr>
          <w:sz w:val="20"/>
          <w:szCs w:val="20"/>
          <w:color w:val="auto"/>
        </w:rPr>
      </w:pPr>
    </w:p>
    <w:p>
      <w:pPr>
        <w:ind w:right="3759" w:firstLine="444"/>
        <w:spacing w:after="0" w:line="395" w:lineRule="auto"/>
        <w:rPr>
          <w:sz w:val="20"/>
          <w:szCs w:val="20"/>
          <w:color w:val="auto"/>
        </w:rPr>
      </w:pPr>
      <w:r>
        <w:rPr>
          <w:rFonts w:ascii="Courier New" w:cs="Courier New" w:eastAsia="Courier New" w:hAnsi="Courier New"/>
          <w:sz w:val="14"/>
          <w:szCs w:val="14"/>
          <w:color w:val="auto"/>
        </w:rPr>
        <w:t>If we issue subordinated debt securities to a trust subsidiary or a trustee of such trust in connection with the issuance of guaranteed trust</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775" w:right="1440" w:bottom="1440" w:gutter="0" w:footer="0" w:header="0"/>
        </w:sectPr>
      </w:pPr>
    </w:p>
    <w:bookmarkStart w:id="18" w:name="page19"/>
    <w:bookmarkEnd w:id="18"/>
    <w:p>
      <w:pPr>
        <w:ind w:right="3399"/>
        <w:spacing w:after="0" w:line="353" w:lineRule="auto"/>
        <w:rPr>
          <w:sz w:val="20"/>
          <w:szCs w:val="20"/>
          <w:color w:val="auto"/>
        </w:rPr>
      </w:pPr>
      <w:r>
        <w:rPr>
          <w:rFonts w:ascii="Courier New" w:cs="Courier New" w:eastAsia="Courier New" w:hAnsi="Courier New"/>
          <w:sz w:val="15"/>
          <w:szCs w:val="15"/>
          <w:color w:val="auto"/>
        </w:rPr>
        <w:t>preferred securities of such trust subsidiary, for so long as such guaranteed trust preferred securities remain outstanding, we will:</w:t>
      </w:r>
    </w:p>
    <w:p>
      <w:pPr>
        <w:spacing w:after="0" w:line="1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o maintain 100 percent direct or indirect ownership of the common securities of such trust subsidiary; provided, however, that any permitted successor of ours under the subordinated indenture may succeed to our ownership of such common securities;</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use our reasonable efforts to cause such trust subsidiary:</w:t>
      </w:r>
    </w:p>
    <w:p>
      <w:pPr>
        <w:spacing w:after="0" w:line="171" w:lineRule="exact"/>
        <w:rPr>
          <w:sz w:val="20"/>
          <w:szCs w:val="20"/>
          <w:color w:val="auto"/>
        </w:rPr>
      </w:pPr>
    </w:p>
    <w:p>
      <w:pPr>
        <w:ind w:left="440" w:right="3219" w:firstLine="444"/>
        <w:spacing w:after="0" w:line="269" w:lineRule="auto"/>
        <w:rPr>
          <w:sz w:val="20"/>
          <w:szCs w:val="20"/>
          <w:color w:val="auto"/>
        </w:rPr>
      </w:pPr>
      <w:r>
        <w:rPr>
          <w:rFonts w:ascii="Courier New" w:cs="Courier New" w:eastAsia="Courier New" w:hAnsi="Courier New"/>
          <w:sz w:val="15"/>
          <w:szCs w:val="15"/>
          <w:color w:val="auto"/>
        </w:rPr>
        <w:t>o to remain a statutory business trust, except in connection with the distribution of subordinated debt securities, the redemption of all of such guaranteed trust preferred securities of such trust subsidiary, or certain mergers, consolidations or amalgamations, each as permitted by the declaration of such trust subsidiary; and</w:t>
      </w:r>
    </w:p>
    <w:p>
      <w:pPr>
        <w:spacing w:after="0" w:line="72" w:lineRule="exact"/>
        <w:rPr>
          <w:sz w:val="20"/>
          <w:szCs w:val="20"/>
          <w:color w:val="auto"/>
        </w:rPr>
      </w:pPr>
    </w:p>
    <w:p>
      <w:pPr>
        <w:ind w:left="440" w:right="3399" w:firstLine="444"/>
        <w:spacing w:after="0" w:line="297" w:lineRule="auto"/>
        <w:rPr>
          <w:sz w:val="20"/>
          <w:szCs w:val="20"/>
          <w:color w:val="auto"/>
        </w:rPr>
      </w:pPr>
      <w:r>
        <w:rPr>
          <w:rFonts w:ascii="Courier New" w:cs="Courier New" w:eastAsia="Courier New" w:hAnsi="Courier New"/>
          <w:sz w:val="15"/>
          <w:szCs w:val="15"/>
          <w:color w:val="auto"/>
        </w:rPr>
        <w:t>o to otherwise continue not to be treated as an association taxable as a corporation or partnership for United States federal income tax purposes; and</w:t>
      </w:r>
    </w:p>
    <w:p>
      <w:pPr>
        <w:spacing w:after="0" w:line="52" w:lineRule="exact"/>
        <w:rPr>
          <w:sz w:val="20"/>
          <w:szCs w:val="20"/>
          <w:color w:val="auto"/>
        </w:rPr>
      </w:pPr>
    </w:p>
    <w:p>
      <w:pPr>
        <w:ind w:left="440" w:right="3479" w:firstLine="444"/>
        <w:spacing w:after="0" w:line="297" w:lineRule="auto"/>
        <w:rPr>
          <w:sz w:val="20"/>
          <w:szCs w:val="20"/>
          <w:color w:val="auto"/>
        </w:rPr>
      </w:pPr>
      <w:r>
        <w:rPr>
          <w:rFonts w:ascii="Courier New" w:cs="Courier New" w:eastAsia="Courier New" w:hAnsi="Courier New"/>
          <w:sz w:val="15"/>
          <w:szCs w:val="15"/>
          <w:color w:val="auto"/>
        </w:rPr>
        <w:t>o to use our reasonable efforts to cause each holder of guaranteed trust preferred securities to be treated as owning an individual beneficial interest in the subordinated debt securities.</w:t>
      </w:r>
    </w:p>
    <w:p>
      <w:pPr>
        <w:spacing w:after="0" w:line="5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Events of Default, Waiver and Notice</w:t>
      </w:r>
    </w:p>
    <w:p>
      <w:pPr>
        <w:spacing w:after="0" w:line="171"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In addition to the events of default applicable to all subordinated debt securities, if we issue subordinated debt securities to one of our trust subsidiaries or a trustee of such trust in connection with the issuance of guaranteed trust preferred securities by such trust subsidiary, the following will also constitute an event of default:</w:t>
      </w:r>
    </w:p>
    <w:p>
      <w:pPr>
        <w:spacing w:after="0" w:line="72" w:lineRule="exact"/>
        <w:rPr>
          <w:sz w:val="20"/>
          <w:szCs w:val="20"/>
          <w:color w:val="auto"/>
        </w:rPr>
      </w:pPr>
    </w:p>
    <w:p>
      <w:pPr>
        <w:ind w:left="440" w:right="3219"/>
        <w:spacing w:after="0" w:line="259" w:lineRule="auto"/>
        <w:rPr>
          <w:sz w:val="20"/>
          <w:szCs w:val="20"/>
          <w:color w:val="auto"/>
        </w:rPr>
      </w:pPr>
      <w:r>
        <w:rPr>
          <w:rFonts w:ascii="Courier New" w:cs="Courier New" w:eastAsia="Courier New" w:hAnsi="Courier New"/>
          <w:sz w:val="15"/>
          <w:szCs w:val="15"/>
          <w:color w:val="auto"/>
        </w:rPr>
        <w:t>the voluntary or involuntary dissolution, winding-up or termination of such trust subsidiary, except in connection with the distribution of subordinated debt securities to the holders of guaranteed trust preferred securities in liquidation of such trust subsidiary, the redemption of all of the guaranteed trust preferred securities of such trust subsidiary, or certain mergers, consolidations or amalgamations, each as permitted by the declaration of such trust subsidiary.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Debt Securities</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0"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Unless otherwise indicated in the prospectus supplement, the following provisions will apply to debt securities being offered that may be exchanged for or converted into capital stock:</w:t>
      </w:r>
    </w:p>
    <w:p>
      <w:pPr>
        <w:spacing w:after="0" w:line="5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0" w:lineRule="exact"/>
        <w:rPr>
          <w:sz w:val="20"/>
          <w:szCs w:val="20"/>
          <w:color w:val="auto"/>
        </w:rPr>
      </w:pPr>
    </w:p>
    <w:p>
      <w:pPr>
        <w:ind w:right="3219" w:firstLine="444"/>
        <w:spacing w:after="0" w:line="281" w:lineRule="auto"/>
        <w:rPr>
          <w:sz w:val="20"/>
          <w:szCs w:val="20"/>
          <w:color w:val="auto"/>
        </w:rPr>
      </w:pPr>
      <w:r>
        <w:rPr>
          <w:rFonts w:ascii="Courier New" w:cs="Courier New" w:eastAsia="Courier New" w:hAnsi="Courier New"/>
          <w:sz w:val="14"/>
          <w:szCs w:val="14"/>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65"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Unless the terms of the specific debt securities being offered provide otherwise, in certain events, the conversion rate will be subject to adjustment as set forth in the indentures. Such events include:</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issuance of shares of any class of</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75" w:right="1440" w:bottom="1440" w:gutter="0" w:footer="0" w:header="0"/>
        </w:sectPr>
      </w:pPr>
    </w:p>
    <w:bookmarkStart w:id="19" w:name="page20"/>
    <w:bookmarkEnd w:id="19"/>
    <w:p>
      <w:pPr>
        <w:ind w:right="3119"/>
        <w:spacing w:after="0" w:line="353" w:lineRule="auto"/>
        <w:rPr>
          <w:sz w:val="20"/>
          <w:szCs w:val="20"/>
          <w:color w:val="auto"/>
        </w:rPr>
      </w:pPr>
      <w:r>
        <w:rPr>
          <w:rFonts w:ascii="Courier New" w:cs="Courier New" w:eastAsia="Courier New" w:hAnsi="Courier New"/>
          <w:sz w:val="15"/>
          <w:szCs w:val="15"/>
          <w:color w:val="auto"/>
        </w:rPr>
        <w:t>capital stock of ours as a dividend on the class of capital stock into which the debt securities of such series are convertible;</w:t>
      </w:r>
    </w:p>
    <w:p>
      <w:pPr>
        <w:spacing w:after="0" w:line="1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subdivisions, combinations and reclassifications of the class of capital stock into which debt securities of such series are convertible;</w:t>
      </w:r>
    </w:p>
    <w:p>
      <w:pPr>
        <w:spacing w:after="0" w:line="12"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o 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o 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distributions of cash in excess of certain threshold amounts.</w:t>
      </w:r>
    </w:p>
    <w:p>
      <w:pPr>
        <w:spacing w:after="0" w:line="171"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6"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25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DESCRIPTION OF WARRANTS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right="3219" w:firstLine="444"/>
        <w:spacing w:after="0" w:line="273" w:lineRule="auto"/>
        <w:rPr>
          <w:sz w:val="20"/>
          <w:szCs w:val="20"/>
          <w:color w:val="auto"/>
        </w:rPr>
      </w:pPr>
      <w:r>
        <w:rPr>
          <w:rFonts w:ascii="Courier New" w:cs="Courier New" w:eastAsia="Courier New" w:hAnsi="Courier New"/>
          <w:sz w:val="14"/>
          <w:szCs w:val="14"/>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73"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applicable prospectus supplement will describe the following terms of any warrants in respect of which this prospectus is being delivered:</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title of such warrants;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aggregate number of such warrants;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the price or prices at which such warrants will be issued;</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the currency or currencies, including composite currencies, in which the price of such warrants may be payable;</w:t>
      </w:r>
    </w:p>
    <w:p>
      <w:pPr>
        <w:spacing w:after="0" w:line="1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o the securities or other securities or rights of ours,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7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o the price at which and the currency or currencies, including composite currencies, in which the securities purchasable upon exercise of such warrants may be purchased;</w:t>
      </w:r>
    </w:p>
    <w:p>
      <w:pPr>
        <w:spacing w:after="0" w:line="5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the date on which the right to exercise such warrants shall commence and the date on which such right shall expire;</w:t>
      </w:r>
    </w:p>
    <w:p>
      <w:pPr>
        <w:spacing w:after="0" w:line="1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o if applicable, the minimum or maximum amount of such warrants which may be exercised at</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7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any one time;</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o if applicable, the designation and terms of the securities with which such warrants are issued and the number of such warrants issued with each such Security;</w:t>
      </w:r>
    </w:p>
    <w:p>
      <w:pPr>
        <w:spacing w:after="0" w:line="5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if applicable, the date on and after which such warrants and the related securities will be separately transferable;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information with respect to book-entry procedures, if any;</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o if applicable, a discussion of certain United States Federal income tax considerations; and</w:t>
      </w:r>
    </w:p>
    <w:p>
      <w:pPr>
        <w:spacing w:after="0" w:line="12" w:lineRule="exact"/>
        <w:rPr>
          <w:sz w:val="20"/>
          <w:szCs w:val="20"/>
          <w:color w:val="auto"/>
        </w:rPr>
      </w:pPr>
    </w:p>
    <w:p>
      <w:pPr>
        <w:ind w:right="3839" w:firstLine="444"/>
        <w:spacing w:after="0" w:line="395" w:lineRule="auto"/>
        <w:rPr>
          <w:sz w:val="20"/>
          <w:szCs w:val="20"/>
          <w:color w:val="auto"/>
        </w:rPr>
      </w:pPr>
      <w:r>
        <w:rPr>
          <w:rFonts w:ascii="Courier New" w:cs="Courier New" w:eastAsia="Courier New" w:hAnsi="Courier New"/>
          <w:sz w:val="14"/>
          <w:szCs w:val="14"/>
          <w:color w:val="auto"/>
        </w:rPr>
        <w:t>o any other terms of such warrants, including terms, procedures and limitations relating to the exchange and exercise of such warrants.</w:t>
      </w:r>
    </w:p>
    <w:p>
      <w:pPr>
        <w:spacing w:after="0" w:line="16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DESCRIPTION OF PURCHASE CONTRACTS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issue purchase contracts for the purchase or sale of:</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o our securities or securities of an entity unaffiliated or affiliated with us, a basket of such securities, an index or indices of such securities or any combination of the above as specified in the applicable prospectus supplement;</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currencies or composite currencies; or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commodities.</w:t>
      </w:r>
    </w:p>
    <w:p>
      <w:pPr>
        <w:spacing w:after="0" w:line="171"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78"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2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DESCRIPTION OF UNITS</w:t>
      </w:r>
    </w:p>
    <w:p>
      <w:pPr>
        <w:spacing w:after="0" w:line="171"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As specified in the applicable prospectus supplement, units will consist of one or more purchase contracts, warrants, debt securities, guaranteed trust preferred securities, preferred stock, class A common stock or class A special common stock or any combination thereof. Reference is made to the applicable prospectus supplement for:</w:t>
      </w:r>
    </w:p>
    <w:p>
      <w:pPr>
        <w:spacing w:after="0" w:line="7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o all terms of the units and of the purchase contracts, warrants, debt securities, guaranteed trust preferred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 description of the terms of any unit agreement governing the units;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45"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a description of the provisions for the payment, settlement, transfer or exchange of the units.</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75" w:right="1440" w:bottom="1440" w:gutter="0" w:footer="0" w:header="0"/>
        </w:sectPr>
      </w:pPr>
    </w:p>
    <w:bookmarkStart w:id="21" w:name="page22"/>
    <w:bookmarkEnd w:id="21"/>
    <w:p>
      <w:pPr>
        <w:ind w:left="1060"/>
        <w:spacing w:after="0"/>
        <w:rPr>
          <w:sz w:val="20"/>
          <w:szCs w:val="20"/>
          <w:color w:val="auto"/>
        </w:rPr>
      </w:pPr>
      <w:r>
        <w:rPr>
          <w:rFonts w:ascii="Courier New" w:cs="Courier New" w:eastAsia="Courier New" w:hAnsi="Courier New"/>
          <w:sz w:val="15"/>
          <w:szCs w:val="15"/>
          <w:color w:val="auto"/>
        </w:rPr>
        <w:t>DESCRIPTION OF THE GUARANTEED TRUST PREFERRED SECURITIES</w:t>
      </w:r>
    </w:p>
    <w:p>
      <w:pPr>
        <w:spacing w:after="0" w:line="342"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5"/>
          <w:szCs w:val="15"/>
          <w:color w:val="auto"/>
        </w:rPr>
        <w:t>Each trust subsidiary has the sole obligation to make payments to you on the guaranteed trust preferred securities. However, our obligations to each trust subsidiary and our guaranteed trust preferred securities guarantee are equivalent to our full and unconditional guarantee on a subordinated basis of each trust subsidiary's payments to you on the guaranteed trust preferred securities. We have the sole obligation to make payments to you on all other securities.</w:t>
      </w:r>
    </w:p>
    <w:p>
      <w:pPr>
        <w:spacing w:after="0" w:line="252" w:lineRule="exact"/>
        <w:rPr>
          <w:sz w:val="20"/>
          <w:szCs w:val="20"/>
          <w:color w:val="auto"/>
        </w:rPr>
      </w:pPr>
    </w:p>
    <w:p>
      <w:pPr>
        <w:ind w:right="3219" w:firstLine="444"/>
        <w:spacing w:after="0" w:line="268" w:lineRule="auto"/>
        <w:rPr>
          <w:sz w:val="20"/>
          <w:szCs w:val="20"/>
          <w:color w:val="auto"/>
        </w:rPr>
      </w:pPr>
      <w:r>
        <w:rPr>
          <w:rFonts w:ascii="Courier New" w:cs="Courier New" w:eastAsia="Courier New" w:hAnsi="Courier New"/>
          <w:sz w:val="14"/>
          <w:szCs w:val="14"/>
          <w:color w:val="auto"/>
        </w:rPr>
        <w:t>Each trust subsidiary may issue, from time to time, only one series of guaranteed trust preferred securities along with common securities having terms described in the prospectus supplement relating to the issuance. The declaration of each trust subsidiary authorizes the regular trustees of such trust subsidiary to issue on its behalf one series of guaranteed trust preferred securities. The declaration will be qualified as an indenture under the Trust Indenture Act of 1939. The guaranteed trust preferred securities will have terms, including distributions, redemption, voting, liquidation rights and other preferred, deferred or other special rights or such restrictions as shall be set forth in the declaration or made part of the declaration by the Trust Indenture Act of 1939 and which will mirror the terms of the subordinated debt securities held by the trust subsidiary and described in the applicable prospectus supplement. You should look in the prospectus supplement for the specific terms of the guaranteed trust preferred securities, including:</w:t>
      </w:r>
    </w:p>
    <w:p>
      <w:pPr>
        <w:spacing w:after="0" w:line="8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o the distinctive designation and number of the guaranteed trust preferred securities;</w:t>
      </w:r>
    </w:p>
    <w:p>
      <w:pPr>
        <w:spacing w:after="0" w:line="1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o the annual distribution rate or method of determining such rate for the guaranteed trust preferred securities and the date or dates upon which such distributions shall be payable; provided, however, that distributions on the guaranteed trust preferred securities shall be payable on a periodic basis to holders of such guaranteed trust preferred securities as of a record date in each period during which such guaranteed trust preferred securities are outstanding;</w:t>
      </w:r>
    </w:p>
    <w:p>
      <w:pPr>
        <w:spacing w:after="0" w:line="8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o whether distributions on the guaranteed trust preferred securities will be cumulative, and, in the case of guaranteed trust preferred securities having cumulative distribution rights, the date or dates or method of determining the date or dates from which distributions on the guaranteed trust preferred securities shall be cumulative;</w:t>
      </w:r>
    </w:p>
    <w:p>
      <w:pPr>
        <w:spacing w:after="0" w:line="72" w:lineRule="exact"/>
        <w:rPr>
          <w:sz w:val="20"/>
          <w:szCs w:val="20"/>
          <w:color w:val="auto"/>
        </w:rPr>
      </w:pPr>
    </w:p>
    <w:p>
      <w:pPr>
        <w:jc w:val="both"/>
        <w:ind w:right="3219" w:firstLine="444"/>
        <w:spacing w:after="0" w:line="297" w:lineRule="auto"/>
        <w:rPr>
          <w:sz w:val="20"/>
          <w:szCs w:val="20"/>
          <w:color w:val="auto"/>
        </w:rPr>
      </w:pPr>
      <w:r>
        <w:rPr>
          <w:rFonts w:ascii="Courier New" w:cs="Courier New" w:eastAsia="Courier New" w:hAnsi="Courier New"/>
          <w:sz w:val="15"/>
          <w:szCs w:val="15"/>
          <w:color w:val="auto"/>
        </w:rPr>
        <w:t>o the amount or amounts which shall be paid out of the assets of our trust subsidiary to the holders of its guaranteed trust preferred securities upon its voluntary or involuntary dissolution, winding-up or termination;</w:t>
      </w:r>
    </w:p>
    <w:p>
      <w:pPr>
        <w:spacing w:after="0" w:line="52"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o the obligation, if any, of our trust subsidiary to purchase or redeem guaranteed trust preferred securities it issues and the price or prices at which, the period or periods within which, and the terms and conditions upon which, it may purchase or redeem its guaranteed trust preferred securities in whole or in part;</w:t>
      </w:r>
    </w:p>
    <w:p>
      <w:pPr>
        <w:spacing w:after="0" w:line="72"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o the voting rights, if any, of our trust subsidiary's guaranteed trust preferred securities in addition to those required by law, including the number of votes per guaranteed trust preferred security and any requirement for the approval by the holders of guaranteed trust preferred securities as a condition to specified action or amendments to the declaration of our trust subsidiary;</w:t>
      </w:r>
    </w:p>
    <w:p>
      <w:pPr>
        <w:spacing w:after="0" w:line="59"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 the terms and conditions, if any, upon which the underlying subordinated debt securities may be distributed to holders of guaranteed trust preferred securities;</w:t>
      </w:r>
    </w:p>
    <w:p>
      <w:pPr>
        <w:spacing w:after="0" w:line="52"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o if applicable, any securities exchange upon which the guaranteed trust preferred securities shall be listed; and</w:t>
      </w:r>
    </w:p>
    <w:p>
      <w:pPr>
        <w:spacing w:after="0" w:line="1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 any other relevant rights, preferences, privileges, limitations or restrictions of guaranteed trust preferred securities not inconsistent with the declaration of our trust subsidiary or with applicable law.</w:t>
      </w:r>
    </w:p>
    <w:p>
      <w:pPr>
        <w:spacing w:after="0" w:line="5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We will guarantee all guaranteed trust preferred securities offered by this prospectus hereby to the extent described below under "Description of the Guaranteed Trust Preferred Securities Guarantees." We will describe certain of the United States federal income tax considerations applicable to any offering of guaranteed trust preferred securities in an</w:t>
      </w:r>
    </w:p>
    <w:p>
      <w:pPr>
        <w:spacing w:after="0" w:line="2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7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accompanying prospectus supplement.</w:t>
      </w:r>
    </w:p>
    <w:p>
      <w:pPr>
        <w:spacing w:after="0" w:line="171" w:lineRule="exact"/>
        <w:rPr>
          <w:sz w:val="20"/>
          <w:szCs w:val="20"/>
          <w:color w:val="auto"/>
        </w:rPr>
      </w:pPr>
    </w:p>
    <w:p>
      <w:pPr>
        <w:ind w:right="3219" w:firstLine="444"/>
        <w:spacing w:after="0" w:line="266" w:lineRule="auto"/>
        <w:rPr>
          <w:sz w:val="20"/>
          <w:szCs w:val="20"/>
          <w:color w:val="auto"/>
        </w:rPr>
      </w:pPr>
      <w:r>
        <w:rPr>
          <w:rFonts w:ascii="Courier New" w:cs="Courier New" w:eastAsia="Courier New" w:hAnsi="Courier New"/>
          <w:sz w:val="14"/>
          <w:szCs w:val="14"/>
          <w:color w:val="auto"/>
        </w:rPr>
        <w:t>In connection with the issuance of guaranteed trust preferred securities, our trust subsidiary will issue one series of its common securities. The declaration of each of our trust subsidiaries authorizes its regular trustees to issue on its behalf one series of common securities having terms including distributions, redemption, voting, liquidation rights or restrictions as shall be set forth in the declaration. The terms of the common securities issued by one of our trust subsidiaries will be substantially identical to the terms of its guaranteed trust preferred securities and the common securities will rank equally, and payments will be made thereon pro rata, with the guaranteed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guaranteed trust preferred securities. Except in certain limited circumstances, the common securities will also carry the right to vote to appoint, remove or replace any of our trust subsidiaries' trustees. We will directly or indirectly own all of the common securities of each of our trust subsidiaries.</w:t>
      </w:r>
    </w:p>
    <w:p>
      <w:pPr>
        <w:spacing w:after="0" w:line="260" w:lineRule="exact"/>
        <w:rPr>
          <w:sz w:val="20"/>
          <w:szCs w:val="20"/>
          <w:color w:val="auto"/>
        </w:rPr>
      </w:pPr>
    </w:p>
    <w:p>
      <w:pPr>
        <w:ind w:right="4019"/>
        <w:spacing w:after="0" w:line="353" w:lineRule="auto"/>
        <w:rPr>
          <w:sz w:val="20"/>
          <w:szCs w:val="20"/>
          <w:color w:val="auto"/>
        </w:rPr>
      </w:pPr>
      <w:r>
        <w:rPr>
          <w:rFonts w:ascii="Courier New" w:cs="Courier New" w:eastAsia="Courier New" w:hAnsi="Courier New"/>
          <w:sz w:val="15"/>
          <w:szCs w:val="15"/>
          <w:color w:val="auto"/>
        </w:rPr>
        <w:t>Enforcement of Certain Rights by Holders of Guaranteed Trust Preferred Securities</w:t>
      </w:r>
    </w:p>
    <w:p>
      <w:pPr>
        <w:spacing w:after="0" w:line="183"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4"/>
          <w:szCs w:val="14"/>
          <w:color w:val="auto"/>
        </w:rPr>
        <w:t>If an event of default under the declaration of one of our trust subsidiaries occurs and is continuing, then the holders of its guaranteed trust preferred securities would have to rely on the institutional trustee enforcing against us its rights as a holder of the subordinated debt securities. In addition, the holders of a majority in liquidation amount of the guaranteed trust preferred securities will have the right to direct the time, method and place of conducting any proceeding for any remedy available to the institutional trustee or to direct the exercise of any trust or power conferred upon the institutional trustee under the applicable declaration, including the right to direct the institutional trustee to exercise the remedies available to it as a holder of the subordinated debt securities. If the institutional trustee fails to enforce its rights under the subordinated debt securities, a holder of guaranteed trust preferred securities may not institute a legal proceeding directly against us to enforce the institutional trustee's rights under the applicable series of subordinated debt securities. Notwithstanding the foregoing, if an event of default under the applicable declaration has occurred and is continuing and that event is attributable to our failure to pay interest or principal on the applicable series of subordinated debt securities when due, then a holder of guaranteed trust preferred securities may directly institute a proceeding for enforcement of payment to such holder of the principal of or interest on the applicable series of subordinated debt securities having a principal amount equal to the aggregate liquidation amount of such holder's guaranteed trust preferred securities on or after the respective due date for the applicable series of subordinated debt securities. In connection with such a direct action brought by a holder, we will be subrogated to the rights of such holder of guaranteed trust preferred securities under the applicable declaration to the extent of any payment made by us to such holder of preferred securities in such direct action.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DESCRIPTION OF THE GUARANTEED TRUST PREFERRED</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GUARANTEES</w:t>
      </w:r>
    </w:p>
    <w:p>
      <w:pPr>
        <w:spacing w:after="0" w:line="145" w:lineRule="exact"/>
        <w:rPr>
          <w:sz w:val="20"/>
          <w:szCs w:val="20"/>
          <w:color w:val="auto"/>
        </w:rPr>
      </w:pPr>
    </w:p>
    <w:p>
      <w:pPr>
        <w:jc w:val="both"/>
        <w:ind w:right="3119" w:firstLine="444"/>
        <w:spacing w:after="0" w:line="271" w:lineRule="auto"/>
        <w:rPr>
          <w:sz w:val="20"/>
          <w:szCs w:val="20"/>
          <w:color w:val="auto"/>
        </w:rPr>
      </w:pPr>
      <w:r>
        <w:rPr>
          <w:rFonts w:ascii="Courier New" w:cs="Courier New" w:eastAsia="Courier New" w:hAnsi="Courier New"/>
          <w:sz w:val="14"/>
          <w:szCs w:val="14"/>
          <w:color w:val="auto"/>
        </w:rPr>
        <w:t>Set forth below is a summary of information concerning the guaranteed trust preferred securities guarantees that we will execute and deliver for the benefit of the holders from time to time of the guaranteed trust preferred securities.</w:t>
      </w:r>
    </w:p>
    <w:p>
      <w:pPr>
        <w:spacing w:after="0" w:line="1" w:lineRule="exact"/>
        <w:rPr>
          <w:sz w:val="20"/>
          <w:szCs w:val="20"/>
          <w:color w:val="auto"/>
        </w:rPr>
      </w:pPr>
    </w:p>
    <w:p>
      <w:pPr>
        <w:ind w:right="3119"/>
        <w:spacing w:after="0" w:line="265" w:lineRule="auto"/>
        <w:rPr>
          <w:sz w:val="20"/>
          <w:szCs w:val="20"/>
          <w:color w:val="auto"/>
        </w:rPr>
      </w:pPr>
      <w:r>
        <w:rPr>
          <w:rFonts w:ascii="Courier New" w:cs="Courier New" w:eastAsia="Courier New" w:hAnsi="Courier New"/>
          <w:sz w:val="14"/>
          <w:szCs w:val="14"/>
          <w:color w:val="auto"/>
        </w:rPr>
        <w:t>Each guaranteed trust preferred securities guarantee will be qualified as an indenture under the Trust Indenture Act of 1939. We will name the trustee who will act as indenture trustee under each guaranteed trust preferred securities guarantee for purposes of the Trust Indenture Act of 1939 in the prospectus supplement relating to such guaranteed trust preferred securities. The terms of each guaranteed trust preferred securities guarantee will be those set forth in such guaranteed trust preferred securities guarantee and those made part of such guaranteed trust preferred securities guarantee by the trust indenture act. Because the following is only a summary of the guaranteed trust preferred securities guarantee, it does not contain all information that you may find useful. For further information about the guaranteed trust preferred securities guarantee, you should read the guaranteed trust preferred securities guarantee. Each guaranteed trust preferred securities guarantee will be held by the preferred guarantee trustee for the benefit of the holders of</w:t>
      </w:r>
    </w:p>
    <w:p>
      <w:pPr>
        <w:spacing w:after="0" w:line="25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775" w:right="1440" w:bottom="1440" w:gutter="0" w:footer="0" w:header="0"/>
        </w:sectPr>
      </w:pPr>
    </w:p>
    <w:bookmarkStart w:id="23" w:name="page24"/>
    <w:bookmarkEnd w:id="23"/>
    <w:p>
      <w:pPr>
        <w:ind w:left="9"/>
        <w:spacing w:after="0"/>
        <w:rPr>
          <w:sz w:val="20"/>
          <w:szCs w:val="20"/>
          <w:color w:val="auto"/>
        </w:rPr>
      </w:pPr>
      <w:r>
        <w:rPr>
          <w:rFonts w:ascii="Courier New" w:cs="Courier New" w:eastAsia="Courier New" w:hAnsi="Courier New"/>
          <w:sz w:val="15"/>
          <w:szCs w:val="15"/>
          <w:color w:val="auto"/>
        </w:rPr>
        <w:t>the guaranteed trust preferred securities of the relevant trust subsidiary.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left="9" w:right="3299" w:firstLine="444"/>
        <w:spacing w:after="0" w:line="275" w:lineRule="auto"/>
        <w:rPr>
          <w:sz w:val="20"/>
          <w:szCs w:val="20"/>
          <w:color w:val="auto"/>
        </w:rPr>
      </w:pPr>
      <w:r>
        <w:rPr>
          <w:rFonts w:ascii="Courier New" w:cs="Courier New" w:eastAsia="Courier New" w:hAnsi="Courier New"/>
          <w:sz w:val="14"/>
          <w:szCs w:val="14"/>
          <w:color w:val="auto"/>
        </w:rPr>
        <w:t>Pursuant to each guaranteed trust preferred securities guarantee, we will irrevocably and unconditionally agree, to the extent set forth therein, to pay in full, to the holders of the guaranteed trust preferred securities, the guarantee payments described below (except to the extent paid by our trust subsidiary), as and when due, regardless of any defense, right of set-off or counterclaim which such trust subsidiary may have or assert. The following payments with respect to guaranteed trust preferred securities to the extent not paid by such trust subsidiary, will be subject to the guaranteed trust preferred securities guarantee thereon (without duplication):</w:t>
      </w:r>
    </w:p>
    <w:p>
      <w:pPr>
        <w:spacing w:after="0" w:line="71" w:lineRule="exact"/>
        <w:rPr>
          <w:sz w:val="20"/>
          <w:szCs w:val="20"/>
          <w:color w:val="auto"/>
        </w:rPr>
      </w:pPr>
    </w:p>
    <w:p>
      <w:pPr>
        <w:ind w:left="9" w:right="3299" w:firstLine="444"/>
        <w:spacing w:after="0" w:line="297" w:lineRule="auto"/>
        <w:rPr>
          <w:sz w:val="20"/>
          <w:szCs w:val="20"/>
          <w:color w:val="auto"/>
        </w:rPr>
      </w:pPr>
      <w:r>
        <w:rPr>
          <w:rFonts w:ascii="Courier New" w:cs="Courier New" w:eastAsia="Courier New" w:hAnsi="Courier New"/>
          <w:sz w:val="15"/>
          <w:szCs w:val="15"/>
          <w:color w:val="auto"/>
        </w:rPr>
        <w:t>o any accrued and unpaid distributions which are required to be paid on such guaranteed trust preferred securities, to the extent the applicable trust subsidiary has funds available for such payment;</w:t>
      </w:r>
    </w:p>
    <w:p>
      <w:pPr>
        <w:spacing w:after="0" w:line="52" w:lineRule="exact"/>
        <w:rPr>
          <w:sz w:val="20"/>
          <w:szCs w:val="20"/>
          <w:color w:val="auto"/>
        </w:rPr>
      </w:pPr>
    </w:p>
    <w:p>
      <w:pPr>
        <w:jc w:val="both"/>
        <w:ind w:left="9" w:right="3219" w:firstLine="444"/>
        <w:spacing w:after="0" w:line="278" w:lineRule="auto"/>
        <w:rPr>
          <w:sz w:val="20"/>
          <w:szCs w:val="20"/>
          <w:color w:val="auto"/>
        </w:rPr>
      </w:pPr>
      <w:r>
        <w:rPr>
          <w:rFonts w:ascii="Courier New" w:cs="Courier New" w:eastAsia="Courier New" w:hAnsi="Courier New"/>
          <w:sz w:val="15"/>
          <w:szCs w:val="15"/>
          <w:color w:val="auto"/>
        </w:rPr>
        <w:t>o the redemption price, including all accrued and unpaid distributions, to the extent the applicable trust subsidiary has funds available for such payment with respect to any guaranteed trust preferred securities called for redemption by such trust subsidiary; and</w:t>
      </w:r>
    </w:p>
    <w:p>
      <w:pPr>
        <w:spacing w:after="0" w:line="66" w:lineRule="exact"/>
        <w:rPr>
          <w:sz w:val="20"/>
          <w:szCs w:val="20"/>
          <w:color w:val="auto"/>
        </w:rPr>
      </w:pPr>
    </w:p>
    <w:p>
      <w:pPr>
        <w:ind w:left="9" w:right="3399" w:firstLine="444"/>
        <w:spacing w:after="0" w:line="269" w:lineRule="auto"/>
        <w:rPr>
          <w:sz w:val="20"/>
          <w:szCs w:val="20"/>
          <w:color w:val="auto"/>
        </w:rPr>
      </w:pPr>
      <w:r>
        <w:rPr>
          <w:rFonts w:ascii="Courier New" w:cs="Courier New" w:eastAsia="Courier New" w:hAnsi="Courier New"/>
          <w:sz w:val="15"/>
          <w:szCs w:val="15"/>
          <w:color w:val="auto"/>
        </w:rPr>
        <w:t>o upon a voluntary or involuntary dissolution, winding-up or termination of such trust subsidiary (other than in connection with the distribution of subordinated debt securities to the holders of guaranteed trust preferred securities or the redemption of all of the guaranteed trust preferred securities), the lesser of</w:t>
      </w:r>
    </w:p>
    <w:p>
      <w:pPr>
        <w:spacing w:after="0" w:line="72" w:lineRule="exact"/>
        <w:rPr>
          <w:sz w:val="20"/>
          <w:szCs w:val="20"/>
          <w:color w:val="auto"/>
        </w:rPr>
      </w:pPr>
    </w:p>
    <w:p>
      <w:pPr>
        <w:ind w:left="449" w:right="3219" w:firstLine="444"/>
        <w:spacing w:after="0" w:line="278" w:lineRule="auto"/>
        <w:rPr>
          <w:sz w:val="20"/>
          <w:szCs w:val="20"/>
          <w:color w:val="auto"/>
        </w:rPr>
      </w:pPr>
      <w:r>
        <w:rPr>
          <w:rFonts w:ascii="Courier New" w:cs="Courier New" w:eastAsia="Courier New" w:hAnsi="Courier New"/>
          <w:sz w:val="15"/>
          <w:szCs w:val="15"/>
          <w:color w:val="auto"/>
        </w:rPr>
        <w:t>o the aggregate of the liquidation amount and all accrued and unpaid distributions on such guaranteed trust preferred securities to the date of payment, to the extent such trust subsidiary has funds available therefor; and</w:t>
      </w:r>
    </w:p>
    <w:p>
      <w:pPr>
        <w:spacing w:after="0" w:line="66" w:lineRule="exact"/>
        <w:rPr>
          <w:sz w:val="20"/>
          <w:szCs w:val="20"/>
          <w:color w:val="auto"/>
        </w:rPr>
      </w:pPr>
    </w:p>
    <w:p>
      <w:pPr>
        <w:ind w:left="449" w:right="3299" w:firstLine="444"/>
        <w:spacing w:after="0" w:line="297" w:lineRule="auto"/>
        <w:rPr>
          <w:sz w:val="20"/>
          <w:szCs w:val="20"/>
          <w:color w:val="auto"/>
        </w:rPr>
      </w:pPr>
      <w:r>
        <w:rPr>
          <w:rFonts w:ascii="Courier New" w:cs="Courier New" w:eastAsia="Courier New" w:hAnsi="Courier New"/>
          <w:sz w:val="15"/>
          <w:szCs w:val="15"/>
          <w:color w:val="auto"/>
        </w:rPr>
        <w:t>o the amount of assets of such trust subsidiary remaining available for distribution to holders of such guaranteed trust preferred securities in liquidation of such trust subsidiary.</w:t>
      </w:r>
    </w:p>
    <w:p>
      <w:pPr>
        <w:spacing w:after="0" w:line="52" w:lineRule="exact"/>
        <w:rPr>
          <w:sz w:val="20"/>
          <w:szCs w:val="20"/>
          <w:color w:val="auto"/>
        </w:rPr>
      </w:pPr>
    </w:p>
    <w:p>
      <w:pPr>
        <w:ind w:left="9" w:right="3299" w:firstLine="444"/>
        <w:spacing w:after="0" w:line="292" w:lineRule="auto"/>
        <w:rPr>
          <w:sz w:val="20"/>
          <w:szCs w:val="20"/>
          <w:color w:val="auto"/>
        </w:rPr>
      </w:pPr>
      <w:r>
        <w:rPr>
          <w:rFonts w:ascii="Courier New" w:cs="Courier New" w:eastAsia="Courier New" w:hAnsi="Courier New"/>
          <w:sz w:val="14"/>
          <w:szCs w:val="14"/>
          <w:color w:val="auto"/>
        </w:rPr>
        <w:t>The redemption price and liquidation amount will be fixed at the time the guaranteed trust preferred securities are issued. Our obligation to make a guarantee payment as described above may be satisfied by direct payment of the required amounts by us to the holders of guaranteed trust preferred securities or by our causing our trust subsidiary to pay such amounts to such holders.</w:t>
      </w:r>
    </w:p>
    <w:p>
      <w:pPr>
        <w:spacing w:after="0" w:line="230" w:lineRule="exact"/>
        <w:rPr>
          <w:sz w:val="20"/>
          <w:szCs w:val="20"/>
          <w:color w:val="auto"/>
        </w:rPr>
      </w:pPr>
    </w:p>
    <w:p>
      <w:pPr>
        <w:ind w:left="9" w:right="3219" w:firstLine="444"/>
        <w:spacing w:after="0" w:line="268" w:lineRule="auto"/>
        <w:rPr>
          <w:sz w:val="20"/>
          <w:szCs w:val="20"/>
          <w:color w:val="auto"/>
        </w:rPr>
      </w:pPr>
      <w:r>
        <w:rPr>
          <w:rFonts w:ascii="Courier New" w:cs="Courier New" w:eastAsia="Courier New" w:hAnsi="Courier New"/>
          <w:sz w:val="14"/>
          <w:szCs w:val="14"/>
          <w:color w:val="auto"/>
        </w:rPr>
        <w:t>No guaranteed trust preferred securities guarantee will apply to any payment of distributions except to the extent our trust subsidiary has funds available for such payment. If we do not make interest payments on the subordinated debt securities purchased by our trust subsidiary, it will not pay distributions on its guaranteed trust preferred securities and will not have funds available to make such payment. See "Description of the Subordinated Debt Securities -- Certain Covenants." The guaranteed trust preferred securities guarantee, when taken together with our obligations under the subordinated debt securities, the subordinated debt security indenture and the declaration, including our obligations to pay costs, expenses, debts and liabilities of our trust subsidiaries (other than with respect to the guaranteed trust preferred securities and related common securities), is equivalent to a full and unconditional guarantee on a subordinated basis by us of payments due on the guaranteed trust preferred securities.</w:t>
      </w:r>
    </w:p>
    <w:p>
      <w:pPr>
        <w:spacing w:after="0" w:line="200" w:lineRule="exact"/>
        <w:rPr>
          <w:sz w:val="20"/>
          <w:szCs w:val="20"/>
          <w:color w:val="auto"/>
        </w:rPr>
      </w:pPr>
    </w:p>
    <w:p>
      <w:pPr>
        <w:spacing w:after="0" w:line="22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Covenants</w:t>
      </w:r>
    </w:p>
    <w:p>
      <w:pPr>
        <w:spacing w:after="0" w:line="171" w:lineRule="exact"/>
        <w:rPr>
          <w:sz w:val="20"/>
          <w:szCs w:val="20"/>
          <w:color w:val="auto"/>
        </w:rPr>
      </w:pPr>
    </w:p>
    <w:p>
      <w:pPr>
        <w:ind w:left="9" w:right="3219" w:firstLine="444"/>
        <w:spacing w:after="0" w:line="263" w:lineRule="auto"/>
        <w:rPr>
          <w:sz w:val="20"/>
          <w:szCs w:val="20"/>
          <w:color w:val="auto"/>
        </w:rPr>
      </w:pPr>
      <w:r>
        <w:rPr>
          <w:rFonts w:ascii="Courier New" w:cs="Courier New" w:eastAsia="Courier New" w:hAnsi="Courier New"/>
          <w:sz w:val="15"/>
          <w:szCs w:val="15"/>
          <w:color w:val="auto"/>
        </w:rPr>
        <w:t>In each guaranteed trust preferred securities guarantee, we will covenant that, so long as any guaranteed trust preferred securities issued by the applicable trust subsidiary remain outstanding, if there shall have occurred any event that would constitute an event of default under such guaranteed trust preferred securities guarantee or under our trust subsidiary's declaration, then:</w:t>
      </w:r>
    </w:p>
    <w:p>
      <w:pPr>
        <w:spacing w:after="0" w:line="77" w:lineRule="exact"/>
        <w:rPr>
          <w:sz w:val="20"/>
          <w:szCs w:val="20"/>
          <w:color w:val="auto"/>
        </w:rPr>
      </w:pPr>
    </w:p>
    <w:p>
      <w:pPr>
        <w:ind w:left="9" w:right="3219" w:firstLine="444"/>
        <w:spacing w:after="0" w:line="264" w:lineRule="auto"/>
        <w:rPr>
          <w:sz w:val="20"/>
          <w:szCs w:val="20"/>
          <w:color w:val="auto"/>
        </w:rPr>
      </w:pPr>
      <w:r>
        <w:rPr>
          <w:rFonts w:ascii="Courier New" w:cs="Courier New" w:eastAsia="Courier New" w:hAnsi="Courier New"/>
          <w:sz w:val="14"/>
          <w:szCs w:val="14"/>
          <w:color w:val="auto"/>
        </w:rPr>
        <w:t>o we may not declare or pay any dividend on, make any distributions with respect to, or redeem, purchase or make liquidation payment with respect to, any of our capital stock (other than (i) purchases or acquisitions of shares of our common stock in connection with the satisfaction of our obligations under any employee benefit plans or the satisfaction of our obligations pursuant to any contract or security requiring us to purchase shares of our common stock,</w:t>
      </w:r>
    </w:p>
    <w:p>
      <w:pPr>
        <w:spacing w:after="0" w:line="3" w:lineRule="exact"/>
        <w:rPr>
          <w:sz w:val="20"/>
          <w:szCs w:val="20"/>
          <w:color w:val="auto"/>
        </w:rPr>
      </w:pPr>
    </w:p>
    <w:p>
      <w:pPr>
        <w:ind w:left="9" w:right="3219" w:hanging="9"/>
        <w:spacing w:after="0" w:line="278" w:lineRule="auto"/>
        <w:tabs>
          <w:tab w:leader="none" w:pos="45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reclassification of our capital stock or the exchange or conversion of one our class or series of capital stock for another of our class or series of capital</w:t>
      </w:r>
    </w:p>
    <w:p>
      <w:pPr>
        <w:spacing w:after="0" w:line="23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775" w:right="1440" w:bottom="1440" w:gutter="0" w:footer="0" w:header="0"/>
        </w:sectPr>
      </w:pPr>
    </w:p>
    <w:bookmarkStart w:id="24" w:name="page25"/>
    <w:bookmarkEnd w:id="24"/>
    <w:p>
      <w:pPr>
        <w:ind w:right="3119"/>
        <w:spacing w:after="0" w:line="278" w:lineRule="auto"/>
        <w:rPr>
          <w:sz w:val="20"/>
          <w:szCs w:val="20"/>
          <w:color w:val="auto"/>
        </w:rPr>
      </w:pPr>
      <w:r>
        <w:rPr>
          <w:rFonts w:ascii="Courier New" w:cs="Courier New" w:eastAsia="Courier New" w:hAnsi="Courier New"/>
          <w:sz w:val="15"/>
          <w:szCs w:val="15"/>
          <w:color w:val="auto"/>
        </w:rPr>
        <w:t>stock or, (iii)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66"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o we may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72" w:lineRule="exact"/>
        <w:rPr>
          <w:sz w:val="20"/>
          <w:szCs w:val="20"/>
          <w:color w:val="auto"/>
        </w:rPr>
      </w:pPr>
    </w:p>
    <w:p>
      <w:pPr>
        <w:ind w:right="4099"/>
        <w:spacing w:after="0" w:line="353" w:lineRule="auto"/>
        <w:rPr>
          <w:sz w:val="20"/>
          <w:szCs w:val="20"/>
          <w:color w:val="auto"/>
        </w:rPr>
      </w:pPr>
      <w:r>
        <w:rPr>
          <w:rFonts w:ascii="Courier New" w:cs="Courier New" w:eastAsia="Courier New" w:hAnsi="Courier New"/>
          <w:sz w:val="15"/>
          <w:szCs w:val="15"/>
          <w:color w:val="auto"/>
        </w:rPr>
        <w:t>Modification of the Guaranteed Trust Preferred Securities Guarantees; Assignment</w:t>
      </w:r>
    </w:p>
    <w:p>
      <w:pPr>
        <w:spacing w:after="0" w:line="12" w:lineRule="exact"/>
        <w:rPr>
          <w:sz w:val="20"/>
          <w:szCs w:val="20"/>
          <w:color w:val="auto"/>
        </w:rPr>
      </w:pPr>
    </w:p>
    <w:p>
      <w:pPr>
        <w:ind w:right="3299" w:firstLine="444"/>
        <w:spacing w:after="0" w:line="252" w:lineRule="auto"/>
        <w:rPr>
          <w:sz w:val="20"/>
          <w:szCs w:val="20"/>
          <w:color w:val="auto"/>
        </w:rPr>
      </w:pPr>
      <w:r>
        <w:rPr>
          <w:rFonts w:ascii="Courier New" w:cs="Courier New" w:eastAsia="Courier New" w:hAnsi="Courier New"/>
          <w:sz w:val="15"/>
          <w:szCs w:val="15"/>
          <w:color w:val="auto"/>
        </w:rPr>
        <w:t>Except with respect to any changes which do not adversely affect the rights of holders of guaranteed trust preferred securities (in which case no vote will be required), each guaranteed trust preferred securities guarantee may be amended only with the prior approval of the holders of not less than a majority in liquidation amount of the related guaranteed trust preferred securities. The manner of obtaining any such approval of holders of such guaranteed trust preferred securities will be set forth in an accompanying prospectus supplement. All guarantees and agreements contained in a guaranteed trust preferred securities guarantee shall bind our successors, assigns, receivers, trustees and representatives and shall inure to the benefit of the holders of the related guaranteed trust preferred securities.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Each guaranteed trust preferred securities guarantee will terminate as to the guaranteed trust preferred securities issued by the applicable trust subsidiary:</w:t>
      </w:r>
    </w:p>
    <w:p>
      <w:pPr>
        <w:spacing w:after="0" w:line="52" w:lineRule="exact"/>
        <w:rPr>
          <w:sz w:val="20"/>
          <w:szCs w:val="20"/>
          <w:color w:val="auto"/>
        </w:rPr>
      </w:pPr>
    </w:p>
    <w:p>
      <w:pPr>
        <w:ind w:right="3579" w:firstLine="444"/>
        <w:spacing w:after="0" w:line="387" w:lineRule="auto"/>
        <w:rPr>
          <w:sz w:val="20"/>
          <w:szCs w:val="20"/>
          <w:color w:val="auto"/>
        </w:rPr>
      </w:pPr>
      <w:r>
        <w:rPr>
          <w:rFonts w:ascii="Courier New" w:cs="Courier New" w:eastAsia="Courier New" w:hAnsi="Courier New"/>
          <w:sz w:val="14"/>
          <w:szCs w:val="14"/>
          <w:color w:val="auto"/>
        </w:rPr>
        <w:t>o upon full payment of the redemption price, including all accrued and unpaid distributions, of all its guaranteed trust preferred securities;</w:t>
      </w:r>
    </w:p>
    <w:p>
      <w:pPr>
        <w:spacing w:after="0" w:line="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o upon distribution of the subordinated debt securities held by it to the holders of its guaranteed trust preferred securities; or</w:t>
      </w:r>
    </w:p>
    <w:p>
      <w:pPr>
        <w:spacing w:after="0" w:line="12" w:lineRule="exact"/>
        <w:rPr>
          <w:sz w:val="20"/>
          <w:szCs w:val="20"/>
          <w:color w:val="auto"/>
        </w:rPr>
      </w:pPr>
    </w:p>
    <w:p>
      <w:pPr>
        <w:ind w:right="4019" w:firstLine="444"/>
        <w:spacing w:after="0" w:line="353" w:lineRule="auto"/>
        <w:rPr>
          <w:sz w:val="20"/>
          <w:szCs w:val="20"/>
          <w:color w:val="auto"/>
        </w:rPr>
      </w:pPr>
      <w:r>
        <w:rPr>
          <w:rFonts w:ascii="Courier New" w:cs="Courier New" w:eastAsia="Courier New" w:hAnsi="Courier New"/>
          <w:sz w:val="15"/>
          <w:szCs w:val="15"/>
          <w:color w:val="auto"/>
        </w:rPr>
        <w:t>o upon full payment of the amounts payable in accordance with its declaration upon its liquidation.</w:t>
      </w:r>
    </w:p>
    <w:p>
      <w:pPr>
        <w:spacing w:after="0" w:line="12" w:lineRule="exact"/>
        <w:rPr>
          <w:sz w:val="20"/>
          <w:szCs w:val="20"/>
          <w:color w:val="auto"/>
        </w:rPr>
      </w:pPr>
    </w:p>
    <w:p>
      <w:pPr>
        <w:ind w:right="3299" w:firstLine="444"/>
        <w:spacing w:after="0" w:line="292" w:lineRule="auto"/>
        <w:rPr>
          <w:sz w:val="20"/>
          <w:szCs w:val="20"/>
          <w:color w:val="auto"/>
        </w:rPr>
      </w:pPr>
      <w:r>
        <w:rPr>
          <w:rFonts w:ascii="Courier New" w:cs="Courier New" w:eastAsia="Courier New" w:hAnsi="Courier New"/>
          <w:sz w:val="14"/>
          <w:szCs w:val="14"/>
          <w:color w:val="auto"/>
        </w:rPr>
        <w:t>Each guaranteed trust preferred securities guarantee will continue to be effective or will be reinstated, as the case may be, if at any time any holder of guaranteed trust preferred securities issued by the applicable trust subsidiary must restore payment of any sums paid under such guaranteed trust preferred securities or such guaranteed trust preferred securities guarantee.</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An event of default under a preferred securities guarantee will occur upon our failure to perform any of our payment or other obligations under the guarantee.</w:t>
      </w:r>
    </w:p>
    <w:p>
      <w:pPr>
        <w:spacing w:after="0" w:line="52" w:lineRule="exact"/>
        <w:rPr>
          <w:sz w:val="20"/>
          <w:szCs w:val="20"/>
          <w:color w:val="auto"/>
        </w:rPr>
      </w:pPr>
    </w:p>
    <w:p>
      <w:pPr>
        <w:ind w:right="3219" w:firstLine="444"/>
        <w:spacing w:after="0" w:line="246" w:lineRule="auto"/>
        <w:rPr>
          <w:sz w:val="20"/>
          <w:szCs w:val="20"/>
          <w:color w:val="auto"/>
        </w:rPr>
      </w:pPr>
      <w:r>
        <w:rPr>
          <w:rFonts w:ascii="Courier New" w:cs="Courier New" w:eastAsia="Courier New" w:hAnsi="Courier New"/>
          <w:sz w:val="15"/>
          <w:szCs w:val="15"/>
          <w:color w:val="auto"/>
        </w:rPr>
        <w:t>The holders of a majority in liquidation amount of the guaranteed trust preferred securities relating to such guaranteed trust preferred securities guarantee have the right to direct the time, method and place of conducting any proceeding for any remedy available to the preferred guarantee trustee in respect of the guaranteed trust preferred securities guarantee or to direct the exercise of any trust or power conferred upon the preferred guarantee trustee under such guaranteed trust preferred securities. If the preferred guarantee trustee fails to enforce such guaranteed trust preferred securities guarantee, any holder of guaranteed trust preferred securities relating to such guaranteed trust preferred securities guarantee may institute a legal proceeding directly against us to enforce the preferred guarantee trustee's rights under such guaranteed trust preferred securities guarantee, without first instituting a legal proceeding against the relevant trust subsidiary, the preferred guarantee trustee or any other person or entity. Notwithstanding the foregoing, if we have failed to make a guarantee payment, a holder of guaranteed trust preferred securities may directly institute a proceeding against us for enforcement of the guaranteed trust preferred securities guarantee for such payment. We waive any right or remedy to require that any action be brought first against our trust subsidiary or any other person or entity before proceeding directly against us.</w:t>
      </w:r>
    </w:p>
    <w:p>
      <w:pPr>
        <w:spacing w:after="0" w:line="10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preferred guarantee trustee, prior to the occurrence of a default with respect to a guaranteed trust preferred securities guarantee, undertakes to perform only such duties as are specifically set forth in such guaranteed trust preferred securities guarantee and, after default, shall exercise the same degree of care as a prudent individual would exercise</w:t>
      </w:r>
    </w:p>
    <w:p>
      <w:pPr>
        <w:spacing w:after="0" w:line="2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775" w:right="1440" w:bottom="1440" w:gutter="0" w:footer="0" w:header="0"/>
        </w:sectPr>
      </w:pPr>
    </w:p>
    <w:bookmarkStart w:id="25" w:name="page26"/>
    <w:bookmarkEnd w:id="25"/>
    <w:p>
      <w:pPr>
        <w:ind w:right="3119"/>
        <w:spacing w:after="0" w:line="263" w:lineRule="auto"/>
        <w:rPr>
          <w:sz w:val="20"/>
          <w:szCs w:val="20"/>
          <w:color w:val="auto"/>
        </w:rPr>
      </w:pPr>
      <w:r>
        <w:rPr>
          <w:rFonts w:ascii="Courier New" w:cs="Courier New" w:eastAsia="Courier New" w:hAnsi="Courier New"/>
          <w:sz w:val="15"/>
          <w:szCs w:val="15"/>
          <w:color w:val="auto"/>
        </w:rPr>
        <w:t>in the conduct of his or her own affairs. Subject to such provisions, the preferred guarantee trustee is under no obligation to exercise any of the powers vested in it by a guaranteed trust preferred securities guarantee at the request of any holder of guaranteed trust preferred securities, unless offered reasonable indemnity against the costs, expenses and liabilities which might be incurred thereby.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the Preferred Securities Guarantees</w:t>
      </w:r>
    </w:p>
    <w:p>
      <w:pPr>
        <w:spacing w:after="0" w:line="171"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The guaranteed trust preferred securities guarantees will constitute unsecured obligations of ours and will rank (i) subordinate and junior in right of payment to all of our other liabilities, (ii) equally with the most senior preferred or preference stock now or in the future issued by us and with any guarantee now or in the future entered into by us in respect of any preferred or preference stock of any of our affiliates, and (iii) senior to our common stock. The terms of the guaranteed trust preferred securities provide that each holder of guaranteed trust preferred securities issued by the applicable trust subsidiary by accepting the guaranteed trust preferred securities agrees to the subordination provisions and other terms of the guaranteed trust preferred securities guarantee relating to the guaranteed trust preferred securities.</w:t>
      </w:r>
    </w:p>
    <w:p>
      <w:pPr>
        <w:spacing w:after="0" w:line="78"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The guaranteed trust preferred securities guarantees will constitute a guarantee of payment and not of collection. In other words, the guaranteed party may institute a legal proceeding directly against us, as guarantor, to enforce its rights under the preferred securities guarantee without instituting a legal proceeding against any other person or entity. Information Concerning the Preferred Guarantee Trustee</w:t>
      </w:r>
    </w:p>
    <w:p>
      <w:pPr>
        <w:spacing w:after="0" w:line="77"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We and certain of our affiliates may maintain a banking relationship with the preferred guarantee trustee.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guaranteed trust preferred securities guarantees will be governed by, and construed and interpreted in accordance with the laws of the State of New York.</w:t>
      </w:r>
    </w:p>
    <w:p>
      <w:pPr>
        <w:spacing w:after="0" w:line="22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GLOBAL SECURITIES</w:t>
      </w:r>
    </w:p>
    <w:p>
      <w:pPr>
        <w:spacing w:after="0" w:line="171" w:lineRule="exact"/>
        <w:rPr>
          <w:sz w:val="20"/>
          <w:szCs w:val="20"/>
          <w:color w:val="auto"/>
        </w:rPr>
      </w:pPr>
    </w:p>
    <w:p>
      <w:pPr>
        <w:ind w:right="3219" w:firstLine="444"/>
        <w:spacing w:after="0" w:line="268" w:lineRule="auto"/>
        <w:rPr>
          <w:sz w:val="20"/>
          <w:szCs w:val="20"/>
          <w:color w:val="auto"/>
        </w:rPr>
      </w:pPr>
      <w:r>
        <w:rPr>
          <w:rFonts w:ascii="Courier New" w:cs="Courier New" w:eastAsia="Courier New" w:hAnsi="Courier New"/>
          <w:sz w:val="14"/>
          <w:szCs w:val="14"/>
          <w:color w:val="auto"/>
        </w:rPr>
        <w:t>We may issue the debt securities, warrants, purchase contracts, guaranteed trust preferred securities, guaranteed trust preferred securities guarantee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4"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72"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w:t>
      </w:r>
    </w:p>
    <w:p>
      <w:pPr>
        <w:spacing w:after="0" w:line="2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75" w:right="1440" w:bottom="1440" w:gutter="0" w:footer="0" w:header="0"/>
        </w:sectPr>
      </w:pPr>
    </w:p>
    <w:bookmarkStart w:id="26" w:name="page27"/>
    <w:bookmarkEnd w:id="26"/>
    <w:p>
      <w:pPr>
        <w:ind w:right="3119"/>
        <w:spacing w:after="0" w:line="263" w:lineRule="auto"/>
        <w:rPr>
          <w:sz w:val="20"/>
          <w:szCs w:val="20"/>
          <w:color w:val="auto"/>
        </w:rPr>
      </w:pPr>
      <w:r>
        <w:rPr>
          <w:rFonts w:ascii="Courier New" w:cs="Courier New" w:eastAsia="Courier New" w:hAnsi="Courier New"/>
          <w:sz w:val="15"/>
          <w:szCs w:val="15"/>
          <w:color w:val="auto"/>
        </w:rPr>
        <w:t>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77"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4"/>
          <w:szCs w:val="14"/>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declaration, guaranteed trust preferred securities guarantee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declaration, guaranteed trust preferred securities guarantee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declaration, guaranteed trust preferred securities guarantee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declaration, guaranteed trust preferred securities guarantee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57" w:lineRule="exact"/>
        <w:rPr>
          <w:sz w:val="20"/>
          <w:szCs w:val="20"/>
          <w:color w:val="auto"/>
        </w:rPr>
      </w:pPr>
    </w:p>
    <w:p>
      <w:pPr>
        <w:ind w:right="3219" w:firstLine="444"/>
        <w:spacing w:after="0" w:line="251" w:lineRule="auto"/>
        <w:rPr>
          <w:sz w:val="20"/>
          <w:szCs w:val="20"/>
          <w:color w:val="auto"/>
        </w:rPr>
      </w:pPr>
      <w:r>
        <w:rPr>
          <w:rFonts w:ascii="Courier New" w:cs="Courier New" w:eastAsia="Courier New" w:hAnsi="Courier New"/>
          <w:sz w:val="15"/>
          <w:szCs w:val="15"/>
          <w:color w:val="auto"/>
        </w:rPr>
        <w:t>Principal, premium, if any, and interest payments on debt securities, and any payments to holders with respect to warrants, purchase contracts, preferred securities, guaranteed trust preferred securities guarantee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86"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78" w:lineRule="exact"/>
        <w:rPr>
          <w:sz w:val="20"/>
          <w:szCs w:val="20"/>
          <w:color w:val="auto"/>
        </w:rPr>
      </w:pPr>
    </w:p>
    <w:p>
      <w:pPr>
        <w:ind w:right="3219" w:firstLine="444"/>
        <w:spacing w:after="0" w:line="270" w:lineRule="auto"/>
        <w:rPr>
          <w:sz w:val="20"/>
          <w:szCs w:val="20"/>
          <w:color w:val="auto"/>
        </w:rPr>
      </w:pPr>
      <w:r>
        <w:rPr>
          <w:rFonts w:ascii="Courier New" w:cs="Courier New" w:eastAsia="Courier New" w:hAnsi="Courier New"/>
          <w:sz w:val="14"/>
          <w:szCs w:val="14"/>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w:t>
      </w:r>
    </w:p>
    <w:p>
      <w:pPr>
        <w:spacing w:after="0" w:line="2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75" w:right="1440" w:bottom="1440" w:gutter="0" w:footer="0" w:header="0"/>
        </w:sectPr>
      </w:pPr>
    </w:p>
    <w:bookmarkStart w:id="27" w:name="page28"/>
    <w:bookmarkEnd w:id="27"/>
    <w:p>
      <w:pPr>
        <w:ind w:right="3399"/>
        <w:spacing w:after="0" w:line="278" w:lineRule="auto"/>
        <w:rPr>
          <w:sz w:val="20"/>
          <w:szCs w:val="20"/>
          <w:color w:val="auto"/>
        </w:rPr>
      </w:pPr>
      <w:r>
        <w:rPr>
          <w:rFonts w:ascii="Courier New" w:cs="Courier New" w:eastAsia="Courier New" w:hAnsi="Courier New"/>
          <w:sz w:val="15"/>
          <w:szCs w:val="15"/>
          <w:color w:val="auto"/>
        </w:rPr>
        <w:t>trustee, warrant agent or other relevant agent of ours. We expect that such instructions will be based upon directions received by the depositary from participants with respect to ownership of beneficial interests in such global security.</w:t>
      </w:r>
    </w:p>
    <w:p>
      <w:pPr>
        <w:spacing w:after="0" w:line="23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PREFERRED STOCK</w:t>
      </w:r>
    </w:p>
    <w:p>
      <w:pPr>
        <w:spacing w:after="0" w:line="171" w:lineRule="exact"/>
        <w:rPr>
          <w:sz w:val="20"/>
          <w:szCs w:val="20"/>
          <w:color w:val="auto"/>
        </w:rPr>
      </w:pPr>
    </w:p>
    <w:p>
      <w:pPr>
        <w:ind w:right="3299" w:firstLine="444"/>
        <w:spacing w:after="0" w:line="255" w:lineRule="auto"/>
        <w:rPr>
          <w:sz w:val="20"/>
          <w:szCs w:val="20"/>
          <w:color w:val="auto"/>
        </w:rPr>
      </w:pPr>
      <w:r>
        <w:rPr>
          <w:rFonts w:ascii="Courier New" w:cs="Courier New" w:eastAsia="Courier New" w:hAnsi="Courier New"/>
          <w:sz w:val="15"/>
          <w:szCs w:val="15"/>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82" w:lineRule="exact"/>
        <w:rPr>
          <w:sz w:val="20"/>
          <w:szCs w:val="20"/>
          <w:color w:val="auto"/>
        </w:rPr>
      </w:pPr>
    </w:p>
    <w:p>
      <w:pPr>
        <w:jc w:val="both"/>
        <w:ind w:right="3299" w:firstLine="444"/>
        <w:spacing w:after="0" w:line="297" w:lineRule="auto"/>
        <w:rPr>
          <w:sz w:val="20"/>
          <w:szCs w:val="20"/>
          <w:color w:val="auto"/>
        </w:rPr>
      </w:pPr>
      <w:r>
        <w:rPr>
          <w:rFonts w:ascii="Courier New" w:cs="Courier New" w:eastAsia="Courier New" w:hAnsi="Courier New"/>
          <w:sz w:val="15"/>
          <w:szCs w:val="15"/>
          <w:color w:val="auto"/>
        </w:rPr>
        <w:t>The applicable prospectus supplement will describe the following terms to the extent that they may apply to an issuance of preferred stock in respect of which this prospectus is being delivered:</w:t>
      </w:r>
    </w:p>
    <w:p>
      <w:pPr>
        <w:spacing w:after="0" w:line="5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o the specific designation, number of shares, seniority and purchase price;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any liquidation preference per share;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any date of maturity;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any redemption, repayment or sinking fund provisions;</w:t>
      </w:r>
    </w:p>
    <w:p>
      <w:pPr>
        <w:spacing w:after="0" w:line="171" w:lineRule="exact"/>
        <w:rPr>
          <w:sz w:val="20"/>
          <w:szCs w:val="20"/>
          <w:color w:val="auto"/>
        </w:rPr>
      </w:pPr>
    </w:p>
    <w:p>
      <w:pPr>
        <w:ind w:right="3579" w:firstLine="444"/>
        <w:spacing w:after="0" w:line="297" w:lineRule="auto"/>
        <w:rPr>
          <w:sz w:val="20"/>
          <w:szCs w:val="20"/>
          <w:color w:val="auto"/>
        </w:rPr>
      </w:pPr>
      <w:r>
        <w:rPr>
          <w:rFonts w:ascii="Courier New" w:cs="Courier New" w:eastAsia="Courier New" w:hAnsi="Courier New"/>
          <w:sz w:val="15"/>
          <w:szCs w:val="15"/>
          <w:color w:val="auto"/>
        </w:rPr>
        <w:t>o any dividend rate or rates and the dates on which any such dividends will be payable (or the method by which such rates or dates will be determined);</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any voting rights;</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 if other than the currency of the United States of America, the currency or currencies including composite currencies in which such preferred stock is denominated and/or in which payments will or may be payable;</w:t>
      </w:r>
    </w:p>
    <w:p>
      <w:pPr>
        <w:spacing w:after="0" w:line="5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 the method by which amounts in respect of such preferred stock may be calculated and any commodities, currencies or indices, or value, rate or price, relevant to such calculation;</w:t>
      </w:r>
    </w:p>
    <w:p>
      <w:pPr>
        <w:spacing w:after="0" w:line="52" w:lineRule="exact"/>
        <w:rPr>
          <w:sz w:val="20"/>
          <w:szCs w:val="20"/>
          <w:color w:val="auto"/>
        </w:rPr>
      </w:pPr>
    </w:p>
    <w:p>
      <w:pPr>
        <w:ind w:right="3299" w:firstLine="444"/>
        <w:spacing w:after="0" w:line="292" w:lineRule="auto"/>
        <w:rPr>
          <w:sz w:val="20"/>
          <w:szCs w:val="20"/>
          <w:color w:val="auto"/>
        </w:rPr>
      </w:pPr>
      <w:r>
        <w:rPr>
          <w:rFonts w:ascii="Courier New" w:cs="Courier New" w:eastAsia="Courier New" w:hAnsi="Courier New"/>
          <w:sz w:val="14"/>
          <w:szCs w:val="14"/>
          <w:color w:val="auto"/>
        </w:rPr>
        <w:t>o whether the preferred stock is convertible or exchangeable and, if so, the securities or rights into which such preferred stock is convertible or exchangeable, and the terms and conditions upon which such conversions or exchanges will be effected including the initial conversion or exchange prices or rates, the conversion or exchange period and any other related provisions;</w:t>
      </w:r>
    </w:p>
    <w:p>
      <w:pPr>
        <w:spacing w:after="0" w:line="59"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o the place or places where dividends and other payments on the preferred stock will be payable; and</w:t>
      </w:r>
    </w:p>
    <w:p>
      <w:pPr>
        <w:spacing w:after="0" w:line="1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o any additional voting, dividend, liquidation, redemption and other rights, preferences, privileges, limitations and restrictions.</w:t>
      </w:r>
    </w:p>
    <w:p>
      <w:pPr>
        <w:spacing w:after="0" w:line="1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77"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23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75" w:right="1440" w:bottom="1440" w:gutter="0" w:footer="0" w:header="0"/>
        </w:sectPr>
      </w:pPr>
    </w:p>
    <w:bookmarkStart w:id="28" w:name="page29"/>
    <w:bookmarkEnd w:id="28"/>
    <w:p>
      <w:pPr>
        <w:ind w:left="2120"/>
        <w:spacing w:after="0"/>
        <w:rPr>
          <w:sz w:val="20"/>
          <w:szCs w:val="20"/>
          <w:color w:val="auto"/>
        </w:rPr>
      </w:pPr>
      <w:r>
        <w:rPr>
          <w:rFonts w:ascii="Courier New" w:cs="Courier New" w:eastAsia="Courier New" w:hAnsi="Courier New"/>
          <w:sz w:val="15"/>
          <w:szCs w:val="15"/>
          <w:color w:val="auto"/>
        </w:rPr>
        <w:t>DESCRIPTION OF DEPOSITARY SHARES</w:t>
      </w:r>
    </w:p>
    <w:p>
      <w:pPr>
        <w:spacing w:after="0" w:line="171" w:lineRule="exact"/>
        <w:rPr>
          <w:sz w:val="20"/>
          <w:szCs w:val="20"/>
          <w:color w:val="auto"/>
        </w:rPr>
      </w:pPr>
    </w:p>
    <w:p>
      <w:pPr>
        <w:ind w:right="3479" w:firstLine="444"/>
        <w:spacing w:after="0" w:line="292" w:lineRule="auto"/>
        <w:rPr>
          <w:sz w:val="20"/>
          <w:szCs w:val="20"/>
          <w:color w:val="auto"/>
        </w:rPr>
      </w:pPr>
      <w:r>
        <w:rPr>
          <w:rFonts w:ascii="Courier New" w:cs="Courier New" w:eastAsia="Courier New" w:hAnsi="Courier New"/>
          <w:sz w:val="14"/>
          <w:szCs w:val="14"/>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78"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66" w:lineRule="exact"/>
        <w:rPr>
          <w:sz w:val="20"/>
          <w:szCs w:val="20"/>
          <w:color w:val="auto"/>
        </w:rPr>
      </w:pPr>
    </w:p>
    <w:p>
      <w:pPr>
        <w:ind w:right="3659" w:firstLine="444"/>
        <w:spacing w:after="0" w:line="297" w:lineRule="auto"/>
        <w:rPr>
          <w:sz w:val="20"/>
          <w:szCs w:val="20"/>
          <w:color w:val="auto"/>
        </w:rPr>
      </w:pPr>
      <w:r>
        <w:rPr>
          <w:rFonts w:ascii="Courier New" w:cs="Courier New" w:eastAsia="Courier New" w:hAnsi="Courier New"/>
          <w:sz w:val="15"/>
          <w:szCs w:val="15"/>
          <w:color w:val="auto"/>
        </w:rPr>
        <w:t>Unless otherwise specified in the prospectus supplement, a holder of depositary shares is not entitled to receive the shares of preferred stock underlying the depositary shares.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Other Distributions</w:t>
      </w:r>
    </w:p>
    <w:p>
      <w:pPr>
        <w:spacing w:after="0" w:line="171"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72"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66"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deposit agreement also contains provisions relating to the manner in which any subscription or similar rights offered by us to holders of preferred stock shall be made available to holders of depositary shares.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and Exchange</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of Depositary Shares</w:t>
      </w:r>
    </w:p>
    <w:p>
      <w:pPr>
        <w:spacing w:after="0" w:line="171"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78"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w:t>
      </w:r>
    </w:p>
    <w:p>
      <w:pPr>
        <w:spacing w:after="0" w:line="2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75" w:right="1440" w:bottom="1440" w:gutter="0" w:footer="0" w:header="0"/>
        </w:sectPr>
      </w:pPr>
    </w:p>
    <w:bookmarkStart w:id="29" w:name="page30"/>
    <w:bookmarkEnd w:id="29"/>
    <w:p>
      <w:pPr>
        <w:ind w:right="3119"/>
        <w:spacing w:after="0" w:line="353" w:lineRule="auto"/>
        <w:rPr>
          <w:sz w:val="20"/>
          <w:szCs w:val="20"/>
          <w:color w:val="auto"/>
        </w:rPr>
      </w:pPr>
      <w:r>
        <w:rPr>
          <w:rFonts w:ascii="Courier New" w:cs="Courier New" w:eastAsia="Courier New" w:hAnsi="Courier New"/>
          <w:sz w:val="15"/>
          <w:szCs w:val="15"/>
          <w:color w:val="auto"/>
        </w:rPr>
        <w:t>the holders thereof fail to redeem shall be returned to us after a period of two years from the date such funds are so deposited.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Deposit Agreement</w:t>
      </w:r>
    </w:p>
    <w:p>
      <w:pPr>
        <w:spacing w:after="0" w:line="171"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of Depositary</w:t>
      </w:r>
    </w:p>
    <w:p>
      <w:pPr>
        <w:spacing w:after="0" w:line="171"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We, or at our option, the depositary, will forward to the holders of depositary shares all reports and communications from us which we are required to furnish to the holders of preferred stock.</w:t>
      </w:r>
    </w:p>
    <w:p>
      <w:pPr>
        <w:spacing w:after="0" w:line="5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and Removal of Depositary; Termination of the Deposit Agreement</w:t>
      </w:r>
    </w:p>
    <w:p>
      <w:pPr>
        <w:spacing w:after="0" w:line="171" w:lineRule="exact"/>
        <w:rPr>
          <w:sz w:val="20"/>
          <w:szCs w:val="20"/>
          <w:color w:val="auto"/>
        </w:rPr>
      </w:pPr>
    </w:p>
    <w:p>
      <w:pPr>
        <w:ind w:right="3219" w:firstLine="444"/>
        <w:spacing w:after="0" w:line="266" w:lineRule="auto"/>
        <w:rPr>
          <w:sz w:val="20"/>
          <w:szCs w:val="20"/>
          <w:color w:val="auto"/>
        </w:rPr>
      </w:pPr>
      <w:r>
        <w:rPr>
          <w:rFonts w:ascii="Courier New" w:cs="Courier New" w:eastAsia="Courier New" w:hAnsi="Courier New"/>
          <w:sz w:val="14"/>
          <w:szCs w:val="14"/>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w:t>
      </w: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775" w:right="1440" w:bottom="1440" w:gutter="0" w:footer="0" w:header="0"/>
        </w:sectPr>
      </w:pPr>
    </w:p>
    <w:bookmarkStart w:id="30" w:name="page31"/>
    <w:bookmarkEnd w:id="30"/>
    <w:p>
      <w:pPr>
        <w:ind w:right="3219"/>
        <w:spacing w:after="0" w:line="297" w:lineRule="auto"/>
        <w:rPr>
          <w:sz w:val="20"/>
          <w:szCs w:val="20"/>
          <w:color w:val="auto"/>
        </w:rPr>
      </w:pPr>
      <w:r>
        <w:rPr>
          <w:rFonts w:ascii="Courier New" w:cs="Courier New" w:eastAsia="Courier New" w:hAnsi="Courier New"/>
          <w:sz w:val="15"/>
          <w:szCs w:val="15"/>
          <w:color w:val="auto"/>
        </w:rPr>
        <w:t>deliver all books, records, certificates evidencing preferred stock, depositary receipts and other documents relating to the subject matter of the depositary agreement to us.</w:t>
      </w:r>
    </w:p>
    <w:p>
      <w:pPr>
        <w:spacing w:after="0" w:line="5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DESCRIPTION OF COMMON STOCK</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237"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We have three classes of common stock outstanding: class A special common stock, $1.00 par value per share; class A common stock, $1.00 par value per share; and class B common stock, $1.00 par value per share. There are currently 2,500,000,000 shares of class A special common stock, 200,000,000 shares of class A common stock and 50,000,000 shares of class B common stock authorized. At the close of business on June 30, 1999, there were 708,502,767 shares of class A special common stock, 31,494,976 shares of class A common stock and 9,444,375 shares of class B common stock outstanding.</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34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Subject to the preferential rights of any preferred stock then outstanding, the holders of class A special common stock, class A common stock and class B common stock are entitled to receive pro rata per share cash dividends as from time to time may be declared by our board of directors out of funds legally available therefor. Each class of our common stock is to receive dividends, as declared, on an equal basis per share.</w:t>
      </w:r>
    </w:p>
    <w:p>
      <w:pPr>
        <w:spacing w:after="0" w:line="248" w:lineRule="exact"/>
        <w:rPr>
          <w:sz w:val="20"/>
          <w:szCs w:val="20"/>
          <w:color w:val="auto"/>
        </w:rPr>
      </w:pPr>
    </w:p>
    <w:p>
      <w:pPr>
        <w:ind w:right="3299" w:firstLine="444"/>
        <w:spacing w:after="0" w:line="303" w:lineRule="auto"/>
        <w:rPr>
          <w:sz w:val="20"/>
          <w:szCs w:val="20"/>
          <w:color w:val="auto"/>
        </w:rPr>
      </w:pPr>
      <w:r>
        <w:rPr>
          <w:rFonts w:ascii="Courier New" w:cs="Courier New" w:eastAsia="Courier New" w:hAnsi="Courier New"/>
          <w:sz w:val="14"/>
          <w:szCs w:val="14"/>
          <w:color w:val="auto"/>
        </w:rPr>
        <w:t>Stock dividends on, and stock splits of, any class of common stock shall not be paid or issued unless paid or issued on all classes of common stock, in which case they are to be paid or issued only in shares of that class or in shares of either class common stock or class A special common stock.</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1" w:lineRule="exact"/>
        <w:rPr>
          <w:sz w:val="20"/>
          <w:szCs w:val="20"/>
          <w:color w:val="auto"/>
        </w:rPr>
      </w:pPr>
    </w:p>
    <w:p>
      <w:pPr>
        <w:ind w:right="3219" w:firstLine="444"/>
        <w:spacing w:after="0" w:line="248" w:lineRule="auto"/>
        <w:rPr>
          <w:sz w:val="20"/>
          <w:szCs w:val="20"/>
          <w:color w:val="auto"/>
        </w:rPr>
      </w:pPr>
      <w:r>
        <w:rPr>
          <w:rFonts w:ascii="Courier New" w:cs="Courier New" w:eastAsia="Courier New" w:hAnsi="Courier New"/>
          <w:sz w:val="15"/>
          <w:szCs w:val="15"/>
          <w:color w:val="auto"/>
        </w:rPr>
        <w:t>The holders of the class A special common stock are not entitled to vote in the election of directors or otherwise, except where class voting is required by applicable law or our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w:t>
      </w:r>
    </w:p>
    <w:p>
      <w:pPr>
        <w:spacing w:after="0" w:line="171" w:lineRule="exact"/>
        <w:rPr>
          <w:sz w:val="20"/>
          <w:szCs w:val="20"/>
          <w:color w:val="auto"/>
        </w:rPr>
      </w:pPr>
    </w:p>
    <w:p>
      <w:pPr>
        <w:ind w:right="3219" w:firstLine="444"/>
        <w:spacing w:after="0" w:line="267" w:lineRule="auto"/>
        <w:rPr>
          <w:sz w:val="20"/>
          <w:szCs w:val="20"/>
          <w:color w:val="auto"/>
        </w:rPr>
      </w:pPr>
      <w:r>
        <w:rPr>
          <w:rFonts w:ascii="Courier New" w:cs="Courier New" w:eastAsia="Courier New" w:hAnsi="Courier New"/>
          <w:sz w:val="14"/>
          <w:szCs w:val="14"/>
          <w:color w:val="auto"/>
        </w:rPr>
        <w:t>At June 30, 1999, Sural Corporation, a Delaware corporation, owned 8,786,250 shares of our outstanding class B common stock and 795,038 shares of our outstanding class A common stock. Mr. Brian L. Roberts, our president, owns stock representing substantially all of the voting power of all classes of voting securities of Sural. Pursuant to Rule 13d-3 under the Securities Exchange Act of 1934, Mr. Roberts is deemed to be the beneficial owner of the shares of class B common stock and class A common stock owned by 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Roberts constitute approximately 77% of the voting power of the two classes of our voting common stock combined. The class B common stock is convertible on a share-for-share basis into class A common stock or class a special common stock. If Sural and Mr. Roberts were to convert the class B common stock which they are deemed to beneficially own into class A</w:t>
      </w:r>
    </w:p>
    <w:p>
      <w:pPr>
        <w:spacing w:after="0" w:line="2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775" w:right="1440" w:bottom="1440" w:gutter="0" w:footer="0" w:header="0"/>
        </w:sectPr>
      </w:pPr>
    </w:p>
    <w:bookmarkStart w:id="31" w:name="page32"/>
    <w:bookmarkEnd w:id="31"/>
    <w:p>
      <w:pPr>
        <w:ind w:right="3479"/>
        <w:spacing w:after="0" w:line="353" w:lineRule="auto"/>
        <w:rPr>
          <w:sz w:val="20"/>
          <w:szCs w:val="20"/>
          <w:color w:val="auto"/>
        </w:rPr>
      </w:pPr>
      <w:r>
        <w:rPr>
          <w:rFonts w:ascii="Courier New" w:cs="Courier New" w:eastAsia="Courier New" w:hAnsi="Courier New"/>
          <w:sz w:val="15"/>
          <w:szCs w:val="15"/>
          <w:color w:val="auto"/>
        </w:rPr>
        <w:t>common stock, Mr. Roberts would beneficially own 9,585,349 shares of class A common stock, which is approximately 24% of the class A common stock.</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B Common Stock</w:t>
      </w:r>
    </w:p>
    <w:p>
      <w:pPr>
        <w:spacing w:after="0" w:line="17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The class B common stock is convertible share for share into either the class A common stock or the class A special common stock.</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on liquidation</w:t>
      </w:r>
    </w:p>
    <w:p>
      <w:pPr>
        <w:spacing w:after="0" w:line="171"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In the event of the liquidation, dissolution or winding up, either voluntary or involuntary, of us,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1" w:lineRule="exact"/>
        <w:rPr>
          <w:sz w:val="20"/>
          <w:szCs w:val="20"/>
          <w:color w:val="auto"/>
        </w:rPr>
      </w:pPr>
    </w:p>
    <w:p>
      <w:pPr>
        <w:ind w:right="3399" w:firstLine="444"/>
        <w:spacing w:after="0" w:line="251" w:lineRule="auto"/>
        <w:rPr>
          <w:sz w:val="20"/>
          <w:szCs w:val="20"/>
          <w:color w:val="auto"/>
        </w:rPr>
      </w:pPr>
      <w:r>
        <w:rPr>
          <w:rFonts w:ascii="Courier New" w:cs="Courier New" w:eastAsia="Courier New" w:hAnsi="Courier New"/>
          <w:sz w:val="15"/>
          <w:szCs w:val="15"/>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We have been advised that the class A special common stock and class A common stock are exempt from existing Pennsylvania personal property tax.</w:t>
      </w:r>
    </w:p>
    <w:p>
      <w:pPr>
        <w:spacing w:after="0" w:line="86"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transfer agent and registrar for our class A special common stock and class A common stock is The Bank of New York, One Wall Street, New York, New York 10286.</w:t>
      </w:r>
    </w:p>
    <w:p>
      <w:pPr>
        <w:spacing w:after="0" w:line="2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ind w:right="3579" w:firstLine="444"/>
        <w:spacing w:after="0" w:line="353" w:lineRule="auto"/>
        <w:rPr>
          <w:sz w:val="20"/>
          <w:szCs w:val="20"/>
          <w:color w:val="auto"/>
        </w:rPr>
      </w:pPr>
      <w:r>
        <w:rPr>
          <w:rFonts w:ascii="Courier New" w:cs="Courier New" w:eastAsia="Courier New" w:hAnsi="Courier New"/>
          <w:sz w:val="15"/>
          <w:szCs w:val="15"/>
          <w:color w:val="auto"/>
        </w:rPr>
        <w:t>We and/or our trust subsidiaries may sell the Securities being offered hereby in four ways:</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directly to purchasers;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through agents;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through underwriters; and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through dealers.</w:t>
      </w:r>
    </w:p>
    <w:p>
      <w:pPr>
        <w:spacing w:after="0" w:line="171"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We and/or our trust subsidiaries may directly solicit offers to purchase securities, or we and/or our trust subsidiaries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6"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72" w:lineRule="exact"/>
        <w:rPr>
          <w:sz w:val="20"/>
          <w:szCs w:val="20"/>
          <w:color w:val="auto"/>
        </w:rPr>
      </w:pPr>
    </w:p>
    <w:p>
      <w:pPr>
        <w:ind w:right="3299" w:firstLine="444"/>
        <w:spacing w:after="0" w:line="303" w:lineRule="auto"/>
        <w:rPr>
          <w:sz w:val="20"/>
          <w:szCs w:val="20"/>
          <w:color w:val="auto"/>
        </w:rPr>
      </w:pPr>
      <w:r>
        <w:rPr>
          <w:rFonts w:ascii="Courier New" w:cs="Courier New" w:eastAsia="Courier New" w:hAnsi="Courier New"/>
          <w:sz w:val="14"/>
          <w:szCs w:val="14"/>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5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7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In order to facilitate the offering of the securities, any underwriters may engage in</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775" w:right="1440" w:bottom="1440" w:gutter="0" w:footer="0" w:header="0"/>
        </w:sectPr>
      </w:pPr>
    </w:p>
    <w:bookmarkStart w:id="32" w:name="page33"/>
    <w:bookmarkEnd w:id="32"/>
    <w:p>
      <w:pPr>
        <w:ind w:right="3119"/>
        <w:spacing w:after="0" w:line="268" w:lineRule="auto"/>
        <w:rPr>
          <w:sz w:val="20"/>
          <w:szCs w:val="20"/>
          <w:color w:val="auto"/>
        </w:rPr>
      </w:pPr>
      <w:r>
        <w:rPr>
          <w:rFonts w:ascii="Courier New" w:cs="Courier New" w:eastAsia="Courier New" w:hAnsi="Courier New"/>
          <w:sz w:val="14"/>
          <w:szCs w:val="14"/>
          <w:color w:val="auto"/>
        </w:rPr>
        <w:t>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74" w:lineRule="exact"/>
        <w:rPr>
          <w:sz w:val="20"/>
          <w:szCs w:val="20"/>
          <w:color w:val="auto"/>
        </w:rPr>
      </w:pPr>
    </w:p>
    <w:p>
      <w:pPr>
        <w:ind w:right="3659" w:firstLine="444"/>
        <w:spacing w:after="0" w:line="278" w:lineRule="auto"/>
        <w:rPr>
          <w:sz w:val="20"/>
          <w:szCs w:val="20"/>
          <w:color w:val="auto"/>
        </w:rPr>
      </w:pPr>
      <w:r>
        <w:rPr>
          <w:rFonts w:ascii="Courier New" w:cs="Courier New" w:eastAsia="Courier New" w:hAnsi="Courier New"/>
          <w:sz w:val="15"/>
          <w:szCs w:val="15"/>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3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LEGAL MATTERS</w:t>
      </w:r>
    </w:p>
    <w:p>
      <w:pPr>
        <w:spacing w:after="0" w:line="171"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As to matters governed by Pennsylvania law, Arthur R. Block, Esquire, Senior Deputy General Counsel of the Company, and as to matters governed by New York law, Davis Polk &amp; Wardwell, will pass upon the validity of the securities on our behalf and on behalf of our trust subsidiaries, although we may use other counsel, including our employees, to do so. Certain matters of Delaware law relating to the validity of the guaranteed trust preferred securities will be passed upon by Richards, Layton &amp; Finger. Unless otherwise indicated in the accompanying prospectus supplement, legal matters will be passed upon for the underwriters or agents by Cahill Gordon &amp; Reindel (a partnership including a professional organization).</w:t>
      </w:r>
    </w:p>
    <w:p>
      <w:pPr>
        <w:spacing w:after="0" w:line="25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1"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5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237"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25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We, along with our trust subsidiaries, have filed this prospectus as part of a combine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the declaration of trust of</w:t>
      </w:r>
    </w:p>
    <w:p>
      <w:pPr>
        <w:spacing w:after="0" w:line="2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775" w:right="1440" w:bottom="1440" w:gutter="0" w:footer="0" w:header="0"/>
        </w:sectPr>
      </w:pPr>
    </w:p>
    <w:bookmarkStart w:id="33" w:name="page34"/>
    <w:bookmarkEnd w:id="33"/>
    <w:p>
      <w:pPr>
        <w:ind w:right="3119"/>
        <w:spacing w:after="0" w:line="268" w:lineRule="auto"/>
        <w:rPr>
          <w:sz w:val="20"/>
          <w:szCs w:val="20"/>
          <w:color w:val="auto"/>
        </w:rPr>
      </w:pPr>
      <w:r>
        <w:rPr>
          <w:rFonts w:ascii="Courier New" w:cs="Courier New" w:eastAsia="Courier New" w:hAnsi="Courier New"/>
          <w:sz w:val="14"/>
          <w:szCs w:val="14"/>
          <w:color w:val="auto"/>
        </w:rPr>
        <w:t>each of our trust subsidiaries, a form of amended and restated declaration of trust to be adopted in connection with the issuance of any guaranteed trust preferred securities, a form of trust preferred security, the certificate of trust of each of our trust subsidiaries, a form of guarantee for the guaranteed trust preferred securities, a form of unit agreement, a form of purchase contract agreement, a form of pledge agreement, a form of warrant agreement for warrants sold alone, a form of warrant for warrants sold alone, a form of warrant agreement for warrants sold attached to securities, a form of warrant for warrants sold attached to securities, a form of deposit agreement and a form of depository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yourself by following the procedures described below.</w:t>
      </w:r>
    </w:p>
    <w:p>
      <w:pPr>
        <w:spacing w:after="0" w:line="81" w:lineRule="exact"/>
        <w:rPr>
          <w:sz w:val="20"/>
          <w:szCs w:val="20"/>
          <w:color w:val="auto"/>
        </w:rPr>
      </w:pPr>
    </w:p>
    <w:p>
      <w:pPr>
        <w:ind w:right="3299" w:firstLine="444"/>
        <w:spacing w:after="0" w:line="255" w:lineRule="auto"/>
        <w:rPr>
          <w:sz w:val="20"/>
          <w:szCs w:val="20"/>
          <w:color w:val="auto"/>
        </w:rPr>
      </w:pPr>
      <w:r>
        <w:rPr>
          <w:rFonts w:ascii="Courier New" w:cs="Courier New" w:eastAsia="Courier New" w:hAnsi="Courier New"/>
          <w:sz w:val="15"/>
          <w:szCs w:val="15"/>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 SEC-0330 for further information on the public reference rooms. You may also read our SEC filings, including the complete registration statement and all of the exhibits to it, through the SEC's web site at http://www.sec.gov.</w:t>
      </w:r>
    </w:p>
    <w:p>
      <w:pPr>
        <w:spacing w:after="0" w:line="82"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Our trust subsidiaries have been created solely to issue guaranteed trust preferred securities for our financing purposes. We do not plan to provide separate financial statements for our trust subsidiaries because you will be relying on our ability to make payments on our debt securities held by the trust subsidiaries or on our guarantee, rather than the trust subsidiaries' independent ability to make payments on the guaranteed trust preferred securities. In addition, although our trust subsidiaries would normally be required to file information with the SEC on an ongoing basis, we expect the SEC to exempt the trust subsidiaries from this filing obligation for as long as we continue to file our information with the SEC.</w:t>
      </w:r>
    </w:p>
    <w:p>
      <w:pPr>
        <w:spacing w:after="0" w:line="257"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You should rely only on the information contained in this prospectus, in the accompanying prospectus supplement and in material we file with the Securities and Exchange Commission.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25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1" w:lineRule="exact"/>
        <w:rPr>
          <w:sz w:val="20"/>
          <w:szCs w:val="20"/>
          <w:color w:val="auto"/>
        </w:rPr>
      </w:pPr>
    </w:p>
    <w:p>
      <w:pPr>
        <w:ind w:right="3219" w:firstLine="444"/>
        <w:spacing w:after="0" w:line="273" w:lineRule="auto"/>
        <w:rPr>
          <w:sz w:val="20"/>
          <w:szCs w:val="20"/>
          <w:color w:val="auto"/>
        </w:rPr>
      </w:pPr>
      <w:r>
        <w:rPr>
          <w:rFonts w:ascii="Courier New" w:cs="Courier New" w:eastAsia="Courier New" w:hAnsi="Courier New"/>
          <w:sz w:val="14"/>
          <w:szCs w:val="14"/>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13(c), 14 or 15(d) of the Securities Exchange Act of 1934 until we sell all of the securities we are offering:</w:t>
      </w:r>
    </w:p>
    <w:p>
      <w:pPr>
        <w:spacing w:after="0" w:line="73" w:lineRule="exact"/>
        <w:rPr>
          <w:sz w:val="20"/>
          <w:szCs w:val="20"/>
          <w:color w:val="auto"/>
        </w:rPr>
      </w:pPr>
    </w:p>
    <w:p>
      <w:pPr>
        <w:ind w:left="880" w:hanging="445"/>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1998;</w:t>
      </w:r>
    </w:p>
    <w:p>
      <w:pPr>
        <w:spacing w:after="0" w:line="342" w:lineRule="exact"/>
        <w:rPr>
          <w:rFonts w:ascii="Courier New" w:cs="Courier New" w:eastAsia="Courier New" w:hAnsi="Courier New"/>
          <w:sz w:val="15"/>
          <w:szCs w:val="15"/>
          <w:color w:val="auto"/>
        </w:rPr>
      </w:pPr>
    </w:p>
    <w:p>
      <w:pPr>
        <w:ind w:left="880" w:right="3659" w:hanging="445"/>
        <w:spacing w:after="0" w:line="353"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fiscal quarters ended March 31, 1999 and June 30, 1999;</w:t>
      </w:r>
    </w:p>
    <w:p>
      <w:pPr>
        <w:spacing w:after="0" w:line="12" w:lineRule="exact"/>
        <w:rPr>
          <w:rFonts w:ascii="Courier New" w:cs="Courier New" w:eastAsia="Courier New" w:hAnsi="Courier New"/>
          <w:sz w:val="15"/>
          <w:szCs w:val="15"/>
          <w:color w:val="auto"/>
        </w:rPr>
      </w:pPr>
    </w:p>
    <w:p>
      <w:pPr>
        <w:ind w:left="880" w:right="3399" w:hanging="445"/>
        <w:spacing w:after="0" w:line="326"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8-K dated August 9, 1999, July 7, 1999, May 26, 1999, May 26, 1999, May 4, 1999, April 7, 1999, March 22, 1999, March 9, 1999, March 9, 1999 and January 20, 1999; and</w:t>
      </w:r>
    </w:p>
    <w:p>
      <w:pPr>
        <w:spacing w:after="0" w:line="3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775" w:right="1440" w:bottom="1440" w:gutter="0" w:footer="0" w:header="0"/>
        </w:sectPr>
      </w:pPr>
    </w:p>
    <w:bookmarkStart w:id="34" w:name="page35"/>
    <w:bookmarkEnd w:id="34"/>
    <w:p>
      <w:pPr>
        <w:ind w:left="880" w:right="3579" w:hanging="445"/>
        <w:spacing w:after="0" w:line="297"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class A special common stock and class A common stock contained in the first amendment to our registration statement on Form 8-A/A dated July 16, 1996.</w:t>
      </w:r>
    </w:p>
    <w:p>
      <w:pPr>
        <w:spacing w:after="0" w:line="52" w:lineRule="exact"/>
        <w:rPr>
          <w:sz w:val="20"/>
          <w:szCs w:val="20"/>
          <w:color w:val="auto"/>
        </w:rPr>
      </w:pPr>
    </w:p>
    <w:p>
      <w:pPr>
        <w:jc w:val="both"/>
        <w:ind w:right="3579" w:firstLine="444"/>
        <w:spacing w:after="0" w:line="297"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22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775" w:right="1440" w:bottom="1440" w:gutter="0" w:footer="0" w:header="0"/>
        </w:sectPr>
      </w:pPr>
    </w:p>
    <w:bookmarkStart w:id="35" w:name="page36"/>
    <w:bookmarkEnd w:id="35"/>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of the expenses in connection with the offering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Securities and Exchange Commission registration fee................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   834,000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Legal fees and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Printing and engraving fees........................................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Accountants' fees and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Miscellaneous......................................................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680" w:type="dxa"/>
            <w:vAlign w:val="bottom"/>
            <w:vMerge w:val="continue"/>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$ 1,000,000 *</w:t>
            </w:r>
          </w:p>
        </w:tc>
        <w:tc>
          <w:tcPr>
            <w:tcW w:w="0" w:type="dxa"/>
            <w:vAlign w:val="bottom"/>
          </w:tcPr>
          <w:p>
            <w:pPr>
              <w:spacing w:after="0"/>
              <w:rPr>
                <w:sz w:val="1"/>
                <w:szCs w:val="1"/>
                <w:color w:val="auto"/>
              </w:rPr>
            </w:pPr>
          </w:p>
        </w:tc>
      </w:tr>
      <w:tr>
        <w:trPr>
          <w:trHeight w:val="249"/>
        </w:trPr>
        <w:tc>
          <w:tcPr>
            <w:tcW w:w="5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94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80" w:type="dxa"/>
            <w:vAlign w:val="bottom"/>
          </w:tcPr>
          <w:p>
            <w:pPr>
              <w:jc w:val="right"/>
              <w:ind w:right="4626"/>
              <w:spacing w:after="0"/>
              <w:rPr>
                <w:sz w:val="20"/>
                <w:szCs w:val="20"/>
                <w:color w:val="auto"/>
              </w:rPr>
            </w:pPr>
            <w:r>
              <w:rPr>
                <w:rFonts w:ascii="Courier New" w:cs="Courier New" w:eastAsia="Courier New" w:hAnsi="Courier New"/>
                <w:sz w:val="15"/>
                <w:szCs w:val="15"/>
                <w:color w:val="auto"/>
              </w:rPr>
              <w:t>Estimated</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1"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66" w:lineRule="exact"/>
        <w:rPr>
          <w:sz w:val="20"/>
          <w:szCs w:val="20"/>
          <w:color w:val="auto"/>
        </w:rPr>
      </w:pPr>
    </w:p>
    <w:p>
      <w:pPr>
        <w:ind w:right="3219" w:firstLine="444"/>
        <w:spacing w:after="0" w:line="248" w:lineRule="auto"/>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92" w:lineRule="exact"/>
        <w:rPr>
          <w:sz w:val="20"/>
          <w:szCs w:val="20"/>
          <w:color w:val="auto"/>
        </w:rPr>
      </w:pPr>
    </w:p>
    <w:p>
      <w:pPr>
        <w:ind w:right="3299" w:firstLine="444"/>
        <w:spacing w:after="0" w:line="285"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65"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72"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2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775" w:right="1440" w:bottom="1440" w:gutter="0" w:footer="0" w:header="0"/>
        </w:sectPr>
      </w:pPr>
    </w:p>
    <w:bookmarkStart w:id="36" w:name="page37"/>
    <w:bookmarkEnd w:id="36"/>
    <w:p>
      <w:pPr>
        <w:ind w:right="3219" w:firstLine="444"/>
        <w:spacing w:after="0" w:line="255" w:lineRule="auto"/>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8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72" w:lineRule="exact"/>
        <w:rPr>
          <w:sz w:val="20"/>
          <w:szCs w:val="20"/>
          <w:color w:val="auto"/>
        </w:rPr>
      </w:pPr>
    </w:p>
    <w:p>
      <w:pPr>
        <w:ind w:right="3579" w:firstLine="444"/>
        <w:spacing w:after="0" w:line="278" w:lineRule="auto"/>
        <w:rPr>
          <w:sz w:val="20"/>
          <w:szCs w:val="20"/>
          <w:color w:val="auto"/>
        </w:rPr>
      </w:pPr>
      <w:r>
        <w:rPr>
          <w:rFonts w:ascii="Courier New" w:cs="Courier New" w:eastAsia="Courier New" w:hAnsi="Courier New"/>
          <w:sz w:val="15"/>
          <w:szCs w:val="15"/>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66"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59"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For information regarding provisions under which a director or officer of the Company may be insured or indemnified in any manner against any liability which he may incur in his capacity as such, reference is made to Article VII of the Company's By-Laws.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Item 16. Exhibits.</w:t>
            </w: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44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The following exhibits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are filed as</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part of the Registration Statement:</w:t>
            </w:r>
          </w:p>
        </w:tc>
        <w:tc>
          <w:tcPr>
            <w:tcW w:w="0" w:type="dxa"/>
            <w:vAlign w:val="bottom"/>
          </w:tcPr>
          <w:p>
            <w:pPr>
              <w:spacing w:after="0"/>
              <w:rPr>
                <w:sz w:val="1"/>
                <w:szCs w:val="1"/>
                <w:color w:val="auto"/>
              </w:rPr>
            </w:pPr>
          </w:p>
        </w:tc>
      </w:tr>
      <w:tr>
        <w:trPr>
          <w:trHeight w:val="263"/>
        </w:trPr>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Exhibit</w:t>
            </w:r>
          </w:p>
        </w:tc>
        <w:tc>
          <w:tcPr>
            <w:tcW w:w="19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Description</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6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Number</w:t>
            </w:r>
          </w:p>
        </w:tc>
        <w:tc>
          <w:tcPr>
            <w:tcW w:w="1900" w:type="dxa"/>
            <w:vAlign w:val="bottom"/>
            <w:gridSpan w:val="2"/>
            <w:vMerge w:val="continue"/>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35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Agreement (Debt Securities, Warrants,</w:t>
            </w:r>
          </w:p>
        </w:tc>
        <w:tc>
          <w:tcPr>
            <w:tcW w:w="0" w:type="dxa"/>
            <w:vAlign w:val="bottom"/>
          </w:tcPr>
          <w:p>
            <w:pPr>
              <w:spacing w:after="0"/>
              <w:rPr>
                <w:sz w:val="1"/>
                <w:szCs w:val="1"/>
                <w:color w:val="auto"/>
              </w:rPr>
            </w:pPr>
          </w:p>
        </w:tc>
      </w:tr>
      <w:tr>
        <w:trPr>
          <w:trHeight w:val="171"/>
        </w:trPr>
        <w:tc>
          <w:tcPr>
            <w:tcW w:w="88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6"/>
              </w:rPr>
              <w:t>1.1</w:t>
            </w:r>
          </w:p>
        </w:tc>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Underwriting</w:t>
            </w:r>
          </w:p>
        </w:tc>
        <w:tc>
          <w:tcPr>
            <w:tcW w:w="3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Purchase Contracts and Units).</w:t>
            </w:r>
          </w:p>
        </w:tc>
        <w:tc>
          <w:tcPr>
            <w:tcW w:w="0" w:type="dxa"/>
            <w:vAlign w:val="bottom"/>
          </w:tcPr>
          <w:p>
            <w:pPr>
              <w:spacing w:after="0"/>
              <w:rPr>
                <w:sz w:val="1"/>
                <w:szCs w:val="1"/>
                <w:color w:val="auto"/>
              </w:rPr>
            </w:pPr>
          </w:p>
        </w:tc>
      </w:tr>
      <w:tr>
        <w:trPr>
          <w:trHeight w:val="263"/>
        </w:trPr>
        <w:tc>
          <w:tcPr>
            <w:tcW w:w="88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6"/>
              </w:rPr>
              <w:t>1.2</w:t>
            </w:r>
          </w:p>
        </w:tc>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Underwriting</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Agreement (Preferred Stock, Depositary</w:t>
            </w: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4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341"/>
        </w:trPr>
        <w:tc>
          <w:tcPr>
            <w:tcW w:w="88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6"/>
              </w:rPr>
              <w:t>1.3</w:t>
            </w:r>
          </w:p>
        </w:tc>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Underwriting</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Agreement (Preferred Securities).</w:t>
            </w:r>
          </w:p>
        </w:tc>
        <w:tc>
          <w:tcPr>
            <w:tcW w:w="0" w:type="dxa"/>
            <w:vAlign w:val="bottom"/>
          </w:tcPr>
          <w:p>
            <w:pPr>
              <w:spacing w:after="0"/>
              <w:rPr>
                <w:sz w:val="1"/>
                <w:szCs w:val="1"/>
                <w:color w:val="auto"/>
              </w:rPr>
            </w:pPr>
          </w:p>
        </w:tc>
      </w:tr>
      <w:tr>
        <w:trPr>
          <w:trHeight w:val="263"/>
        </w:trPr>
        <w:tc>
          <w:tcPr>
            <w:tcW w:w="880" w:type="dxa"/>
            <w:vAlign w:val="bottom"/>
          </w:tcPr>
          <w:p>
            <w:pPr>
              <w:jc w:val="center"/>
              <w:ind w:left="366"/>
              <w:spacing w:after="0"/>
              <w:rPr>
                <w:sz w:val="20"/>
                <w:szCs w:val="20"/>
                <w:color w:val="auto"/>
              </w:rPr>
            </w:pPr>
            <w:r>
              <w:rPr>
                <w:rFonts w:ascii="Courier New" w:cs="Courier New" w:eastAsia="Courier New" w:hAnsi="Courier New"/>
                <w:sz w:val="15"/>
                <w:szCs w:val="15"/>
                <w:color w:val="auto"/>
                <w:w w:val="97"/>
              </w:rPr>
              <w:t>3(ii)</w:t>
            </w:r>
          </w:p>
        </w:tc>
        <w:tc>
          <w:tcPr>
            <w:tcW w:w="80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Amended</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and Restated</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By-Laws (incorporated by reference to</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3(ii) to our</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w w:val="98"/>
              </w:rPr>
              <w:t>Annual Report on Form 10-K for the year</w:t>
            </w:r>
          </w:p>
        </w:tc>
        <w:tc>
          <w:tcPr>
            <w:tcW w:w="0" w:type="dxa"/>
            <w:vAlign w:val="bottom"/>
          </w:tcPr>
          <w:p>
            <w:pPr>
              <w:spacing w:after="0"/>
              <w:rPr>
                <w:sz w:val="1"/>
                <w:szCs w:val="1"/>
                <w:color w:val="auto"/>
              </w:rPr>
            </w:pPr>
          </w:p>
        </w:tc>
      </w:tr>
    </w:tbl>
    <w:p>
      <w:pPr>
        <w:ind w:left="1760"/>
        <w:spacing w:after="0"/>
        <w:rPr>
          <w:sz w:val="20"/>
          <w:szCs w:val="20"/>
          <w:color w:val="auto"/>
        </w:rPr>
      </w:pPr>
      <w:r>
        <w:rPr>
          <w:rFonts w:ascii="Courier New" w:cs="Courier New" w:eastAsia="Courier New" w:hAnsi="Courier New"/>
          <w:sz w:val="15"/>
          <w:szCs w:val="15"/>
          <w:color w:val="auto"/>
        </w:rPr>
        <w:t>ended December 31, 1993).</w:t>
      </w:r>
    </w:p>
    <w:p>
      <w:pPr>
        <w:spacing w:after="0" w:line="145" w:lineRule="exact"/>
        <w:rPr>
          <w:sz w:val="20"/>
          <w:szCs w:val="20"/>
          <w:color w:val="auto"/>
        </w:rPr>
      </w:pPr>
    </w:p>
    <w:p>
      <w:pPr>
        <w:ind w:left="1760" w:right="3119" w:hanging="1242"/>
        <w:spacing w:after="0" w:line="353" w:lineRule="auto"/>
        <w:tabs>
          <w:tab w:leader="none" w:pos="1740" w:val="left"/>
        </w:tabs>
        <w:rPr>
          <w:sz w:val="20"/>
          <w:szCs w:val="20"/>
          <w:color w:val="auto"/>
        </w:rPr>
      </w:pPr>
      <w:r>
        <w:rPr>
          <w:rFonts w:ascii="Courier New" w:cs="Courier New" w:eastAsia="Courier New" w:hAnsi="Courier New"/>
          <w:sz w:val="15"/>
          <w:szCs w:val="15"/>
          <w:color w:val="auto"/>
        </w:rPr>
        <w:t>4.1 **</w:t>
      </w:r>
      <w:r>
        <w:rPr>
          <w:sz w:val="20"/>
          <w:szCs w:val="20"/>
          <w:color w:val="auto"/>
        </w:rPr>
        <w:tab/>
      </w:r>
      <w:r>
        <w:rPr>
          <w:rFonts w:ascii="Courier New" w:cs="Courier New" w:eastAsia="Courier New" w:hAnsi="Courier New"/>
          <w:sz w:val="15"/>
          <w:szCs w:val="15"/>
          <w:color w:val="auto"/>
        </w:rPr>
        <w:t>Senior Indenture to be dated as of June 15, 1999 between the Company and Bank of Montreal Trust Company, as Trustee.</w:t>
      </w:r>
    </w:p>
    <w:p>
      <w:pPr>
        <w:spacing w:after="0" w:line="12" w:lineRule="exact"/>
        <w:rPr>
          <w:sz w:val="20"/>
          <w:szCs w:val="20"/>
          <w:color w:val="auto"/>
        </w:rPr>
      </w:pPr>
    </w:p>
    <w:p>
      <w:pPr>
        <w:ind w:left="1760" w:right="3299" w:hanging="1242"/>
        <w:spacing w:after="0" w:line="387" w:lineRule="auto"/>
        <w:tabs>
          <w:tab w:leader="none" w:pos="1740" w:val="left"/>
        </w:tabs>
        <w:rPr>
          <w:sz w:val="20"/>
          <w:szCs w:val="20"/>
          <w:color w:val="auto"/>
        </w:rPr>
      </w:pPr>
      <w:r>
        <w:rPr>
          <w:rFonts w:ascii="Courier New" w:cs="Courier New" w:eastAsia="Courier New" w:hAnsi="Courier New"/>
          <w:sz w:val="15"/>
          <w:szCs w:val="15"/>
          <w:color w:val="auto"/>
        </w:rPr>
        <w:t>4.2 **</w:t>
      </w:r>
      <w:r>
        <w:rPr>
          <w:sz w:val="20"/>
          <w:szCs w:val="20"/>
          <w:color w:val="auto"/>
        </w:rPr>
        <w:tab/>
      </w:r>
      <w:r>
        <w:rPr>
          <w:rFonts w:ascii="Courier New" w:cs="Courier New" w:eastAsia="Courier New" w:hAnsi="Courier New"/>
          <w:sz w:val="14"/>
          <w:szCs w:val="14"/>
          <w:color w:val="auto"/>
        </w:rPr>
        <w:t>Subordinated Indenture to be dated as of June 15, 1999 between the Company and Bankers Trust Company, as Trustee.</w:t>
      </w:r>
    </w:p>
    <w:p>
      <w:pPr>
        <w:spacing w:after="0" w:line="1" w:lineRule="exact"/>
        <w:rPr>
          <w:sz w:val="20"/>
          <w:szCs w:val="20"/>
          <w:color w:val="auto"/>
        </w:rPr>
      </w:pPr>
    </w:p>
    <w:p>
      <w:pPr>
        <w:ind w:left="520"/>
        <w:spacing w:after="0"/>
        <w:tabs>
          <w:tab w:leader="none" w:pos="1740" w:val="left"/>
        </w:tabs>
        <w:rPr>
          <w:sz w:val="20"/>
          <w:szCs w:val="20"/>
          <w:color w:val="auto"/>
        </w:rPr>
      </w:pPr>
      <w:r>
        <w:rPr>
          <w:rFonts w:ascii="Courier New" w:cs="Courier New" w:eastAsia="Courier New" w:hAnsi="Courier New"/>
          <w:sz w:val="15"/>
          <w:szCs w:val="15"/>
          <w:color w:val="auto"/>
        </w:rPr>
        <w:t>4.3 **</w:t>
      </w:r>
      <w:r>
        <w:rPr>
          <w:sz w:val="20"/>
          <w:szCs w:val="20"/>
          <w:color w:val="auto"/>
        </w:rPr>
        <w:tab/>
      </w:r>
      <w:r>
        <w:rPr>
          <w:rFonts w:ascii="Courier New" w:cs="Courier New" w:eastAsia="Courier New" w:hAnsi="Courier New"/>
          <w:sz w:val="14"/>
          <w:szCs w:val="14"/>
          <w:color w:val="auto"/>
        </w:rPr>
        <w:t>Certificate of Trust of Comcast Corporation Trust I.</w:t>
      </w:r>
    </w:p>
    <w:p>
      <w:pPr>
        <w:spacing w:after="0" w:line="171" w:lineRule="exact"/>
        <w:rPr>
          <w:sz w:val="20"/>
          <w:szCs w:val="20"/>
          <w:color w:val="auto"/>
        </w:rPr>
      </w:pPr>
    </w:p>
    <w:p>
      <w:pPr>
        <w:ind w:left="520"/>
        <w:spacing w:after="0"/>
        <w:tabs>
          <w:tab w:leader="none" w:pos="1740" w:val="left"/>
        </w:tabs>
        <w:rPr>
          <w:sz w:val="20"/>
          <w:szCs w:val="20"/>
          <w:color w:val="auto"/>
        </w:rPr>
      </w:pPr>
      <w:r>
        <w:rPr>
          <w:rFonts w:ascii="Courier New" w:cs="Courier New" w:eastAsia="Courier New" w:hAnsi="Courier New"/>
          <w:sz w:val="15"/>
          <w:szCs w:val="15"/>
          <w:color w:val="auto"/>
        </w:rPr>
        <w:t>4.4 **</w:t>
      </w:r>
      <w:r>
        <w:rPr>
          <w:sz w:val="20"/>
          <w:szCs w:val="20"/>
          <w:color w:val="auto"/>
        </w:rPr>
        <w:tab/>
      </w:r>
      <w:r>
        <w:rPr>
          <w:rFonts w:ascii="Courier New" w:cs="Courier New" w:eastAsia="Courier New" w:hAnsi="Courier New"/>
          <w:sz w:val="14"/>
          <w:szCs w:val="14"/>
          <w:color w:val="auto"/>
        </w:rPr>
        <w:t>Certificate of Trust of Comcast Corporation Trust II.</w:t>
      </w:r>
    </w:p>
    <w:p>
      <w:pPr>
        <w:spacing w:after="0" w:line="171" w:lineRule="exact"/>
        <w:rPr>
          <w:sz w:val="20"/>
          <w:szCs w:val="20"/>
          <w:color w:val="auto"/>
        </w:rPr>
      </w:pPr>
    </w:p>
    <w:p>
      <w:pPr>
        <w:ind w:left="520"/>
        <w:spacing w:after="0"/>
        <w:tabs>
          <w:tab w:leader="none" w:pos="1740" w:val="left"/>
        </w:tabs>
        <w:rPr>
          <w:sz w:val="20"/>
          <w:szCs w:val="20"/>
          <w:color w:val="auto"/>
        </w:rPr>
      </w:pPr>
      <w:r>
        <w:rPr>
          <w:rFonts w:ascii="Courier New" w:cs="Courier New" w:eastAsia="Courier New" w:hAnsi="Courier New"/>
          <w:sz w:val="15"/>
          <w:szCs w:val="15"/>
          <w:color w:val="auto"/>
        </w:rPr>
        <w:t>4.5 **</w:t>
      </w:r>
      <w:r>
        <w:rPr>
          <w:sz w:val="20"/>
          <w:szCs w:val="20"/>
          <w:color w:val="auto"/>
        </w:rPr>
        <w:tab/>
      </w:r>
      <w:r>
        <w:rPr>
          <w:rFonts w:ascii="Courier New" w:cs="Courier New" w:eastAsia="Courier New" w:hAnsi="Courier New"/>
          <w:sz w:val="14"/>
          <w:szCs w:val="14"/>
          <w:color w:val="auto"/>
        </w:rPr>
        <w:t>Certificate of Trust of Comcast Corporation Trust III.</w:t>
      </w:r>
    </w:p>
    <w:p>
      <w:pPr>
        <w:spacing w:after="0" w:line="171" w:lineRule="exact"/>
        <w:rPr>
          <w:sz w:val="20"/>
          <w:szCs w:val="20"/>
          <w:color w:val="auto"/>
        </w:rPr>
      </w:pPr>
    </w:p>
    <w:p>
      <w:pPr>
        <w:ind w:left="520"/>
        <w:spacing w:after="0"/>
        <w:tabs>
          <w:tab w:leader="none" w:pos="1740" w:val="left"/>
        </w:tabs>
        <w:rPr>
          <w:sz w:val="20"/>
          <w:szCs w:val="20"/>
          <w:color w:val="auto"/>
        </w:rPr>
      </w:pPr>
      <w:r>
        <w:rPr>
          <w:rFonts w:ascii="Courier New" w:cs="Courier New" w:eastAsia="Courier New" w:hAnsi="Courier New"/>
          <w:sz w:val="15"/>
          <w:szCs w:val="15"/>
          <w:color w:val="auto"/>
        </w:rPr>
        <w:t>4.6 **</w:t>
      </w:r>
      <w:r>
        <w:rPr>
          <w:sz w:val="20"/>
          <w:szCs w:val="20"/>
          <w:color w:val="auto"/>
        </w:rPr>
        <w:tab/>
      </w:r>
      <w:r>
        <w:rPr>
          <w:rFonts w:ascii="Courier New" w:cs="Courier New" w:eastAsia="Courier New" w:hAnsi="Courier New"/>
          <w:sz w:val="14"/>
          <w:szCs w:val="14"/>
          <w:color w:val="auto"/>
        </w:rPr>
        <w:t>Declaration of Trust of Comcast Corporation Trust I.</w:t>
      </w:r>
    </w:p>
    <w:p>
      <w:pPr>
        <w:spacing w:after="0" w:line="171" w:lineRule="exact"/>
        <w:rPr>
          <w:sz w:val="20"/>
          <w:szCs w:val="20"/>
          <w:color w:val="auto"/>
        </w:rPr>
      </w:pPr>
    </w:p>
    <w:p>
      <w:pPr>
        <w:ind w:left="520"/>
        <w:spacing w:after="0"/>
        <w:tabs>
          <w:tab w:leader="none" w:pos="1740" w:val="left"/>
        </w:tabs>
        <w:rPr>
          <w:sz w:val="20"/>
          <w:szCs w:val="20"/>
          <w:color w:val="auto"/>
        </w:rPr>
      </w:pPr>
      <w:r>
        <w:rPr>
          <w:rFonts w:ascii="Courier New" w:cs="Courier New" w:eastAsia="Courier New" w:hAnsi="Courier New"/>
          <w:sz w:val="15"/>
          <w:szCs w:val="15"/>
          <w:color w:val="auto"/>
        </w:rPr>
        <w:t>4.7 **</w:t>
      </w:r>
      <w:r>
        <w:rPr>
          <w:sz w:val="20"/>
          <w:szCs w:val="20"/>
          <w:color w:val="auto"/>
        </w:rPr>
        <w:tab/>
      </w:r>
      <w:r>
        <w:rPr>
          <w:rFonts w:ascii="Courier New" w:cs="Courier New" w:eastAsia="Courier New" w:hAnsi="Courier New"/>
          <w:sz w:val="14"/>
          <w:szCs w:val="14"/>
          <w:color w:val="auto"/>
        </w:rPr>
        <w:t>Declaration of Trust of Comcast Corporation Trust II.</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775"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Exhibit</w:t>
            </w:r>
          </w:p>
        </w:tc>
        <w:tc>
          <w:tcPr>
            <w:tcW w:w="5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Number</w:t>
            </w:r>
          </w:p>
        </w:tc>
        <w:tc>
          <w:tcPr>
            <w:tcW w:w="5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Declaration of Trust of Comcast Corporation Trust III.</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Amended and Restated Declaration of Trust for each</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w w:val="98"/>
              </w:rPr>
              <w:t>of Comcast Corporation Trust I, Comcast Corporation Trust II</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and Comcast Corporation Trust III.</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Senior Debt Security.</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Subordinated Debt Security.</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4.12</w:t>
            </w:r>
          </w:p>
        </w:tc>
        <w:tc>
          <w:tcPr>
            <w:tcW w:w="620" w:type="dxa"/>
            <w:vAlign w:val="bottom"/>
          </w:tcPr>
          <w:p>
            <w:pPr>
              <w:spacing w:after="0"/>
              <w:rPr>
                <w:sz w:val="24"/>
                <w:szCs w:val="2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Preferred Security (included in Exhibit 4.9).</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Preferred Securities Guarantee with respect to</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Preferred Securities.</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4.14</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Purchase Contract Agreement relating to Purchase</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Contracts (to be included in Exhibit 4.15).</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4.15</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Unit Agreement.</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Agreement for Warrants Sold Alone.</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4.17</w:t>
            </w:r>
          </w:p>
        </w:tc>
        <w:tc>
          <w:tcPr>
            <w:tcW w:w="620" w:type="dxa"/>
            <w:vAlign w:val="bottom"/>
          </w:tcPr>
          <w:p>
            <w:pPr>
              <w:spacing w:after="0"/>
              <w:rPr>
                <w:sz w:val="22"/>
                <w:szCs w:val="22"/>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for Warrants Sold Alone (included in</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Exhibit 4.16).</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Agreement for Warrants Sold Attached to</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Securities.</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4.19</w:t>
            </w:r>
          </w:p>
        </w:tc>
        <w:tc>
          <w:tcPr>
            <w:tcW w:w="620" w:type="dxa"/>
            <w:vAlign w:val="bottom"/>
          </w:tcPr>
          <w:p>
            <w:pPr>
              <w:spacing w:after="0"/>
              <w:rPr>
                <w:sz w:val="22"/>
                <w:szCs w:val="22"/>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Warrant for Warrants Sold Attached to Securities</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(included in Exhibit 4.18).</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4.20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Pledge Agreement.</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4.21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Deposit Agreement.</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4.22</w:t>
            </w:r>
          </w:p>
        </w:tc>
        <w:tc>
          <w:tcPr>
            <w:tcW w:w="620" w:type="dxa"/>
            <w:vAlign w:val="bottom"/>
          </w:tcPr>
          <w:p>
            <w:pPr>
              <w:spacing w:after="0"/>
              <w:rPr>
                <w:sz w:val="24"/>
                <w:szCs w:val="2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Form of Depositary Share (included in Exhibit 4.21).</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Opinion of Arthur R. Block, Esquire.</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Opinion of Davis Polk &amp; Wardwell.</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Opinion of Richards, Layton &amp; Finger.</w:t>
            </w:r>
          </w:p>
        </w:tc>
        <w:tc>
          <w:tcPr>
            <w:tcW w:w="0" w:type="dxa"/>
            <w:vAlign w:val="bottom"/>
          </w:tcPr>
          <w:p>
            <w:pPr>
              <w:spacing w:after="0"/>
              <w:rPr>
                <w:sz w:val="1"/>
                <w:szCs w:val="1"/>
                <w:color w:val="auto"/>
              </w:rPr>
            </w:pPr>
          </w:p>
        </w:tc>
      </w:tr>
      <w:tr>
        <w:trPr>
          <w:trHeight w:val="43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12.1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Statement re: Computation of Ratios of Earnings to Fixed</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Charges and Combined Fixed Charges and Preferred Dividends.</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Consent of Deloitte &amp; Touche LLP.</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23.2</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Consent of KPMG LLP.</w:t>
            </w:r>
          </w:p>
        </w:tc>
        <w:tc>
          <w:tcPr>
            <w:tcW w:w="0" w:type="dxa"/>
            <w:vAlign w:val="bottom"/>
          </w:tcPr>
          <w:p>
            <w:pPr>
              <w:spacing w:after="0"/>
              <w:rPr>
                <w:sz w:val="1"/>
                <w:szCs w:val="1"/>
                <w:color w:val="auto"/>
              </w:rPr>
            </w:pPr>
          </w:p>
        </w:tc>
      </w:tr>
      <w:tr>
        <w:trPr>
          <w:trHeight w:val="43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23.3</w:t>
            </w:r>
          </w:p>
        </w:tc>
        <w:tc>
          <w:tcPr>
            <w:tcW w:w="620" w:type="dxa"/>
            <w:vAlign w:val="bottom"/>
          </w:tcPr>
          <w:p>
            <w:pPr>
              <w:spacing w:after="0"/>
              <w:rPr>
                <w:sz w:val="24"/>
                <w:szCs w:val="2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Consent of Arthur R. Block, Esquire (included in</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Exhibit 5.1).</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23.4</w:t>
            </w:r>
          </w:p>
        </w:tc>
        <w:tc>
          <w:tcPr>
            <w:tcW w:w="620" w:type="dxa"/>
            <w:vAlign w:val="bottom"/>
          </w:tcPr>
          <w:p>
            <w:pPr>
              <w:spacing w:after="0"/>
              <w:rPr>
                <w:sz w:val="24"/>
                <w:szCs w:val="2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Consent of Davis Polk &amp; Wardwell (included in Exhibit 5.2).</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23.5</w:t>
            </w:r>
          </w:p>
        </w:tc>
        <w:tc>
          <w:tcPr>
            <w:tcW w:w="620" w:type="dxa"/>
            <w:vAlign w:val="bottom"/>
          </w:tcPr>
          <w:p>
            <w:pPr>
              <w:spacing w:after="0"/>
              <w:rPr>
                <w:sz w:val="22"/>
                <w:szCs w:val="22"/>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Consent of Richards, Layton &amp; Finger (included in Exhibit</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24.1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Powers of Attorney.</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25.1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Statement of Eligibility under the Trust Indenture Act of</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1939, as amended, of Bank of Montreal Trust Company, as</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tcPr>
          <w:p>
            <w:pPr>
              <w:ind w:left="300"/>
              <w:spacing w:after="0"/>
              <w:rPr>
                <w:sz w:val="20"/>
                <w:szCs w:val="20"/>
                <w:color w:val="auto"/>
              </w:rPr>
            </w:pPr>
            <w:r>
              <w:rPr>
                <w:rFonts w:ascii="Courier New" w:cs="Courier New" w:eastAsia="Courier New" w:hAnsi="Courier New"/>
                <w:sz w:val="15"/>
                <w:szCs w:val="15"/>
                <w:color w:val="auto"/>
              </w:rPr>
              <w:t>Trustee under the Senior Indenture.</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779"/>
          </w:cols>
          <w:pgMar w:left="680" w:top="775" w:right="1440" w:bottom="1440" w:gutter="0" w:footer="0" w:header="0"/>
        </w:sectPr>
      </w:pPr>
    </w:p>
    <w:bookmarkStart w:id="38" w:name="page39"/>
    <w:bookmarkEnd w:id="38"/>
    <w:p>
      <w:pPr>
        <w:ind w:left="449"/>
        <w:spacing w:after="0"/>
        <w:rPr>
          <w:sz w:val="20"/>
          <w:szCs w:val="20"/>
          <w:color w:val="auto"/>
        </w:rPr>
      </w:pPr>
      <w:r>
        <w:rPr>
          <w:rFonts w:ascii="Courier New" w:cs="Courier New" w:eastAsia="Courier New" w:hAnsi="Courier New"/>
          <w:sz w:val="15"/>
          <w:szCs w:val="15"/>
          <w:color w:val="auto"/>
        </w:rPr>
        <w:t>Exhibit</w:t>
      </w:r>
    </w:p>
    <w:p>
      <w:pPr>
        <w:spacing w:after="0" w:line="27"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1"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1769" w:right="3119" w:hanging="1330"/>
        <w:spacing w:after="0" w:line="278" w:lineRule="auto"/>
        <w:tabs>
          <w:tab w:leader="none" w:pos="1749" w:val="left"/>
        </w:tabs>
        <w:rPr>
          <w:sz w:val="20"/>
          <w:szCs w:val="20"/>
          <w:color w:val="auto"/>
        </w:rPr>
      </w:pPr>
      <w:r>
        <w:rPr>
          <w:rFonts w:ascii="Courier New" w:cs="Courier New" w:eastAsia="Courier New" w:hAnsi="Courier New"/>
          <w:sz w:val="15"/>
          <w:szCs w:val="15"/>
          <w:color w:val="auto"/>
        </w:rPr>
        <w:t>25.2 **</w:t>
      </w:r>
      <w:r>
        <w:rPr>
          <w:sz w:val="20"/>
          <w:szCs w:val="20"/>
          <w:color w:val="auto"/>
        </w:rPr>
        <w:tab/>
      </w:r>
      <w:r>
        <w:rPr>
          <w:rFonts w:ascii="Courier New" w:cs="Courier New" w:eastAsia="Courier New" w:hAnsi="Courier New"/>
          <w:sz w:val="15"/>
          <w:szCs w:val="15"/>
          <w:color w:val="auto"/>
        </w:rPr>
        <w:t>Statement of Eligibility under the Trust Indenture Act of 1939, as amended, of Bankers Trust Company, as Trustee under the Subordinated Indenture.</w:t>
      </w:r>
    </w:p>
    <w:p>
      <w:pPr>
        <w:spacing w:after="0" w:line="66" w:lineRule="exact"/>
        <w:rPr>
          <w:sz w:val="20"/>
          <w:szCs w:val="20"/>
          <w:color w:val="auto"/>
        </w:rPr>
      </w:pPr>
    </w:p>
    <w:p>
      <w:pPr>
        <w:ind w:left="1769" w:right="3299" w:hanging="1330"/>
        <w:spacing w:after="0" w:line="297" w:lineRule="auto"/>
        <w:tabs>
          <w:tab w:leader="none" w:pos="1749" w:val="left"/>
        </w:tabs>
        <w:rPr>
          <w:sz w:val="20"/>
          <w:szCs w:val="20"/>
          <w:color w:val="auto"/>
        </w:rPr>
      </w:pPr>
      <w:r>
        <w:rPr>
          <w:rFonts w:ascii="Courier New" w:cs="Courier New" w:eastAsia="Courier New" w:hAnsi="Courier New"/>
          <w:sz w:val="15"/>
          <w:szCs w:val="15"/>
          <w:color w:val="auto"/>
        </w:rPr>
        <w:t>25.3 *</w:t>
      </w:r>
      <w:r>
        <w:rPr>
          <w:sz w:val="20"/>
          <w:szCs w:val="20"/>
          <w:color w:val="auto"/>
        </w:rPr>
        <w:tab/>
      </w:r>
      <w:r>
        <w:rPr>
          <w:rFonts w:ascii="Courier New" w:cs="Courier New" w:eastAsia="Courier New" w:hAnsi="Courier New"/>
          <w:sz w:val="15"/>
          <w:szCs w:val="15"/>
          <w:color w:val="auto"/>
        </w:rPr>
        <w:t>Statement of Eligibility under the Trust Indenture Act of 1939, as amended, of the Institutional Trustee for Comcast Corporation Trust I.</w:t>
      </w:r>
    </w:p>
    <w:p>
      <w:pPr>
        <w:spacing w:after="0" w:line="52" w:lineRule="exact"/>
        <w:rPr>
          <w:sz w:val="20"/>
          <w:szCs w:val="20"/>
          <w:color w:val="auto"/>
        </w:rPr>
      </w:pPr>
    </w:p>
    <w:p>
      <w:pPr>
        <w:ind w:left="1769" w:right="3299" w:hanging="1330"/>
        <w:spacing w:after="0" w:line="297" w:lineRule="auto"/>
        <w:tabs>
          <w:tab w:leader="none" w:pos="1749" w:val="left"/>
        </w:tabs>
        <w:rPr>
          <w:sz w:val="20"/>
          <w:szCs w:val="20"/>
          <w:color w:val="auto"/>
        </w:rPr>
      </w:pPr>
      <w:r>
        <w:rPr>
          <w:rFonts w:ascii="Courier New" w:cs="Courier New" w:eastAsia="Courier New" w:hAnsi="Courier New"/>
          <w:sz w:val="15"/>
          <w:szCs w:val="15"/>
          <w:color w:val="auto"/>
        </w:rPr>
        <w:t>25.4 *</w:t>
      </w:r>
      <w:r>
        <w:rPr>
          <w:sz w:val="20"/>
          <w:szCs w:val="20"/>
          <w:color w:val="auto"/>
        </w:rPr>
        <w:tab/>
      </w:r>
      <w:r>
        <w:rPr>
          <w:rFonts w:ascii="Courier New" w:cs="Courier New" w:eastAsia="Courier New" w:hAnsi="Courier New"/>
          <w:sz w:val="15"/>
          <w:szCs w:val="15"/>
          <w:color w:val="auto"/>
        </w:rPr>
        <w:t>Statement of Eligibility under the Trust Indenture Act of 1939, as amended, of the Institutional Trustee for Comcast Corporation Trust II.</w:t>
      </w:r>
    </w:p>
    <w:p>
      <w:pPr>
        <w:spacing w:after="0" w:line="52" w:lineRule="exact"/>
        <w:rPr>
          <w:sz w:val="20"/>
          <w:szCs w:val="20"/>
          <w:color w:val="auto"/>
        </w:rPr>
      </w:pPr>
    </w:p>
    <w:p>
      <w:pPr>
        <w:ind w:left="1769" w:right="3299" w:hanging="1330"/>
        <w:spacing w:after="0" w:line="253" w:lineRule="auto"/>
        <w:tabs>
          <w:tab w:leader="none" w:pos="1749" w:val="left"/>
        </w:tabs>
        <w:rPr>
          <w:sz w:val="20"/>
          <w:szCs w:val="20"/>
          <w:color w:val="auto"/>
        </w:rPr>
      </w:pPr>
      <w:r>
        <w:rPr>
          <w:rFonts w:ascii="Courier New" w:cs="Courier New" w:eastAsia="Courier New" w:hAnsi="Courier New"/>
          <w:sz w:val="15"/>
          <w:szCs w:val="15"/>
          <w:color w:val="auto"/>
        </w:rPr>
        <w:t>25.5 *</w:t>
      </w:r>
      <w:r>
        <w:rPr>
          <w:sz w:val="20"/>
          <w:szCs w:val="20"/>
          <w:color w:val="auto"/>
        </w:rPr>
        <w:tab/>
      </w:r>
      <w:r>
        <w:rPr>
          <w:rFonts w:ascii="Courier New" w:cs="Courier New" w:eastAsia="Courier New" w:hAnsi="Courier New"/>
          <w:sz w:val="15"/>
          <w:szCs w:val="15"/>
          <w:color w:val="auto"/>
        </w:rPr>
        <w:t>Statement of Eligibility under the Trust Indenture Act of 1939, as amended, of the Institutional Trustee for Comcast Corporation Trust III.</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right="4899" w:hanging="9"/>
        <w:spacing w:after="0" w:line="557" w:lineRule="auto"/>
        <w:tabs>
          <w:tab w:leader="none" w:pos="45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with subsequent Current Report on Form 8-K. ** Originally filed on June 23, 1999.</w:t>
      </w:r>
    </w:p>
    <w:p>
      <w:pPr>
        <w:spacing w:after="0" w:line="39" w:lineRule="exact"/>
        <w:rPr>
          <w:sz w:val="20"/>
          <w:szCs w:val="20"/>
          <w:color w:val="auto"/>
        </w:rPr>
      </w:pPr>
    </w:p>
    <w:p>
      <w:pPr>
        <w:ind w:left="9" w:right="8279" w:hanging="9"/>
        <w:spacing w:after="0" w:line="645" w:lineRule="auto"/>
        <w:tabs>
          <w:tab w:leader="none" w:pos="45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 Item 17. Undertakings.</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1" w:lineRule="exact"/>
        <w:rPr>
          <w:sz w:val="20"/>
          <w:szCs w:val="20"/>
          <w:color w:val="auto"/>
        </w:rPr>
      </w:pPr>
    </w:p>
    <w:p>
      <w:pPr>
        <w:ind w:left="9" w:right="3219" w:firstLine="435"/>
        <w:spacing w:after="0" w:line="353" w:lineRule="auto"/>
        <w:tabs>
          <w:tab w:leader="none" w:pos="71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 file, during any period in which offers or sales are being made, a post-effective amendment to this Registration Statement:</w:t>
      </w:r>
    </w:p>
    <w:p>
      <w:pPr>
        <w:spacing w:after="0" w:line="12" w:lineRule="exact"/>
        <w:rPr>
          <w:rFonts w:ascii="Courier New" w:cs="Courier New" w:eastAsia="Courier New" w:hAnsi="Courier New"/>
          <w:sz w:val="15"/>
          <w:szCs w:val="15"/>
          <w:color w:val="auto"/>
        </w:rPr>
      </w:pPr>
    </w:p>
    <w:p>
      <w:pPr>
        <w:ind w:left="449" w:right="3579" w:firstLine="438"/>
        <w:spacing w:after="0" w:line="353" w:lineRule="auto"/>
        <w:tabs>
          <w:tab w:leader="none" w:pos="124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(the "Securities Act");</w:t>
      </w:r>
    </w:p>
    <w:p>
      <w:pPr>
        <w:spacing w:after="0" w:line="12" w:lineRule="exact"/>
        <w:rPr>
          <w:rFonts w:ascii="Courier New" w:cs="Courier New" w:eastAsia="Courier New" w:hAnsi="Courier New"/>
          <w:sz w:val="15"/>
          <w:szCs w:val="15"/>
          <w:color w:val="auto"/>
        </w:rPr>
      </w:pPr>
    </w:p>
    <w:p>
      <w:pPr>
        <w:ind w:left="449" w:right="3219" w:firstLine="438"/>
        <w:spacing w:after="0" w:line="269" w:lineRule="auto"/>
        <w:tabs>
          <w:tab w:leader="none" w:pos="133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71" w:lineRule="exact"/>
        <w:rPr>
          <w:rFonts w:ascii="Courier New" w:cs="Courier New" w:eastAsia="Courier New" w:hAnsi="Courier New"/>
          <w:sz w:val="15"/>
          <w:szCs w:val="15"/>
          <w:color w:val="auto"/>
        </w:rPr>
      </w:pPr>
    </w:p>
    <w:p>
      <w:pPr>
        <w:jc w:val="both"/>
        <w:ind w:left="449" w:right="3219" w:firstLine="438"/>
        <w:spacing w:after="0" w:line="326" w:lineRule="auto"/>
        <w:tabs>
          <w:tab w:leader="none" w:pos="1425"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6" w:lineRule="exact"/>
        <w:rPr>
          <w:sz w:val="20"/>
          <w:szCs w:val="20"/>
          <w:color w:val="auto"/>
        </w:rPr>
      </w:pPr>
    </w:p>
    <w:p>
      <w:pPr>
        <w:ind w:left="9" w:right="3299"/>
        <w:spacing w:after="0" w:line="263" w:lineRule="auto"/>
        <w:rPr>
          <w:sz w:val="20"/>
          <w:szCs w:val="20"/>
          <w:color w:val="auto"/>
        </w:rPr>
      </w:pPr>
      <w:r>
        <w:rPr>
          <w:rFonts w:ascii="Courier New" w:cs="Courier New" w:eastAsia="Courier New" w:hAnsi="Courier New"/>
          <w:sz w:val="15"/>
          <w:szCs w:val="15"/>
          <w:color w:val="auto"/>
        </w:rPr>
        <w:t>provided, however, that subparagraphs (a) (i) and (a) (ii)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77" w:lineRule="exact"/>
        <w:rPr>
          <w:sz w:val="20"/>
          <w:szCs w:val="20"/>
          <w:color w:val="auto"/>
        </w:rPr>
      </w:pPr>
    </w:p>
    <w:p>
      <w:pPr>
        <w:ind w:left="789" w:hanging="345"/>
        <w:spacing w:after="0"/>
        <w:tabs>
          <w:tab w:leader="none" w:pos="7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w:t>
      </w:r>
    </w:p>
    <w:p>
      <w:pPr>
        <w:spacing w:after="0" w:line="26" w:lineRule="exact"/>
        <w:rPr>
          <w:rFonts w:ascii="Courier New" w:cs="Courier New" w:eastAsia="Courier New" w:hAnsi="Courier New"/>
          <w:sz w:val="15"/>
          <w:szCs w:val="15"/>
          <w:color w:val="auto"/>
        </w:rPr>
      </w:pPr>
    </w:p>
    <w:p>
      <w:pPr>
        <w:ind w:left="9" w:right="321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Courier New" w:cs="Courier New" w:eastAsia="Courier New" w:hAnsi="Courier New"/>
          <w:sz w:val="15"/>
          <w:szCs w:val="15"/>
          <w:color w:val="auto"/>
        </w:rPr>
      </w:pPr>
    </w:p>
    <w:p>
      <w:pPr>
        <w:ind w:left="9" w:right="3219" w:firstLine="435"/>
        <w:spacing w:after="0" w:line="297" w:lineRule="auto"/>
        <w:tabs>
          <w:tab w:leader="none" w:pos="80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51" w:lineRule="exact"/>
        <w:rPr>
          <w:rFonts w:ascii="Courier New" w:cs="Courier New" w:eastAsia="Courier New" w:hAnsi="Courier New"/>
          <w:sz w:val="15"/>
          <w:szCs w:val="15"/>
          <w:color w:val="auto"/>
        </w:rPr>
      </w:pPr>
    </w:p>
    <w:p>
      <w:pPr>
        <w:ind w:left="9" w:right="3399" w:firstLine="612"/>
        <w:spacing w:after="0" w:line="269" w:lineRule="auto"/>
        <w:tabs>
          <w:tab w:leader="none" w:pos="896"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w:t>
      </w:r>
    </w:p>
    <w:p>
      <w:pPr>
        <w:spacing w:after="0" w:line="2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775" w:right="1440" w:bottom="1440" w:gutter="0" w:footer="0" w:header="0"/>
        </w:sectPr>
      </w:pPr>
    </w:p>
    <w:bookmarkStart w:id="39" w:name="page40"/>
    <w:bookmarkEnd w:id="39"/>
    <w:p>
      <w:pPr>
        <w:ind w:right="3219"/>
        <w:spacing w:after="0" w:line="387" w:lineRule="auto"/>
        <w:rPr>
          <w:sz w:val="20"/>
          <w:szCs w:val="20"/>
          <w:color w:val="auto"/>
        </w:rPr>
      </w:pPr>
      <w:r>
        <w:rPr>
          <w:rFonts w:ascii="Courier New" w:cs="Courier New" w:eastAsia="Courier New" w:hAnsi="Courier New"/>
          <w:sz w:val="14"/>
          <w:szCs w:val="14"/>
          <w:color w:val="auto"/>
        </w:rPr>
        <w:t>relating to the securities offered therein, and the offering of such securities at that time shall be deemed to be the initial bona fide offering thereof.</w:t>
      </w:r>
    </w:p>
    <w:p>
      <w:pPr>
        <w:spacing w:after="0" w:line="1" w:lineRule="exact"/>
        <w:rPr>
          <w:sz w:val="20"/>
          <w:szCs w:val="20"/>
          <w:color w:val="auto"/>
        </w:rPr>
      </w:pPr>
    </w:p>
    <w:p>
      <w:pPr>
        <w:ind w:right="3219" w:firstLine="612"/>
        <w:spacing w:after="0" w:line="249" w:lineRule="auto"/>
        <w:tabs>
          <w:tab w:leader="none" w:pos="8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to be registered are to be offered at competitive bidding, the undersigned registrant hereby undertakes (1) to use its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thin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91" w:lineRule="exact"/>
        <w:rPr>
          <w:rFonts w:ascii="Courier New" w:cs="Courier New" w:eastAsia="Courier New" w:hAnsi="Courier New"/>
          <w:sz w:val="15"/>
          <w:szCs w:val="15"/>
          <w:color w:val="auto"/>
        </w:rPr>
      </w:pPr>
    </w:p>
    <w:p>
      <w:pPr>
        <w:ind w:right="3219" w:firstLine="612"/>
        <w:spacing w:after="0" w:line="268" w:lineRule="auto"/>
        <w:tabs>
          <w:tab w:leader="none" w:pos="88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775" w:right="1440" w:bottom="1440" w:gutter="0" w:footer="0" w:header="0"/>
        </w:sectPr>
      </w:pPr>
    </w:p>
    <w:bookmarkStart w:id="40" w:name="page41"/>
    <w:bookmarkEnd w:id="40"/>
    <w:p>
      <w:pPr>
        <w:ind w:left="2120"/>
        <w:spacing w:after="0"/>
        <w:rPr>
          <w:sz w:val="20"/>
          <w:szCs w:val="20"/>
          <w:color w:val="auto"/>
        </w:rPr>
      </w:pPr>
      <w:r>
        <w:rPr>
          <w:rFonts w:ascii="Courier New" w:cs="Courier New" w:eastAsia="Courier New" w:hAnsi="Courier New"/>
          <w:sz w:val="15"/>
          <w:szCs w:val="15"/>
          <w:color w:val="auto"/>
        </w:rPr>
        <w:t>SIGNATURES AND POWER OF ATTORNEY</w:t>
      </w:r>
    </w:p>
    <w:p>
      <w:pPr>
        <w:spacing w:after="0" w:line="342" w:lineRule="exact"/>
        <w:rPr>
          <w:sz w:val="20"/>
          <w:szCs w:val="20"/>
          <w:color w:val="auto"/>
        </w:rPr>
      </w:pPr>
    </w:p>
    <w:p>
      <w:pPr>
        <w:ind w:right="3399" w:firstLine="444"/>
        <w:spacing w:after="0" w:line="292" w:lineRule="auto"/>
        <w:rPr>
          <w:sz w:val="20"/>
          <w:szCs w:val="20"/>
          <w:color w:val="auto"/>
        </w:rPr>
      </w:pPr>
      <w:r>
        <w:rPr>
          <w:rFonts w:ascii="Courier New" w:cs="Courier New" w:eastAsia="Courier New" w:hAnsi="Courier New"/>
          <w:sz w:val="14"/>
          <w:szCs w:val="14"/>
          <w:color w:val="auto"/>
        </w:rPr>
        <w:t>Pursuant to the requirements of the Securities Act of 1933, Comcast Corporation certifies that it has reasonable grounds to believe that it meets all of the requirements for filing on Form S-3 and has duly caused this Amendment No. 2 to be signed on its behalf by the undersigned, thereunto duly authorized in Philadelphia, Pennsylvania, on September 15, 1999.</w:t>
      </w:r>
    </w:p>
    <w:p>
      <w:pPr>
        <w:spacing w:after="0" w:line="5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 /s/ John R. Alchin</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John R. Alchin, Senior Vice President and</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Treasurer</w:t>
      </w:r>
    </w:p>
    <w:p>
      <w:pPr>
        <w:spacing w:after="0" w:line="316"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ind w:left="700"/>
              <w:spacing w:after="0"/>
              <w:rPr>
                <w:sz w:val="20"/>
                <w:szCs w:val="20"/>
                <w:color w:val="auto"/>
              </w:rPr>
            </w:pPr>
            <w:r>
              <w:rPr>
                <w:rFonts w:ascii="Courier New" w:cs="Courier New" w:eastAsia="Courier New" w:hAnsi="Courier New"/>
                <w:sz w:val="15"/>
                <w:szCs w:val="15"/>
                <w:color w:val="auto"/>
              </w:rPr>
              <w:t>Signature</w:t>
            </w:r>
          </w:p>
        </w:tc>
        <w:tc>
          <w:tcPr>
            <w:tcW w:w="3380" w:type="dxa"/>
            <w:vAlign w:val="bottom"/>
          </w:tcPr>
          <w:p>
            <w:pPr>
              <w:ind w:left="980"/>
              <w:spacing w:after="0"/>
              <w:rPr>
                <w:sz w:val="20"/>
                <w:szCs w:val="20"/>
                <w:color w:val="auto"/>
              </w:rPr>
            </w:pPr>
            <w:r>
              <w:rPr>
                <w:rFonts w:ascii="Courier New" w:cs="Courier New" w:eastAsia="Courier New" w:hAnsi="Courier New"/>
                <w:sz w:val="15"/>
                <w:szCs w:val="15"/>
                <w:color w:val="auto"/>
              </w:rPr>
              <w:t>Title</w:t>
            </w:r>
          </w:p>
        </w:tc>
        <w:tc>
          <w:tcPr>
            <w:tcW w:w="1680" w:type="dxa"/>
            <w:vAlign w:val="bottom"/>
          </w:tcPr>
          <w:p>
            <w:pPr>
              <w:ind w:left="26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9"/>
        </w:trPr>
        <w:tc>
          <w:tcPr>
            <w:tcW w:w="23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33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4"/>
        </w:trPr>
        <w:tc>
          <w:tcPr>
            <w:tcW w:w="23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Chairman of the Board of Directors</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171"/>
        </w:trPr>
        <w:tc>
          <w:tcPr>
            <w:tcW w:w="2380" w:type="dxa"/>
            <w:vAlign w:val="bottom"/>
            <w:vMerge w:val="restart"/>
          </w:tcPr>
          <w:p>
            <w:pPr>
              <w:spacing w:after="0"/>
              <w:rPr>
                <w:sz w:val="20"/>
                <w:szCs w:val="20"/>
                <w:color w:val="auto"/>
              </w:rPr>
            </w:pPr>
            <w:r>
              <w:rPr>
                <w:rFonts w:ascii="Courier New" w:cs="Courier New" w:eastAsia="Courier New" w:hAnsi="Courier New"/>
                <w:sz w:val="23"/>
                <w:szCs w:val="23"/>
                <w:color w:val="auto"/>
                <w:w w:val="71"/>
                <w:vertAlign w:val="subscript"/>
              </w:rPr>
              <w:t>Ralph</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J.Roberts</w:t>
            </w:r>
          </w:p>
        </w:tc>
        <w:tc>
          <w:tcPr>
            <w:tcW w:w="33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380" w:type="dxa"/>
            <w:vAlign w:val="bottom"/>
            <w:vMerge w:val="continue"/>
          </w:tcPr>
          <w:p>
            <w:pPr>
              <w:spacing w:after="0"/>
              <w:rPr>
                <w:sz w:val="22"/>
                <w:szCs w:val="22"/>
                <w:color w:val="auto"/>
              </w:rPr>
            </w:pPr>
          </w:p>
        </w:tc>
        <w:tc>
          <w:tcPr>
            <w:tcW w:w="3380" w:type="dxa"/>
            <w:vAlign w:val="bottom"/>
          </w:tcPr>
          <w:p>
            <w:pPr>
              <w:spacing w:after="0"/>
              <w:rPr>
                <w:sz w:val="20"/>
                <w:szCs w:val="20"/>
                <w:color w:val="auto"/>
              </w:rPr>
            </w:pPr>
            <w:r>
              <w:rPr>
                <w:rFonts w:ascii="Courier New" w:cs="Courier New" w:eastAsia="Courier New" w:hAnsi="Courier New"/>
                <w:sz w:val="15"/>
                <w:szCs w:val="15"/>
                <w:color w:val="auto"/>
              </w:rPr>
              <w:t>and Director</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Vice Chairman and Director</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249"/>
        </w:trPr>
        <w:tc>
          <w:tcPr>
            <w:tcW w:w="2380" w:type="dxa"/>
            <w:vAlign w:val="bottom"/>
            <w:vMerge w:val="restart"/>
          </w:tcPr>
          <w:p>
            <w:pPr>
              <w:spacing w:after="0"/>
              <w:rPr>
                <w:sz w:val="20"/>
                <w:szCs w:val="20"/>
                <w:color w:val="auto"/>
              </w:rPr>
            </w:pPr>
            <w:r>
              <w:rPr>
                <w:rFonts w:ascii="Courier New" w:cs="Courier New" w:eastAsia="Courier New" w:hAnsi="Courier New"/>
                <w:sz w:val="22"/>
                <w:szCs w:val="22"/>
                <w:color w:val="auto"/>
                <w:w w:val="73"/>
                <w:vertAlign w:val="subscript"/>
              </w:rPr>
              <w:t>Julian</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A.Brodsky</w:t>
            </w:r>
          </w:p>
        </w:tc>
        <w:tc>
          <w:tcPr>
            <w:tcW w:w="338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380" w:type="dxa"/>
            <w:vAlign w:val="bottom"/>
            <w:vMerge w:val="continue"/>
          </w:tcPr>
          <w:p>
            <w:pPr>
              <w:spacing w:after="0"/>
              <w:rPr>
                <w:sz w:val="16"/>
                <w:szCs w:val="16"/>
                <w:color w:val="auto"/>
              </w:rPr>
            </w:pPr>
          </w:p>
        </w:tc>
        <w:tc>
          <w:tcPr>
            <w:tcW w:w="3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President (Principal Executive</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171"/>
        </w:trPr>
        <w:tc>
          <w:tcPr>
            <w:tcW w:w="2380" w:type="dxa"/>
            <w:vAlign w:val="bottom"/>
            <w:vMerge w:val="restart"/>
          </w:tcPr>
          <w:p>
            <w:pPr>
              <w:spacing w:after="0"/>
              <w:rPr>
                <w:sz w:val="20"/>
                <w:szCs w:val="20"/>
                <w:color w:val="auto"/>
              </w:rPr>
            </w:pPr>
            <w:r>
              <w:rPr>
                <w:rFonts w:ascii="Courier New" w:cs="Courier New" w:eastAsia="Courier New" w:hAnsi="Courier New"/>
                <w:sz w:val="23"/>
                <w:szCs w:val="23"/>
                <w:color w:val="auto"/>
                <w:w w:val="71"/>
                <w:vertAlign w:val="subscript"/>
              </w:rPr>
              <w:t>Brian</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L.Roberts</w:t>
            </w:r>
          </w:p>
        </w:tc>
        <w:tc>
          <w:tcPr>
            <w:tcW w:w="33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380" w:type="dxa"/>
            <w:vAlign w:val="bottom"/>
            <w:vMerge w:val="continue"/>
          </w:tcPr>
          <w:p>
            <w:pPr>
              <w:spacing w:after="0"/>
              <w:rPr>
                <w:sz w:val="22"/>
                <w:szCs w:val="22"/>
                <w:color w:val="auto"/>
              </w:rPr>
            </w:pPr>
          </w:p>
        </w:tc>
        <w:tc>
          <w:tcPr>
            <w:tcW w:w="3380" w:type="dxa"/>
            <w:vAlign w:val="bottom"/>
          </w:tcPr>
          <w:p>
            <w:pPr>
              <w:spacing w:after="0"/>
              <w:rPr>
                <w:sz w:val="20"/>
                <w:szCs w:val="20"/>
                <w:color w:val="auto"/>
              </w:rPr>
            </w:pPr>
            <w:r>
              <w:rPr>
                <w:rFonts w:ascii="Courier New" w:cs="Courier New" w:eastAsia="Courier New" w:hAnsi="Courier New"/>
                <w:sz w:val="15"/>
                <w:szCs w:val="15"/>
                <w:color w:val="auto"/>
              </w:rPr>
              <w:t>Officer) and Director</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171"/>
        </w:trPr>
        <w:tc>
          <w:tcPr>
            <w:tcW w:w="2380" w:type="dxa"/>
            <w:vAlign w:val="bottom"/>
            <w:vMerge w:val="restart"/>
          </w:tcPr>
          <w:p>
            <w:pPr>
              <w:spacing w:after="0"/>
              <w:rPr>
                <w:sz w:val="20"/>
                <w:szCs w:val="20"/>
                <w:color w:val="auto"/>
              </w:rPr>
            </w:pPr>
            <w:r>
              <w:rPr>
                <w:rFonts w:ascii="Courier New" w:cs="Courier New" w:eastAsia="Courier New" w:hAnsi="Courier New"/>
                <w:sz w:val="22"/>
                <w:szCs w:val="22"/>
                <w:color w:val="auto"/>
                <w:w w:val="73"/>
                <w:vertAlign w:val="subscript"/>
              </w:rPr>
              <w:t>Lawrence</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S.Smith</w:t>
            </w:r>
          </w:p>
        </w:tc>
        <w:tc>
          <w:tcPr>
            <w:tcW w:w="33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380" w:type="dxa"/>
            <w:vAlign w:val="bottom"/>
            <w:vMerge w:val="continue"/>
          </w:tcPr>
          <w:p>
            <w:pPr>
              <w:spacing w:after="0"/>
              <w:rPr>
                <w:sz w:val="22"/>
                <w:szCs w:val="22"/>
                <w:color w:val="auto"/>
              </w:rPr>
            </w:pPr>
          </w:p>
        </w:tc>
        <w:tc>
          <w:tcPr>
            <w:tcW w:w="3380" w:type="dxa"/>
            <w:vAlign w:val="bottom"/>
          </w:tcPr>
          <w:p>
            <w:pPr>
              <w:spacing w:after="0"/>
              <w:rPr>
                <w:sz w:val="20"/>
                <w:szCs w:val="20"/>
                <w:color w:val="auto"/>
              </w:rPr>
            </w:pPr>
            <w:r>
              <w:rPr>
                <w:rFonts w:ascii="Courier New" w:cs="Courier New" w:eastAsia="Courier New" w:hAnsi="Courier New"/>
                <w:sz w:val="15"/>
                <w:szCs w:val="15"/>
                <w:color w:val="auto"/>
              </w:rPr>
              <w:t>(Principal Accounting Officer)</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Senior Vice President and Treasurer</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171"/>
        </w:trPr>
        <w:tc>
          <w:tcPr>
            <w:tcW w:w="2380" w:type="dxa"/>
            <w:vAlign w:val="bottom"/>
            <w:vMerge w:val="restart"/>
          </w:tcPr>
          <w:p>
            <w:pPr>
              <w:spacing w:after="0"/>
              <w:rPr>
                <w:sz w:val="20"/>
                <w:szCs w:val="20"/>
                <w:color w:val="auto"/>
              </w:rPr>
            </w:pPr>
            <w:r>
              <w:rPr>
                <w:rFonts w:ascii="Courier New" w:cs="Courier New" w:eastAsia="Courier New" w:hAnsi="Courier New"/>
                <w:sz w:val="25"/>
                <w:szCs w:val="25"/>
                <w:color w:val="auto"/>
                <w:w w:val="73"/>
                <w:vertAlign w:val="subscript"/>
              </w:rPr>
              <w:t>John</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R.Alchin</w:t>
            </w:r>
          </w:p>
        </w:tc>
        <w:tc>
          <w:tcPr>
            <w:tcW w:w="33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380" w:type="dxa"/>
            <w:vAlign w:val="bottom"/>
            <w:vMerge w:val="continue"/>
          </w:tcPr>
          <w:p>
            <w:pPr>
              <w:spacing w:after="0"/>
              <w:rPr>
                <w:sz w:val="22"/>
                <w:szCs w:val="22"/>
                <w:color w:val="auto"/>
              </w:rPr>
            </w:pPr>
          </w:p>
        </w:tc>
        <w:tc>
          <w:tcPr>
            <w:tcW w:w="3380" w:type="dxa"/>
            <w:vAlign w:val="bottom"/>
          </w:tcPr>
          <w:p>
            <w:pPr>
              <w:spacing w:after="0"/>
              <w:rPr>
                <w:sz w:val="20"/>
                <w:szCs w:val="20"/>
                <w:color w:val="auto"/>
              </w:rPr>
            </w:pPr>
            <w:r>
              <w:rPr>
                <w:rFonts w:ascii="Courier New" w:cs="Courier New" w:eastAsia="Courier New" w:hAnsi="Courier New"/>
                <w:sz w:val="15"/>
                <w:szCs w:val="15"/>
                <w:color w:val="auto"/>
              </w:rPr>
              <w:t>(Principal Financial Officer)</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3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249"/>
        </w:trPr>
        <w:tc>
          <w:tcPr>
            <w:tcW w:w="2380" w:type="dxa"/>
            <w:vAlign w:val="bottom"/>
            <w:vMerge w:val="restart"/>
          </w:tcPr>
          <w:p>
            <w:pPr>
              <w:spacing w:after="0"/>
              <w:rPr>
                <w:sz w:val="20"/>
                <w:szCs w:val="20"/>
                <w:color w:val="auto"/>
              </w:rPr>
            </w:pPr>
            <w:r>
              <w:rPr>
                <w:rFonts w:ascii="Courier New" w:cs="Courier New" w:eastAsia="Courier New" w:hAnsi="Courier New"/>
                <w:sz w:val="20"/>
                <w:szCs w:val="20"/>
                <w:color w:val="auto"/>
                <w:w w:val="71"/>
                <w:vertAlign w:val="subscript"/>
              </w:rPr>
              <w:t>Gustave</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G.Amsterdam</w:t>
            </w:r>
          </w:p>
        </w:tc>
        <w:tc>
          <w:tcPr>
            <w:tcW w:w="338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380" w:type="dxa"/>
            <w:vAlign w:val="bottom"/>
            <w:vMerge w:val="continue"/>
          </w:tcPr>
          <w:p>
            <w:pPr>
              <w:spacing w:after="0"/>
              <w:rPr>
                <w:sz w:val="16"/>
                <w:szCs w:val="16"/>
                <w:color w:val="auto"/>
              </w:rPr>
            </w:pPr>
          </w:p>
        </w:tc>
        <w:tc>
          <w:tcPr>
            <w:tcW w:w="3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ind w:left="700"/>
              <w:spacing w:after="0"/>
              <w:rPr>
                <w:sz w:val="20"/>
                <w:szCs w:val="20"/>
                <w:color w:val="auto"/>
              </w:rPr>
            </w:pPr>
            <w:r>
              <w:rPr>
                <w:rFonts w:ascii="Courier New" w:cs="Courier New" w:eastAsia="Courier New" w:hAnsi="Courier New"/>
                <w:sz w:val="15"/>
                <w:szCs w:val="15"/>
                <w:color w:val="auto"/>
              </w:rPr>
              <w:t>Signature</w:t>
            </w:r>
          </w:p>
        </w:tc>
        <w:tc>
          <w:tcPr>
            <w:tcW w:w="2340" w:type="dxa"/>
            <w:vAlign w:val="bottom"/>
          </w:tcPr>
          <w:p>
            <w:pPr>
              <w:ind w:left="880"/>
              <w:spacing w:after="0"/>
              <w:rPr>
                <w:sz w:val="20"/>
                <w:szCs w:val="20"/>
                <w:color w:val="auto"/>
              </w:rPr>
            </w:pPr>
            <w:r>
              <w:rPr>
                <w:rFonts w:ascii="Courier New" w:cs="Courier New" w:eastAsia="Courier New" w:hAnsi="Courier New"/>
                <w:sz w:val="15"/>
                <w:szCs w:val="15"/>
                <w:color w:val="auto"/>
              </w:rPr>
              <w:t>Title</w:t>
            </w:r>
          </w:p>
        </w:tc>
        <w:tc>
          <w:tcPr>
            <w:tcW w:w="2620" w:type="dxa"/>
            <w:vAlign w:val="bottom"/>
          </w:tcPr>
          <w:p>
            <w:pPr>
              <w:ind w:left="120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9"/>
        </w:trPr>
        <w:tc>
          <w:tcPr>
            <w:tcW w:w="24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4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2620" w:type="dxa"/>
            <w:vAlign w:val="bottom"/>
            <w:vMerge w:val="restart"/>
          </w:tcPr>
          <w:p>
            <w:pPr>
              <w:ind w:left="102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249"/>
        </w:trPr>
        <w:tc>
          <w:tcPr>
            <w:tcW w:w="2480" w:type="dxa"/>
            <w:vAlign w:val="bottom"/>
            <w:vMerge w:val="restart"/>
          </w:tcPr>
          <w:p>
            <w:pPr>
              <w:spacing w:after="0"/>
              <w:rPr>
                <w:sz w:val="20"/>
                <w:szCs w:val="20"/>
                <w:color w:val="auto"/>
              </w:rPr>
            </w:pPr>
            <w:r>
              <w:rPr>
                <w:rFonts w:ascii="Courier New" w:cs="Courier New" w:eastAsia="Courier New" w:hAnsi="Courier New"/>
                <w:sz w:val="22"/>
                <w:szCs w:val="22"/>
                <w:color w:val="auto"/>
                <w:w w:val="73"/>
                <w:vertAlign w:val="subscript"/>
              </w:rPr>
              <w:t>Sheldon</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M.Bonovitz</w:t>
            </w:r>
          </w:p>
        </w:tc>
        <w:tc>
          <w:tcPr>
            <w:tcW w:w="2340" w:type="dxa"/>
            <w:vAlign w:val="bottom"/>
            <w:vMerge w:val="continue"/>
          </w:tcPr>
          <w:p>
            <w:pPr>
              <w:spacing w:after="0"/>
              <w:rPr>
                <w:sz w:val="21"/>
                <w:szCs w:val="21"/>
                <w:color w:val="auto"/>
              </w:rPr>
            </w:pP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4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2620" w:type="dxa"/>
            <w:vAlign w:val="bottom"/>
            <w:vMerge w:val="restart"/>
          </w:tcPr>
          <w:p>
            <w:pPr>
              <w:ind w:left="102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249"/>
        </w:trPr>
        <w:tc>
          <w:tcPr>
            <w:tcW w:w="248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Joseph</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L.CastleII</w:t>
            </w:r>
          </w:p>
        </w:tc>
        <w:tc>
          <w:tcPr>
            <w:tcW w:w="2340" w:type="dxa"/>
            <w:vAlign w:val="bottom"/>
            <w:vMerge w:val="continue"/>
          </w:tcPr>
          <w:p>
            <w:pPr>
              <w:spacing w:after="0"/>
              <w:rPr>
                <w:sz w:val="21"/>
                <w:szCs w:val="21"/>
                <w:color w:val="auto"/>
              </w:rPr>
            </w:pP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4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2620" w:type="dxa"/>
            <w:vAlign w:val="bottom"/>
            <w:vMerge w:val="restart"/>
          </w:tcPr>
          <w:p>
            <w:pPr>
              <w:ind w:left="102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249"/>
        </w:trPr>
        <w:tc>
          <w:tcPr>
            <w:tcW w:w="2480" w:type="dxa"/>
            <w:vAlign w:val="bottom"/>
            <w:vMerge w:val="restart"/>
          </w:tcPr>
          <w:p>
            <w:pPr>
              <w:spacing w:after="0"/>
              <w:rPr>
                <w:sz w:val="20"/>
                <w:szCs w:val="20"/>
                <w:color w:val="auto"/>
              </w:rPr>
            </w:pPr>
            <w:r>
              <w:rPr>
                <w:rFonts w:ascii="Courier New" w:cs="Courier New" w:eastAsia="Courier New" w:hAnsi="Courier New"/>
                <w:sz w:val="24"/>
                <w:szCs w:val="24"/>
                <w:color w:val="auto"/>
                <w:w w:val="70"/>
                <w:vertAlign w:val="subscript"/>
              </w:rPr>
              <w:t>Bernard</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C.Watson</w:t>
            </w:r>
          </w:p>
        </w:tc>
        <w:tc>
          <w:tcPr>
            <w:tcW w:w="2340" w:type="dxa"/>
            <w:vAlign w:val="bottom"/>
            <w:vMerge w:val="continue"/>
          </w:tcPr>
          <w:p>
            <w:pPr>
              <w:spacing w:after="0"/>
              <w:rPr>
                <w:sz w:val="21"/>
                <w:szCs w:val="21"/>
                <w:color w:val="auto"/>
              </w:rPr>
            </w:pP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4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2620" w:type="dxa"/>
            <w:vAlign w:val="bottom"/>
            <w:vMerge w:val="restart"/>
          </w:tcPr>
          <w:p>
            <w:pPr>
              <w:ind w:left="102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249"/>
        </w:trPr>
        <w:tc>
          <w:tcPr>
            <w:tcW w:w="248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Irving</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A.Wechsler</w:t>
            </w:r>
          </w:p>
        </w:tc>
        <w:tc>
          <w:tcPr>
            <w:tcW w:w="2340" w:type="dxa"/>
            <w:vAlign w:val="bottom"/>
            <w:vMerge w:val="continue"/>
          </w:tcPr>
          <w:p>
            <w:pPr>
              <w:spacing w:after="0"/>
              <w:rPr>
                <w:sz w:val="21"/>
                <w:szCs w:val="21"/>
                <w:color w:val="auto"/>
              </w:rPr>
            </w:pP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4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2620" w:type="dxa"/>
            <w:vAlign w:val="bottom"/>
            <w:vMerge w:val="restart"/>
          </w:tcPr>
          <w:p>
            <w:pPr>
              <w:ind w:left="1020"/>
              <w:spacing w:after="0"/>
              <w:rPr>
                <w:sz w:val="20"/>
                <w:szCs w:val="20"/>
                <w:color w:val="auto"/>
              </w:rPr>
            </w:pPr>
            <w:r>
              <w:rPr>
                <w:rFonts w:ascii="Courier New" w:cs="Courier New" w:eastAsia="Courier New" w:hAnsi="Courier New"/>
                <w:sz w:val="15"/>
                <w:szCs w:val="15"/>
                <w:color w:val="auto"/>
                <w:w w:val="97"/>
              </w:rPr>
              <w:t>September 15, 1999</w:t>
            </w:r>
          </w:p>
        </w:tc>
        <w:tc>
          <w:tcPr>
            <w:tcW w:w="0" w:type="dxa"/>
            <w:vAlign w:val="bottom"/>
          </w:tcPr>
          <w:p>
            <w:pPr>
              <w:spacing w:after="0"/>
              <w:rPr>
                <w:sz w:val="1"/>
                <w:szCs w:val="1"/>
                <w:color w:val="auto"/>
              </w:rPr>
            </w:pPr>
          </w:p>
        </w:tc>
      </w:tr>
      <w:tr>
        <w:trPr>
          <w:trHeight w:val="249"/>
        </w:trPr>
        <w:tc>
          <w:tcPr>
            <w:tcW w:w="2480" w:type="dxa"/>
            <w:vAlign w:val="bottom"/>
            <w:vMerge w:val="restart"/>
          </w:tcPr>
          <w:p>
            <w:pPr>
              <w:spacing w:after="0"/>
              <w:rPr>
                <w:sz w:val="20"/>
                <w:szCs w:val="20"/>
                <w:color w:val="auto"/>
              </w:rPr>
            </w:pPr>
            <w:r>
              <w:rPr>
                <w:rFonts w:ascii="Courier New" w:cs="Courier New" w:eastAsia="Courier New" w:hAnsi="Courier New"/>
                <w:sz w:val="29"/>
                <w:szCs w:val="29"/>
                <w:color w:val="auto"/>
                <w:w w:val="70"/>
                <w:vertAlign w:val="subscript"/>
              </w:rPr>
              <w:t>Anne</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Wexler</w:t>
            </w:r>
          </w:p>
        </w:tc>
        <w:tc>
          <w:tcPr>
            <w:tcW w:w="2340" w:type="dxa"/>
            <w:vAlign w:val="bottom"/>
            <w:vMerge w:val="continue"/>
          </w:tcPr>
          <w:p>
            <w:pPr>
              <w:spacing w:after="0"/>
              <w:rPr>
                <w:sz w:val="21"/>
                <w:szCs w:val="21"/>
                <w:color w:val="auto"/>
              </w:rPr>
            </w:pP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4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0"/>
                <w:szCs w:val="20"/>
                <w:color w:val="auto"/>
              </w:rPr>
            </w:pPr>
            <w:r>
              <w:rPr>
                <w:rFonts w:ascii="Courier New" w:cs="Courier New" w:eastAsia="Courier New" w:hAnsi="Courier New"/>
                <w:sz w:val="15"/>
                <w:szCs w:val="15"/>
                <w:color w:val="auto"/>
              </w:rPr>
              <w:t>*By /s/ John R. Alchin</w:t>
            </w:r>
          </w:p>
        </w:tc>
        <w:tc>
          <w:tcPr>
            <w:tcW w:w="23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700"/>
              <w:spacing w:after="0"/>
              <w:rPr>
                <w:sz w:val="20"/>
                <w:szCs w:val="20"/>
                <w:color w:val="auto"/>
              </w:rPr>
            </w:pPr>
            <w:r>
              <w:rPr>
                <w:rFonts w:ascii="Courier New" w:cs="Courier New" w:eastAsia="Courier New" w:hAnsi="Courier New"/>
                <w:sz w:val="15"/>
                <w:szCs w:val="15"/>
                <w:color w:val="auto"/>
              </w:rPr>
              <w:t>John R. Alchin</w:t>
            </w:r>
          </w:p>
        </w:tc>
        <w:tc>
          <w:tcPr>
            <w:tcW w:w="2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480" w:type="dxa"/>
            <w:vAlign w:val="bottom"/>
          </w:tcPr>
          <w:p>
            <w:pPr>
              <w:ind w:left="700"/>
              <w:spacing w:after="0"/>
              <w:rPr>
                <w:sz w:val="20"/>
                <w:szCs w:val="20"/>
                <w:color w:val="auto"/>
              </w:rPr>
            </w:pPr>
            <w:r>
              <w:rPr>
                <w:rFonts w:ascii="Courier New" w:cs="Courier New" w:eastAsia="Courier New" w:hAnsi="Courier New"/>
                <w:sz w:val="15"/>
                <w:szCs w:val="15"/>
                <w:color w:val="auto"/>
              </w:rPr>
              <w:t>Attorney-in-fact</w:t>
            </w:r>
          </w:p>
        </w:tc>
        <w:tc>
          <w:tcPr>
            <w:tcW w:w="23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75" w:right="1440" w:bottom="1440" w:gutter="0" w:footer="0" w:header="0"/>
        </w:sectPr>
      </w:pPr>
    </w:p>
    <w:bookmarkStart w:id="42" w:name="page43"/>
    <w:bookmarkEnd w:id="42"/>
    <w:p>
      <w:pPr>
        <w:jc w:val="center"/>
        <w:ind w:right="3110"/>
        <w:spacing w:after="0"/>
        <w:rPr>
          <w:sz w:val="20"/>
          <w:szCs w:val="20"/>
          <w:color w:val="auto"/>
        </w:rPr>
      </w:pPr>
      <w:r>
        <w:rPr>
          <w:rFonts w:ascii="Courier New" w:cs="Courier New" w:eastAsia="Courier New" w:hAnsi="Courier New"/>
          <w:sz w:val="15"/>
          <w:szCs w:val="15"/>
          <w:color w:val="auto"/>
        </w:rPr>
        <w:t>SIGNATURES</w:t>
      </w:r>
    </w:p>
    <w:p>
      <w:pPr>
        <w:spacing w:after="0" w:line="171" w:lineRule="exact"/>
        <w:rPr>
          <w:sz w:val="20"/>
          <w:szCs w:val="20"/>
          <w:color w:val="auto"/>
        </w:rPr>
      </w:pPr>
    </w:p>
    <w:p>
      <w:pPr>
        <w:ind w:left="9" w:right="3219" w:firstLine="444"/>
        <w:spacing w:after="0" w:line="277" w:lineRule="auto"/>
        <w:rPr>
          <w:sz w:val="20"/>
          <w:szCs w:val="20"/>
          <w:color w:val="auto"/>
        </w:rPr>
      </w:pPr>
      <w:r>
        <w:rPr>
          <w:rFonts w:ascii="Courier New" w:cs="Courier New" w:eastAsia="Courier New" w:hAnsi="Courier New"/>
          <w:sz w:val="14"/>
          <w:szCs w:val="14"/>
          <w:color w:val="auto"/>
        </w:rPr>
        <w:t>Pursuant to the requirements of the Securities Act of 1933, Comcast Corporation Trust I, Comcast Corporation Trust II and Comcast Corporation Trust</w:t>
      </w:r>
    </w:p>
    <w:p>
      <w:pPr>
        <w:spacing w:after="0" w:line="1" w:lineRule="exact"/>
        <w:rPr>
          <w:sz w:val="20"/>
          <w:szCs w:val="20"/>
          <w:color w:val="auto"/>
        </w:rPr>
      </w:pPr>
    </w:p>
    <w:p>
      <w:pPr>
        <w:ind w:left="9" w:right="3219" w:hanging="9"/>
        <w:spacing w:after="0" w:line="256" w:lineRule="auto"/>
        <w:tabs>
          <w:tab w:leader="none" w:pos="3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that they have reasonable grounds to believe that they meet all of the requirements for filing on Form S-3 and that they have duly caused this Registration Statement or amendment thereto to be signed on their behalf by the undersigned, thereunto duly authorized, in the City of Newark, State of Delaware, and the City of Philadelphia and State of Pennsylvania on September 15, 1999.</w:t>
      </w:r>
    </w:p>
    <w:p>
      <w:pPr>
        <w:spacing w:after="0" w:line="25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COMCAST CORPORATION TRUST I</w:t>
      </w:r>
    </w:p>
    <w:p>
      <w:pPr>
        <w:spacing w:after="0" w:line="342"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By: /s/ Donald J. Puglisi</w:t>
      </w:r>
    </w:p>
    <w:p>
      <w:pPr>
        <w:spacing w:after="0" w:line="27"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Name:</w:t>
        <w:tab/>
        <w:t>Donald J. Puglisi</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Title: Trustee</w:t>
      </w:r>
    </w:p>
    <w:p>
      <w:pPr>
        <w:spacing w:after="0" w:line="316" w:lineRule="exact"/>
        <w:rPr>
          <w:sz w:val="20"/>
          <w:szCs w:val="20"/>
          <w:color w:val="auto"/>
        </w:rPr>
      </w:pPr>
    </w:p>
    <w:p>
      <w:pPr>
        <w:jc w:val="center"/>
        <w:ind w:right="110"/>
        <w:spacing w:after="0"/>
        <w:rPr>
          <w:sz w:val="20"/>
          <w:szCs w:val="20"/>
          <w:color w:val="auto"/>
        </w:rPr>
      </w:pPr>
      <w:r>
        <w:rPr>
          <w:rFonts w:ascii="Courier New" w:cs="Courier New" w:eastAsia="Courier New" w:hAnsi="Courier New"/>
          <w:sz w:val="15"/>
          <w:szCs w:val="15"/>
          <w:color w:val="auto"/>
        </w:rPr>
        <w:t>By: /s/ William E. Dordelman</w:t>
      </w:r>
    </w:p>
    <w:p>
      <w:pPr>
        <w:spacing w:after="0" w:line="27"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Name:</w:t>
        <w:tab/>
        <w:t>William E. Dordelman</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Title: Trustee</w:t>
      </w:r>
    </w:p>
    <w:p>
      <w:pPr>
        <w:spacing w:after="0" w:line="316"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COMCAST CORPORATION TRUST II</w:t>
      </w:r>
    </w:p>
    <w:p>
      <w:pPr>
        <w:spacing w:after="0" w:line="342"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By: /s/ Donald J. Puglisi</w:t>
      </w:r>
    </w:p>
    <w:p>
      <w:pPr>
        <w:spacing w:after="0" w:line="27"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Name:</w:t>
        <w:tab/>
        <w:t>Donald J. Puglisi</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Title: Trustee</w:t>
      </w:r>
    </w:p>
    <w:p>
      <w:pPr>
        <w:spacing w:after="0" w:line="316" w:lineRule="exact"/>
        <w:rPr>
          <w:sz w:val="20"/>
          <w:szCs w:val="20"/>
          <w:color w:val="auto"/>
        </w:rPr>
      </w:pPr>
    </w:p>
    <w:p>
      <w:pPr>
        <w:jc w:val="center"/>
        <w:ind w:right="110"/>
        <w:spacing w:after="0"/>
        <w:rPr>
          <w:sz w:val="20"/>
          <w:szCs w:val="20"/>
          <w:color w:val="auto"/>
        </w:rPr>
      </w:pPr>
      <w:r>
        <w:rPr>
          <w:rFonts w:ascii="Courier New" w:cs="Courier New" w:eastAsia="Courier New" w:hAnsi="Courier New"/>
          <w:sz w:val="15"/>
          <w:szCs w:val="15"/>
          <w:color w:val="auto"/>
        </w:rPr>
        <w:t>By: /s/ William E. Dordelman</w:t>
      </w:r>
    </w:p>
    <w:p>
      <w:pPr>
        <w:spacing w:after="0" w:line="27"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Name:</w:t>
        <w:tab/>
        <w:t>William E. Dordelman</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Title: Trustee</w:t>
      </w:r>
    </w:p>
    <w:p>
      <w:pPr>
        <w:spacing w:after="0" w:line="316"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COMCAST CORPORATION TRUST III</w:t>
      </w:r>
    </w:p>
    <w:p>
      <w:pPr>
        <w:spacing w:after="0" w:line="342"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By: /s/ Donald J. Puglisi</w:t>
      </w:r>
    </w:p>
    <w:p>
      <w:pPr>
        <w:spacing w:after="0" w:line="27"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Name:</w:t>
        <w:tab/>
        <w:t>Donald J. Puglisi</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Title: Trustee</w:t>
      </w:r>
    </w:p>
    <w:p>
      <w:pPr>
        <w:spacing w:after="0" w:line="316" w:lineRule="exact"/>
        <w:rPr>
          <w:sz w:val="20"/>
          <w:szCs w:val="20"/>
          <w:color w:val="auto"/>
        </w:rPr>
      </w:pPr>
    </w:p>
    <w:p>
      <w:pPr>
        <w:jc w:val="center"/>
        <w:ind w:right="110"/>
        <w:spacing w:after="0"/>
        <w:rPr>
          <w:sz w:val="20"/>
          <w:szCs w:val="20"/>
          <w:color w:val="auto"/>
        </w:rPr>
      </w:pPr>
      <w:r>
        <w:rPr>
          <w:rFonts w:ascii="Courier New" w:cs="Courier New" w:eastAsia="Courier New" w:hAnsi="Courier New"/>
          <w:sz w:val="15"/>
          <w:szCs w:val="15"/>
          <w:color w:val="auto"/>
        </w:rPr>
        <w:t>By: /s/ William E. Dordelman</w:t>
      </w:r>
    </w:p>
    <w:p>
      <w:pPr>
        <w:spacing w:after="0" w:line="27"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89"/>
        <w:spacing w:after="0"/>
        <w:tabs>
          <w:tab w:leader="none" w:pos="4689" w:val="left"/>
        </w:tabs>
        <w:rPr>
          <w:sz w:val="20"/>
          <w:szCs w:val="20"/>
          <w:color w:val="auto"/>
        </w:rPr>
      </w:pPr>
      <w:r>
        <w:rPr>
          <w:rFonts w:ascii="Courier New" w:cs="Courier New" w:eastAsia="Courier New" w:hAnsi="Courier New"/>
          <w:sz w:val="15"/>
          <w:szCs w:val="15"/>
          <w:color w:val="auto"/>
        </w:rPr>
        <w:t>Name:</w:t>
        <w:tab/>
        <w:t>William E. Dordelman</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Title: Trustee</w:t>
      </w:r>
    </w:p>
    <w:p>
      <w:pPr>
        <w:sectPr>
          <w:pgSz w:w="11900" w:h="16838" w:orient="portrait"/>
          <w:cols w:equalWidth="0" w:num="1">
            <w:col w:w="10228"/>
          </w:cols>
          <w:pgMar w:left="231" w:top="946"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60" w:type="dxa"/>
            <w:vAlign w:val="bottom"/>
          </w:tcPr>
          <w:p>
            <w:pPr>
              <w:ind w:left="1500"/>
              <w:spacing w:after="0"/>
              <w:rPr>
                <w:sz w:val="20"/>
                <w:szCs w:val="20"/>
                <w:color w:val="auto"/>
              </w:rPr>
            </w:pPr>
            <w:r>
              <w:rPr>
                <w:rFonts w:ascii="Courier New" w:cs="Courier New" w:eastAsia="Courier New" w:hAnsi="Courier New"/>
                <w:sz w:val="15"/>
                <w:szCs w:val="15"/>
                <w:color w:val="auto"/>
              </w:rPr>
              <w:t>EXHIBIT</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INDEX</w:t>
            </w:r>
          </w:p>
        </w:tc>
        <w:tc>
          <w:tcPr>
            <w:tcW w:w="0" w:type="dxa"/>
            <w:vAlign w:val="bottom"/>
          </w:tcPr>
          <w:p>
            <w:pPr>
              <w:spacing w:after="0"/>
              <w:rPr>
                <w:sz w:val="1"/>
                <w:szCs w:val="1"/>
                <w:color w:val="auto"/>
              </w:rPr>
            </w:pPr>
          </w:p>
        </w:tc>
      </w:tr>
      <w:tr>
        <w:trPr>
          <w:trHeight w:val="433"/>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Exhibit</w:t>
            </w:r>
          </w:p>
        </w:tc>
        <w:tc>
          <w:tcPr>
            <w:tcW w:w="21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Description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Number</w:t>
            </w:r>
          </w:p>
        </w:tc>
        <w:tc>
          <w:tcPr>
            <w:tcW w:w="2160" w:type="dxa"/>
            <w:vAlign w:val="bottom"/>
            <w:vMerge w:val="continue"/>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4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Agreement (Debt Securities, Warrants,</w:t>
            </w:r>
          </w:p>
        </w:tc>
        <w:tc>
          <w:tcPr>
            <w:tcW w:w="0" w:type="dxa"/>
            <w:vAlign w:val="bottom"/>
          </w:tcPr>
          <w:p>
            <w:pPr>
              <w:spacing w:after="0"/>
              <w:rPr>
                <w:sz w:val="1"/>
                <w:szCs w:val="1"/>
                <w:color w:val="auto"/>
              </w:rPr>
            </w:pP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w w:val="99"/>
              </w:rPr>
              <w:t>Form of Underwriting</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Purchase Contracts and Units).</w:t>
            </w:r>
          </w:p>
        </w:tc>
        <w:tc>
          <w:tcPr>
            <w:tcW w:w="0" w:type="dxa"/>
            <w:vAlign w:val="bottom"/>
          </w:tcPr>
          <w:p>
            <w:pPr>
              <w:spacing w:after="0"/>
              <w:rPr>
                <w:sz w:val="1"/>
                <w:szCs w:val="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w w:val="99"/>
              </w:rPr>
              <w:t>Form of Underwriting</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w w:val="98"/>
              </w:rPr>
              <w:t>Agreement (Preferred Stock, Depositary</w:t>
            </w: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Common Stock).</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0"/>
        <w:spacing w:after="0"/>
        <w:tabs>
          <w:tab w:leader="none" w:pos="1300" w:val="left"/>
        </w:tabs>
        <w:rPr>
          <w:sz w:val="20"/>
          <w:szCs w:val="20"/>
          <w:color w:val="auto"/>
        </w:rPr>
      </w:pPr>
      <w:r>
        <w:rPr>
          <w:rFonts w:ascii="Courier New" w:cs="Courier New" w:eastAsia="Courier New" w:hAnsi="Courier New"/>
          <w:sz w:val="15"/>
          <w:szCs w:val="15"/>
          <w:color w:val="auto"/>
        </w:rPr>
        <w:t>1.3 **</w:t>
      </w:r>
      <w:r>
        <w:rPr>
          <w:sz w:val="20"/>
          <w:szCs w:val="20"/>
          <w:color w:val="auto"/>
        </w:rPr>
        <w:tab/>
      </w:r>
      <w:r>
        <w:rPr>
          <w:rFonts w:ascii="Courier New" w:cs="Courier New" w:eastAsia="Courier New" w:hAnsi="Courier New"/>
          <w:sz w:val="14"/>
          <w:szCs w:val="14"/>
          <w:color w:val="auto"/>
        </w:rPr>
        <w:t>Form of Underwriting Agreement (Preferred Securities).</w:t>
      </w:r>
    </w:p>
    <w:p>
      <w:pPr>
        <w:spacing w:after="0" w:line="171" w:lineRule="exact"/>
        <w:rPr>
          <w:sz w:val="20"/>
          <w:szCs w:val="20"/>
          <w:color w:val="auto"/>
        </w:rPr>
      </w:pPr>
    </w:p>
    <w:p>
      <w:pPr>
        <w:ind w:left="1320" w:right="3119" w:hanging="1319"/>
        <w:spacing w:after="0" w:line="297" w:lineRule="auto"/>
        <w:tabs>
          <w:tab w:leader="none" w:pos="1300" w:val="left"/>
        </w:tabs>
        <w:rPr>
          <w:sz w:val="20"/>
          <w:szCs w:val="20"/>
          <w:color w:val="auto"/>
        </w:rPr>
      </w:pPr>
      <w:r>
        <w:rPr>
          <w:rFonts w:ascii="Courier New" w:cs="Courier New" w:eastAsia="Courier New" w:hAnsi="Courier New"/>
          <w:sz w:val="15"/>
          <w:szCs w:val="15"/>
          <w:color w:val="auto"/>
        </w:rPr>
        <w:t>3(ii)</w:t>
      </w:r>
      <w:r>
        <w:rPr>
          <w:sz w:val="20"/>
          <w:szCs w:val="20"/>
          <w:color w:val="auto"/>
        </w:rPr>
        <w:tab/>
      </w:r>
      <w:r>
        <w:rPr>
          <w:rFonts w:ascii="Courier New" w:cs="Courier New" w:eastAsia="Courier New" w:hAnsi="Courier New"/>
          <w:sz w:val="15"/>
          <w:szCs w:val="15"/>
          <w:color w:val="auto"/>
        </w:rPr>
        <w:t>Amended and Restated By-Laws (incorporated by reference to Exhibit 3(ii) to our Annual Report on Form 10-K for the year ended December 31, 1993).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Senior Indenture to be dated as of June 15,</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1999 between the</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Company and Bank of Montreal Trust Company,</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 Trustee.</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7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Subordinated Indenture to be dated as of June 15,</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7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between the Company and Bankers Trust Company, as</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Trustee.</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Certificate of Trust of Comcast Corporation</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Certificate of Trust of Comcast Corporation</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II.</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Certificate of Trust of Comcast Corporation</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III.</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Declaration of Trust of Comcast Corporation</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Declaration of Trust of Comcast Corporation</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II.</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Declaration of Trust of Comcast Corporation</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III.</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Form of Amended and Restated Declaration of</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for each</w:t>
            </w:r>
          </w:p>
        </w:tc>
      </w:tr>
      <w:tr>
        <w:trPr>
          <w:trHeight w:val="171"/>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8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of Comcast Corporation Trust I, Comcast Corporation Trust II</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and Comcast Corporation Trust III.</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Form of Senior Debt Security.</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Form of Subordinated Debt Security.</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4.12</w:t>
            </w:r>
          </w:p>
        </w:tc>
        <w:tc>
          <w:tcPr>
            <w:tcW w:w="580" w:type="dxa"/>
            <w:vAlign w:val="bottom"/>
          </w:tcPr>
          <w:p>
            <w:pPr>
              <w:spacing w:after="0"/>
              <w:rPr>
                <w:sz w:val="24"/>
                <w:szCs w:val="24"/>
                <w:color w:val="auto"/>
              </w:rPr>
            </w:pPr>
          </w:p>
        </w:tc>
        <w:tc>
          <w:tcPr>
            <w:tcW w:w="56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Form of Preferred Security (included in Exhibit 4.9).</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Form of Preferred Securities Guarantee with</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respect to</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Preferred Securities.</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4.14</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Form of Purchase Contract Agreement relating to Purchase</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Contracts (to be included in Exhibit 4.15).</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4.15</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Form of Unit Agreement.</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1"/>
        </w:trPr>
        <w:tc>
          <w:tcPr>
            <w:tcW w:w="9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2"/>
              </w:rPr>
              <w:t>4.16**</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Form of Warrant Agreement for Warrants Sold</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Alone.</w:t>
            </w:r>
          </w:p>
        </w:tc>
        <w:tc>
          <w:tcPr>
            <w:tcW w:w="900" w:type="dxa"/>
            <w:vAlign w:val="bottom"/>
          </w:tcPr>
          <w:p>
            <w:pPr>
              <w:spacing w:after="0"/>
              <w:rPr>
                <w:sz w:val="24"/>
                <w:szCs w:val="24"/>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4.17</w:t>
            </w:r>
          </w:p>
        </w:tc>
        <w:tc>
          <w:tcPr>
            <w:tcW w:w="580" w:type="dxa"/>
            <w:vAlign w:val="bottom"/>
          </w:tcPr>
          <w:p>
            <w:pPr>
              <w:spacing w:after="0"/>
              <w:rPr>
                <w:sz w:val="22"/>
                <w:szCs w:val="22"/>
                <w:color w:val="auto"/>
              </w:rPr>
            </w:pPr>
          </w:p>
        </w:tc>
        <w:tc>
          <w:tcPr>
            <w:tcW w:w="47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Form of Warrant for Warrants Sold Alone (included</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in</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Exhibit 4.16).</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4.18</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w w:val="99"/>
              </w:rPr>
              <w:t>Form of Warrant Agreement for Warrants Sold</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Attached to</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Securities.</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4.19</w:t>
            </w:r>
          </w:p>
        </w:tc>
        <w:tc>
          <w:tcPr>
            <w:tcW w:w="580" w:type="dxa"/>
            <w:vAlign w:val="bottom"/>
          </w:tcPr>
          <w:p>
            <w:pPr>
              <w:spacing w:after="0"/>
              <w:rPr>
                <w:sz w:val="22"/>
                <w:szCs w:val="22"/>
                <w:color w:val="auto"/>
              </w:rPr>
            </w:pPr>
          </w:p>
        </w:tc>
        <w:tc>
          <w:tcPr>
            <w:tcW w:w="56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Form of Warrant for Warrants Sold Attached to Securities</w:t>
            </w:r>
          </w:p>
        </w:tc>
      </w:tr>
      <w:tr>
        <w:trPr>
          <w:trHeight w:val="249"/>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(included in Exhibit 4.18).</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4.20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40"/>
              <w:spacing w:after="0"/>
              <w:rPr>
                <w:sz w:val="20"/>
                <w:szCs w:val="20"/>
                <w:color w:val="auto"/>
              </w:rPr>
            </w:pPr>
            <w:r>
              <w:rPr>
                <w:rFonts w:ascii="Courier New" w:cs="Courier New" w:eastAsia="Courier New" w:hAnsi="Courier New"/>
                <w:sz w:val="15"/>
                <w:szCs w:val="15"/>
                <w:color w:val="auto"/>
              </w:rPr>
              <w:t>Form of Pledge Agreement.</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23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9779"/>
          </w:cols>
          <w:pgMar w:left="680" w:top="775" w:right="1440" w:bottom="1440" w:gutter="0" w:footer="0" w:header="0"/>
        </w:sectPr>
      </w:pPr>
    </w:p>
    <w:bookmarkStart w:id="44" w:name="page45"/>
    <w:bookmarkEnd w:id="44"/>
    <w:tbl>
      <w:tblPr>
        <w:tblLayout w:type="fixed"/>
        <w:tblInd w:w="449" w:type="dxa"/>
        <w:tblCellMar>
          <w:top w:w="0" w:type="dxa"/>
          <w:left w:w="0" w:type="dxa"/>
          <w:bottom w:w="0" w:type="dxa"/>
          <w:right w:w="0" w:type="dxa"/>
        </w:tblCellMar>
      </w:tblPr>
      <w:tr>
        <w:trPr>
          <w:trHeight w:val="249"/>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4.21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Form of Deposit Agreement.</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4.22</w:t>
            </w:r>
          </w:p>
        </w:tc>
        <w:tc>
          <w:tcPr>
            <w:tcW w:w="620" w:type="dxa"/>
            <w:vAlign w:val="bottom"/>
          </w:tcPr>
          <w:p>
            <w:pPr>
              <w:spacing w:after="0"/>
              <w:rPr>
                <w:sz w:val="24"/>
                <w:szCs w:val="24"/>
                <w:color w:val="auto"/>
              </w:rPr>
            </w:pP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Form of Depositary Share (included in Exhibit 4.21).</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Opinion of Arthur</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R. Block, Esquire.</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Opinion of Davis Polk &amp; Wardwell.</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Opinion of Richards, Layton &amp; Finger.</w:t>
            </w:r>
          </w:p>
        </w:tc>
      </w:tr>
      <w:tr>
        <w:trPr>
          <w:trHeight w:val="43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12.1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Statement re: Computation of Ratios of Earnings to Fixed</w:t>
            </w: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Charges and to Combined Fixed Charges and Preferred</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Dividends.</w:t>
            </w:r>
          </w:p>
        </w:tc>
        <w:tc>
          <w:tcPr>
            <w:tcW w:w="3780" w:type="dxa"/>
            <w:vAlign w:val="bottom"/>
          </w:tcPr>
          <w:p>
            <w:pPr>
              <w:spacing w:after="0"/>
              <w:rPr>
                <w:sz w:val="21"/>
                <w:szCs w:val="2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23.2</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 of KPMG LLP.</w:t>
            </w:r>
          </w:p>
        </w:tc>
      </w:tr>
      <w:tr>
        <w:trPr>
          <w:trHeight w:val="43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23.3</w:t>
            </w:r>
          </w:p>
        </w:tc>
        <w:tc>
          <w:tcPr>
            <w:tcW w:w="620" w:type="dxa"/>
            <w:vAlign w:val="bottom"/>
          </w:tcPr>
          <w:p>
            <w:pPr>
              <w:spacing w:after="0"/>
              <w:rPr>
                <w:sz w:val="24"/>
                <w:szCs w:val="2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Consent of Arthur</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R. Block, Esquire (included in Exhibit</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5.1).</w:t>
            </w:r>
          </w:p>
        </w:tc>
        <w:tc>
          <w:tcPr>
            <w:tcW w:w="3780" w:type="dxa"/>
            <w:vAlign w:val="bottom"/>
          </w:tcPr>
          <w:p>
            <w:pPr>
              <w:spacing w:after="0"/>
              <w:rPr>
                <w:sz w:val="21"/>
                <w:szCs w:val="2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23.4</w:t>
            </w:r>
          </w:p>
        </w:tc>
        <w:tc>
          <w:tcPr>
            <w:tcW w:w="620" w:type="dxa"/>
            <w:vAlign w:val="bottom"/>
          </w:tcPr>
          <w:p>
            <w:pPr>
              <w:spacing w:after="0"/>
              <w:rPr>
                <w:sz w:val="24"/>
                <w:szCs w:val="24"/>
                <w:color w:val="auto"/>
              </w:rPr>
            </w:pP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 of Davis Polk &amp; Wardwell (included in Exhibit 5.2).</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23.5</w:t>
            </w:r>
          </w:p>
        </w:tc>
        <w:tc>
          <w:tcPr>
            <w:tcW w:w="620" w:type="dxa"/>
            <w:vAlign w:val="bottom"/>
          </w:tcPr>
          <w:p>
            <w:pPr>
              <w:spacing w:after="0"/>
              <w:rPr>
                <w:sz w:val="22"/>
                <w:szCs w:val="22"/>
                <w:color w:val="auto"/>
              </w:rPr>
            </w:pP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 of Richards, Layton &amp; Finger (included in Exhibit</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5.3).</w:t>
            </w:r>
          </w:p>
        </w:tc>
        <w:tc>
          <w:tcPr>
            <w:tcW w:w="3780" w:type="dxa"/>
            <w:vAlign w:val="bottom"/>
          </w:tcPr>
          <w:p>
            <w:pPr>
              <w:spacing w:after="0"/>
              <w:rPr>
                <w:sz w:val="21"/>
                <w:szCs w:val="21"/>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24.1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Powers of Attorney.</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25.1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Statement of Eligibility under the Trust Indenture Act of</w:t>
            </w: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1939, as amended,</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of Bank of Montreal Trust Company, as</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Trustee under the</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Senior Indenture.</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25.2</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Statement of Eligibility under the Trust Indenture Act of</w:t>
            </w: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1939, as amended,</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w w:val="98"/>
              </w:rPr>
              <w:t>of Bankers Trust Company, as Trustee under</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the Subordinated Indenture.</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25.3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Statement of Eligibility under the Trust Indenture Act of</w:t>
            </w: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1939, as amended,</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of the Institutional Trustee for Comcast</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Corporation Trust</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25.4</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Statement of Eligibility under the Trust Indenture Act of</w:t>
            </w: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1939, as amended,</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of the Institutional Trustee for Comcast</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Corporation Trust</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II.</w:t>
            </w:r>
          </w:p>
        </w:tc>
      </w:tr>
      <w:tr>
        <w:trPr>
          <w:trHeight w:val="263"/>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25.5</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Statement of Eligibility under the Trust Indenture Act of</w:t>
            </w:r>
          </w:p>
        </w:tc>
      </w:tr>
      <w:tr>
        <w:trPr>
          <w:trHeight w:val="171"/>
        </w:trPr>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1939, as amended,</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of the Institutional Trustee for Comcast</w:t>
            </w:r>
          </w:p>
        </w:tc>
      </w:tr>
      <w:tr>
        <w:trPr>
          <w:trHeight w:val="197"/>
        </w:trPr>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5"/>
                <w:szCs w:val="15"/>
                <w:color w:val="auto"/>
              </w:rPr>
              <w:t>Corporation Trust</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III.</w:t>
            </w:r>
          </w:p>
        </w:tc>
      </w:tr>
    </w:tbl>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right="4899" w:hanging="9"/>
        <w:spacing w:after="0" w:line="557" w:lineRule="auto"/>
        <w:tabs>
          <w:tab w:leader="none" w:pos="4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with subsequent Current Report on Form 8-K. ** Originally filed on June 23, 1999.</w:t>
      </w:r>
    </w:p>
    <w:p>
      <w:pPr>
        <w:spacing w:after="0" w:line="39"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w:t>
        <w:tab/>
        <w:t>Filed herewith.</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28"/>
          </w:cols>
          <w:pgMar w:left="231" w:top="775" w:right="1440" w:bottom="1440" w:gutter="0" w:footer="0" w:header="0"/>
        </w:sectPr>
      </w:pPr>
    </w:p>
    <w:bookmarkStart w:id="45" w:name="page46"/>
    <w:bookmarkEnd w:id="45"/>
    <w:p>
      <w:pPr>
        <w:ind w:left="6029"/>
        <w:spacing w:after="0"/>
        <w:rPr>
          <w:sz w:val="20"/>
          <w:szCs w:val="20"/>
          <w:color w:val="auto"/>
        </w:rPr>
      </w:pPr>
      <w:r>
        <w:rPr>
          <w:rFonts w:ascii="Courier New" w:cs="Courier New" w:eastAsia="Courier New" w:hAnsi="Courier New"/>
          <w:sz w:val="15"/>
          <w:szCs w:val="15"/>
          <w:color w:val="auto"/>
        </w:rPr>
        <w:t>Exhibit 12.1</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RATIO OF EARNINGS TO FIXED CHARGES AND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COMBINED FIXED CHARGES AND PREFERRED DIVIDENDS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(dollars in millions)</w:t>
      </w:r>
    </w:p>
    <w:p>
      <w:pPr>
        <w:spacing w:after="0" w:line="316"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c>
          <w:tcPr>
            <w:tcW w:w="940" w:type="dxa"/>
            <w:vAlign w:val="bottom"/>
          </w:tcPr>
          <w:p>
            <w:pPr>
              <w:spacing w:after="0"/>
              <w:rPr>
                <w:sz w:val="14"/>
                <w:szCs w:val="14"/>
                <w:color w:val="auto"/>
              </w:rPr>
            </w:pPr>
          </w:p>
        </w:tc>
        <w:tc>
          <w:tcPr>
            <w:tcW w:w="310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Years Ended 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92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9"/>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(loss) before fixed charges(1):</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before extraordinary items and</w:t>
            </w:r>
          </w:p>
        </w:tc>
        <w:tc>
          <w:tcPr>
            <w:tcW w:w="13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$928.1</w:t>
            </w:r>
          </w:p>
        </w:tc>
        <w:tc>
          <w:tcPr>
            <w:tcW w:w="1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($148.8)</w:t>
            </w:r>
          </w:p>
        </w:tc>
        <w:tc>
          <w:tcPr>
            <w:tcW w:w="9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$1,007.7</w:t>
            </w:r>
          </w:p>
        </w:tc>
        <w:tc>
          <w:tcPr>
            <w:tcW w:w="10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($182.9)</w:t>
            </w: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($6.4)</w:t>
            </w:r>
          </w:p>
        </w:tc>
        <w:tc>
          <w:tcPr>
            <w:tcW w:w="10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$48.0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($46.0)</w:t>
            </w:r>
          </w:p>
        </w:tc>
        <w:tc>
          <w:tcPr>
            <w:tcW w:w="0" w:type="dxa"/>
            <w:vAlign w:val="bottom"/>
          </w:tcPr>
          <w:p>
            <w:pPr>
              <w:spacing w:after="0"/>
              <w:rPr>
                <w:sz w:val="1"/>
                <w:szCs w:val="1"/>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 changes</w:t>
            </w:r>
          </w:p>
        </w:tc>
        <w:tc>
          <w:tcPr>
            <w:tcW w:w="13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723.7</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9.3</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594.0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70.4</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Equity in net loss  of affiliates</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236.8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515.9</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343.8</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Fixed charges, less capitalized interest</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254.7</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237.2</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458.9</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448.4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254.8</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$1,908.1</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$334.5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$2,584.3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$690.2</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$695.8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$676.5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$248.4</w:t>
            </w:r>
          </w:p>
        </w:tc>
        <w:tc>
          <w:tcPr>
            <w:tcW w:w="0" w:type="dxa"/>
            <w:vAlign w:val="bottom"/>
          </w:tcPr>
          <w:p>
            <w:pPr>
              <w:spacing w:after="0"/>
              <w:rPr>
                <w:sz w:val="1"/>
                <w:szCs w:val="1"/>
                <w:color w:val="auto"/>
              </w:rPr>
            </w:pPr>
          </w:p>
        </w:tc>
      </w:tr>
      <w:tr>
        <w:trPr>
          <w:trHeight w:val="249"/>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Fixed Charges (1):</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080" w:type="dxa"/>
            <w:vAlign w:val="bottom"/>
            <w:vMerge w:val="continue"/>
          </w:tcPr>
          <w:p>
            <w:pPr>
              <w:spacing w:after="0"/>
              <w:rPr>
                <w:sz w:val="8"/>
                <w:szCs w:val="8"/>
                <w:color w:val="auto"/>
              </w:rPr>
            </w:pPr>
          </w:p>
        </w:tc>
        <w:tc>
          <w:tcPr>
            <w:tcW w:w="13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$254.7</w:t>
            </w:r>
          </w:p>
        </w:tc>
        <w:tc>
          <w:tcPr>
            <w:tcW w:w="116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$237.2</w:t>
            </w:r>
          </w:p>
        </w:tc>
        <w:tc>
          <w:tcPr>
            <w:tcW w:w="9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$466.7</w:t>
            </w: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$458.9</w:t>
            </w:r>
          </w:p>
        </w:tc>
        <w:tc>
          <w:tcPr>
            <w:tcW w:w="10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$448.4</w:t>
            </w:r>
          </w:p>
        </w:tc>
        <w:tc>
          <w:tcPr>
            <w:tcW w:w="10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$450.0</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$254.8</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1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18.00</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32.10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6.40</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$254.7</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$237.2</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$476.9</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$480.5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$456.4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$254.8</w:t>
            </w:r>
          </w:p>
        </w:tc>
        <w:tc>
          <w:tcPr>
            <w:tcW w:w="0" w:type="dxa"/>
            <w:vAlign w:val="bottom"/>
          </w:tcPr>
          <w:p>
            <w:pPr>
              <w:spacing w:after="0"/>
              <w:rPr>
                <w:sz w:val="1"/>
                <w:szCs w:val="1"/>
                <w:color w:val="auto"/>
              </w:rPr>
            </w:pPr>
          </w:p>
        </w:tc>
      </w:tr>
      <w:tr>
        <w:trPr>
          <w:trHeight w:val="249"/>
        </w:trPr>
        <w:tc>
          <w:tcPr>
            <w:tcW w:w="4080" w:type="dxa"/>
            <w:vAlign w:val="bottom"/>
          </w:tcPr>
          <w:p>
            <w:pPr>
              <w:spacing w:after="0"/>
              <w:rPr>
                <w:sz w:val="21"/>
                <w:szCs w:val="21"/>
                <w:color w:val="auto"/>
              </w:rPr>
            </w:pP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Preference Security Dividend</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4080" w:type="dxa"/>
            <w:vAlign w:val="bottom"/>
          </w:tcPr>
          <w:p>
            <w:pPr>
              <w:spacing w:after="0"/>
              <w:rPr>
                <w:sz w:val="21"/>
                <w:szCs w:val="21"/>
                <w:color w:val="auto"/>
              </w:rPr>
            </w:pP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Combined fixed charges and</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preferred dividends</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$277.9</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$259.2</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$499.7</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$481.6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$456.4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$254.8</w:t>
            </w:r>
          </w:p>
        </w:tc>
        <w:tc>
          <w:tcPr>
            <w:tcW w:w="0" w:type="dxa"/>
            <w:vAlign w:val="bottom"/>
          </w:tcPr>
          <w:p>
            <w:pPr>
              <w:spacing w:after="0"/>
              <w:rPr>
                <w:sz w:val="1"/>
                <w:szCs w:val="1"/>
                <w:color w:val="auto"/>
              </w:rPr>
            </w:pPr>
          </w:p>
        </w:tc>
      </w:tr>
      <w:tr>
        <w:trPr>
          <w:trHeight w:val="249"/>
        </w:trPr>
        <w:tc>
          <w:tcPr>
            <w:tcW w:w="4080" w:type="dxa"/>
            <w:vAlign w:val="bottom"/>
          </w:tcPr>
          <w:p>
            <w:pPr>
              <w:spacing w:after="0"/>
              <w:rPr>
                <w:sz w:val="21"/>
                <w:szCs w:val="21"/>
                <w:color w:val="auto"/>
              </w:rPr>
            </w:pP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(2)</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7.49</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1.41</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 fixed charges</w:t>
            </w:r>
          </w:p>
        </w:tc>
        <w:tc>
          <w:tcPr>
            <w:tcW w:w="13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6.87</w:t>
            </w:r>
          </w:p>
        </w:tc>
        <w:tc>
          <w:tcPr>
            <w:tcW w:w="116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1.29</w:t>
            </w:r>
          </w:p>
        </w:tc>
        <w:tc>
          <w:tcPr>
            <w:tcW w:w="94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5.05</w:t>
            </w: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1.38</w:t>
            </w:r>
          </w:p>
        </w:tc>
        <w:tc>
          <w:tcPr>
            <w:tcW w:w="10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1.44</w:t>
            </w:r>
          </w:p>
        </w:tc>
        <w:tc>
          <w:tcPr>
            <w:tcW w:w="10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1.48</w:t>
            </w: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and preferred dividends (2)</w:t>
            </w:r>
          </w:p>
        </w:tc>
        <w:tc>
          <w:tcPr>
            <w:tcW w:w="136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349" w:right="4420" w:hanging="349"/>
        <w:spacing w:after="0" w:line="257"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the Company's preferred stock.</w:t>
      </w:r>
    </w:p>
    <w:p>
      <w:pPr>
        <w:spacing w:after="0" w:line="80" w:lineRule="exact"/>
        <w:rPr>
          <w:rFonts w:ascii="Courier New" w:cs="Courier New" w:eastAsia="Courier New" w:hAnsi="Courier New"/>
          <w:sz w:val="15"/>
          <w:szCs w:val="15"/>
          <w:color w:val="auto"/>
        </w:rPr>
      </w:pPr>
    </w:p>
    <w:p>
      <w:pPr>
        <w:ind w:left="349" w:right="4420" w:hanging="349"/>
        <w:spacing w:after="0" w:line="297"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and combined fixed charges and preferred stock dividends by $6.4 million for the year ended December 31, 1994.</w:t>
      </w:r>
    </w:p>
    <w:p>
      <w:pPr>
        <w:sectPr>
          <w:pgSz w:w="11900" w:h="16838" w:orient="portrait"/>
          <w:cols w:equalWidth="0" w:num="1">
            <w:col w:w="11529"/>
          </w:cols>
          <w:pgMar w:left="231" w:top="627" w:right="139" w:bottom="1440" w:gutter="0" w:footer="0" w:header="0"/>
        </w:sectPr>
      </w:pPr>
    </w:p>
    <w:bookmarkStart w:id="46" w:name="page47"/>
    <w:bookmarkEnd w:id="46"/>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1" w:lineRule="exact"/>
        <w:rPr>
          <w:sz w:val="20"/>
          <w:szCs w:val="20"/>
          <w:color w:val="auto"/>
        </w:rPr>
      </w:pPr>
    </w:p>
    <w:p>
      <w:pPr>
        <w:ind w:right="3219"/>
        <w:spacing w:after="0" w:line="285" w:lineRule="auto"/>
        <w:rPr>
          <w:sz w:val="20"/>
          <w:szCs w:val="20"/>
          <w:color w:val="auto"/>
        </w:rPr>
      </w:pPr>
      <w:r>
        <w:rPr>
          <w:rFonts w:ascii="Courier New" w:cs="Courier New" w:eastAsia="Courier New" w:hAnsi="Courier New"/>
          <w:sz w:val="14"/>
          <w:szCs w:val="14"/>
          <w:color w:val="auto"/>
        </w:rPr>
        <w:t>We consent to the incorporation by reference in Amendment No. 2 to Registration Statement No. 333-81391 of Comcast Corporation and its subsidiaries on Form S-3 of our reports dated February 22, 1999, appearing in the Annual Report on Form 10-K of Comcast Corporation and its subsidiaries for the year ended December 31, 1998 and to the reference to us under the heading "Experts" in the Prospectus, which is part of this Registration Statement.</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14, 1999</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19"/>
          </w:cols>
          <w:pgMar w:left="240" w:top="457" w:right="1440" w:bottom="1440" w:gutter="0" w:footer="0" w:header="0"/>
        </w:sectPr>
      </w:pPr>
    </w:p>
    <w:bookmarkStart w:id="47" w:name="page48"/>
    <w:bookmarkEnd w:id="47"/>
    <w:p>
      <w:pPr>
        <w:jc w:val="right"/>
        <w:ind w:right="3119"/>
        <w:spacing w:after="0"/>
        <w:rPr>
          <w:sz w:val="20"/>
          <w:szCs w:val="20"/>
          <w:color w:val="auto"/>
        </w:rPr>
      </w:pPr>
      <w:r>
        <w:rPr>
          <w:rFonts w:ascii="Courier New" w:cs="Courier New" w:eastAsia="Courier New" w:hAnsi="Courier New"/>
          <w:sz w:val="15"/>
          <w:szCs w:val="15"/>
          <w:color w:val="auto"/>
        </w:rPr>
        <w:t>Exhibit 23.2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4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We consent to the incorporation by reference in Amendment No. 2 to the registration statement on Form S-3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Prospectus.</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13, 1999</w:t>
      </w:r>
    </w:p>
    <w:sectPr>
      <w:pgSz w:w="11900" w:h="16838" w:orient="portrait"/>
      <w:cols w:equalWidth="0" w:num="1">
        <w:col w:w="10219"/>
      </w:cols>
      <w:pgMar w:left="2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212"/>
    </w:lvl>
  </w:abstractNum>
  <w:abstractNum w:abstractNumId="1">
    <w:nsid w:val="1F16E9E8"/>
    <w:multiLevelType w:val="hybridMultilevel"/>
    <w:lvl w:ilvl="0">
      <w:lvlJc w:val="left"/>
      <w:lvlText w:val="-"/>
      <w:numFmt w:val="bullet"/>
      <w:start w:val="1"/>
    </w:lvl>
    <w:lvl w:ilvl="1">
      <w:lvlJc w:val="left"/>
      <w:lvlText w:val="(%2)"/>
      <w:numFmt w:val="decimal"/>
      <w:start w:val="215"/>
    </w:lvl>
  </w:abstractNum>
  <w:abstractNum w:abstractNumId="2">
    <w:nsid w:val="1190CDE7"/>
    <w:multiLevelType w:val="hybridMultilevel"/>
    <w:lvl w:ilvl="0">
      <w:lvlJc w:val="left"/>
      <w:lvlText w:val="o"/>
      <w:numFmt w:val="bullet"/>
      <w:start w:val="1"/>
    </w:lvl>
  </w:abstractNum>
  <w:abstractNum w:abstractNumId="3">
    <w:nsid w:val="66EF438D"/>
    <w:multiLevelType w:val="hybridMultilevel"/>
    <w:lvl w:ilvl="0">
      <w:lvlJc w:val="left"/>
      <w:lvlText w:val="o"/>
      <w:numFmt w:val="bullet"/>
      <w:start w:val="1"/>
    </w:lvl>
  </w:abstractNum>
  <w:abstractNum w:abstractNumId="4">
    <w:nsid w:val="140E0F76"/>
    <w:multiLevelType w:val="hybridMultilevel"/>
    <w:lvl w:ilvl="0">
      <w:lvlJc w:val="left"/>
      <w:lvlText w:val="o"/>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o"/>
      <w:numFmt w:val="bullet"/>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o"/>
      <w:numFmt w:val="bullet"/>
      <w:start w:val="1"/>
    </w:lvl>
  </w:abstractNum>
  <w:abstractNum w:abstractNumId="11">
    <w:nsid w:val="6B68079A"/>
    <w:multiLevelType w:val="hybridMultilevel"/>
    <w:lvl w:ilvl="0">
      <w:lvlJc w:val="left"/>
      <w:lvlText w:val="o"/>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Roman"/>
      <w:start w:val="1"/>
    </w:lvl>
  </w:abstractNum>
  <w:abstractNum w:abstractNumId="15">
    <w:nsid w:val="431BD7B7"/>
    <w:multiLevelType w:val="hybridMultilevel"/>
    <w:lvl w:ilvl="0">
      <w:lvlJc w:val="left"/>
      <w:lvlText w:val="(%1)"/>
      <w:numFmt w:val="lowerLetter"/>
      <w:start w:val="2"/>
    </w:lvl>
    <w:lvl w:ilvl="1">
      <w:lvlJc w:val="left"/>
      <w:lvlText w:val="%2."/>
      <w:numFmt w:val="decimal"/>
      <w:start w:val="2"/>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upperLetter"/>
      <w:start w:val="6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2020-02-22T15:09:32Z</dcterms:created>
  <dcterms:modified xsi:type="dcterms:W3CDTF">2020-02-22T15:09:32Z</dcterms:modified>
</cp:coreProperties>
</file>