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20" w:type="dxa"/>
        <w:tblCellMar>
          <w:top w:w="0" w:type="dxa"/>
          <w:left w:w="0" w:type="dxa"/>
          <w:bottom w:w="0" w:type="dxa"/>
          <w:right w:w="0" w:type="dxa"/>
        </w:tblCellMar>
      </w:tblP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b w:val="1"/>
                <w:bCs w:val="1"/>
                <w:color w:val="auto"/>
                <w:w w:val="96"/>
              </w:rPr>
              <w:t>PENNSYLVANIA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(State or other jurisdiction of</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0"/>
              </w:rPr>
              <w:t>(I.R.S. Employer</w:t>
            </w:r>
          </w:p>
        </w:tc>
      </w:tr>
      <w:tr>
        <w:trPr>
          <w:trHeight w:val="222"/>
        </w:trPr>
        <w:tc>
          <w:tcPr>
            <w:tcW w:w="4740" w:type="dxa"/>
            <w:vAlign w:val="bottom"/>
          </w:tcPr>
          <w:p>
            <w:pPr>
              <w:jc w:val="center"/>
              <w:ind w:right="1772"/>
              <w:spacing w:after="0"/>
              <w:rPr>
                <w:sz w:val="20"/>
                <w:szCs w:val="20"/>
                <w:color w:val="auto"/>
              </w:rPr>
            </w:pPr>
            <w:r>
              <w:rPr>
                <w:rFonts w:ascii="Arial" w:cs="Arial" w:eastAsia="Arial" w:hAnsi="Arial"/>
                <w:sz w:val="18"/>
                <w:szCs w:val="18"/>
                <w:color w:val="auto"/>
                <w:w w:val="90"/>
              </w:rPr>
              <w:t>incorporation or organization)</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94"/>
              </w:rPr>
              <w:t>Identification No.)</w:t>
            </w:r>
          </w:p>
        </w:tc>
      </w:tr>
      <w:tr>
        <w:trPr>
          <w:trHeight w:val="439"/>
        </w:trPr>
        <w:tc>
          <w:tcPr>
            <w:tcW w:w="4740" w:type="dxa"/>
            <w:vAlign w:val="bottom"/>
          </w:tcPr>
          <w:p>
            <w:pPr>
              <w:jc w:val="center"/>
              <w:ind w:right="175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180" w:type="dxa"/>
            <w:vAlign w:val="bottom"/>
          </w:tcPr>
          <w:p>
            <w:pPr>
              <w:jc w:val="center"/>
              <w:ind w:left="177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740" w:type="dxa"/>
            <w:vAlign w:val="bottom"/>
          </w:tcPr>
          <w:p>
            <w:pPr>
              <w:jc w:val="center"/>
              <w:ind w:right="1752"/>
              <w:spacing w:after="0"/>
              <w:rPr>
                <w:sz w:val="20"/>
                <w:szCs w:val="20"/>
                <w:color w:val="auto"/>
              </w:rPr>
            </w:pPr>
            <w:r>
              <w:rPr>
                <w:rFonts w:ascii="Arial" w:cs="Arial" w:eastAsia="Arial" w:hAnsi="Arial"/>
                <w:sz w:val="18"/>
                <w:szCs w:val="18"/>
                <w:color w:val="auto"/>
                <w:w w:val="90"/>
              </w:rPr>
              <w:t>(Address of principal executive offices)</w:t>
            </w:r>
          </w:p>
        </w:tc>
        <w:tc>
          <w:tcPr>
            <w:tcW w:w="3180" w:type="dxa"/>
            <w:vAlign w:val="bottom"/>
          </w:tcPr>
          <w:p>
            <w:pPr>
              <w:jc w:val="center"/>
              <w:ind w:left="177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38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September 30, 2013, there were 2,136,124,018 shares of our Class A common stock, 469,858,896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340" w:type="dxa"/>
            <w:vAlign w:val="bottom"/>
            <w:gridSpan w:val="17"/>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7220" w:type="dxa"/>
            <w:vAlign w:val="bottom"/>
            <w:gridSpan w:val="11"/>
          </w:tcPr>
          <w:p>
            <w:pPr>
              <w:spacing w:after="0"/>
              <w:rPr>
                <w:sz w:val="12"/>
                <w:szCs w:val="12"/>
                <w:color w:val="auto"/>
              </w:rPr>
            </w:pPr>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580" w:type="dxa"/>
            <w:vAlign w:val="bottom"/>
            <w:tcBorders>
              <w:bottom w:val="single" w:sz="8" w:color="0000EE"/>
            </w:tcBorders>
            <w:gridSpan w:val="10"/>
          </w:tcPr>
          <w:p>
            <w:pPr>
              <w:spacing w:after="0" w:line="129"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Condensed Consolidated Balance Sheet as of September 30, 2013 and December 31, 2012 (Unaudited)</w:t>
              </w:r>
            </w:hyperlink>
          </w:p>
        </w:tc>
        <w:tc>
          <w:tcPr>
            <w:tcW w:w="2780" w:type="dxa"/>
            <w:vAlign w:val="bottom"/>
            <w:gridSpan w:val="5"/>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940" w:type="dxa"/>
            <w:vAlign w:val="bottom"/>
            <w:tcBorders>
              <w:bottom w:val="single" w:sz="8" w:color="0000EE"/>
            </w:tcBorders>
            <w:gridSpan w:val="12"/>
          </w:tcPr>
          <w:p>
            <w:pPr>
              <w:spacing w:after="0" w:line="129" w:lineRule="exact"/>
              <w:rPr>
                <w:rFonts w:ascii="Arial" w:cs="Arial" w:eastAsia="Arial" w:hAnsi="Arial"/>
                <w:sz w:val="14"/>
                <w:szCs w:val="14"/>
                <w:color w:val="0000EE"/>
                <w:w w:val="86"/>
              </w:rPr>
            </w:pPr>
            <w:hyperlink w:anchor="page4">
              <w:r>
                <w:rPr>
                  <w:rFonts w:ascii="Arial" w:cs="Arial" w:eastAsia="Arial" w:hAnsi="Arial"/>
                  <w:sz w:val="14"/>
                  <w:szCs w:val="14"/>
                  <w:color w:val="0000EE"/>
                  <w:w w:val="86"/>
                </w:rPr>
                <w:t>Condensed Consolidated Statement of Income for the Three and Nine Months Ended September 30, 2013 and 2012 (Unaudited)</w:t>
              </w:r>
            </w:hyperlink>
          </w:p>
        </w:tc>
        <w:tc>
          <w:tcPr>
            <w:tcW w:w="1420" w:type="dxa"/>
            <w:vAlign w:val="bottom"/>
            <w:gridSpan w:val="3"/>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5"/>
          </w:tcPr>
          <w:p>
            <w:pPr>
              <w:spacing w:after="0" w:line="129" w:lineRule="exact"/>
              <w:rPr>
                <w:rFonts w:ascii="Arial" w:cs="Arial" w:eastAsia="Arial" w:hAnsi="Arial"/>
                <w:sz w:val="14"/>
                <w:szCs w:val="14"/>
                <w:color w:val="0000EE"/>
                <w:w w:val="92"/>
              </w:rPr>
            </w:pPr>
            <w:hyperlink w:anchor="page5">
              <w:r>
                <w:rPr>
                  <w:rFonts w:ascii="Arial" w:cs="Arial" w:eastAsia="Arial" w:hAnsi="Arial"/>
                  <w:sz w:val="14"/>
                  <w:szCs w:val="14"/>
                  <w:color w:val="0000EE"/>
                  <w:w w:val="92"/>
                </w:rPr>
                <w:t>Condensed Consolidated Statement of Comprehensive Income for the Three and Nine Months Ended September 30, 2013 and 2012 (Unaudited)</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Nine Months Ended September 30, 2013 and 2012 (Unaudited)</w:t>
              </w:r>
            </w:hyperlink>
          </w:p>
        </w:tc>
        <w:tc>
          <w:tcPr>
            <w:tcW w:w="1220" w:type="dxa"/>
            <w:vAlign w:val="bottom"/>
            <w:tcBorders>
              <w:top w:val="single" w:sz="8" w:color="0000EE"/>
            </w:tcBorders>
            <w:gridSpan w:val="3"/>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360" w:type="dxa"/>
            <w:vAlign w:val="bottom"/>
            <w:gridSpan w:val="1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2013 and 2012 (Unaudited)</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9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400" w:type="dxa"/>
            <w:vAlign w:val="bottom"/>
            <w:gridSpan w:val="2"/>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1">
              <w:r>
                <w:rPr>
                  <w:rFonts w:ascii="Arial" w:cs="Arial" w:eastAsia="Arial" w:hAnsi="Arial"/>
                  <w:sz w:val="14"/>
                  <w:szCs w:val="14"/>
                  <w:color w:val="0000EE"/>
                  <w:w w:val="89"/>
                </w:rPr>
                <w:t>Management’s Discussion and Analysis of Financial Condition and</w:t>
              </w:r>
            </w:hyperlink>
          </w:p>
        </w:tc>
        <w:tc>
          <w:tcPr>
            <w:tcW w:w="4660" w:type="dxa"/>
            <w:vAlign w:val="bottom"/>
            <w:gridSpan w:val="7"/>
          </w:tcPr>
          <w:p>
            <w:pPr>
              <w:spacing w:after="0" w:line="129" w:lineRule="exact"/>
              <w:rPr>
                <w:rFonts w:ascii="Arial" w:cs="Arial" w:eastAsia="Arial" w:hAnsi="Arial"/>
                <w:sz w:val="14"/>
                <w:szCs w:val="14"/>
                <w:color w:val="0000EE"/>
              </w:rPr>
            </w:pPr>
            <w:hyperlink w:anchor="page31">
              <w:r>
                <w:rPr>
                  <w:rFonts w:ascii="Arial" w:cs="Arial" w:eastAsia="Arial" w:hAnsi="Arial"/>
                  <w:sz w:val="14"/>
                  <w:szCs w:val="14"/>
                  <w:color w:val="0000EE"/>
                </w:rPr>
                <w:t>Results of Operations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Quantitative and Qualitative Disclosures About Market Risk</w:t>
              </w:r>
            </w:hyperlink>
          </w:p>
        </w:tc>
        <w:tc>
          <w:tcPr>
            <w:tcW w:w="3500" w:type="dxa"/>
            <w:vAlign w:val="bottom"/>
            <w:gridSpan w:val="6"/>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Controls and Procedures</w:t>
              </w:r>
            </w:hyperlink>
          </w:p>
        </w:tc>
        <w:tc>
          <w:tcPr>
            <w:tcW w:w="5080" w:type="dxa"/>
            <w:vAlign w:val="bottom"/>
            <w:gridSpan w:val="8"/>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5100" w:type="dxa"/>
            <w:vAlign w:val="bottom"/>
            <w:gridSpan w:val="9"/>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360" w:type="dxa"/>
            <w:vAlign w:val="bottom"/>
            <w:gridSpan w:val="15"/>
          </w:tcPr>
          <w:p>
            <w:pPr>
              <w:spacing w:after="0" w:line="148" w:lineRule="exact"/>
              <w:rPr>
                <w:rFonts w:ascii="Arial" w:cs="Arial" w:eastAsia="Arial" w:hAnsi="Arial"/>
                <w:sz w:val="14"/>
                <w:szCs w:val="14"/>
                <w:color w:val="0000EE"/>
              </w:rPr>
            </w:pPr>
            <w:hyperlink w:anchor="page46">
              <w:r>
                <w:rPr>
                  <w:rFonts w:ascii="Arial" w:cs="Arial" w:eastAsia="Arial" w:hAnsi="Arial"/>
                  <w:sz w:val="14"/>
                  <w:szCs w:val="14"/>
                  <w:color w:val="0000EE"/>
                </w:rPr>
                <w:t>Legal Proceedings</w:t>
              </w:r>
            </w:hyperlink>
          </w:p>
        </w:tc>
        <w:tc>
          <w:tcPr>
            <w:tcW w:w="1060" w:type="dxa"/>
            <w:vAlign w:val="bottom"/>
          </w:tcPr>
          <w:p>
            <w:pPr>
              <w:jc w:val="right"/>
              <w:spacing w:after="0" w:line="148"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46">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5100" w:type="dxa"/>
            <w:vAlign w:val="bottom"/>
            <w:gridSpan w:val="9"/>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47">
              <w:r>
                <w:rPr>
                  <w:rFonts w:ascii="Arial" w:cs="Arial" w:eastAsia="Arial" w:hAnsi="Arial"/>
                  <w:sz w:val="14"/>
                  <w:szCs w:val="14"/>
                  <w:color w:val="0000EE"/>
                  <w:w w:val="82"/>
                </w:rPr>
                <w:t>Unregistered</w:t>
              </w:r>
            </w:hyperlink>
          </w:p>
        </w:tc>
        <w:tc>
          <w:tcPr>
            <w:tcW w:w="7680" w:type="dxa"/>
            <w:vAlign w:val="bottom"/>
            <w:gridSpan w:val="13"/>
          </w:tcPr>
          <w:p>
            <w:pPr>
              <w:ind w:left="60"/>
              <w:spacing w:after="0" w:line="129" w:lineRule="exact"/>
              <w:rPr>
                <w:rFonts w:ascii="Arial" w:cs="Arial" w:eastAsia="Arial" w:hAnsi="Arial"/>
                <w:sz w:val="14"/>
                <w:szCs w:val="14"/>
                <w:color w:val="0000EE"/>
              </w:rPr>
            </w:pPr>
            <w:hyperlink w:anchor="page47">
              <w:r>
                <w:rPr>
                  <w:rFonts w:ascii="Arial" w:cs="Arial" w:eastAsia="Arial" w:hAnsi="Arial"/>
                  <w:sz w:val="14"/>
                  <w:szCs w:val="14"/>
                  <w:color w:val="0000EE"/>
                </w:rPr>
                <w:t>Sales of Equity Securities and Use of Proceeds</w:t>
              </w:r>
            </w:hyperlink>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48">
              <w:r>
                <w:rPr>
                  <w:rFonts w:ascii="Arial" w:cs="Arial" w:eastAsia="Arial" w:hAnsi="Arial"/>
                  <w:sz w:val="14"/>
                  <w:szCs w:val="14"/>
                  <w:color w:val="0000EE"/>
                </w:rPr>
                <w:t>Exhibits</w:t>
              </w:r>
            </w:hyperlink>
          </w:p>
        </w:tc>
        <w:tc>
          <w:tcPr>
            <w:tcW w:w="5100" w:type="dxa"/>
            <w:vAlign w:val="bottom"/>
            <w:gridSpan w:val="9"/>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49">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This Quarterly Report on Form 10-Q is for the three and nine months ended September 30, 2013.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Media, LLC (“NBCUniversal”), as “we,” “us” and “our;” Comcast Cable Communications, LLC and its subsidiaries as “Comcast Cable;” Comcast Holdings Corporation as “Comcast Holdings;” and NBCUniversal, LLC as “NBCUniversal Holdings.”</w:t>
      </w:r>
    </w:p>
    <w:p>
      <w:pPr>
        <w:spacing w:after="0" w:line="18"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14"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NBCUniversal’s programming distribution agreements, or the renewal of these agreements on less favorable terms, could adversely affect its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outcome of various litigation matters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40" w:type="dxa"/>
            <w:vAlign w:val="bottom"/>
          </w:tcPr>
          <w:p>
            <w:pPr>
              <w:spacing w:after="0"/>
              <w:rPr>
                <w:sz w:val="13"/>
                <w:szCs w:val="13"/>
                <w:color w:val="auto"/>
              </w:rPr>
            </w:pPr>
          </w:p>
        </w:tc>
        <w:tc>
          <w:tcPr>
            <w:tcW w:w="100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2013</w:t>
            </w:r>
          </w:p>
        </w:tc>
        <w:tc>
          <w:tcPr>
            <w:tcW w:w="44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1,603</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4,132</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5,501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959</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1,212</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13,407</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4,588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3,672</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$41,816 and $39,425</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28,806</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Franchise rights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59,364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27,079</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$8,570 and $7,662</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17,334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2,345</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156,595</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6,032</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1,372</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1,001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7,924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2,337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18,666</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44,188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31,261</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11,493</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853</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Equity:</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2,501,584,768 and</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2,487,739,385; outstanding, 2,136,124,018 and 2,122,278,635</w:t>
            </w:r>
          </w:p>
        </w:tc>
        <w:tc>
          <w:tcPr>
            <w:tcW w:w="640" w:type="dxa"/>
            <w:vAlign w:val="bottom"/>
          </w:tcPr>
          <w:p>
            <w:pPr>
              <w:spacing w:after="0"/>
              <w:rPr>
                <w:sz w:val="19"/>
                <w:szCs w:val="19"/>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Class A Special common stock, $0.01 par value—authorized, 7,500,000,000 shares; issued, 540,793,660 and</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578,704,227; outstanding, 469,858,896 and 507,769,463</w:t>
            </w:r>
          </w:p>
        </w:tc>
        <w:tc>
          <w:tcPr>
            <w:tcW w:w="64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w:t>
            </w:r>
          </w:p>
        </w:tc>
        <w:tc>
          <w:tcPr>
            <w:tcW w:w="4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38,991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18,324</w:t>
            </w:r>
          </w:p>
        </w:tc>
        <w:tc>
          <w:tcPr>
            <w:tcW w:w="4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 365,460,750 Class A common shares and 70,934,764 Class A Special common shares</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(110)</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6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49,718</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416</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50,134</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5"/>
              </w:rPr>
              <w:t>156,595</w:t>
            </w: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27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9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2013</w:t>
            </w:r>
          </w:p>
        </w:tc>
        <w:tc>
          <w:tcPr>
            <w:tcW w:w="28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2013</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7"/>
              </w:rPr>
              <w:t>16,151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83"/>
              </w:rPr>
              <w:t>16,544</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47,731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5,726</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3"/>
              </w:rPr>
              <w:t>14,418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4,751</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4,580</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w w:val="83"/>
              </w:rPr>
              <w:t>13,787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1,230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3,737</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1,520</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396</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1,204</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7"/>
              </w:rPr>
              <w:t>12,737</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83"/>
              </w:rPr>
              <w:t>13,496</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3"/>
              </w:rPr>
              <w:t>37,815</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37,748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3,414</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3,048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9,916</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w w:val="91"/>
              </w:rPr>
              <w:t>(1,928)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(96)</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987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(280)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(615)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1,335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1"/>
              </w:rPr>
              <w:t>(1,755)</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2,799</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4,383</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8,161</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4"/>
              </w:rPr>
              <w:t>(1,021)</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1"/>
              </w:rPr>
              <w:t>(1,405)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1"/>
              </w:rPr>
              <w:t>(2,994)</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(2,966)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1,778</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5,167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2"/>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(1,373)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1,732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2,113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4,903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4,685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0.66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0.79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1.86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5"/>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0.78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1.84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0.195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83"/>
              </w:rPr>
              <w:t>0.1625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0.585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0.4875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320" w:type="dxa"/>
            <w:vAlign w:val="bottom"/>
            <w:gridSpan w:val="2"/>
          </w:tcPr>
          <w:p>
            <w:pPr>
              <w:jc w:val="right"/>
              <w:ind w:right="434"/>
              <w:spacing w:after="0"/>
              <w:rPr>
                <w:sz w:val="20"/>
                <w:szCs w:val="20"/>
                <w:color w:val="auto"/>
              </w:rPr>
            </w:pPr>
            <w:r>
              <w:rPr>
                <w:rFonts w:ascii="Arial" w:cs="Arial" w:eastAsia="Arial" w:hAnsi="Arial"/>
                <w:sz w:val="14"/>
                <w:szCs w:val="14"/>
                <w:color w:val="auto"/>
              </w:rPr>
              <w:t>Three Months Ended</w:t>
            </w:r>
          </w:p>
        </w:tc>
        <w:tc>
          <w:tcPr>
            <w:tcW w:w="1960" w:type="dxa"/>
            <w:vAlign w:val="bottom"/>
            <w:gridSpan w:val="2"/>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1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gridSpan w:val="2"/>
          </w:tcPr>
          <w:p>
            <w:pPr>
              <w:jc w:val="right"/>
              <w:ind w:right="634"/>
              <w:spacing w:after="0" w:line="159" w:lineRule="exact"/>
              <w:rPr>
                <w:sz w:val="20"/>
                <w:szCs w:val="20"/>
                <w:color w:val="auto"/>
              </w:rPr>
            </w:pPr>
            <w:r>
              <w:rPr>
                <w:rFonts w:ascii="Arial" w:cs="Arial" w:eastAsia="Arial" w:hAnsi="Arial"/>
                <w:sz w:val="14"/>
                <w:szCs w:val="14"/>
                <w:color w:val="auto"/>
              </w:rPr>
              <w:t>September 30</w:t>
            </w:r>
          </w:p>
        </w:tc>
        <w:tc>
          <w:tcPr>
            <w:tcW w:w="196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2013</w:t>
            </w:r>
          </w:p>
        </w:tc>
        <w:tc>
          <w:tcPr>
            <w:tcW w:w="10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$ 1,778</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$ 2,978</w:t>
            </w:r>
          </w:p>
        </w:tc>
        <w:tc>
          <w:tcPr>
            <w:tcW w:w="10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$ 5,167</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$ 6,058</w:t>
            </w:r>
          </w:p>
        </w:tc>
        <w:tc>
          <w:tcPr>
            <w:tcW w:w="0" w:type="dxa"/>
            <w:vAlign w:val="bottom"/>
          </w:tcPr>
          <w:p>
            <w:pPr>
              <w:spacing w:after="0"/>
              <w:rPr>
                <w:sz w:val="1"/>
                <w:szCs w:val="1"/>
                <w:color w:val="auto"/>
              </w:rPr>
            </w:pPr>
          </w:p>
        </w:tc>
      </w:tr>
      <w:tr>
        <w:trPr>
          <w:trHeight w:val="208"/>
        </w:trPr>
        <w:tc>
          <w:tcPr>
            <w:tcW w:w="7140" w:type="dxa"/>
            <w:vAlign w:val="bottom"/>
          </w:tcPr>
          <w:p>
            <w:pPr>
              <w:spacing w:after="0"/>
              <w:rPr>
                <w:sz w:val="20"/>
                <w:szCs w:val="20"/>
                <w:color w:val="auto"/>
              </w:rPr>
            </w:pPr>
            <w:r>
              <w:rPr>
                <w:rFonts w:ascii="Arial" w:cs="Arial" w:eastAsia="Arial" w:hAnsi="Arial"/>
                <w:sz w:val="18"/>
                <w:szCs w:val="18"/>
                <w:color w:val="auto"/>
                <w:w w:val="90"/>
              </w:rPr>
              <w:t>Unrealized gains (losses) on marketable securities, net of deferred taxes of $(11), $(44), $(82) and</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tcPr>
          <w:p>
            <w:pPr>
              <w:ind w:left="220"/>
              <w:spacing w:after="0"/>
              <w:rPr>
                <w:sz w:val="20"/>
                <w:szCs w:val="20"/>
                <w:color w:val="auto"/>
              </w:rPr>
            </w:pPr>
            <w:r>
              <w:rPr>
                <w:rFonts w:ascii="Arial" w:cs="Arial" w:eastAsia="Arial" w:hAnsi="Arial"/>
                <w:sz w:val="18"/>
                <w:szCs w:val="18"/>
                <w:color w:val="auto"/>
              </w:rPr>
              <w:t>$(44)</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75</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136</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w w:val="92"/>
              </w:rPr>
              <w:t>Deferred gains (losses) on cash flow hedges, net of deferred taxes of $(26), $(29), $(6) and $(20)</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45</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10</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E5E5E5"/>
          </w:tcPr>
          <w:p>
            <w:pPr>
              <w:ind w:left="440"/>
              <w:spacing w:after="0"/>
              <w:rPr>
                <w:sz w:val="20"/>
                <w:szCs w:val="20"/>
                <w:color w:val="auto"/>
              </w:rPr>
            </w:pPr>
            <w:r>
              <w:rPr>
                <w:rFonts w:ascii="Arial" w:cs="Arial" w:eastAsia="Arial" w:hAnsi="Arial"/>
                <w:sz w:val="18"/>
                <w:szCs w:val="18"/>
                <w:color w:val="auto"/>
                <w:w w:val="87"/>
              </w:rPr>
              <w:t>Realized (gains) losses on marketable securities, net of deferred taxes of $165, $—, $177 and $</w:t>
            </w:r>
          </w:p>
        </w:tc>
        <w:tc>
          <w:tcPr>
            <w:tcW w:w="12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4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(278)</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(301)</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w w:val="93"/>
              </w:rPr>
              <w:t>Realized (gains) losses on cash flow hedges, net of deferred taxes of $22, $9, $(6) and $8</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(38)</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(15)</w:t>
            </w:r>
          </w:p>
        </w:tc>
        <w:tc>
          <w:tcPr>
            <w:tcW w:w="1060" w:type="dxa"/>
            <w:vAlign w:val="bottom"/>
          </w:tcPr>
          <w:p>
            <w:pPr>
              <w:jc w:val="right"/>
              <w:ind w:right="197"/>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$(34), $(3), $(36) and $(2)</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57</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11</w:t>
            </w:r>
          </w:p>
        </w:tc>
        <w:tc>
          <w:tcPr>
            <w:tcW w:w="10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60</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$(5), $(4), $9 and $(2)</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1,591</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3,116</w:t>
            </w:r>
          </w:p>
        </w:tc>
        <w:tc>
          <w:tcPr>
            <w:tcW w:w="10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5,059</w:t>
            </w:r>
          </w:p>
        </w:tc>
        <w:tc>
          <w:tcPr>
            <w:tcW w:w="9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w w:val="90"/>
              </w:rPr>
              <w:t>Net (income) loss attributable to noncontrolling interests and redeemable subsidiary preferred stock</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(46)</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(865)</w:t>
            </w:r>
          </w:p>
        </w:tc>
        <w:tc>
          <w:tcPr>
            <w:tcW w:w="1060" w:type="dxa"/>
            <w:vAlign w:val="bottom"/>
          </w:tcPr>
          <w:p>
            <w:pPr>
              <w:jc w:val="right"/>
              <w:ind w:right="137"/>
              <w:spacing w:after="0"/>
              <w:rPr>
                <w:sz w:val="20"/>
                <w:szCs w:val="20"/>
                <w:color w:val="auto"/>
              </w:rPr>
            </w:pPr>
            <w:r>
              <w:rPr>
                <w:rFonts w:ascii="Arial" w:cs="Arial" w:eastAsia="Arial" w:hAnsi="Arial"/>
                <w:sz w:val="18"/>
                <w:szCs w:val="18"/>
                <w:color w:val="auto"/>
              </w:rPr>
              <w:t>(264)</w:t>
            </w:r>
          </w:p>
        </w:tc>
        <w:tc>
          <w:tcPr>
            <w:tcW w:w="90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26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$ 1,545</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$ 2,235</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$ 4,804</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$ 4,789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3"/>
          </w:tcPr>
          <w:p>
            <w:pPr>
              <w:jc w:val="right"/>
              <w:ind w:right="4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87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7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jc w:val="right"/>
              <w:ind w:right="474"/>
              <w:spacing w:after="0" w:line="142" w:lineRule="exact"/>
              <w:rPr>
                <w:sz w:val="20"/>
                <w:szCs w:val="20"/>
                <w:color w:val="auto"/>
              </w:rPr>
            </w:pPr>
            <w:r>
              <w:rPr>
                <w:rFonts w:ascii="Arial" w:cs="Arial" w:eastAsia="Arial" w:hAnsi="Arial"/>
                <w:sz w:val="14"/>
                <w:szCs w:val="14"/>
                <w:color w:val="auto"/>
              </w:rPr>
              <w:t>2013</w:t>
            </w:r>
          </w:p>
        </w:tc>
        <w:tc>
          <w:tcPr>
            <w:tcW w:w="440" w:type="dxa"/>
            <w:vAlign w:val="bottom"/>
          </w:tcPr>
          <w:p>
            <w:pPr>
              <w:spacing w:after="0"/>
              <w:rPr>
                <w:sz w:val="12"/>
                <w:szCs w:val="12"/>
                <w:color w:val="auto"/>
              </w:rPr>
            </w:pPr>
          </w:p>
        </w:tc>
        <w:tc>
          <w:tcPr>
            <w:tcW w:w="640" w:type="dxa"/>
            <w:vAlign w:val="bottom"/>
          </w:tcPr>
          <w:p>
            <w:pPr>
              <w:jc w:val="right"/>
              <w:ind w:right="233"/>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b w:val="1"/>
                <w:bCs w:val="1"/>
                <w:color w:val="auto"/>
                <w:w w:val="98"/>
              </w:rPr>
              <w:t>11,679</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4"/>
              </w:rPr>
              <w:t>11,239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(4,593)</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6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(694)</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of real estate properties</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(1,705)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655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Return of capital from investees</w:t>
            </w:r>
          </w:p>
        </w:tc>
        <w:tc>
          <w:tcPr>
            <w:tcW w:w="64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(1,177)</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(7,327)</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395</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64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2,933</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(2,442)</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6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(1,500)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(1,454)</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64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 of NBCUniversal noncontrolling common equity interest</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89"/>
              </w:rPr>
              <w:t>(10,761)</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(164)</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6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(602)</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(140)</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w w:val="89"/>
              </w:rPr>
              <w:t>(13,700)</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4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(9,348)</w:t>
            </w:r>
          </w:p>
        </w:tc>
        <w:tc>
          <w:tcPr>
            <w:tcW w:w="44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w w:val="98"/>
              </w:rPr>
              <w:t>10,951</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1,603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8,899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4"/>
                <w:szCs w:val="14"/>
                <w:color w:val="auto"/>
                <w:w w:val="83"/>
              </w:rPr>
              <w:t>Redeemable</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tcBorders>
              <w:right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right w:val="single" w:sz="8" w:color="auto"/>
            </w:tcBorders>
          </w:tcPr>
          <w:p>
            <w:pPr>
              <w:jc w:val="center"/>
              <w:ind w:right="113"/>
              <w:spacing w:after="0" w:line="149" w:lineRule="exact"/>
              <w:rPr>
                <w:sz w:val="20"/>
                <w:szCs w:val="20"/>
                <w:color w:val="auto"/>
              </w:rPr>
            </w:pPr>
            <w:r>
              <w:rPr>
                <w:rFonts w:ascii="Arial" w:cs="Arial" w:eastAsia="Arial" w:hAnsi="Arial"/>
                <w:sz w:val="14"/>
                <w:szCs w:val="14"/>
                <w:color w:val="auto"/>
                <w:w w:val="86"/>
              </w:rPr>
              <w:t>Interests and</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right w:val="single" w:sz="8" w:color="auto"/>
            </w:tcBorders>
          </w:tcPr>
          <w:p>
            <w:pPr>
              <w:jc w:val="center"/>
              <w:ind w:right="113"/>
              <w:spacing w:after="0" w:line="149" w:lineRule="exact"/>
              <w:rPr>
                <w:sz w:val="20"/>
                <w:szCs w:val="20"/>
                <w:color w:val="auto"/>
              </w:rPr>
            </w:pPr>
            <w:r>
              <w:rPr>
                <w:rFonts w:ascii="Arial" w:cs="Arial" w:eastAsia="Arial" w:hAnsi="Arial"/>
                <w:sz w:val="14"/>
                <w:szCs w:val="14"/>
                <w:color w:val="auto"/>
                <w:w w:val="83"/>
              </w:rPr>
              <w:t>Redeemable</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Borders>
              <w:right w:val="single" w:sz="8" w:color="auto"/>
            </w:tcBorders>
          </w:tcPr>
          <w:p>
            <w:pPr>
              <w:jc w:val="center"/>
              <w:ind w:right="113"/>
              <w:spacing w:after="0" w:line="149" w:lineRule="exact"/>
              <w:rPr>
                <w:sz w:val="20"/>
                <w:szCs w:val="20"/>
                <w:color w:val="auto"/>
              </w:rPr>
            </w:pPr>
            <w:r>
              <w:rPr>
                <w:rFonts w:ascii="Arial" w:cs="Arial" w:eastAsia="Arial" w:hAnsi="Arial"/>
                <w:sz w:val="14"/>
                <w:szCs w:val="14"/>
                <w:color w:val="auto"/>
                <w:w w:val="88"/>
              </w:rPr>
              <w:t>Subsidiary</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w w:val="89"/>
              </w:rPr>
              <w:t>Common Stock</w:t>
            </w:r>
          </w:p>
        </w:tc>
        <w:tc>
          <w:tcPr>
            <w:tcW w:w="340" w:type="dxa"/>
            <w:vAlign w:val="bottom"/>
          </w:tcPr>
          <w:p>
            <w:pPr>
              <w:spacing w:after="0"/>
              <w:rPr>
                <w:sz w:val="12"/>
                <w:szCs w:val="12"/>
                <w:color w:val="auto"/>
              </w:rPr>
            </w:pP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2"/>
                <w:szCs w:val="12"/>
                <w:color w:val="auto"/>
              </w:rPr>
            </w:pPr>
          </w:p>
        </w:tc>
        <w:tc>
          <w:tcPr>
            <w:tcW w:w="7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Treasury</w:t>
            </w:r>
          </w:p>
        </w:tc>
        <w:tc>
          <w:tcPr>
            <w:tcW w:w="280" w:type="dxa"/>
            <w:vAlign w:val="bottom"/>
          </w:tcPr>
          <w:p>
            <w:pPr>
              <w:spacing w:after="0"/>
              <w:rPr>
                <w:sz w:val="12"/>
                <w:szCs w:val="12"/>
                <w:color w:val="auto"/>
              </w:rPr>
            </w:pPr>
          </w:p>
        </w:tc>
        <w:tc>
          <w:tcPr>
            <w:tcW w:w="840" w:type="dxa"/>
            <w:vAlign w:val="bottom"/>
          </w:tcPr>
          <w:p>
            <w:pPr>
              <w:jc w:val="center"/>
              <w:ind w:right="252"/>
              <w:spacing w:after="0" w:line="149" w:lineRule="exact"/>
              <w:rPr>
                <w:sz w:val="20"/>
                <w:szCs w:val="20"/>
                <w:color w:val="auto"/>
              </w:rPr>
            </w:pPr>
            <w:r>
              <w:rPr>
                <w:rFonts w:ascii="Arial" w:cs="Arial" w:eastAsia="Arial" w:hAnsi="Arial"/>
                <w:sz w:val="14"/>
                <w:szCs w:val="14"/>
                <w:color w:val="auto"/>
                <w:w w:val="91"/>
              </w:rPr>
              <w:t>Other</w:t>
            </w:r>
          </w:p>
        </w:tc>
        <w:tc>
          <w:tcPr>
            <w:tcW w:w="180" w:type="dxa"/>
            <w:vAlign w:val="bottom"/>
          </w:tcPr>
          <w:p>
            <w:pPr>
              <w:spacing w:after="0"/>
              <w:rPr>
                <w:sz w:val="12"/>
                <w:szCs w:val="12"/>
                <w:color w:val="auto"/>
              </w:rPr>
            </w:pPr>
          </w:p>
        </w:tc>
        <w:tc>
          <w:tcPr>
            <w:tcW w:w="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Non-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right w:val="single" w:sz="8" w:color="auto"/>
            </w:tcBorders>
          </w:tcPr>
          <w:p>
            <w:pPr>
              <w:jc w:val="center"/>
              <w:ind w:right="113"/>
              <w:spacing w:after="0" w:line="113" w:lineRule="exact"/>
              <w:rPr>
                <w:sz w:val="20"/>
                <w:szCs w:val="20"/>
                <w:color w:val="auto"/>
              </w:rPr>
            </w:pPr>
            <w:r>
              <w:rPr>
                <w:rFonts w:ascii="Arial" w:cs="Arial" w:eastAsia="Arial" w:hAnsi="Arial"/>
                <w:sz w:val="12"/>
                <w:szCs w:val="12"/>
                <w:color w:val="auto"/>
                <w:w w:val="99"/>
              </w:rPr>
              <w:t>Preferred</w:t>
            </w:r>
          </w:p>
        </w:tc>
        <w:tc>
          <w:tcPr>
            <w:tcW w:w="1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ind w:right="173"/>
              <w:spacing w:after="0" w:line="113" w:lineRule="exact"/>
              <w:rPr>
                <w:sz w:val="20"/>
                <w:szCs w:val="20"/>
                <w:color w:val="auto"/>
              </w:rPr>
            </w:pPr>
            <w:r>
              <w:rPr>
                <w:rFonts w:ascii="Arial" w:cs="Arial" w:eastAsia="Arial" w:hAnsi="Arial"/>
                <w:sz w:val="12"/>
                <w:szCs w:val="12"/>
                <w:color w:val="auto"/>
                <w:w w:val="99"/>
              </w:rPr>
              <w:t>Paid-In</w:t>
            </w:r>
          </w:p>
        </w:tc>
        <w:tc>
          <w:tcPr>
            <w:tcW w:w="740" w:type="dxa"/>
            <w:vAlign w:val="bottom"/>
          </w:tcPr>
          <w:p>
            <w:pPr>
              <w:jc w:val="right"/>
              <w:ind w:right="73"/>
              <w:spacing w:after="0" w:line="113" w:lineRule="exact"/>
              <w:rPr>
                <w:sz w:val="20"/>
                <w:szCs w:val="20"/>
                <w:color w:val="auto"/>
              </w:rPr>
            </w:pPr>
            <w:r>
              <w:rPr>
                <w:rFonts w:ascii="Arial" w:cs="Arial" w:eastAsia="Arial" w:hAnsi="Arial"/>
                <w:sz w:val="12"/>
                <w:szCs w:val="12"/>
                <w:color w:val="auto"/>
              </w:rPr>
              <w:t>Retained</w:t>
            </w:r>
          </w:p>
        </w:tc>
        <w:tc>
          <w:tcPr>
            <w:tcW w:w="740" w:type="dxa"/>
            <w:vAlign w:val="bottom"/>
            <w:gridSpan w:val="2"/>
          </w:tcPr>
          <w:p>
            <w:pPr>
              <w:ind w:left="140"/>
              <w:spacing w:after="0" w:line="113" w:lineRule="exact"/>
              <w:rPr>
                <w:sz w:val="20"/>
                <w:szCs w:val="20"/>
                <w:color w:val="auto"/>
              </w:rPr>
            </w:pPr>
            <w:r>
              <w:rPr>
                <w:rFonts w:ascii="Arial" w:cs="Arial" w:eastAsia="Arial" w:hAnsi="Arial"/>
                <w:sz w:val="12"/>
                <w:szCs w:val="12"/>
                <w:color w:val="auto"/>
              </w:rPr>
              <w:t>Stock at</w:t>
            </w:r>
          </w:p>
        </w:tc>
        <w:tc>
          <w:tcPr>
            <w:tcW w:w="1120" w:type="dxa"/>
            <w:vAlign w:val="bottom"/>
            <w:gridSpan w:val="2"/>
          </w:tcPr>
          <w:p>
            <w:pPr>
              <w:ind w:left="120"/>
              <w:spacing w:after="0" w:line="113" w:lineRule="exact"/>
              <w:rPr>
                <w:sz w:val="20"/>
                <w:szCs w:val="20"/>
                <w:color w:val="auto"/>
              </w:rPr>
            </w:pPr>
            <w:r>
              <w:rPr>
                <w:rFonts w:ascii="Arial" w:cs="Arial" w:eastAsia="Arial" w:hAnsi="Arial"/>
                <w:sz w:val="12"/>
                <w:szCs w:val="12"/>
                <w:color w:val="auto"/>
              </w:rPr>
              <w:t>Comprehensive</w:t>
            </w:r>
          </w:p>
        </w:tc>
        <w:tc>
          <w:tcPr>
            <w:tcW w:w="840" w:type="dxa"/>
            <w:vAlign w:val="bottom"/>
            <w:gridSpan w:val="2"/>
          </w:tcPr>
          <w:p>
            <w:pPr>
              <w:ind w:left="100"/>
              <w:spacing w:after="0" w:line="113" w:lineRule="exact"/>
              <w:rPr>
                <w:sz w:val="20"/>
                <w:szCs w:val="20"/>
                <w:color w:val="auto"/>
              </w:rPr>
            </w:pPr>
            <w:r>
              <w:rPr>
                <w:rFonts w:ascii="Arial" w:cs="Arial" w:eastAsia="Arial" w:hAnsi="Arial"/>
                <w:sz w:val="12"/>
                <w:szCs w:val="12"/>
                <w:color w:val="auto"/>
              </w:rPr>
              <w:t>controlling</w:t>
            </w:r>
          </w:p>
        </w:tc>
        <w:tc>
          <w:tcPr>
            <w:tcW w:w="640" w:type="dxa"/>
            <w:vAlign w:val="bottom"/>
          </w:tcPr>
          <w:p>
            <w:pPr>
              <w:jc w:val="right"/>
              <w:ind w:right="93"/>
              <w:spacing w:after="0" w:line="11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83"/>
        </w:trPr>
        <w:tc>
          <w:tcPr>
            <w:tcW w:w="34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880" w:type="dxa"/>
            <w:vAlign w:val="bottom"/>
            <w:tcBorders>
              <w:right w:val="single" w:sz="8" w:color="auto"/>
            </w:tcBorders>
          </w:tcPr>
          <w:p>
            <w:pPr>
              <w:jc w:val="center"/>
              <w:ind w:right="113"/>
              <w:spacing w:after="0"/>
              <w:rPr>
                <w:sz w:val="20"/>
                <w:szCs w:val="20"/>
                <w:color w:val="auto"/>
              </w:rPr>
            </w:pPr>
            <w:r>
              <w:rPr>
                <w:rFonts w:ascii="Arial" w:cs="Arial" w:eastAsia="Arial" w:hAnsi="Arial"/>
                <w:sz w:val="14"/>
                <w:szCs w:val="14"/>
                <w:color w:val="auto"/>
                <w:w w:val="85"/>
              </w:rPr>
              <w:t>Stock</w:t>
            </w:r>
          </w:p>
        </w:tc>
        <w:tc>
          <w:tcPr>
            <w:tcW w:w="180" w:type="dxa"/>
            <w:vAlign w:val="bottom"/>
          </w:tcPr>
          <w:p>
            <w:pPr>
              <w:spacing w:after="0"/>
              <w:rPr>
                <w:sz w:val="15"/>
                <w:szCs w:val="15"/>
                <w:color w:val="auto"/>
              </w:rPr>
            </w:pPr>
          </w:p>
        </w:tc>
        <w:tc>
          <w:tcPr>
            <w:tcW w:w="440" w:type="dxa"/>
            <w:vAlign w:val="bottom"/>
          </w:tcPr>
          <w:p>
            <w:pPr>
              <w:jc w:val="center"/>
              <w:ind w:left="72"/>
              <w:spacing w:after="0"/>
              <w:rPr>
                <w:sz w:val="20"/>
                <w:szCs w:val="20"/>
                <w:color w:val="auto"/>
              </w:rPr>
            </w:pPr>
            <w:r>
              <w:rPr>
                <w:rFonts w:ascii="Arial" w:cs="Arial" w:eastAsia="Arial" w:hAnsi="Arial"/>
                <w:sz w:val="14"/>
                <w:szCs w:val="14"/>
                <w:color w:val="auto"/>
              </w:rPr>
              <w:t>A</w:t>
            </w: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w w:val="87"/>
              </w:rPr>
              <w:t>Capital</w:t>
            </w:r>
          </w:p>
        </w:tc>
        <w:tc>
          <w:tcPr>
            <w:tcW w:w="740" w:type="dxa"/>
            <w:vAlign w:val="bottom"/>
          </w:tcPr>
          <w:p>
            <w:pPr>
              <w:jc w:val="right"/>
              <w:ind w:right="73"/>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0"/>
              </w:rPr>
              <w:t>Income (Loss)</w:t>
            </w:r>
          </w:p>
        </w:tc>
        <w:tc>
          <w:tcPr>
            <w:tcW w:w="18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color w:val="auto"/>
                <w:w w:val="78"/>
              </w:rPr>
              <w:t>Interests</w:t>
            </w: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January 1, 2012</w:t>
            </w:r>
          </w:p>
        </w:tc>
        <w:tc>
          <w:tcPr>
            <w:tcW w:w="2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right w:val="single" w:sz="8" w:color="auto"/>
            </w:tcBorders>
            <w:shd w:val="clear" w:color="auto" w:fill="E5E5E5"/>
          </w:tcPr>
          <w:p>
            <w:pPr>
              <w:jc w:val="right"/>
              <w:ind w:right="33"/>
              <w:spacing w:after="0" w:line="142" w:lineRule="exact"/>
              <w:rPr>
                <w:sz w:val="20"/>
                <w:szCs w:val="20"/>
                <w:color w:val="auto"/>
              </w:rPr>
            </w:pPr>
            <w:r>
              <w:rPr>
                <w:rFonts w:ascii="Arial" w:cs="Arial" w:eastAsia="Arial" w:hAnsi="Arial"/>
                <w:sz w:val="14"/>
                <w:szCs w:val="14"/>
                <w:color w:val="auto"/>
              </w:rPr>
              <w:t>16,014</w:t>
            </w:r>
          </w:p>
        </w:tc>
        <w:tc>
          <w:tcPr>
            <w:tcW w:w="180" w:type="dxa"/>
            <w:vAlign w:val="bottom"/>
            <w:tcBorders>
              <w:top w:val="single" w:sz="8" w:color="auto"/>
            </w:tcBorders>
            <w:shd w:val="clear" w:color="auto" w:fill="E5E5E5"/>
          </w:tcPr>
          <w:p>
            <w:pPr>
              <w:spacing w:after="0"/>
              <w:rPr>
                <w:sz w:val="12"/>
                <w:szCs w:val="12"/>
                <w:color w:val="auto"/>
              </w:rPr>
            </w:pPr>
          </w:p>
        </w:tc>
        <w:tc>
          <w:tcPr>
            <w:tcW w:w="440" w:type="dxa"/>
            <w:vAlign w:val="bottom"/>
            <w:tcBorders>
              <w:top w:val="single" w:sz="8" w:color="auto"/>
            </w:tcBorders>
            <w:shd w:val="clear" w:color="auto" w:fill="E5E5E5"/>
          </w:tcPr>
          <w:p>
            <w:pPr>
              <w:jc w:val="center"/>
              <w:ind w:left="52"/>
              <w:spacing w:after="0" w:line="142" w:lineRule="exact"/>
              <w:rPr>
                <w:sz w:val="20"/>
                <w:szCs w:val="20"/>
                <w:color w:val="auto"/>
              </w:rPr>
            </w:pPr>
            <w:r>
              <w:rPr>
                <w:rFonts w:ascii="Arial" w:cs="Arial" w:eastAsia="Arial" w:hAnsi="Arial"/>
                <w:sz w:val="14"/>
                <w:szCs w:val="14"/>
                <w:color w:val="auto"/>
                <w:w w:val="85"/>
              </w:rPr>
              <w:t>$25</w:t>
            </w:r>
          </w:p>
        </w:tc>
        <w:tc>
          <w:tcPr>
            <w:tcW w:w="40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E5E5E5"/>
          </w:tcPr>
          <w:p>
            <w:pPr>
              <w:jc w:val="right"/>
              <w:ind w:right="172"/>
              <w:spacing w:after="0" w:line="142" w:lineRule="exact"/>
              <w:rPr>
                <w:sz w:val="20"/>
                <w:szCs w:val="20"/>
                <w:color w:val="auto"/>
              </w:rPr>
            </w:pPr>
            <w:r>
              <w:rPr>
                <w:rFonts w:ascii="Arial" w:cs="Arial" w:eastAsia="Arial" w:hAnsi="Arial"/>
                <w:sz w:val="14"/>
                <w:szCs w:val="14"/>
                <w:color w:val="auto"/>
              </w:rPr>
              <w:t>7</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w w:val="93"/>
              </w:rPr>
              <w:t>$ —</w:t>
            </w:r>
          </w:p>
        </w:tc>
        <w:tc>
          <w:tcPr>
            <w:tcW w:w="260" w:type="dxa"/>
            <w:vAlign w:val="bottom"/>
            <w:tcBorders>
              <w:top w:val="single" w:sz="8" w:color="auto"/>
            </w:tcBorders>
            <w:shd w:val="clear" w:color="auto" w:fill="E5E5E5"/>
          </w:tcPr>
          <w:p>
            <w:pPr>
              <w:ind w:left="18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3"/>
              <w:spacing w:after="0" w:line="142" w:lineRule="exact"/>
              <w:rPr>
                <w:sz w:val="20"/>
                <w:szCs w:val="20"/>
                <w:color w:val="auto"/>
              </w:rPr>
            </w:pPr>
            <w:r>
              <w:rPr>
                <w:rFonts w:ascii="Arial" w:cs="Arial" w:eastAsia="Arial" w:hAnsi="Arial"/>
                <w:sz w:val="14"/>
                <w:szCs w:val="14"/>
                <w:color w:val="auto"/>
              </w:rPr>
              <w:t>40,940</w:t>
            </w:r>
          </w:p>
        </w:tc>
        <w:tc>
          <w:tcPr>
            <w:tcW w:w="740" w:type="dxa"/>
            <w:vAlign w:val="bottom"/>
            <w:tcBorders>
              <w:top w:val="single" w:sz="8" w:color="auto"/>
            </w:tcBorders>
            <w:shd w:val="clear" w:color="auto" w:fill="E5E5E5"/>
          </w:tcPr>
          <w:p>
            <w:pPr>
              <w:jc w:val="right"/>
              <w:ind w:right="73"/>
              <w:spacing w:after="0" w:line="142" w:lineRule="exact"/>
              <w:rPr>
                <w:sz w:val="20"/>
                <w:szCs w:val="20"/>
                <w:color w:val="auto"/>
              </w:rPr>
            </w:pPr>
            <w:r>
              <w:rPr>
                <w:rFonts w:ascii="Arial" w:cs="Arial" w:eastAsia="Arial" w:hAnsi="Arial"/>
                <w:sz w:val="14"/>
                <w:szCs w:val="14"/>
                <w:color w:val="auto"/>
              </w:rPr>
              <w:t>$ 13,971</w:t>
            </w:r>
          </w:p>
        </w:tc>
        <w:tc>
          <w:tcPr>
            <w:tcW w:w="20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280" w:type="dxa"/>
            <w:vAlign w:val="bottom"/>
            <w:tcBorders>
              <w:top w:val="single" w:sz="8" w:color="auto"/>
            </w:tcBorders>
            <w:shd w:val="clear" w:color="auto" w:fill="E5E5E5"/>
          </w:tcPr>
          <w:p>
            <w:pPr>
              <w:ind w:left="12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(152)</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381</w:t>
            </w:r>
          </w:p>
        </w:tc>
        <w:tc>
          <w:tcPr>
            <w:tcW w:w="640" w:type="dxa"/>
            <w:vAlign w:val="bottom"/>
            <w:tcBorders>
              <w:top w:val="single" w:sz="8" w:color="auto"/>
            </w:tcBorders>
            <w:shd w:val="clear" w:color="auto" w:fill="E5E5E5"/>
          </w:tcPr>
          <w:p>
            <w:pPr>
              <w:jc w:val="right"/>
              <w:ind w:right="13"/>
              <w:spacing w:after="0" w:line="142" w:lineRule="exact"/>
              <w:rPr>
                <w:sz w:val="20"/>
                <w:szCs w:val="20"/>
                <w:color w:val="auto"/>
              </w:rPr>
            </w:pPr>
            <w:r>
              <w:rPr>
                <w:rFonts w:ascii="Arial" w:cs="Arial" w:eastAsia="Arial" w:hAnsi="Arial"/>
                <w:sz w:val="14"/>
                <w:szCs w:val="14"/>
                <w:color w:val="auto"/>
              </w:rPr>
              <w:t>$47,655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2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490</w:t>
            </w: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(169)</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Repurchases and</w:t>
            </w:r>
          </w:p>
        </w:tc>
        <w:tc>
          <w:tcPr>
            <w:tcW w:w="280" w:type="dxa"/>
            <w:vAlign w:val="bottom"/>
            <w:shd w:val="clear" w:color="auto" w:fill="E5E5E5"/>
          </w:tcPr>
          <w:p>
            <w:pPr>
              <w:spacing w:after="0"/>
              <w:rPr>
                <w:sz w:val="11"/>
                <w:szCs w:val="11"/>
                <w:color w:val="auto"/>
              </w:rPr>
            </w:pPr>
          </w:p>
        </w:tc>
        <w:tc>
          <w:tcPr>
            <w:tcW w:w="88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retirements of common stock</w:t>
            </w:r>
          </w:p>
        </w:tc>
        <w:tc>
          <w:tcPr>
            <w:tcW w:w="280" w:type="dxa"/>
            <w:vAlign w:val="bottom"/>
            <w:shd w:val="clear" w:color="auto" w:fill="E5E5E5"/>
          </w:tcPr>
          <w:p>
            <w:pPr>
              <w:spacing w:after="0"/>
              <w:rPr>
                <w:sz w:val="13"/>
                <w:szCs w:val="13"/>
                <w:color w:val="auto"/>
              </w:rPr>
            </w:pPr>
          </w:p>
        </w:tc>
        <w:tc>
          <w:tcPr>
            <w:tcW w:w="880" w:type="dxa"/>
            <w:vAlign w:val="bottom"/>
            <w:tcBorders>
              <w:right w:val="single" w:sz="8" w:color="auto"/>
            </w:tcBorders>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33"/>
              <w:spacing w:after="0" w:line="159" w:lineRule="exact"/>
              <w:rPr>
                <w:sz w:val="20"/>
                <w:szCs w:val="20"/>
                <w:color w:val="auto"/>
              </w:rPr>
            </w:pPr>
            <w:r>
              <w:rPr>
                <w:rFonts w:ascii="Arial" w:cs="Arial" w:eastAsia="Arial" w:hAnsi="Arial"/>
                <w:sz w:val="14"/>
                <w:szCs w:val="14"/>
                <w:color w:val="auto"/>
              </w:rPr>
              <w:t>(842)</w:t>
            </w:r>
          </w:p>
        </w:tc>
        <w:tc>
          <w:tcPr>
            <w:tcW w:w="740" w:type="dxa"/>
            <w:vAlign w:val="bottom"/>
            <w:shd w:val="clear" w:color="auto" w:fill="E5E5E5"/>
          </w:tcPr>
          <w:p>
            <w:pPr>
              <w:jc w:val="right"/>
              <w:ind w:right="33"/>
              <w:spacing w:after="0" w:line="159" w:lineRule="exact"/>
              <w:rPr>
                <w:sz w:val="20"/>
                <w:szCs w:val="20"/>
                <w:color w:val="auto"/>
              </w:rPr>
            </w:pPr>
            <w:r>
              <w:rPr>
                <w:rFonts w:ascii="Arial" w:cs="Arial" w:eastAsia="Arial" w:hAnsi="Arial"/>
                <w:sz w:val="14"/>
                <w:szCs w:val="14"/>
                <w:color w:val="auto"/>
              </w:rPr>
              <w:t>(1,407)</w:t>
            </w: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2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62</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280" w:type="dxa"/>
            <w:vAlign w:val="bottom"/>
            <w:shd w:val="clear" w:color="auto" w:fill="E5E5E5"/>
          </w:tcPr>
          <w:p>
            <w:pPr>
              <w:spacing w:after="0"/>
              <w:rPr>
                <w:sz w:val="12"/>
                <w:szCs w:val="12"/>
                <w:color w:val="auto"/>
              </w:rPr>
            </w:pPr>
          </w:p>
        </w:tc>
        <w:tc>
          <w:tcPr>
            <w:tcW w:w="88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(1,306)</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2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3"/>
                <w:szCs w:val="13"/>
                <w:color w:val="auto"/>
              </w:rPr>
            </w:pPr>
          </w:p>
        </w:tc>
        <w:tc>
          <w:tcPr>
            <w:tcW w:w="880" w:type="dxa"/>
            <w:vAlign w:val="bottom"/>
            <w:tcBorders>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92"/>
              <w:spacing w:after="0" w:line="159" w:lineRule="exact"/>
              <w:rPr>
                <w:sz w:val="20"/>
                <w:szCs w:val="20"/>
                <w:color w:val="auto"/>
              </w:rPr>
            </w:pPr>
            <w:r>
              <w:rPr>
                <w:rFonts w:ascii="Arial" w:cs="Arial" w:eastAsia="Arial" w:hAnsi="Arial"/>
                <w:sz w:val="14"/>
                <w:szCs w:val="14"/>
                <w:color w:val="auto"/>
              </w:rPr>
              <w:t>104</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ind w:right="13"/>
              <w:spacing w:after="0" w:line="15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280" w:type="dxa"/>
            <w:vAlign w:val="bottom"/>
            <w:shd w:val="clear" w:color="auto" w:fill="E5E5E5"/>
          </w:tcPr>
          <w:p>
            <w:pPr>
              <w:spacing w:after="0"/>
              <w:rPr>
                <w:sz w:val="11"/>
                <w:szCs w:val="11"/>
                <w:color w:val="auto"/>
              </w:rPr>
            </w:pPr>
          </w:p>
        </w:tc>
        <w:tc>
          <w:tcPr>
            <w:tcW w:w="88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280" w:type="dxa"/>
            <w:vAlign w:val="bottom"/>
            <w:shd w:val="clear" w:color="auto" w:fill="E5E5E5"/>
          </w:tcPr>
          <w:p>
            <w:pPr>
              <w:spacing w:after="0"/>
              <w:rPr>
                <w:sz w:val="13"/>
                <w:szCs w:val="13"/>
                <w:color w:val="auto"/>
              </w:rPr>
            </w:pPr>
          </w:p>
        </w:tc>
        <w:tc>
          <w:tcPr>
            <w:tcW w:w="880" w:type="dxa"/>
            <w:vAlign w:val="bottom"/>
            <w:tcBorders>
              <w:right w:val="single" w:sz="8" w:color="auto"/>
            </w:tcBorders>
            <w:shd w:val="clear" w:color="auto" w:fill="E5E5E5"/>
          </w:tcPr>
          <w:p>
            <w:pPr>
              <w:jc w:val="right"/>
              <w:spacing w:after="0" w:line="159" w:lineRule="exact"/>
              <w:rPr>
                <w:sz w:val="20"/>
                <w:szCs w:val="20"/>
                <w:color w:val="auto"/>
              </w:rPr>
            </w:pPr>
            <w:r>
              <w:rPr>
                <w:rFonts w:ascii="Arial" w:cs="Arial" w:eastAsia="Arial" w:hAnsi="Arial"/>
                <w:sz w:val="14"/>
                <w:szCs w:val="14"/>
                <w:color w:val="auto"/>
              </w:rPr>
              <w:t>(353)</w:t>
            </w:r>
          </w:p>
        </w:tc>
        <w:tc>
          <w:tcPr>
            <w:tcW w:w="1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(119)</w:t>
            </w: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w:t>
            </w: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E5E5E5"/>
          </w:tcPr>
          <w:p>
            <w:pPr>
              <w:spacing w:after="0"/>
              <w:rPr>
                <w:sz w:val="12"/>
                <w:szCs w:val="12"/>
                <w:color w:val="auto"/>
              </w:rPr>
            </w:pPr>
          </w:p>
        </w:tc>
        <w:tc>
          <w:tcPr>
            <w:tcW w:w="880" w:type="dxa"/>
            <w:vAlign w:val="bottom"/>
            <w:tcBorders>
              <w:bottom w:val="single" w:sz="8" w:color="auto"/>
              <w:right w:val="single" w:sz="8" w:color="auto"/>
            </w:tcBorders>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1,270</w:t>
            </w:r>
          </w:p>
        </w:tc>
        <w:tc>
          <w:tcPr>
            <w:tcW w:w="18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4,685</w:t>
            </w:r>
          </w:p>
        </w:tc>
        <w:tc>
          <w:tcPr>
            <w:tcW w:w="20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tcBorders>
            <w:shd w:val="clear" w:color="auto" w:fill="E5E5E5"/>
          </w:tcPr>
          <w:p>
            <w:pPr>
              <w:spacing w:after="0"/>
              <w:rPr>
                <w:sz w:val="12"/>
                <w:szCs w:val="12"/>
                <w:color w:val="auto"/>
              </w:rPr>
            </w:pPr>
          </w:p>
        </w:tc>
        <w:tc>
          <w:tcPr>
            <w:tcW w:w="840" w:type="dxa"/>
            <w:vAlign w:val="bottom"/>
            <w:tcBorders>
              <w:bottom w:val="single" w:sz="8" w:color="auto"/>
            </w:tcBorders>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103</w:t>
            </w:r>
          </w:p>
        </w:tc>
        <w:tc>
          <w:tcPr>
            <w:tcW w:w="640" w:type="dxa"/>
            <w:vAlign w:val="bottom"/>
            <w:tcBorders>
              <w:bottom w:val="single" w:sz="8" w:color="auto"/>
            </w:tcBorders>
            <w:shd w:val="clear" w:color="auto" w:fill="E5E5E5"/>
          </w:tcPr>
          <w:p>
            <w:pPr>
              <w:jc w:val="right"/>
              <w:ind w:right="13"/>
              <w:spacing w:after="0" w:line="149" w:lineRule="exact"/>
              <w:rPr>
                <w:sz w:val="20"/>
                <w:szCs w:val="20"/>
                <w:color w:val="auto"/>
              </w:rPr>
            </w:pPr>
            <w:r>
              <w:rPr>
                <w:rFonts w:ascii="Arial" w:cs="Arial" w:eastAsia="Arial" w:hAnsi="Arial"/>
                <w:sz w:val="14"/>
                <w:szCs w:val="14"/>
                <w:color w:val="auto"/>
              </w:rPr>
              <w:t>4,788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2012</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16,896</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6</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40,652</w:t>
            </w:r>
          </w:p>
        </w:tc>
        <w:tc>
          <w:tcPr>
            <w:tcW w:w="7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$ 15,774</w:t>
            </w:r>
          </w:p>
        </w:tc>
        <w:tc>
          <w:tcPr>
            <w:tcW w:w="2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(48)</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449</w:t>
            </w:r>
          </w:p>
        </w:tc>
        <w:tc>
          <w:tcPr>
            <w:tcW w:w="6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$49,341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January 1, 2013</w:t>
            </w:r>
          </w:p>
        </w:tc>
        <w:tc>
          <w:tcPr>
            <w:tcW w:w="280" w:type="dxa"/>
            <w:vAlign w:val="bottom"/>
            <w:shd w:val="clear" w:color="auto" w:fill="E5E5E5"/>
          </w:tcPr>
          <w:p>
            <w:pPr>
              <w:ind w:left="22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auto"/>
            </w:tcBorders>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16,998</w:t>
            </w:r>
          </w:p>
        </w:tc>
        <w:tc>
          <w:tcPr>
            <w:tcW w:w="180" w:type="dxa"/>
            <w:vAlign w:val="bottom"/>
            <w:shd w:val="clear" w:color="auto" w:fill="E5E5E5"/>
          </w:tcPr>
          <w:p>
            <w:pPr>
              <w:spacing w:after="0"/>
              <w:rPr>
                <w:sz w:val="12"/>
                <w:szCs w:val="12"/>
                <w:color w:val="auto"/>
              </w:rPr>
            </w:pPr>
          </w:p>
        </w:tc>
        <w:tc>
          <w:tcPr>
            <w:tcW w:w="440" w:type="dxa"/>
            <w:vAlign w:val="bottom"/>
            <w:shd w:val="clear" w:color="auto" w:fill="E5E5E5"/>
          </w:tcPr>
          <w:p>
            <w:pPr>
              <w:jc w:val="center"/>
              <w:ind w:left="52"/>
              <w:spacing w:after="0" w:line="149" w:lineRule="exact"/>
              <w:rPr>
                <w:sz w:val="20"/>
                <w:szCs w:val="20"/>
                <w:color w:val="auto"/>
              </w:rPr>
            </w:pPr>
            <w:r>
              <w:rPr>
                <w:rFonts w:ascii="Arial" w:cs="Arial" w:eastAsia="Arial" w:hAnsi="Arial"/>
                <w:sz w:val="14"/>
                <w:szCs w:val="14"/>
                <w:color w:val="auto"/>
                <w:w w:val="85"/>
              </w:rPr>
              <w:t>$25</w:t>
            </w:r>
          </w:p>
        </w:tc>
        <w:tc>
          <w:tcPr>
            <w:tcW w:w="40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ind w:right="172"/>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 —</w:t>
            </w:r>
          </w:p>
        </w:tc>
        <w:tc>
          <w:tcPr>
            <w:tcW w:w="260" w:type="dxa"/>
            <w:vAlign w:val="bottom"/>
            <w:shd w:val="clear" w:color="auto" w:fill="E5E5E5"/>
          </w:tcPr>
          <w:p>
            <w:pPr>
              <w:ind w:left="1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40,547</w:t>
            </w:r>
          </w:p>
        </w:tc>
        <w:tc>
          <w:tcPr>
            <w:tcW w:w="740" w:type="dxa"/>
            <w:vAlign w:val="bottom"/>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$ 16,280</w:t>
            </w:r>
          </w:p>
        </w:tc>
        <w:tc>
          <w:tcPr>
            <w:tcW w:w="20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280" w:type="dxa"/>
            <w:vAlign w:val="bottom"/>
            <w:shd w:val="clear" w:color="auto" w:fill="E5E5E5"/>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440</w:t>
            </w:r>
          </w:p>
        </w:tc>
        <w:tc>
          <w:tcPr>
            <w:tcW w:w="640" w:type="dxa"/>
            <w:vAlign w:val="bottom"/>
            <w:shd w:val="clear" w:color="auto" w:fill="E5E5E5"/>
          </w:tcPr>
          <w:p>
            <w:pPr>
              <w:jc w:val="right"/>
              <w:ind w:right="13"/>
              <w:spacing w:after="0" w:line="149" w:lineRule="exact"/>
              <w:rPr>
                <w:sz w:val="20"/>
                <w:szCs w:val="20"/>
                <w:color w:val="auto"/>
              </w:rPr>
            </w:pPr>
            <w:r>
              <w:rPr>
                <w:rFonts w:ascii="Arial" w:cs="Arial" w:eastAsia="Arial" w:hAnsi="Arial"/>
                <w:sz w:val="14"/>
                <w:szCs w:val="14"/>
                <w:color w:val="auto"/>
              </w:rPr>
              <w:t>$49,796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2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433</w:t>
            </w: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(255)</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Repurchases and</w:t>
            </w:r>
          </w:p>
        </w:tc>
        <w:tc>
          <w:tcPr>
            <w:tcW w:w="280" w:type="dxa"/>
            <w:vAlign w:val="bottom"/>
            <w:shd w:val="clear" w:color="auto" w:fill="E5E5E5"/>
          </w:tcPr>
          <w:p>
            <w:pPr>
              <w:spacing w:after="0"/>
              <w:rPr>
                <w:sz w:val="11"/>
                <w:szCs w:val="11"/>
                <w:color w:val="auto"/>
              </w:rPr>
            </w:pPr>
          </w:p>
        </w:tc>
        <w:tc>
          <w:tcPr>
            <w:tcW w:w="88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retirements of common stock</w:t>
            </w:r>
          </w:p>
        </w:tc>
        <w:tc>
          <w:tcPr>
            <w:tcW w:w="280" w:type="dxa"/>
            <w:vAlign w:val="bottom"/>
            <w:shd w:val="clear" w:color="auto" w:fill="E5E5E5"/>
          </w:tcPr>
          <w:p>
            <w:pPr>
              <w:spacing w:after="0"/>
              <w:rPr>
                <w:sz w:val="13"/>
                <w:szCs w:val="13"/>
                <w:color w:val="auto"/>
              </w:rPr>
            </w:pPr>
          </w:p>
        </w:tc>
        <w:tc>
          <w:tcPr>
            <w:tcW w:w="880" w:type="dxa"/>
            <w:vAlign w:val="bottom"/>
            <w:tcBorders>
              <w:right w:val="single" w:sz="8" w:color="auto"/>
            </w:tcBorders>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jc w:val="right"/>
              <w:ind w:right="112"/>
              <w:spacing w:after="0" w:line="15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33"/>
              <w:spacing w:after="0" w:line="159" w:lineRule="exact"/>
              <w:rPr>
                <w:sz w:val="20"/>
                <w:szCs w:val="20"/>
                <w:color w:val="auto"/>
              </w:rPr>
            </w:pPr>
            <w:r>
              <w:rPr>
                <w:rFonts w:ascii="Arial" w:cs="Arial" w:eastAsia="Arial" w:hAnsi="Arial"/>
                <w:sz w:val="14"/>
                <w:szCs w:val="14"/>
                <w:color w:val="auto"/>
              </w:rPr>
              <w:t>(432)</w:t>
            </w:r>
          </w:p>
        </w:tc>
        <w:tc>
          <w:tcPr>
            <w:tcW w:w="740" w:type="dxa"/>
            <w:vAlign w:val="bottom"/>
            <w:shd w:val="clear" w:color="auto" w:fill="E5E5E5"/>
          </w:tcPr>
          <w:p>
            <w:pPr>
              <w:jc w:val="right"/>
              <w:ind w:right="33"/>
              <w:spacing w:after="0" w:line="159" w:lineRule="exact"/>
              <w:rPr>
                <w:sz w:val="20"/>
                <w:szCs w:val="20"/>
                <w:color w:val="auto"/>
              </w:rPr>
            </w:pPr>
            <w:r>
              <w:rPr>
                <w:rFonts w:ascii="Arial" w:cs="Arial" w:eastAsia="Arial" w:hAnsi="Arial"/>
                <w:sz w:val="14"/>
                <w:szCs w:val="14"/>
                <w:color w:val="auto"/>
              </w:rPr>
              <w:t>(1,067)</w:t>
            </w: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28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75</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280" w:type="dxa"/>
            <w:vAlign w:val="bottom"/>
            <w:shd w:val="clear" w:color="auto" w:fill="E5E5E5"/>
          </w:tcPr>
          <w:p>
            <w:pPr>
              <w:spacing w:after="0"/>
              <w:rPr>
                <w:sz w:val="12"/>
                <w:szCs w:val="12"/>
                <w:color w:val="auto"/>
              </w:rPr>
            </w:pPr>
          </w:p>
        </w:tc>
        <w:tc>
          <w:tcPr>
            <w:tcW w:w="880" w:type="dxa"/>
            <w:vAlign w:val="bottom"/>
            <w:tcBorders>
              <w:right w:val="single" w:sz="8" w:color="auto"/>
            </w:tcBorders>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40" w:type="dxa"/>
            <w:vAlign w:val="bottom"/>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(1,537)</w:t>
            </w:r>
          </w:p>
        </w:tc>
        <w:tc>
          <w:tcPr>
            <w:tcW w:w="20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8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tcPr>
          <w:p>
            <w:pPr>
              <w:spacing w:after="0" w:line="138" w:lineRule="exact"/>
              <w:rPr>
                <w:sz w:val="20"/>
                <w:szCs w:val="20"/>
                <w:color w:val="auto"/>
              </w:rPr>
            </w:pPr>
            <w:r>
              <w:rPr>
                <w:rFonts w:ascii="Arial" w:cs="Arial" w:eastAsia="Arial" w:hAnsi="Arial"/>
                <w:sz w:val="14"/>
                <w:szCs w:val="14"/>
                <w:color w:val="auto"/>
              </w:rPr>
              <w:t>Other comprehensive</w:t>
            </w:r>
          </w:p>
        </w:tc>
        <w:tc>
          <w:tcPr>
            <w:tcW w:w="2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Pr>
          <w:p>
            <w:pPr>
              <w:ind w:left="200"/>
              <w:spacing w:after="0" w:line="15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3"/>
                <w:szCs w:val="13"/>
                <w:color w:val="auto"/>
              </w:rPr>
            </w:pPr>
          </w:p>
        </w:tc>
        <w:tc>
          <w:tcPr>
            <w:tcW w:w="88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2"/>
              <w:spacing w:after="0" w:line="159" w:lineRule="exact"/>
              <w:rPr>
                <w:sz w:val="20"/>
                <w:szCs w:val="20"/>
                <w:color w:val="auto"/>
              </w:rPr>
            </w:pPr>
            <w:r>
              <w:rPr>
                <w:rFonts w:ascii="Arial" w:cs="Arial" w:eastAsia="Arial" w:hAnsi="Arial"/>
                <w:sz w:val="14"/>
                <w:szCs w:val="14"/>
                <w:color w:val="auto"/>
              </w:rPr>
              <w:t>(99)</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w w:val="94"/>
              </w:rPr>
              <w:t>Purchase of NBCUniversal noncontrolling common equity</w:t>
            </w:r>
          </w:p>
        </w:tc>
        <w:tc>
          <w:tcPr>
            <w:tcW w:w="280" w:type="dxa"/>
            <w:vAlign w:val="bottom"/>
            <w:shd w:val="clear" w:color="auto" w:fill="E5E5E5"/>
          </w:tcPr>
          <w:p>
            <w:pPr>
              <w:spacing w:after="0"/>
              <w:rPr>
                <w:sz w:val="11"/>
                <w:szCs w:val="11"/>
                <w:color w:val="auto"/>
              </w:rPr>
            </w:pPr>
          </w:p>
        </w:tc>
        <w:tc>
          <w:tcPr>
            <w:tcW w:w="88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w:t>
            </w:r>
          </w:p>
        </w:tc>
        <w:tc>
          <w:tcPr>
            <w:tcW w:w="280" w:type="dxa"/>
            <w:vAlign w:val="bottom"/>
            <w:shd w:val="clear" w:color="auto" w:fill="E5E5E5"/>
          </w:tcPr>
          <w:p>
            <w:pPr>
              <w:spacing w:after="0"/>
              <w:rPr>
                <w:sz w:val="13"/>
                <w:szCs w:val="13"/>
                <w:color w:val="auto"/>
              </w:rPr>
            </w:pPr>
          </w:p>
        </w:tc>
        <w:tc>
          <w:tcPr>
            <w:tcW w:w="880" w:type="dxa"/>
            <w:vAlign w:val="bottom"/>
            <w:tcBorders>
              <w:right w:val="single" w:sz="8" w:color="auto"/>
            </w:tcBorders>
            <w:shd w:val="clear" w:color="auto" w:fill="E5E5E5"/>
          </w:tcPr>
          <w:p>
            <w:pPr>
              <w:jc w:val="right"/>
              <w:spacing w:after="0" w:line="159" w:lineRule="exact"/>
              <w:rPr>
                <w:sz w:val="20"/>
                <w:szCs w:val="20"/>
                <w:color w:val="auto"/>
              </w:rPr>
            </w:pPr>
            <w:r>
              <w:rPr>
                <w:rFonts w:ascii="Arial" w:cs="Arial" w:eastAsia="Arial" w:hAnsi="Arial"/>
                <w:sz w:val="14"/>
                <w:szCs w:val="14"/>
                <w:color w:val="auto"/>
              </w:rPr>
              <w:t>(17,006)</w:t>
            </w:r>
          </w:p>
        </w:tc>
        <w:tc>
          <w:tcPr>
            <w:tcW w:w="1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40" w:type="dxa"/>
            <w:vAlign w:val="bottom"/>
            <w:shd w:val="clear" w:color="auto" w:fill="E5E5E5"/>
          </w:tcPr>
          <w:p>
            <w:pPr>
              <w:jc w:val="right"/>
              <w:ind w:right="33"/>
              <w:spacing w:after="0" w:line="159" w:lineRule="exact"/>
              <w:rPr>
                <w:sz w:val="20"/>
                <w:szCs w:val="20"/>
                <w:color w:val="auto"/>
              </w:rPr>
            </w:pPr>
            <w:r>
              <w:rPr>
                <w:rFonts w:ascii="Arial" w:cs="Arial" w:eastAsia="Arial" w:hAnsi="Arial"/>
                <w:sz w:val="14"/>
                <w:szCs w:val="14"/>
                <w:color w:val="auto"/>
              </w:rPr>
              <w:t>(1,482)</w:t>
            </w: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(26)</w:t>
            </w: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Redeemable subsidiary preferred stock</w:t>
            </w:r>
          </w:p>
        </w:tc>
        <w:tc>
          <w:tcPr>
            <w:tcW w:w="280" w:type="dxa"/>
            <w:vAlign w:val="bottom"/>
          </w:tcPr>
          <w:p>
            <w:pPr>
              <w:spacing w:after="0"/>
              <w:rPr>
                <w:sz w:val="12"/>
                <w:szCs w:val="12"/>
                <w:color w:val="auto"/>
              </w:rPr>
            </w:pPr>
          </w:p>
        </w:tc>
        <w:tc>
          <w:tcPr>
            <w:tcW w:w="8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725</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w:t>
            </w:r>
          </w:p>
        </w:tc>
        <w:tc>
          <w:tcPr>
            <w:tcW w:w="280" w:type="dxa"/>
            <w:vAlign w:val="bottom"/>
            <w:shd w:val="clear" w:color="auto" w:fill="E5E5E5"/>
          </w:tcPr>
          <w:p>
            <w:pPr>
              <w:spacing w:after="0"/>
              <w:rPr>
                <w:sz w:val="11"/>
                <w:szCs w:val="11"/>
                <w:color w:val="auto"/>
              </w:rPr>
            </w:pPr>
          </w:p>
        </w:tc>
        <w:tc>
          <w:tcPr>
            <w:tcW w:w="880" w:type="dxa"/>
            <w:vAlign w:val="bottom"/>
            <w:tcBorders>
              <w:right w:val="single" w:sz="8" w:color="auto"/>
            </w:tcBorders>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20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84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280" w:type="dxa"/>
            <w:vAlign w:val="bottom"/>
            <w:shd w:val="clear" w:color="auto" w:fill="E5E5E5"/>
          </w:tcPr>
          <w:p>
            <w:pPr>
              <w:spacing w:after="0"/>
              <w:rPr>
                <w:sz w:val="13"/>
                <w:szCs w:val="13"/>
                <w:color w:val="auto"/>
              </w:rPr>
            </w:pPr>
          </w:p>
        </w:tc>
        <w:tc>
          <w:tcPr>
            <w:tcW w:w="880" w:type="dxa"/>
            <w:vAlign w:val="bottom"/>
            <w:tcBorders>
              <w:right w:val="single" w:sz="8" w:color="auto"/>
            </w:tcBorders>
            <w:shd w:val="clear" w:color="auto" w:fill="E5E5E5"/>
          </w:tcPr>
          <w:p>
            <w:pPr>
              <w:jc w:val="right"/>
              <w:spacing w:after="0" w:line="159" w:lineRule="exact"/>
              <w:rPr>
                <w:sz w:val="20"/>
                <w:szCs w:val="20"/>
                <w:color w:val="auto"/>
              </w:rPr>
            </w:pPr>
            <w:r>
              <w:rPr>
                <w:rFonts w:ascii="Arial" w:cs="Arial" w:eastAsia="Arial" w:hAnsi="Arial"/>
                <w:sz w:val="14"/>
                <w:szCs w:val="14"/>
                <w:color w:val="auto"/>
              </w:rPr>
              <w:t>(14)</w:t>
            </w:r>
          </w:p>
        </w:tc>
        <w:tc>
          <w:tcPr>
            <w:tcW w:w="180" w:type="dxa"/>
            <w:vAlign w:val="bottom"/>
            <w:shd w:val="clear" w:color="auto" w:fill="E5E5E5"/>
          </w:tcPr>
          <w:p>
            <w:pPr>
              <w:spacing w:after="0"/>
              <w:rPr>
                <w:sz w:val="13"/>
                <w:szCs w:val="13"/>
                <w:color w:val="auto"/>
              </w:rPr>
            </w:pPr>
          </w:p>
        </w:tc>
        <w:tc>
          <w:tcPr>
            <w:tcW w:w="44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4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2"/>
              <w:spacing w:after="0" w:line="159" w:lineRule="exact"/>
              <w:rPr>
                <w:sz w:val="20"/>
                <w:szCs w:val="20"/>
                <w:color w:val="auto"/>
              </w:rPr>
            </w:pPr>
            <w:r>
              <w:rPr>
                <w:rFonts w:ascii="Arial" w:cs="Arial" w:eastAsia="Arial" w:hAnsi="Arial"/>
                <w:sz w:val="14"/>
                <w:szCs w:val="14"/>
                <w:color w:val="auto"/>
              </w:rPr>
              <w:t>(103)</w:t>
            </w:r>
          </w:p>
        </w:tc>
        <w:tc>
          <w:tcPr>
            <w:tcW w:w="64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(150)</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E5E5E5"/>
          </w:tcPr>
          <w:p>
            <w:pPr>
              <w:spacing w:after="0"/>
              <w:rPr>
                <w:sz w:val="12"/>
                <w:szCs w:val="12"/>
                <w:color w:val="auto"/>
              </w:rPr>
            </w:pPr>
          </w:p>
        </w:tc>
        <w:tc>
          <w:tcPr>
            <w:tcW w:w="880" w:type="dxa"/>
            <w:vAlign w:val="bottom"/>
            <w:tcBorders>
              <w:bottom w:val="single" w:sz="8" w:color="auto"/>
              <w:right w:val="single" w:sz="8" w:color="auto"/>
            </w:tcBorders>
            <w:shd w:val="clear" w:color="auto" w:fill="E5E5E5"/>
          </w:tcPr>
          <w:p>
            <w:pPr>
              <w:jc w:val="right"/>
              <w:ind w:right="33"/>
              <w:spacing w:after="0" w:line="149" w:lineRule="exact"/>
              <w:rPr>
                <w:sz w:val="20"/>
                <w:szCs w:val="20"/>
                <w:color w:val="auto"/>
              </w:rPr>
            </w:pPr>
            <w:r>
              <w:rPr>
                <w:rFonts w:ascii="Arial" w:cs="Arial" w:eastAsia="Arial" w:hAnsi="Arial"/>
                <w:sz w:val="14"/>
                <w:szCs w:val="14"/>
                <w:color w:val="auto"/>
              </w:rPr>
              <w:t>183</w:t>
            </w:r>
          </w:p>
        </w:tc>
        <w:tc>
          <w:tcPr>
            <w:tcW w:w="180" w:type="dxa"/>
            <w:vAlign w:val="bottom"/>
            <w:tcBorders>
              <w:bottom w:val="single" w:sz="8" w:color="auto"/>
            </w:tcBorders>
            <w:shd w:val="clear" w:color="auto" w:fill="E5E5E5"/>
          </w:tcPr>
          <w:p>
            <w:pPr>
              <w:spacing w:after="0"/>
              <w:rPr>
                <w:sz w:val="12"/>
                <w:szCs w:val="12"/>
                <w:color w:val="auto"/>
              </w:rPr>
            </w:pPr>
          </w:p>
        </w:tc>
        <w:tc>
          <w:tcPr>
            <w:tcW w:w="440" w:type="dxa"/>
            <w:vAlign w:val="bottom"/>
            <w:tcBorders>
              <w:bottom w:val="single" w:sz="8" w:color="auto"/>
            </w:tcBorders>
            <w:shd w:val="clear" w:color="auto" w:fill="E5E5E5"/>
          </w:tcPr>
          <w:p>
            <w:pPr>
              <w:spacing w:after="0"/>
              <w:rPr>
                <w:sz w:val="12"/>
                <w:szCs w:val="12"/>
                <w:color w:val="auto"/>
              </w:rPr>
            </w:pPr>
          </w:p>
        </w:tc>
        <w:tc>
          <w:tcPr>
            <w:tcW w:w="400" w:type="dxa"/>
            <w:vAlign w:val="bottom"/>
            <w:tcBorders>
              <w:bottom w:val="single" w:sz="8" w:color="auto"/>
            </w:tcBorders>
            <w:shd w:val="clear" w:color="auto" w:fill="E5E5E5"/>
          </w:tcPr>
          <w:p>
            <w:pPr>
              <w:spacing w:after="0"/>
              <w:rPr>
                <w:sz w:val="12"/>
                <w:szCs w:val="12"/>
                <w:color w:val="auto"/>
              </w:rPr>
            </w:pPr>
          </w:p>
        </w:tc>
        <w:tc>
          <w:tcPr>
            <w:tcW w:w="52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6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40" w:type="dxa"/>
            <w:vAlign w:val="bottom"/>
            <w:tcBorders>
              <w:bottom w:val="single" w:sz="8" w:color="auto"/>
            </w:tcBorders>
            <w:shd w:val="clear" w:color="auto" w:fill="E5E5E5"/>
          </w:tcPr>
          <w:p>
            <w:pPr>
              <w:jc w:val="right"/>
              <w:ind w:right="73"/>
              <w:spacing w:after="0" w:line="149" w:lineRule="exact"/>
              <w:rPr>
                <w:sz w:val="20"/>
                <w:szCs w:val="20"/>
                <w:color w:val="auto"/>
              </w:rPr>
            </w:pPr>
            <w:r>
              <w:rPr>
                <w:rFonts w:ascii="Arial" w:cs="Arial" w:eastAsia="Arial" w:hAnsi="Arial"/>
                <w:sz w:val="14"/>
                <w:szCs w:val="14"/>
                <w:color w:val="auto"/>
              </w:rPr>
              <w:t>4,903</w:t>
            </w:r>
          </w:p>
        </w:tc>
        <w:tc>
          <w:tcPr>
            <w:tcW w:w="20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280" w:type="dxa"/>
            <w:vAlign w:val="bottom"/>
            <w:tcBorders>
              <w:bottom w:val="single" w:sz="8" w:color="auto"/>
            </w:tcBorders>
            <w:shd w:val="clear" w:color="auto" w:fill="E5E5E5"/>
          </w:tcPr>
          <w:p>
            <w:pPr>
              <w:spacing w:after="0"/>
              <w:rPr>
                <w:sz w:val="12"/>
                <w:szCs w:val="12"/>
                <w:color w:val="auto"/>
              </w:rPr>
            </w:pPr>
          </w:p>
        </w:tc>
        <w:tc>
          <w:tcPr>
            <w:tcW w:w="840" w:type="dxa"/>
            <w:vAlign w:val="bottom"/>
            <w:tcBorders>
              <w:bottom w:val="single" w:sz="8" w:color="auto"/>
            </w:tcBorders>
            <w:shd w:val="clear" w:color="auto" w:fill="E5E5E5"/>
          </w:tcPr>
          <w:p>
            <w:pPr>
              <w:spacing w:after="0"/>
              <w:rPr>
                <w:sz w:val="12"/>
                <w:szCs w:val="12"/>
                <w:color w:val="auto"/>
              </w:rPr>
            </w:pPr>
          </w:p>
        </w:tc>
        <w:tc>
          <w:tcPr>
            <w:tcW w:w="180" w:type="dxa"/>
            <w:vAlign w:val="bottom"/>
            <w:tcBorders>
              <w:bottom w:val="single" w:sz="8" w:color="auto"/>
            </w:tcBorders>
            <w:shd w:val="clear" w:color="auto" w:fill="E5E5E5"/>
          </w:tcPr>
          <w:p>
            <w:pPr>
              <w:spacing w:after="0"/>
              <w:rPr>
                <w:sz w:val="12"/>
                <w:szCs w:val="12"/>
                <w:color w:val="auto"/>
              </w:rPr>
            </w:pPr>
          </w:p>
        </w:tc>
        <w:tc>
          <w:tcPr>
            <w:tcW w:w="66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81</w:t>
            </w:r>
          </w:p>
        </w:tc>
        <w:tc>
          <w:tcPr>
            <w:tcW w:w="640" w:type="dxa"/>
            <w:vAlign w:val="bottom"/>
            <w:tcBorders>
              <w:bottom w:val="single" w:sz="8" w:color="auto"/>
            </w:tcBorders>
            <w:shd w:val="clear" w:color="auto" w:fill="E5E5E5"/>
          </w:tcPr>
          <w:p>
            <w:pPr>
              <w:jc w:val="right"/>
              <w:ind w:right="13"/>
              <w:spacing w:after="0" w:line="149" w:lineRule="exact"/>
              <w:rPr>
                <w:sz w:val="20"/>
                <w:szCs w:val="20"/>
                <w:color w:val="auto"/>
              </w:rPr>
            </w:pPr>
            <w:r>
              <w:rPr>
                <w:rFonts w:ascii="Arial" w:cs="Arial" w:eastAsia="Arial" w:hAnsi="Arial"/>
                <w:sz w:val="14"/>
                <w:szCs w:val="14"/>
                <w:color w:val="auto"/>
              </w:rPr>
              <w:t>4,984</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2013</w:t>
            </w:r>
          </w:p>
        </w:tc>
        <w:tc>
          <w:tcPr>
            <w:tcW w:w="2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853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52"/>
              <w:spacing w:after="0" w:line="142" w:lineRule="exact"/>
              <w:rPr>
                <w:sz w:val="20"/>
                <w:szCs w:val="20"/>
                <w:color w:val="auto"/>
              </w:rPr>
            </w:pPr>
            <w:r>
              <w:rPr>
                <w:rFonts w:ascii="Arial" w:cs="Arial" w:eastAsia="Arial" w:hAnsi="Arial"/>
                <w:sz w:val="14"/>
                <w:szCs w:val="14"/>
                <w:b w:val="1"/>
                <w:bCs w:val="1"/>
                <w:color w:val="auto"/>
                <w:w w:val="85"/>
              </w:rPr>
              <w:t>$25</w:t>
            </w:r>
          </w:p>
        </w:tc>
        <w:tc>
          <w:tcPr>
            <w:tcW w:w="4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5</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 —</w:t>
            </w:r>
          </w:p>
        </w:tc>
        <w:tc>
          <w:tcPr>
            <w:tcW w:w="2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38,991</w:t>
            </w:r>
          </w:p>
        </w:tc>
        <w:tc>
          <w:tcPr>
            <w:tcW w:w="7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$ 18,324</w:t>
            </w:r>
          </w:p>
        </w:tc>
        <w:tc>
          <w:tcPr>
            <w:tcW w:w="2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(110)</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416</w:t>
            </w:r>
          </w:p>
        </w:tc>
        <w:tc>
          <w:tcPr>
            <w:tcW w:w="6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$50,134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filed with the SEC on Form 8-K on September 18, 2013.</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Reclassifications have been made to our condensed consolidated financial statements for the prior year periods to conform to classifications used in the current year periods.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color w:val="auto"/>
                <w:w w:val="86"/>
              </w:rPr>
              <w:t>Three Months Ended September 30</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jc w:val="center"/>
              <w:ind w:right="61"/>
              <w:spacing w:after="0" w:line="131" w:lineRule="exact"/>
              <w:rPr>
                <w:sz w:val="20"/>
                <w:szCs w:val="20"/>
                <w:color w:val="auto"/>
              </w:rPr>
            </w:pPr>
            <w:r>
              <w:rPr>
                <w:rFonts w:ascii="Arial" w:cs="Arial" w:eastAsia="Arial" w:hAnsi="Arial"/>
                <w:sz w:val="14"/>
                <w:szCs w:val="14"/>
                <w:color w:val="auto"/>
                <w:w w:val="89"/>
              </w:rPr>
              <w:t>Net Income</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2"/>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left="83"/>
              <w:spacing w:after="0" w:line="149" w:lineRule="exact"/>
              <w:rPr>
                <w:sz w:val="20"/>
                <w:szCs w:val="20"/>
                <w:color w:val="auto"/>
              </w:rPr>
            </w:pPr>
            <w:r>
              <w:rPr>
                <w:rFonts w:ascii="Arial" w:cs="Arial" w:eastAsia="Arial" w:hAnsi="Arial"/>
                <w:sz w:val="14"/>
                <w:szCs w:val="14"/>
                <w:color w:val="auto"/>
                <w:w w:val="92"/>
              </w:rPr>
              <w:t>Attributable to</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Attributable to</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6"/>
              </w:rPr>
              <w:t>Comcast</w:t>
            </w:r>
          </w:p>
        </w:tc>
        <w:tc>
          <w:tcPr>
            <w:tcW w:w="720" w:type="dxa"/>
            <w:vAlign w:val="bottom"/>
          </w:tcPr>
          <w:p>
            <w:pPr>
              <w:spacing w:after="0"/>
              <w:rPr>
                <w:sz w:val="12"/>
                <w:szCs w:val="12"/>
                <w:color w:val="auto"/>
              </w:rPr>
            </w:pP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880" w:type="dxa"/>
            <w:vAlign w:val="bottom"/>
          </w:tcPr>
          <w:p>
            <w:pPr>
              <w:jc w:val="right"/>
              <w:ind w:right="242"/>
              <w:spacing w:after="0" w:line="149" w:lineRule="exact"/>
              <w:rPr>
                <w:sz w:val="20"/>
                <w:szCs w:val="20"/>
                <w:color w:val="auto"/>
              </w:rPr>
            </w:pPr>
            <w:r>
              <w:rPr>
                <w:rFonts w:ascii="Arial" w:cs="Arial" w:eastAsia="Arial" w:hAnsi="Arial"/>
                <w:sz w:val="14"/>
                <w:szCs w:val="14"/>
                <w:color w:val="auto"/>
                <w:w w:val="97"/>
              </w:rPr>
              <w:t>Comcast</w:t>
            </w:r>
          </w:p>
        </w:tc>
        <w:tc>
          <w:tcPr>
            <w:tcW w:w="760" w:type="dxa"/>
            <w:vAlign w:val="bottom"/>
          </w:tcPr>
          <w:p>
            <w:pPr>
              <w:spacing w:after="0"/>
              <w:rPr>
                <w:sz w:val="12"/>
                <w:szCs w:val="12"/>
                <w:color w:val="auto"/>
              </w:rPr>
            </w:pPr>
          </w:p>
        </w:tc>
        <w:tc>
          <w:tcPr>
            <w:tcW w:w="820" w:type="dxa"/>
            <w:vAlign w:val="bottom"/>
            <w:gridSpan w:val="2"/>
          </w:tcPr>
          <w:p>
            <w:pPr>
              <w:jc w:val="center"/>
              <w:ind w:left="22"/>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5940" w:type="dxa"/>
            <w:vAlign w:val="bottom"/>
            <w:gridSpan w:val="3"/>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300" w:type="dxa"/>
            <w:vAlign w:val="bottom"/>
          </w:tcPr>
          <w:p>
            <w:pPr>
              <w:spacing w:after="0"/>
              <w:rPr>
                <w:sz w:val="13"/>
                <w:szCs w:val="13"/>
                <w:color w:val="auto"/>
              </w:rPr>
            </w:pPr>
          </w:p>
        </w:tc>
        <w:tc>
          <w:tcPr>
            <w:tcW w:w="820" w:type="dxa"/>
            <w:vAlign w:val="bottom"/>
          </w:tcPr>
          <w:p>
            <w:pPr>
              <w:jc w:val="center"/>
              <w:ind w:right="61"/>
              <w:spacing w:after="0" w:line="159" w:lineRule="exact"/>
              <w:rPr>
                <w:sz w:val="20"/>
                <w:szCs w:val="20"/>
                <w:color w:val="auto"/>
              </w:rPr>
            </w:pPr>
            <w:r>
              <w:rPr>
                <w:rFonts w:ascii="Arial" w:cs="Arial" w:eastAsia="Arial" w:hAnsi="Arial"/>
                <w:sz w:val="14"/>
                <w:szCs w:val="14"/>
                <w:color w:val="auto"/>
                <w:w w:val="87"/>
              </w:rPr>
              <w:t>Corporation</w:t>
            </w:r>
          </w:p>
        </w:tc>
        <w:tc>
          <w:tcPr>
            <w:tcW w:w="720" w:type="dxa"/>
            <w:vAlign w:val="bottom"/>
          </w:tcPr>
          <w:p>
            <w:pPr>
              <w:jc w:val="right"/>
              <w:ind w:right="1"/>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3"/>
                <w:szCs w:val="13"/>
                <w:color w:val="auto"/>
              </w:rPr>
            </w:pPr>
          </w:p>
        </w:tc>
        <w:tc>
          <w:tcPr>
            <w:tcW w:w="880" w:type="dxa"/>
            <w:vAlign w:val="bottom"/>
          </w:tcPr>
          <w:p>
            <w:pPr>
              <w:jc w:val="right"/>
              <w:ind w:right="142"/>
              <w:spacing w:after="0" w:line="159" w:lineRule="exact"/>
              <w:rPr>
                <w:sz w:val="20"/>
                <w:szCs w:val="20"/>
                <w:color w:val="auto"/>
              </w:rPr>
            </w:pPr>
            <w:r>
              <w:rPr>
                <w:rFonts w:ascii="Arial" w:cs="Arial" w:eastAsia="Arial" w:hAnsi="Arial"/>
                <w:sz w:val="14"/>
                <w:szCs w:val="14"/>
                <w:color w:val="auto"/>
                <w:w w:val="87"/>
              </w:rPr>
              <w:t>Corporation</w:t>
            </w:r>
          </w:p>
        </w:tc>
        <w:tc>
          <w:tcPr>
            <w:tcW w:w="76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left="22"/>
              <w:spacing w:after="0" w:line="159" w:lineRule="exact"/>
              <w:rPr>
                <w:sz w:val="20"/>
                <w:szCs w:val="20"/>
                <w:color w:val="auto"/>
              </w:rPr>
            </w:pPr>
            <w:r>
              <w:rPr>
                <w:rFonts w:ascii="Arial" w:cs="Arial" w:eastAsia="Arial" w:hAnsi="Arial"/>
                <w:sz w:val="14"/>
                <w:szCs w:val="14"/>
                <w:color w:val="auto"/>
                <w:w w:val="91"/>
              </w:rPr>
              <w:t>Amount</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1,732</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2,622</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0.66</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2,113</w:t>
            </w:r>
          </w:p>
        </w:tc>
        <w:tc>
          <w:tcPr>
            <w:tcW w:w="76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2,668</w:t>
            </w:r>
          </w:p>
        </w:tc>
        <w:tc>
          <w:tcPr>
            <w:tcW w:w="34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0.79</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Assumed exercise or issuance of shares</w:t>
            </w: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E5E5E5"/>
          </w:tcPr>
          <w:p>
            <w:pPr>
              <w:ind w:left="200"/>
              <w:spacing w:after="0"/>
              <w:rPr>
                <w:sz w:val="20"/>
                <w:szCs w:val="20"/>
                <w:color w:val="auto"/>
              </w:rPr>
            </w:pPr>
            <w:r>
              <w:rPr>
                <w:rFonts w:ascii="Arial" w:cs="Arial" w:eastAsia="Arial" w:hAnsi="Arial"/>
                <w:sz w:val="18"/>
                <w:szCs w:val="18"/>
                <w:color w:val="auto"/>
              </w:rPr>
              <w:t>relating to stock plans</w:t>
            </w:r>
          </w:p>
        </w:tc>
        <w:tc>
          <w:tcPr>
            <w:tcW w:w="3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EPS attributable to Comcast Corporation shareholders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2,658</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2,113</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2,703</w:t>
            </w:r>
          </w:p>
        </w:tc>
        <w:tc>
          <w:tcPr>
            <w:tcW w:w="3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r>
      <w:tr>
        <w:trPr>
          <w:trHeight w:val="324"/>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62"/>
              <w:spacing w:after="0"/>
              <w:rPr>
                <w:sz w:val="20"/>
                <w:szCs w:val="20"/>
                <w:color w:val="auto"/>
              </w:rPr>
            </w:pPr>
            <w:r>
              <w:rPr>
                <w:rFonts w:ascii="Arial" w:cs="Arial" w:eastAsia="Arial" w:hAnsi="Arial"/>
                <w:sz w:val="14"/>
                <w:szCs w:val="14"/>
                <w:color w:val="auto"/>
              </w:rPr>
              <w:t>Nine Months Ended September 30</w:t>
            </w: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4"/>
                <w:szCs w:val="14"/>
                <w:color w:val="auto"/>
                <w:w w:val="96"/>
              </w:rPr>
              <w:t>2013</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01"/>
              <w:spacing w:after="0" w:line="131" w:lineRule="exact"/>
              <w:rPr>
                <w:sz w:val="20"/>
                <w:szCs w:val="20"/>
                <w:color w:val="auto"/>
              </w:rPr>
            </w:pPr>
            <w:r>
              <w:rPr>
                <w:rFonts w:ascii="Arial" w:cs="Arial" w:eastAsia="Arial" w:hAnsi="Arial"/>
                <w:sz w:val="14"/>
                <w:szCs w:val="14"/>
                <w:color w:val="auto"/>
                <w:w w:val="89"/>
              </w:rPr>
              <w:t>Net Income</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ind w:left="180"/>
              <w:spacing w:after="0" w:line="131" w:lineRule="exact"/>
              <w:rPr>
                <w:sz w:val="20"/>
                <w:szCs w:val="20"/>
                <w:color w:val="auto"/>
              </w:rPr>
            </w:pPr>
            <w:r>
              <w:rPr>
                <w:rFonts w:ascii="Arial" w:cs="Arial" w:eastAsia="Arial" w:hAnsi="Arial"/>
                <w:sz w:val="14"/>
                <w:szCs w:val="14"/>
                <w:color w:val="auto"/>
              </w:rPr>
              <w:t>Net Income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01"/>
              <w:spacing w:after="0" w:line="149" w:lineRule="exact"/>
              <w:rPr>
                <w:sz w:val="20"/>
                <w:szCs w:val="20"/>
                <w:color w:val="auto"/>
              </w:rPr>
            </w:pPr>
            <w:r>
              <w:rPr>
                <w:rFonts w:ascii="Arial" w:cs="Arial" w:eastAsia="Arial" w:hAnsi="Arial"/>
                <w:sz w:val="14"/>
                <w:szCs w:val="14"/>
                <w:color w:val="auto"/>
                <w:w w:val="92"/>
              </w:rPr>
              <w:t>Attributable to</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Attributable to</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01"/>
              <w:spacing w:after="0" w:line="149" w:lineRule="exact"/>
              <w:rPr>
                <w:sz w:val="20"/>
                <w:szCs w:val="20"/>
                <w:color w:val="auto"/>
              </w:rPr>
            </w:pPr>
            <w:r>
              <w:rPr>
                <w:rFonts w:ascii="Arial" w:cs="Arial" w:eastAsia="Arial" w:hAnsi="Arial"/>
                <w:sz w:val="14"/>
                <w:szCs w:val="14"/>
                <w:color w:val="auto"/>
                <w:w w:val="86"/>
              </w:rPr>
              <w:t>Comcast</w:t>
            </w:r>
          </w:p>
        </w:tc>
        <w:tc>
          <w:tcPr>
            <w:tcW w:w="720" w:type="dxa"/>
            <w:vAlign w:val="bottom"/>
          </w:tcPr>
          <w:p>
            <w:pPr>
              <w:spacing w:after="0"/>
              <w:rPr>
                <w:sz w:val="12"/>
                <w:szCs w:val="12"/>
                <w:color w:val="auto"/>
              </w:rPr>
            </w:pPr>
          </w:p>
        </w:tc>
        <w:tc>
          <w:tcPr>
            <w:tcW w:w="92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880" w:type="dxa"/>
            <w:vAlign w:val="bottom"/>
          </w:tcPr>
          <w:p>
            <w:pPr>
              <w:jc w:val="right"/>
              <w:ind w:right="322"/>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2"/>
              </w:rPr>
              <w:t>Per Share</w:t>
            </w:r>
          </w:p>
        </w:tc>
      </w:tr>
      <w:tr>
        <w:trPr>
          <w:trHeight w:val="159"/>
        </w:trPr>
        <w:tc>
          <w:tcPr>
            <w:tcW w:w="5940" w:type="dxa"/>
            <w:vAlign w:val="bottom"/>
            <w:gridSpan w:val="3"/>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120" w:type="dxa"/>
            <w:vAlign w:val="bottom"/>
            <w:gridSpan w:val="2"/>
          </w:tcPr>
          <w:p>
            <w:pPr>
              <w:jc w:val="center"/>
              <w:ind w:right="201"/>
              <w:spacing w:after="0" w:line="159" w:lineRule="exact"/>
              <w:rPr>
                <w:sz w:val="20"/>
                <w:szCs w:val="20"/>
                <w:color w:val="auto"/>
              </w:rPr>
            </w:pPr>
            <w:r>
              <w:rPr>
                <w:rFonts w:ascii="Arial" w:cs="Arial" w:eastAsia="Arial" w:hAnsi="Arial"/>
                <w:sz w:val="14"/>
                <w:szCs w:val="14"/>
                <w:color w:val="auto"/>
                <w:w w:val="87"/>
              </w:rPr>
              <w:t>Corporation</w:t>
            </w:r>
          </w:p>
        </w:tc>
        <w:tc>
          <w:tcPr>
            <w:tcW w:w="720" w:type="dxa"/>
            <w:vAlign w:val="bottom"/>
          </w:tcPr>
          <w:p>
            <w:pPr>
              <w:jc w:val="right"/>
              <w:ind w:right="201"/>
              <w:spacing w:after="0" w:line="159" w:lineRule="exact"/>
              <w:rPr>
                <w:sz w:val="20"/>
                <w:szCs w:val="20"/>
                <w:color w:val="auto"/>
              </w:rPr>
            </w:pPr>
            <w:r>
              <w:rPr>
                <w:rFonts w:ascii="Arial" w:cs="Arial" w:eastAsia="Arial" w:hAnsi="Arial"/>
                <w:sz w:val="14"/>
                <w:szCs w:val="14"/>
                <w:color w:val="auto"/>
                <w:w w:val="94"/>
              </w:rPr>
              <w:t>Shares</w:t>
            </w:r>
          </w:p>
        </w:tc>
        <w:tc>
          <w:tcPr>
            <w:tcW w:w="92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Amount</w:t>
            </w:r>
          </w:p>
        </w:tc>
        <w:tc>
          <w:tcPr>
            <w:tcW w:w="11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Corporation</w:t>
            </w:r>
          </w:p>
        </w:tc>
        <w:tc>
          <w:tcPr>
            <w:tcW w:w="76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left="2"/>
              <w:spacing w:after="0" w:line="159" w:lineRule="exact"/>
              <w:rPr>
                <w:sz w:val="20"/>
                <w:szCs w:val="20"/>
                <w:color w:val="auto"/>
              </w:rPr>
            </w:pPr>
            <w:r>
              <w:rPr>
                <w:rFonts w:ascii="Arial" w:cs="Arial" w:eastAsia="Arial" w:hAnsi="Arial"/>
                <w:sz w:val="14"/>
                <w:szCs w:val="14"/>
                <w:color w:val="auto"/>
                <w:w w:val="95"/>
              </w:rPr>
              <w:t>Amount</w:t>
            </w:r>
          </w:p>
        </w:tc>
      </w:tr>
      <w:tr>
        <w:trPr>
          <w:trHeight w:val="210"/>
        </w:trPr>
        <w:tc>
          <w:tcPr>
            <w:tcW w:w="20" w:type="dxa"/>
            <w:vAlign w:val="bottom"/>
          </w:tcPr>
          <w:p>
            <w:pPr>
              <w:spacing w:after="0"/>
              <w:rPr>
                <w:sz w:val="18"/>
                <w:szCs w:val="18"/>
                <w:color w:val="auto"/>
              </w:rPr>
            </w:pPr>
          </w:p>
        </w:tc>
        <w:tc>
          <w:tcPr>
            <w:tcW w:w="592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300" w:type="dxa"/>
            <w:vAlign w:val="bottom"/>
            <w:tcBorders>
              <w:top w:val="single" w:sz="8" w:color="auto"/>
            </w:tcBorders>
            <w:shd w:val="clear" w:color="auto" w:fill="E5E5E5"/>
          </w:tcPr>
          <w:p>
            <w:pPr>
              <w:jc w:val="right"/>
              <w:ind w:right="103"/>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E5E5E5"/>
          </w:tcPr>
          <w:p>
            <w:pPr>
              <w:jc w:val="center"/>
              <w:ind w:right="101"/>
              <w:spacing w:after="0"/>
              <w:rPr>
                <w:sz w:val="20"/>
                <w:szCs w:val="20"/>
                <w:color w:val="auto"/>
              </w:rPr>
            </w:pPr>
            <w:r>
              <w:rPr>
                <w:rFonts w:ascii="Arial" w:cs="Arial" w:eastAsia="Arial" w:hAnsi="Arial"/>
                <w:sz w:val="18"/>
                <w:szCs w:val="18"/>
                <w:color w:val="auto"/>
                <w:w w:val="88"/>
              </w:rPr>
              <w:t>4,903</w:t>
            </w:r>
          </w:p>
        </w:tc>
        <w:tc>
          <w:tcPr>
            <w:tcW w:w="720" w:type="dxa"/>
            <w:vAlign w:val="bottom"/>
            <w:tcBorders>
              <w:top w:val="single" w:sz="8" w:color="auto"/>
            </w:tcBorders>
            <w:shd w:val="clear" w:color="auto" w:fill="E5E5E5"/>
          </w:tcPr>
          <w:p>
            <w:pPr>
              <w:jc w:val="right"/>
              <w:ind w:right="81"/>
              <w:spacing w:after="0"/>
              <w:rPr>
                <w:sz w:val="20"/>
                <w:szCs w:val="20"/>
                <w:color w:val="auto"/>
              </w:rPr>
            </w:pPr>
            <w:r>
              <w:rPr>
                <w:rFonts w:ascii="Arial" w:cs="Arial" w:eastAsia="Arial" w:hAnsi="Arial"/>
                <w:sz w:val="18"/>
                <w:szCs w:val="18"/>
                <w:color w:val="auto"/>
              </w:rPr>
              <w:t>2,629</w:t>
            </w:r>
          </w:p>
        </w:tc>
        <w:tc>
          <w:tcPr>
            <w:tcW w:w="400" w:type="dxa"/>
            <w:vAlign w:val="bottom"/>
            <w:tcBorders>
              <w:top w:val="single" w:sz="8" w:color="auto"/>
            </w:tcBorders>
            <w:shd w:val="clear" w:color="auto" w:fill="E5E5E5"/>
          </w:tcPr>
          <w:p>
            <w:pPr>
              <w:jc w:val="right"/>
              <w:ind w:right="12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1"/>
              </w:rPr>
              <w:t>1.86</w:t>
            </w:r>
          </w:p>
        </w:tc>
        <w:tc>
          <w:tcPr>
            <w:tcW w:w="260" w:type="dxa"/>
            <w:vAlign w:val="bottom"/>
            <w:tcBorders>
              <w:top w:val="single" w:sz="8" w:color="auto"/>
            </w:tcBorders>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4,685</w:t>
            </w:r>
          </w:p>
        </w:tc>
        <w:tc>
          <w:tcPr>
            <w:tcW w:w="760" w:type="dxa"/>
            <w:vAlign w:val="bottom"/>
            <w:tcBorders>
              <w:top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2,687</w:t>
            </w:r>
          </w:p>
        </w:tc>
        <w:tc>
          <w:tcPr>
            <w:tcW w:w="34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Assumed exercise or issuance of shares</w:t>
            </w: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E5E5E5"/>
          </w:tcPr>
          <w:p>
            <w:pPr>
              <w:ind w:left="200"/>
              <w:spacing w:after="0"/>
              <w:rPr>
                <w:sz w:val="20"/>
                <w:szCs w:val="20"/>
                <w:color w:val="auto"/>
              </w:rPr>
            </w:pPr>
            <w:r>
              <w:rPr>
                <w:rFonts w:ascii="Arial" w:cs="Arial" w:eastAsia="Arial" w:hAnsi="Arial"/>
                <w:sz w:val="18"/>
                <w:szCs w:val="18"/>
                <w:color w:val="auto"/>
              </w:rPr>
              <w:t>relating to stock plans</w:t>
            </w:r>
          </w:p>
        </w:tc>
        <w:tc>
          <w:tcPr>
            <w:tcW w:w="30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81"/>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spacing w:after="0"/>
              <w:rPr>
                <w:sz w:val="19"/>
                <w:szCs w:val="19"/>
                <w:color w:val="auto"/>
              </w:rPr>
            </w:pPr>
          </w:p>
        </w:tc>
        <w:tc>
          <w:tcPr>
            <w:tcW w:w="26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spacing w:after="0"/>
              <w:rPr>
                <w:sz w:val="19"/>
                <w:szCs w:val="19"/>
                <w:color w:val="auto"/>
              </w:rPr>
            </w:pPr>
          </w:p>
        </w:tc>
      </w:tr>
      <w:tr>
        <w:trPr>
          <w:trHeight w:val="218"/>
        </w:trPr>
        <w:tc>
          <w:tcPr>
            <w:tcW w:w="2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Diluted EPS attributable to Comcast Corporation shareholders</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center"/>
              <w:ind w:right="101"/>
              <w:spacing w:after="0"/>
              <w:rPr>
                <w:sz w:val="20"/>
                <w:szCs w:val="20"/>
                <w:color w:val="auto"/>
              </w:rPr>
            </w:pPr>
            <w:r>
              <w:rPr>
                <w:rFonts w:ascii="Arial" w:cs="Arial" w:eastAsia="Arial" w:hAnsi="Arial"/>
                <w:sz w:val="18"/>
                <w:szCs w:val="18"/>
                <w:b w:val="1"/>
                <w:bCs w:val="1"/>
                <w:color w:val="auto"/>
                <w:w w:val="88"/>
              </w:rPr>
              <w:t>4,903</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2,668</w:t>
            </w:r>
          </w:p>
        </w:tc>
        <w:tc>
          <w:tcPr>
            <w:tcW w:w="40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1"/>
              </w:rPr>
              <w:t>1.84</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4,685</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2,724</w:t>
            </w: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2013 excludes 18 million and 13 million, respectively, of potential common shares related to our share-based compensation plans, because the inclusion of the potential common shares would have had an antidilutive effect. For the three and nine months ended September 30, 2012, diluted EPS excluded 21 million and 37 million, respectively, of potential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Transaction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we acquired GE’s remaining 49% common equity interest in NBCUniversal Holdings for approximately $16.7 billion (the “Redemption Transaction”). In addition to this transaction, NBCUniversal purchased from GE certain properties NBCUniversal occupies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consideration for these transactions consisted of $11.4 billion of cash on hand; $4 billion of senior debt securities issued by NBCUniversal Enterprise, Inc. (“NBCUniversal Enterprise”), a holding company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7 for additional information on NBCUniversal Enterprise’s senior debt securities and credit facility.</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close of the Redemption Transaction, we control and consolidate NBCUniversal Enterprise and own all of its capital stock other than its preferred stock. NBCUniversal Enterprise’s senior debt securities and credit facility are guaranteed by us and four of our wholly owned cable holding company subsidiaries, but are not guaranteed by NBCUniversal. In March 2013, NBCUniversal became a part of our existing cross-guarantee structure. See Note 16 for additional information on our cross-guarantee structure.</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the close of the transaction, GE sold the interests in NBCUniversal Enterprise’s senior debt securities and preferred stock it acquired in the Redemption Transaction to unaffiliated third parties. The preferred stock pays dividends at a fixed rate of 5.25% per annum and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condensed consolidated balance sheet. Its initial value was based on the liquidation preference of the preferred stock and is adjusted for accrued but unpaid dividends.</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an increase to our deferred tax liabilities of $1.5 billion primarily due to an increase in our financial reporting basis in the consolidated net assets of NBCUniversal Holdings in excess of the tax basis following the Redemption Transaction. In addition, our condensed consolidated balance sheet now includes certain tax liabilities of NBCUniversal Enterprise related to periods prior to our acquisition of the common stock of NBCUniversal Enterprise for which we have been indemnified by GE and have recorded a related indemnification asset. We also expect to realize additional tax benefits in the future as a result of the Redemption Transaction, which are expected to increase the amounts we have agreed to share with GE. Our expected future payments to GE are accounted for as contingent consideration. See Note 8 for additional information on the fair value of this contingent consideration as of September 30, 2013.</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we maintained control of NBCUniversal Holdings, the difference between the consideration transferred and the recorded value of GE’s 49% redeemable noncontrolling common equity interest, and the related tax impacts, were recorded to additional paid-in capital. The related tax impacts are preliminary and subject to change as we obtain the information necessary to complete our analysis.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120" w:type="dxa"/>
            <w:vAlign w:val="bottom"/>
            <w:gridSpan w:val="2"/>
          </w:tcPr>
          <w:p>
            <w:pPr>
              <w:ind w:left="294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6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6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tcPr>
          <w:p>
            <w:pPr>
              <w:ind w:left="29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1,439</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394</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2,619</w:t>
            </w: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1,144</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1,124</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321</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1,465</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2,060</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5,547</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5,963</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959</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r>
      <w:tr>
        <w:trPr>
          <w:trHeight w:val="217"/>
        </w:trPr>
        <w:tc>
          <w:tcPr>
            <w:tcW w:w="6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00" w:type="dxa"/>
            <w:vAlign w:val="bottom"/>
            <w:tcBorders>
              <w:bottom w:val="single" w:sz="8" w:color="auto"/>
            </w:tcBorders>
            <w:shd w:val="clear" w:color="auto" w:fill="E5E5E5"/>
          </w:tcPr>
          <w:p>
            <w:pPr>
              <w:ind w:left="29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4,588</w:t>
            </w:r>
          </w:p>
        </w:tc>
        <w:tc>
          <w:tcPr>
            <w:tcW w:w="5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5,054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w w:val="84"/>
              </w:rPr>
              <w:t>September 30,</w:t>
            </w:r>
          </w:p>
        </w:tc>
        <w:tc>
          <w:tcPr>
            <w:tcW w:w="5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color w:val="auto"/>
                <w:w w:val="90"/>
              </w:rPr>
              <w:t>December 31,</w:t>
            </w:r>
          </w:p>
        </w:tc>
      </w:tr>
      <w:tr>
        <w:trPr>
          <w:trHeight w:val="159"/>
        </w:trPr>
        <w:tc>
          <w:tcPr>
            <w:tcW w:w="70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13"/>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7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4,790</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4,493</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Equity Method: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70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10"/>
        </w:trPr>
        <w:tc>
          <w:tcPr>
            <w:tcW w:w="65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1,040</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1,164</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Cost Method: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0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AirTouch</w:t>
            </w: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1,549</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1,538</w:t>
            </w:r>
          </w:p>
        </w:tc>
      </w:tr>
      <w:tr>
        <w:trPr>
          <w:trHeight w:val="216"/>
        </w:trPr>
        <w:tc>
          <w:tcPr>
            <w:tcW w:w="70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10"/>
        </w:trPr>
        <w:tc>
          <w:tcPr>
            <w:tcW w:w="65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1,974</w:t>
            </w:r>
          </w:p>
        </w:tc>
        <w:tc>
          <w:tcPr>
            <w:tcW w:w="5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2,132</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7,789</w:t>
            </w:r>
          </w:p>
        </w:tc>
      </w:tr>
      <w:tr>
        <w:trPr>
          <w:trHeight w:val="216"/>
        </w:trPr>
        <w:tc>
          <w:tcPr>
            <w:tcW w:w="7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1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4,132</w:t>
            </w:r>
          </w:p>
        </w:tc>
        <w:tc>
          <w:tcPr>
            <w:tcW w:w="5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1,464</w:t>
            </w:r>
          </w:p>
        </w:tc>
      </w:tr>
      <w:tr>
        <w:trPr>
          <w:trHeight w:val="217"/>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Noncurrent investments</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w:t>
            </w:r>
          </w:p>
        </w:tc>
      </w:tr>
      <w:tr>
        <w:trPr>
          <w:trHeight w:val="403"/>
        </w:trPr>
        <w:tc>
          <w:tcPr>
            <w:tcW w:w="7040" w:type="dxa"/>
            <w:vAlign w:val="bottom"/>
            <w:gridSpan w:val="2"/>
          </w:tcPr>
          <w:p>
            <w:pPr>
              <w:ind w:left="4440"/>
              <w:spacing w:after="0"/>
              <w:rPr>
                <w:sz w:val="20"/>
                <w:szCs w:val="20"/>
                <w:color w:val="auto"/>
              </w:rPr>
            </w:pPr>
            <w:r>
              <w:rPr>
                <w:rFonts w:ascii="Arial" w:cs="Arial" w:eastAsia="Arial" w:hAnsi="Arial"/>
                <w:sz w:val="18"/>
                <w:szCs w:val="18"/>
                <w:b w:val="1"/>
                <w:bCs w:val="1"/>
                <w:color w:val="auto"/>
                <w:w w:val="98"/>
              </w:rPr>
              <w:t>Investment Income (Loss), Net</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6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3"/>
          </w:tcPr>
          <w:p>
            <w:pPr>
              <w:jc w:val="right"/>
              <w:ind w:right="335"/>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gridSpan w:val="3"/>
          </w:tcPr>
          <w:p>
            <w:pPr>
              <w:jc w:val="right"/>
              <w:ind w:right="353"/>
              <w:spacing w:after="0"/>
              <w:rPr>
                <w:sz w:val="20"/>
                <w:szCs w:val="20"/>
                <w:color w:val="auto"/>
              </w:rPr>
            </w:pPr>
            <w:r>
              <w:rPr>
                <w:rFonts w:ascii="Arial" w:cs="Arial" w:eastAsia="Arial" w:hAnsi="Arial"/>
                <w:sz w:val="14"/>
                <w:szCs w:val="14"/>
                <w:color w:val="auto"/>
                <w:w w:val="92"/>
              </w:rPr>
              <w:t>Nine Months Ended</w:t>
            </w:r>
          </w:p>
        </w:tc>
      </w:tr>
      <w:tr>
        <w:trPr>
          <w:trHeight w:val="159"/>
        </w:trPr>
        <w:tc>
          <w:tcPr>
            <w:tcW w:w="65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r>
      <w:tr>
        <w:trPr>
          <w:trHeight w:val="142"/>
        </w:trPr>
        <w:tc>
          <w:tcPr>
            <w:tcW w:w="6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color w:val="auto"/>
                <w:w w:val="89"/>
              </w:rPr>
              <w:t>2013</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2012</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338"/>
              <w:spacing w:after="0" w:line="142" w:lineRule="exact"/>
              <w:rPr>
                <w:sz w:val="20"/>
                <w:szCs w:val="20"/>
                <w:color w:val="auto"/>
              </w:rPr>
            </w:pPr>
            <w:r>
              <w:rPr>
                <w:rFonts w:ascii="Arial" w:cs="Arial" w:eastAsia="Arial" w:hAnsi="Arial"/>
                <w:sz w:val="14"/>
                <w:szCs w:val="14"/>
                <w:color w:val="auto"/>
              </w:rPr>
              <w:t>2013</w:t>
            </w:r>
          </w:p>
        </w:tc>
        <w:tc>
          <w:tcPr>
            <w:tcW w:w="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w w:val="89"/>
              </w:rPr>
              <w:t>2012</w:t>
            </w:r>
          </w:p>
        </w:tc>
      </w:tr>
      <w:tr>
        <w:trPr>
          <w:trHeight w:val="210"/>
        </w:trPr>
        <w:tc>
          <w:tcPr>
            <w:tcW w:w="7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445</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w w:val="86"/>
              </w:rPr>
              <w:t>483</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Investment impairment losses</w:t>
            </w:r>
          </w:p>
        </w:tc>
        <w:tc>
          <w:tcPr>
            <w:tcW w:w="18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ind w:right="138"/>
              <w:spacing w:after="0"/>
              <w:rPr>
                <w:sz w:val="20"/>
                <w:szCs w:val="20"/>
                <w:color w:val="auto"/>
              </w:rPr>
            </w:pPr>
            <w:r>
              <w:rPr>
                <w:rFonts w:ascii="Arial" w:cs="Arial" w:eastAsia="Arial" w:hAnsi="Arial"/>
                <w:sz w:val="18"/>
                <w:szCs w:val="18"/>
                <w:color w:val="auto"/>
                <w:w w:val="99"/>
              </w:rPr>
              <w:t>(25)</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E5E5E5"/>
          </w:tcPr>
          <w:p>
            <w:pPr>
              <w:spacing w:after="0"/>
              <w:rPr>
                <w:sz w:val="18"/>
                <w:szCs w:val="18"/>
                <w:color w:val="auto"/>
              </w:rPr>
            </w:pPr>
          </w:p>
        </w:tc>
        <w:tc>
          <w:tcPr>
            <w:tcW w:w="1200" w:type="dxa"/>
            <w:vAlign w:val="bottom"/>
            <w:gridSpan w:val="2"/>
            <w:shd w:val="clear" w:color="auto" w:fill="E5E5E5"/>
          </w:tcPr>
          <w:p>
            <w:pPr>
              <w:jc w:val="right"/>
              <w:ind w:right="198"/>
              <w:spacing w:after="0"/>
              <w:rPr>
                <w:sz w:val="20"/>
                <w:szCs w:val="20"/>
                <w:color w:val="auto"/>
              </w:rPr>
            </w:pPr>
            <w:r>
              <w:rPr>
                <w:rFonts w:ascii="Arial" w:cs="Arial" w:eastAsia="Arial" w:hAnsi="Arial"/>
                <w:sz w:val="18"/>
                <w:szCs w:val="18"/>
                <w:color w:val="auto"/>
              </w:rPr>
              <w:t>1,197</w:t>
            </w: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988</w:t>
            </w:r>
          </w:p>
        </w:tc>
      </w:tr>
      <w:tr>
        <w:trPr>
          <w:trHeight w:val="208"/>
        </w:trPr>
        <w:tc>
          <w:tcPr>
            <w:tcW w:w="7040" w:type="dxa"/>
            <w:vAlign w:val="bottom"/>
            <w:gridSpan w:val="2"/>
          </w:tcPr>
          <w:p>
            <w:pPr>
              <w:spacing w:after="0"/>
              <w:rPr>
                <w:sz w:val="20"/>
                <w:szCs w:val="20"/>
                <w:color w:val="auto"/>
              </w:rPr>
            </w:pPr>
            <w:r>
              <w:rPr>
                <w:rFonts w:ascii="Arial" w:cs="Arial" w:eastAsia="Arial" w:hAnsi="Arial"/>
                <w:sz w:val="18"/>
                <w:szCs w:val="18"/>
                <w:color w:val="auto"/>
                <w:w w:val="98"/>
              </w:rPr>
              <w:t>Mark to market adjustments on derivative component of prepaid forward sale agreements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and indexed debt instruments</w:t>
            </w:r>
          </w:p>
        </w:tc>
        <w:tc>
          <w:tcPr>
            <w:tcW w:w="180" w:type="dxa"/>
            <w:vAlign w:val="bottom"/>
          </w:tcPr>
          <w:p>
            <w:pPr>
              <w:spacing w:after="0"/>
              <w:rPr>
                <w:sz w:val="19"/>
                <w:szCs w:val="19"/>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9"/>
                <w:szCs w:val="19"/>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8"/>
                <w:szCs w:val="18"/>
                <w:color w:val="auto"/>
              </w:rPr>
              <w:t>(1,189)</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18"/>
        </w:trPr>
        <w:tc>
          <w:tcPr>
            <w:tcW w:w="7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1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28</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84</w:t>
            </w:r>
          </w:p>
        </w:tc>
        <w:tc>
          <w:tcPr>
            <w:tcW w:w="5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89</w:t>
            </w:r>
          </w:p>
        </w:tc>
      </w:tr>
      <w:tr>
        <w:trPr>
          <w:trHeight w:val="216"/>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17"/>
        </w:trPr>
        <w:tc>
          <w:tcPr>
            <w:tcW w:w="70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b w:val="1"/>
                <w:bCs w:val="1"/>
                <w:color w:val="auto"/>
              </w:rPr>
              <w:t>464</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b w:val="1"/>
                <w:bCs w:val="1"/>
                <w:color w:val="auto"/>
                <w:w w:val="86"/>
              </w:rPr>
              <w:t>549</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170</w:t>
            </w:r>
          </w:p>
        </w:tc>
      </w:tr>
      <w:tr>
        <w:trPr>
          <w:trHeight w:val="363"/>
        </w:trPr>
        <w:tc>
          <w:tcPr>
            <w:tcW w:w="6540" w:type="dxa"/>
            <w:vAlign w:val="bottom"/>
          </w:tcPr>
          <w:p>
            <w:pPr>
              <w:ind w:left="566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2013, the majority of our fair value method investments were equity securities held as collateral that were related to our obligations under prepaid forward sale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Sale Agreements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420" w:type="dxa"/>
            <w:vAlign w:val="bottom"/>
            <w:gridSpan w:val="2"/>
          </w:tcPr>
          <w:p>
            <w:pPr>
              <w:ind w:left="224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67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00" w:type="dxa"/>
            <w:vAlign w:val="bottom"/>
          </w:tcPr>
          <w:p>
            <w:pPr>
              <w:spacing w:after="0"/>
              <w:rPr>
                <w:sz w:val="13"/>
                <w:szCs w:val="13"/>
                <w:color w:val="auto"/>
              </w:rPr>
            </w:pPr>
          </w:p>
        </w:tc>
        <w:tc>
          <w:tcPr>
            <w:tcW w:w="1020" w:type="dxa"/>
            <w:vAlign w:val="bottom"/>
          </w:tcPr>
          <w:p>
            <w:pPr>
              <w:jc w:val="right"/>
              <w:ind w:right="576"/>
              <w:spacing w:after="0" w:line="159" w:lineRule="exact"/>
              <w:rPr>
                <w:sz w:val="20"/>
                <w:szCs w:val="20"/>
                <w:color w:val="auto"/>
              </w:rPr>
            </w:pPr>
            <w:r>
              <w:rPr>
                <w:rFonts w:ascii="Arial" w:cs="Arial" w:eastAsia="Arial" w:hAnsi="Arial"/>
                <w:sz w:val="14"/>
                <w:szCs w:val="14"/>
                <w:color w:val="auto"/>
              </w:rPr>
              <w:t>2013</w:t>
            </w:r>
          </w:p>
        </w:tc>
        <w:tc>
          <w:tcPr>
            <w:tcW w:w="560" w:type="dxa"/>
            <w:vAlign w:val="bottom"/>
          </w:tcPr>
          <w:p>
            <w:pPr>
              <w:spacing w:after="0"/>
              <w:rPr>
                <w:sz w:val="13"/>
                <w:szCs w:val="13"/>
                <w:color w:val="auto"/>
              </w:rPr>
            </w:pPr>
          </w:p>
        </w:tc>
        <w:tc>
          <w:tcPr>
            <w:tcW w:w="66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Assets:</w:t>
            </w:r>
          </w:p>
        </w:tc>
        <w:tc>
          <w:tcPr>
            <w:tcW w:w="240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Fair value equity securities held as collateral</w:t>
            </w:r>
          </w:p>
        </w:tc>
        <w:tc>
          <w:tcPr>
            <w:tcW w:w="24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3,555</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r>
      <w:tr>
        <w:trPr>
          <w:trHeight w:val="210"/>
        </w:trPr>
        <w:tc>
          <w:tcPr>
            <w:tcW w:w="20" w:type="dxa"/>
            <w:vAlign w:val="bottom"/>
          </w:tcPr>
          <w:p>
            <w:pPr>
              <w:spacing w:after="0"/>
              <w:rPr>
                <w:sz w:val="18"/>
                <w:szCs w:val="18"/>
                <w:color w:val="auto"/>
              </w:rPr>
            </w:pPr>
          </w:p>
        </w:tc>
        <w:tc>
          <w:tcPr>
            <w:tcW w:w="6760" w:type="dxa"/>
            <w:vAlign w:val="bottom"/>
            <w:shd w:val="clear" w:color="auto" w:fill="E5E5E5"/>
          </w:tcPr>
          <w:p>
            <w:pPr>
              <w:spacing w:after="0"/>
              <w:rPr>
                <w:sz w:val="20"/>
                <w:szCs w:val="20"/>
                <w:color w:val="auto"/>
              </w:rPr>
            </w:pPr>
            <w:r>
              <w:rPr>
                <w:rFonts w:ascii="Arial" w:cs="Arial" w:eastAsia="Arial" w:hAnsi="Arial"/>
                <w:sz w:val="18"/>
                <w:szCs w:val="18"/>
                <w:color w:val="auto"/>
              </w:rPr>
              <w:t>Liabilities:</w:t>
            </w:r>
          </w:p>
        </w:tc>
        <w:tc>
          <w:tcPr>
            <w:tcW w:w="24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Obligations under prepaid forward sale agreements</w:t>
            </w:r>
          </w:p>
        </w:tc>
        <w:tc>
          <w:tcPr>
            <w:tcW w:w="2400" w:type="dxa"/>
            <w:vAlign w:val="bottom"/>
          </w:tcPr>
          <w:p>
            <w:pPr>
              <w:ind w:left="2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6"/>
              <w:spacing w:after="0"/>
              <w:rPr>
                <w:sz w:val="20"/>
                <w:szCs w:val="20"/>
                <w:color w:val="auto"/>
              </w:rPr>
            </w:pPr>
            <w:r>
              <w:rPr>
                <w:rFonts w:ascii="Arial" w:cs="Arial" w:eastAsia="Arial" w:hAnsi="Arial"/>
                <w:sz w:val="18"/>
                <w:szCs w:val="18"/>
                <w:color w:val="auto"/>
              </w:rPr>
              <w:t>799</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Derivative component of prepaid forward sale agreements</w:t>
            </w:r>
          </w:p>
        </w:tc>
        <w:tc>
          <w:tcPr>
            <w:tcW w:w="24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2,397</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2,302</w:t>
            </w:r>
          </w:p>
        </w:tc>
      </w:tr>
      <w:tr>
        <w:trPr>
          <w:trHeight w:val="217"/>
        </w:trPr>
        <w:tc>
          <w:tcPr>
            <w:tcW w:w="2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400" w:type="dxa"/>
            <w:vAlign w:val="bottom"/>
            <w:tcBorders>
              <w:bottom w:val="single" w:sz="8" w:color="auto"/>
            </w:tcBorders>
          </w:tcPr>
          <w:p>
            <w:pPr>
              <w:ind w:left="2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3,196</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r>
    </w:tbl>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nine months ended September 30, 2013, we purchased a total of $653 million of equity securities classified as trading securities and held as collateral under our prepaid forward sale agreements. We also settled obligations under certain of our prepaid forward sale agreements totaling $1.6 billion with a combination of cash on hand and $1.4 billion of equity securities. As of September 30, 2013, our remaining prepaid forward sale obligations had an estimated fair value of $3.2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Media</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2013, Liberty Media Corporation (“Liberty Media”) redeemed 6.3 million shares of Liberty Media Series A common stock (“Liberty stock”) that had been held by us as collateral as of December 31, 2012 under certain of our prepaid forward sale agreements in exchange for all of the equity of a subsidiary of Liberty Media. As of September 30, 2013, the fair value of the Liberty stock was $925 million. The assets of the subsidiary of Liberty Media included cash of $417 million, Liberty Media’s interests in one of NBCUniversal’s contractual obligations and a wholly owned operating subsidiary, Leisure Arts, Inc. As of September 30, 2013, a liability of $383 million associated with NBCUniversal’s contractual obligation was included in our condensed consolidated balance sheet. Following the close of this transaction, we now consolidate the subsidiary transferred to us and the liability associated with NBCUniversal’s contractual obligation is eliminated in consolidation.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Clearwire</w:t>
      </w:r>
    </w:p>
    <w:p>
      <w:pPr>
        <w:spacing w:after="0" w:line="7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July 2013, in connection with Sprint’s acquisition of Clearwire Corporation (“Clearwire”), Sprint acquired our investment of 89 million Class A shares of Clearwire for $443 million. As of the date of the acquisition by Sprint, we recognized a pretax gain of $443 million in our condensed consolidated statement of income, which represented the recognition of cumulative unrealized gains previously recorded in accumulated other comprehensive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2013, NBCUniversal received a distribution from The Weather Channel Holding Corp. (“The Weather Channel”) of $152 million, of which $128 million was recorded as a return of its investment in The Weather Channel and is included under the caption “return of capital from investees” in our condensed consolidated statement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September 30, 2013, the estimated fair values of the AirTouch preferred stock and the associated liability related to the redeemable preferred shares issued by one of our consolidated subsidiaries were each $1.7 billion. The estimated fair values are based on Level 2 inputs using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pricing models whose inputs are derived primarily from or corroborated by observable market data through correlation or other means for substantially the full term of the financial instrument.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color w:val="auto"/>
              </w:rPr>
              <w:t>Cable</w:t>
            </w: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w w:val="88"/>
              </w:rPr>
              <w:t>NBCUniversal</w:t>
            </w:r>
          </w:p>
        </w:tc>
        <w:tc>
          <w:tcPr>
            <w:tcW w:w="8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gridSpan w:val="2"/>
            <w:vMerge w:val="restart"/>
          </w:tcPr>
          <w:p>
            <w:pPr>
              <w:ind w:left="400"/>
              <w:spacing w:after="0"/>
              <w:rPr>
                <w:sz w:val="20"/>
                <w:szCs w:val="20"/>
                <w:color w:val="auto"/>
              </w:rPr>
            </w:pPr>
            <w:r>
              <w:rPr>
                <w:rFonts w:ascii="Arial" w:cs="Arial" w:eastAsia="Arial" w:hAnsi="Arial"/>
                <w:sz w:val="14"/>
                <w:szCs w:val="14"/>
                <w:color w:val="auto"/>
              </w:rPr>
              <w:t>Corporate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80" w:type="dxa"/>
            <w:vAlign w:val="bottom"/>
          </w:tcPr>
          <w:p>
            <w:pPr>
              <w:jc w:val="right"/>
              <w:ind w:right="279"/>
              <w:spacing w:after="0" w:line="131" w:lineRule="exact"/>
              <w:rPr>
                <w:sz w:val="20"/>
                <w:szCs w:val="20"/>
                <w:color w:val="auto"/>
              </w:rPr>
            </w:pPr>
            <w:r>
              <w:rPr>
                <w:rFonts w:ascii="Arial" w:cs="Arial" w:eastAsia="Arial" w:hAnsi="Arial"/>
                <w:sz w:val="14"/>
                <w:szCs w:val="14"/>
                <w:color w:val="auto"/>
              </w:rPr>
              <w:t>Cable</w:t>
            </w:r>
          </w:p>
        </w:tc>
        <w:tc>
          <w:tcPr>
            <w:tcW w:w="100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Broadcast</w:t>
            </w:r>
          </w:p>
        </w:tc>
        <w:tc>
          <w:tcPr>
            <w:tcW w:w="400" w:type="dxa"/>
            <w:vAlign w:val="bottom"/>
          </w:tcPr>
          <w:p>
            <w:pPr>
              <w:spacing w:after="0"/>
              <w:rPr>
                <w:sz w:val="11"/>
                <w:szCs w:val="11"/>
                <w:color w:val="auto"/>
              </w:rPr>
            </w:pPr>
          </w:p>
        </w:tc>
        <w:tc>
          <w:tcPr>
            <w:tcW w:w="800" w:type="dxa"/>
            <w:vAlign w:val="bottom"/>
          </w:tcPr>
          <w:p>
            <w:pPr>
              <w:jc w:val="right"/>
              <w:ind w:right="336"/>
              <w:spacing w:after="0" w:line="131" w:lineRule="exact"/>
              <w:rPr>
                <w:sz w:val="20"/>
                <w:szCs w:val="20"/>
                <w:color w:val="auto"/>
              </w:rPr>
            </w:pPr>
            <w:r>
              <w:rPr>
                <w:rFonts w:ascii="Arial" w:cs="Arial" w:eastAsia="Arial" w:hAnsi="Arial"/>
                <w:sz w:val="14"/>
                <w:szCs w:val="14"/>
                <w:color w:val="auto"/>
                <w:w w:val="85"/>
              </w:rPr>
              <w:t>Filmed</w:t>
            </w:r>
          </w:p>
        </w:tc>
        <w:tc>
          <w:tcPr>
            <w:tcW w:w="640" w:type="dxa"/>
            <w:vAlign w:val="bottom"/>
          </w:tcPr>
          <w:p>
            <w:pPr>
              <w:jc w:val="right"/>
              <w:spacing w:after="0" w:line="131" w:lineRule="exact"/>
              <w:rPr>
                <w:sz w:val="20"/>
                <w:szCs w:val="20"/>
                <w:color w:val="auto"/>
              </w:rPr>
            </w:pPr>
            <w:r>
              <w:rPr>
                <w:rFonts w:ascii="Arial" w:cs="Arial" w:eastAsia="Arial" w:hAnsi="Arial"/>
                <w:sz w:val="14"/>
                <w:szCs w:val="14"/>
                <w:color w:val="auto"/>
              </w:rPr>
              <w:t>Theme</w:t>
            </w:r>
          </w:p>
        </w:tc>
        <w:tc>
          <w:tcPr>
            <w:tcW w:w="11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ind w:left="1120"/>
              <w:spacing w:after="0" w:line="159" w:lineRule="exact"/>
              <w:rPr>
                <w:sz w:val="20"/>
                <w:szCs w:val="20"/>
                <w:color w:val="auto"/>
              </w:rPr>
            </w:pPr>
            <w:r>
              <w:rPr>
                <w:rFonts w:ascii="Arial" w:cs="Arial" w:eastAsia="Arial" w:hAnsi="Arial"/>
                <w:sz w:val="14"/>
                <w:szCs w:val="14"/>
                <w:color w:val="auto"/>
                <w:w w:val="92"/>
              </w:rPr>
              <w:t>Communications</w:t>
            </w:r>
          </w:p>
        </w:tc>
        <w:tc>
          <w:tcPr>
            <w:tcW w:w="118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rPr>
              <w:t>Networks</w:t>
            </w:r>
          </w:p>
        </w:tc>
        <w:tc>
          <w:tcPr>
            <w:tcW w:w="10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Television</w:t>
            </w:r>
          </w:p>
        </w:tc>
        <w:tc>
          <w:tcPr>
            <w:tcW w:w="12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Entertainment</w:t>
            </w: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Parks</w:t>
            </w:r>
          </w:p>
        </w:tc>
        <w:tc>
          <w:tcPr>
            <w:tcW w:w="116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and Other</w:t>
            </w:r>
          </w:p>
        </w:tc>
        <w:tc>
          <w:tcPr>
            <w:tcW w:w="86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2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1320" w:type="dxa"/>
            <w:vAlign w:val="bottom"/>
            <w:shd w:val="clear" w:color="auto" w:fill="E5E5E5"/>
          </w:tcPr>
          <w:p>
            <w:pPr>
              <w:ind w:left="1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12,206</w:t>
            </w:r>
          </w:p>
        </w:tc>
        <w:tc>
          <w:tcPr>
            <w:tcW w:w="118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$13,026</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761</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$ 982</w:t>
            </w:r>
          </w:p>
        </w:tc>
        <w:tc>
          <w:tcPr>
            <w:tcW w:w="62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Acquisitions</w:t>
            </w: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9"/>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580" w:type="dxa"/>
            <w:vAlign w:val="bottom"/>
          </w:tcPr>
          <w:p>
            <w:pPr>
              <w:jc w:val="right"/>
              <w:ind w:right="136"/>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1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2013</w:t>
            </w: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12,206</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$ 13,112</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768</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$ 982</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$27,079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to goodwill during the nine months ended September 30, 2013 were primarily related to an immaterial correction to the allocation of purchase price associated with the January 2011 NBCUniversal transaction, which was recorded in the second quarter of 2013.</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Debt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20" w:type="dxa"/>
            <w:vAlign w:val="bottom"/>
          </w:tcPr>
          <w:p>
            <w:pPr>
              <w:jc w:val="center"/>
              <w:ind w:left="318"/>
              <w:spacing w:after="0"/>
              <w:rPr>
                <w:sz w:val="20"/>
                <w:szCs w:val="20"/>
                <w:color w:val="auto"/>
              </w:rPr>
            </w:pPr>
            <w:r>
              <w:rPr>
                <w:rFonts w:ascii="Arial" w:cs="Arial" w:eastAsia="Arial" w:hAnsi="Arial"/>
                <w:sz w:val="14"/>
                <w:szCs w:val="14"/>
                <w:color w:val="auto"/>
                <w:w w:val="87"/>
              </w:rPr>
              <w:t>Weighted-Average Interest</w:t>
            </w:r>
          </w:p>
        </w:tc>
        <w:tc>
          <w:tcPr>
            <w:tcW w:w="1780" w:type="dxa"/>
            <w:vAlign w:val="bottom"/>
            <w:gridSpan w:val="2"/>
            <w:vMerge w:val="restart"/>
          </w:tcPr>
          <w:p>
            <w:pPr>
              <w:ind w:left="500"/>
              <w:spacing w:after="0"/>
              <w:rPr>
                <w:sz w:val="20"/>
                <w:szCs w:val="20"/>
                <w:color w:val="auto"/>
              </w:rPr>
            </w:pPr>
            <w:r>
              <w:rPr>
                <w:rFonts w:ascii="Arial" w:cs="Arial" w:eastAsia="Arial" w:hAnsi="Arial"/>
                <w:sz w:val="14"/>
                <w:szCs w:val="14"/>
                <w:color w:val="auto"/>
              </w:rPr>
              <w:t>September 30,</w:t>
            </w:r>
          </w:p>
        </w:tc>
        <w:tc>
          <w:tcPr>
            <w:tcW w:w="1340" w:type="dxa"/>
            <w:vAlign w:val="bottom"/>
            <w:gridSpan w:val="2"/>
            <w:vMerge w:val="restart"/>
          </w:tcPr>
          <w:p>
            <w:pPr>
              <w:ind w:left="52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3420" w:type="dxa"/>
            <w:vAlign w:val="bottom"/>
          </w:tcPr>
          <w:p>
            <w:pPr>
              <w:jc w:val="center"/>
              <w:ind w:left="278"/>
              <w:spacing w:after="0" w:line="135" w:lineRule="exact"/>
              <w:rPr>
                <w:sz w:val="20"/>
                <w:szCs w:val="20"/>
                <w:color w:val="auto"/>
              </w:rPr>
            </w:pPr>
            <w:r>
              <w:rPr>
                <w:rFonts w:ascii="Arial" w:cs="Arial" w:eastAsia="Arial" w:hAnsi="Arial"/>
                <w:sz w:val="14"/>
                <w:szCs w:val="14"/>
                <w:color w:val="auto"/>
                <w:w w:val="84"/>
              </w:rPr>
              <w:t>Rate as of</w:t>
            </w:r>
          </w:p>
        </w:tc>
        <w:tc>
          <w:tcPr>
            <w:tcW w:w="17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20" w:type="dxa"/>
            <w:vAlign w:val="bottom"/>
            <w:tcBorders>
              <w:bottom w:val="single" w:sz="8" w:color="auto"/>
            </w:tcBorders>
          </w:tcPr>
          <w:p>
            <w:pPr>
              <w:jc w:val="center"/>
              <w:ind w:left="298"/>
              <w:spacing w:after="0"/>
              <w:rPr>
                <w:sz w:val="20"/>
                <w:szCs w:val="20"/>
                <w:color w:val="auto"/>
              </w:rPr>
            </w:pPr>
            <w:r>
              <w:rPr>
                <w:rFonts w:ascii="Arial" w:cs="Arial" w:eastAsia="Arial" w:hAnsi="Arial"/>
                <w:sz w:val="14"/>
                <w:szCs w:val="14"/>
                <w:color w:val="auto"/>
                <w:w w:val="85"/>
              </w:rPr>
              <w:t>September 30, 2013</w:t>
            </w: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3420" w:type="dxa"/>
            <w:vAlign w:val="bottom"/>
            <w:shd w:val="clear" w:color="auto" w:fill="E5E5E5"/>
          </w:tcPr>
          <w:p>
            <w:pPr>
              <w:jc w:val="right"/>
              <w:ind w:right="558"/>
              <w:spacing w:after="0"/>
              <w:rPr>
                <w:sz w:val="20"/>
                <w:szCs w:val="20"/>
                <w:color w:val="auto"/>
              </w:rPr>
            </w:pPr>
            <w:r>
              <w:rPr>
                <w:rFonts w:ascii="Arial" w:cs="Arial" w:eastAsia="Arial" w:hAnsi="Arial"/>
                <w:sz w:val="18"/>
                <w:szCs w:val="18"/>
                <w:color w:val="auto"/>
              </w:rPr>
              <w:t>0.290%</w:t>
            </w:r>
          </w:p>
        </w:tc>
        <w:tc>
          <w:tcPr>
            <w:tcW w:w="68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400</w:t>
            </w:r>
          </w:p>
        </w:tc>
        <w:tc>
          <w:tcPr>
            <w:tcW w:w="6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420" w:type="dxa"/>
            <w:vAlign w:val="bottom"/>
          </w:tcPr>
          <w:p>
            <w:pPr>
              <w:jc w:val="right"/>
              <w:ind w:right="558"/>
              <w:spacing w:after="0"/>
              <w:rPr>
                <w:sz w:val="20"/>
                <w:szCs w:val="20"/>
                <w:color w:val="auto"/>
              </w:rPr>
            </w:pPr>
            <w:r>
              <w:rPr>
                <w:rFonts w:ascii="Arial" w:cs="Arial" w:eastAsia="Arial" w:hAnsi="Arial"/>
                <w:sz w:val="18"/>
                <w:szCs w:val="18"/>
                <w:color w:val="auto"/>
              </w:rPr>
              <w:t>1.252%</w:t>
            </w:r>
          </w:p>
        </w:tc>
        <w:tc>
          <w:tcPr>
            <w:tcW w:w="68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maturities of 5 years or less</w:t>
            </w:r>
          </w:p>
        </w:tc>
        <w:tc>
          <w:tcPr>
            <w:tcW w:w="3420" w:type="dxa"/>
            <w:vAlign w:val="bottom"/>
            <w:shd w:val="clear" w:color="auto" w:fill="E5E5E5"/>
          </w:tcPr>
          <w:p>
            <w:pPr>
              <w:jc w:val="right"/>
              <w:ind w:right="558"/>
              <w:spacing w:after="0"/>
              <w:rPr>
                <w:sz w:val="20"/>
                <w:szCs w:val="20"/>
                <w:color w:val="auto"/>
              </w:rPr>
            </w:pPr>
            <w:r>
              <w:rPr>
                <w:rFonts w:ascii="Arial" w:cs="Arial" w:eastAsia="Arial" w:hAnsi="Arial"/>
                <w:sz w:val="18"/>
                <w:szCs w:val="18"/>
                <w:color w:val="auto"/>
              </w:rPr>
              <w:t>4.711%</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15,111</w:t>
            </w:r>
          </w:p>
        </w:tc>
        <w:tc>
          <w:tcPr>
            <w:tcW w:w="6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Senior notes with maturities between 6 and 10 years</w:t>
            </w:r>
          </w:p>
        </w:tc>
        <w:tc>
          <w:tcPr>
            <w:tcW w:w="3420" w:type="dxa"/>
            <w:vAlign w:val="bottom"/>
          </w:tcPr>
          <w:p>
            <w:pPr>
              <w:jc w:val="right"/>
              <w:ind w:right="558"/>
              <w:spacing w:after="0"/>
              <w:rPr>
                <w:sz w:val="20"/>
                <w:szCs w:val="20"/>
                <w:color w:val="auto"/>
              </w:rPr>
            </w:pPr>
            <w:r>
              <w:rPr>
                <w:rFonts w:ascii="Arial" w:cs="Arial" w:eastAsia="Arial" w:hAnsi="Arial"/>
                <w:sz w:val="18"/>
                <w:szCs w:val="18"/>
                <w:color w:val="auto"/>
              </w:rPr>
              <w:t>4.558%</w:t>
            </w:r>
          </w:p>
        </w:tc>
        <w:tc>
          <w:tcPr>
            <w:tcW w:w="680" w:type="dxa"/>
            <w:vAlign w:val="bottom"/>
          </w:tcPr>
          <w:p>
            <w:pPr>
              <w:spacing w:after="0"/>
              <w:rPr>
                <w:sz w:val="18"/>
                <w:szCs w:val="18"/>
                <w:color w:val="auto"/>
              </w:rPr>
            </w:pPr>
          </w:p>
        </w:tc>
        <w:tc>
          <w:tcPr>
            <w:tcW w:w="1100" w:type="dxa"/>
            <w:vAlign w:val="bottom"/>
          </w:tcPr>
          <w:p>
            <w:pPr>
              <w:jc w:val="right"/>
              <w:ind w:right="414"/>
              <w:spacing w:after="0"/>
              <w:rPr>
                <w:sz w:val="20"/>
                <w:szCs w:val="20"/>
                <w:color w:val="auto"/>
              </w:rPr>
            </w:pPr>
            <w:r>
              <w:rPr>
                <w:rFonts w:ascii="Arial" w:cs="Arial" w:eastAsia="Arial" w:hAnsi="Arial"/>
                <w:sz w:val="18"/>
                <w:szCs w:val="18"/>
                <w:color w:val="auto"/>
              </w:rPr>
              <w:t>11,534</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Senior notes with maturities greater than 10 years</w:t>
            </w:r>
          </w:p>
        </w:tc>
        <w:tc>
          <w:tcPr>
            <w:tcW w:w="3420" w:type="dxa"/>
            <w:vAlign w:val="bottom"/>
            <w:shd w:val="clear" w:color="auto" w:fill="E5E5E5"/>
          </w:tcPr>
          <w:p>
            <w:pPr>
              <w:jc w:val="right"/>
              <w:ind w:right="558"/>
              <w:spacing w:after="0"/>
              <w:rPr>
                <w:sz w:val="20"/>
                <w:szCs w:val="20"/>
                <w:color w:val="auto"/>
              </w:rPr>
            </w:pPr>
            <w:r>
              <w:rPr>
                <w:rFonts w:ascii="Arial" w:cs="Arial" w:eastAsia="Arial" w:hAnsi="Arial"/>
                <w:sz w:val="18"/>
                <w:szCs w:val="18"/>
                <w:color w:val="auto"/>
              </w:rPr>
              <w:t>5.979%</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17,985</w:t>
            </w:r>
          </w:p>
        </w:tc>
        <w:tc>
          <w:tcPr>
            <w:tcW w:w="6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42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245</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Total debt</w:t>
            </w:r>
          </w:p>
        </w:tc>
        <w:tc>
          <w:tcPr>
            <w:tcW w:w="342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4.86%</w:t>
            </w:r>
            <w:r>
              <w:rPr>
                <w:rFonts w:ascii="Arial" w:cs="Arial" w:eastAsia="Arial" w:hAnsi="Arial"/>
                <w:sz w:val="11"/>
                <w:szCs w:val="11"/>
                <w:color w:val="auto"/>
              </w:rPr>
              <w:t>(a)</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46,525</w:t>
            </w:r>
          </w:p>
        </w:tc>
        <w:tc>
          <w:tcPr>
            <w:tcW w:w="68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40,458</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2,337</w:t>
            </w: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7"/>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Long-term debt</w:t>
            </w:r>
          </w:p>
        </w:tc>
        <w:tc>
          <w:tcPr>
            <w:tcW w:w="3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b w:val="1"/>
                <w:bCs w:val="1"/>
                <w:color w:val="auto"/>
              </w:rPr>
              <w:t>44,188</w:t>
            </w:r>
          </w:p>
        </w:tc>
        <w:tc>
          <w:tcPr>
            <w:tcW w:w="68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38,082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2013, our debt had an estimated fair value of $51.1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Transaction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Redemption Transaction resulted in the consolidation of an additional $4 billion aggregate principal amount of senior notes issued by NBCUniversal Enterprise and $1.25 billion of borrowings under the NBCUniversal Enterprise credit facility. The total consideration for the Redemption Transaction also included $750 million of cash funded through our commercial paper program.</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NBCUniversal Enterprise senior notes are comprised of $1.1 billion aggregate principal amount of 1.662% senior notes due 2018, $1.5 billion aggregate principal amount of 1.974% senior notes due 2019, $700 million aggregate principal amount of floating rate senior notes due 2016 and $700 million aggregate principal amount of floating rate senior notes due 2018. The floating rate senior notes due 2016 and 2018 accrue interest for each quarterly interest period at a rate equal to the three-month London Interbank Offered Rate (“LIBOR”) plus 0.537% and 0.685%, respectively.</w:t>
      </w:r>
    </w:p>
    <w:p>
      <w:pPr>
        <w:spacing w:after="0" w:line="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March 19, 2013, NBCUniversal Enterprise amended and restated the existing credit agreement of NBCUniversal to, among other things, substitute NBCUniversal Enterprise for NBCUniversal as the sole borrower, reduce the borrowing capacity of the facility from $1.5 billion to $1.35 billion, extend the term of the facility to March 2018 and revise the interest rate on borrowings. The interest rate on the credit facility consists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720"/>
        <w:spacing w:after="0" w:line="352" w:lineRule="auto"/>
        <w:rPr>
          <w:sz w:val="20"/>
          <w:szCs w:val="20"/>
          <w:color w:val="auto"/>
        </w:rPr>
      </w:pPr>
      <w:r>
        <w:rPr>
          <w:rFonts w:ascii="Arial" w:cs="Arial" w:eastAsia="Arial" w:hAnsi="Arial"/>
          <w:sz w:val="18"/>
          <w:szCs w:val="18"/>
          <w:color w:val="auto"/>
        </w:rPr>
        <w:t xml:space="preserve">a base rate plus a borrowing margin that is determined based on our credit rating. As of September 30, 2013, the interest rate was 1.252%. </w:t>
      </w:r>
      <w:r>
        <w:rPr>
          <w:rFonts w:ascii="Arial" w:cs="Arial" w:eastAsia="Arial" w:hAnsi="Arial"/>
          <w:sz w:val="18"/>
          <w:szCs w:val="18"/>
          <w:b w:val="1"/>
          <w:bCs w:val="1"/>
          <w:color w:val="auto"/>
        </w:rPr>
        <w:t>Debt Borrowings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During the nine months ended September 30, 2013, borrowings, net of repayments of commercial paper under our commercial paper program, were $400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amendments to the NBCUniversal credit agreement, NBCUniversal’s commercial paper program was terminated.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September 30, 2013, amounts available under our consolidated revolving credit facilities, net of amounts outstanding under our commercial paper program and undrawn letters of credit, totaled $5.7 billion, which included $100 million available under NBCUniversal Enterprise’s credit facility.</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Fair Value as of</w:t>
            </w: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40"/>
              <w:spacing w:after="0" w:line="131"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9"/>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512"/>
              <w:spacing w:after="0" w:line="159" w:lineRule="exact"/>
              <w:rPr>
                <w:sz w:val="20"/>
                <w:szCs w:val="20"/>
                <w:color w:val="auto"/>
              </w:rPr>
            </w:pPr>
            <w:r>
              <w:rPr>
                <w:rFonts w:ascii="Arial" w:cs="Arial" w:eastAsia="Arial" w:hAnsi="Arial"/>
                <w:sz w:val="14"/>
                <w:szCs w:val="14"/>
                <w:color w:val="auto"/>
                <w:w w:val="92"/>
              </w:rPr>
              <w:t>September 30, 2013</w:t>
            </w:r>
          </w:p>
        </w:tc>
        <w:tc>
          <w:tcPr>
            <w:tcW w:w="8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Level 1</w:t>
            </w:r>
          </w:p>
        </w:tc>
        <w:tc>
          <w:tcPr>
            <w:tcW w:w="980" w:type="dxa"/>
            <w:vAlign w:val="bottom"/>
            <w:gridSpan w:val="2"/>
          </w:tcPr>
          <w:p>
            <w:pPr>
              <w:jc w:val="right"/>
              <w:ind w:right="174"/>
              <w:spacing w:after="0" w:line="142" w:lineRule="exact"/>
              <w:rPr>
                <w:sz w:val="20"/>
                <w:szCs w:val="20"/>
                <w:color w:val="auto"/>
              </w:rPr>
            </w:pPr>
            <w:r>
              <w:rPr>
                <w:rFonts w:ascii="Arial" w:cs="Arial" w:eastAsia="Arial" w:hAnsi="Arial"/>
                <w:sz w:val="14"/>
                <w:szCs w:val="14"/>
                <w:color w:val="auto"/>
              </w:rPr>
              <w:t>Level 2</w:t>
            </w:r>
          </w:p>
        </w:tc>
        <w:tc>
          <w:tcPr>
            <w:tcW w:w="1180" w:type="dxa"/>
            <w:vAlign w:val="bottom"/>
            <w:gridSpan w:val="2"/>
          </w:tcPr>
          <w:p>
            <w:pPr>
              <w:jc w:val="right"/>
              <w:ind w:right="352"/>
              <w:spacing w:after="0" w:line="142" w:lineRule="exact"/>
              <w:rPr>
                <w:sz w:val="20"/>
                <w:szCs w:val="20"/>
                <w:color w:val="auto"/>
              </w:rPr>
            </w:pPr>
            <w:r>
              <w:rPr>
                <w:rFonts w:ascii="Arial" w:cs="Arial" w:eastAsia="Arial" w:hAnsi="Arial"/>
                <w:sz w:val="14"/>
                <w:szCs w:val="14"/>
                <w:color w:val="auto"/>
              </w:rPr>
              <w:t>Level 3</w:t>
            </w:r>
          </w:p>
        </w:tc>
        <w:tc>
          <w:tcPr>
            <w:tcW w:w="82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660" w:type="dxa"/>
            <w:vAlign w:val="bottom"/>
          </w:tcPr>
          <w:p>
            <w:pPr>
              <w:jc w:val="right"/>
              <w:ind w:right="216"/>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Trading securities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4,477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$4,477</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8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12</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4,660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314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12</w:t>
            </w: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$4,986</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18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Derivative component of prepaid forward sale</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agreements and indexed debt instruments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w w:val="84"/>
              </w:rPr>
              <w:t>2,402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$2,402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18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w w:val="84"/>
              </w:rPr>
              <w:t>1,130</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1,130</w:t>
            </w:r>
          </w:p>
        </w:tc>
        <w:tc>
          <w:tcPr>
            <w:tcW w:w="4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312"/>
              <w:spacing w:after="0"/>
              <w:rPr>
                <w:sz w:val="20"/>
                <w:szCs w:val="20"/>
                <w:color w:val="auto"/>
              </w:rPr>
            </w:pPr>
            <w:r>
              <w:rPr>
                <w:rFonts w:ascii="Arial" w:cs="Arial" w:eastAsia="Arial" w:hAnsi="Arial"/>
                <w:sz w:val="18"/>
                <w:szCs w:val="18"/>
                <w:color w:val="auto"/>
              </w:rPr>
              <w:t>682</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682</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116</w:t>
            </w:r>
          </w:p>
        </w:tc>
        <w:tc>
          <w:tcPr>
            <w:tcW w:w="4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84"/>
              </w:rPr>
              <w:t>2,518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1,812</w:t>
            </w: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$4,330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NBCUniversal entities, which are related to our contractual obligations, and future net tax benefits that will affect payments to GE, which are related to contingent consideration. The discount rates used in the measurements of fair value were between 5% and 14% and are based on the underlying risk associated with our estimate of future revenue, as well as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condensed consolidated statement of income.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540" w:type="dxa"/>
            <w:vAlign w:val="bottom"/>
            <w:gridSpan w:val="2"/>
          </w:tcPr>
          <w:p>
            <w:pPr>
              <w:ind w:left="346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5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540" w:type="dxa"/>
            <w:vAlign w:val="bottom"/>
            <w:tcBorders>
              <w:bottom w:val="single" w:sz="8" w:color="auto"/>
            </w:tcBorders>
            <w:gridSpan w:val="2"/>
          </w:tcPr>
          <w:p>
            <w:pPr>
              <w:ind w:left="346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3620" w:type="dxa"/>
            <w:vAlign w:val="bottom"/>
            <w:shd w:val="clear" w:color="auto" w:fill="E5E5E5"/>
          </w:tcPr>
          <w:p>
            <w:pPr>
              <w:ind w:left="3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97"/>
              </w:rPr>
              <w:t>1,055</w:t>
            </w:r>
          </w:p>
        </w:tc>
        <w:tc>
          <w:tcPr>
            <w:tcW w:w="6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Fair value adjustments</w:t>
            </w:r>
          </w:p>
        </w:tc>
        <w:tc>
          <w:tcPr>
            <w:tcW w:w="362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141</w:t>
            </w:r>
          </w:p>
        </w:tc>
        <w:tc>
          <w:tcPr>
            <w:tcW w:w="6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16"/>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Payments</w:t>
            </w:r>
          </w:p>
        </w:tc>
        <w:tc>
          <w:tcPr>
            <w:tcW w:w="36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(66)</w:t>
            </w:r>
          </w:p>
        </w:tc>
        <w:tc>
          <w:tcPr>
            <w:tcW w:w="66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Redemption Transaction</w:t>
            </w:r>
          </w:p>
        </w:tc>
        <w:tc>
          <w:tcPr>
            <w:tcW w:w="3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r>
      <w:tr>
        <w:trPr>
          <w:trHeight w:val="217"/>
        </w:trPr>
        <w:tc>
          <w:tcPr>
            <w:tcW w:w="5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2013</w:t>
            </w:r>
          </w:p>
        </w:tc>
        <w:tc>
          <w:tcPr>
            <w:tcW w:w="3620" w:type="dxa"/>
            <w:vAlign w:val="bottom"/>
            <w:tcBorders>
              <w:bottom w:val="single" w:sz="8" w:color="auto"/>
            </w:tcBorders>
            <w:shd w:val="clear" w:color="auto" w:fill="E5E5E5"/>
          </w:tcPr>
          <w:p>
            <w:pPr>
              <w:ind w:left="34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w w:val="97"/>
              </w:rPr>
              <w:t>1,130</w:t>
            </w:r>
          </w:p>
        </w:tc>
        <w:tc>
          <w:tcPr>
            <w:tcW w:w="6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682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assets and liabilities that we are required to record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the fair value of a production is determined using Level 3 inputs, primarily an analysis of future expected cash flows. Adjustments to capitalized film production costs of $150 million and $155 million were recorded during the nine months ended September 30,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as a component of the caption “redeemable noncontrolling interests and redeemable subsidiary preferred stock.” Noncontrolling interests and subsidiary preferred stock that do not contain such redemption features are presented in equity.</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acquired GE’s remaining 49% common equity interest in NBCUniversal Holdings, which had previously been presented as a redeemable noncontrolling interest in our condensed consolidated balance sheet. See Note 3 for additional information on the Redemption Transaction. The difference between the consideration transferred and the recorded value of GE’s 49% redeemable noncontrolling common equity interest, as well as the related tax impacts, were recorded to additional paid-in capital. The table below includes the impact of the Redemption Transaction on our changes in equity.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120" w:type="dxa"/>
            <w:vAlign w:val="bottom"/>
            <w:gridSpan w:val="2"/>
          </w:tcPr>
          <w:p>
            <w:pPr>
              <w:jc w:val="right"/>
              <w:ind w:right="23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20" w:type="dxa"/>
            <w:vAlign w:val="bottom"/>
            <w:tcBorders>
              <w:bottom w:val="single" w:sz="8" w:color="auto"/>
            </w:tcBorders>
            <w:gridSpan w:val="2"/>
          </w:tcPr>
          <w:p>
            <w:pPr>
              <w:jc w:val="right"/>
              <w:ind w:right="41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0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30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28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$ 4,903</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$ 4,685</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0"/>
              </w:rPr>
              <w:t>Decrease in Comcast Corporation additional paid-in capital resulting from the purchase of GE’s redeemable noncontrolling</w:t>
            </w:r>
          </w:p>
        </w:tc>
        <w:tc>
          <w:tcPr>
            <w:tcW w:w="1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common equity interest</w:t>
            </w:r>
          </w:p>
        </w:tc>
        <w:tc>
          <w:tcPr>
            <w:tcW w:w="128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(1,482)</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93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Changes in equity resulting from net income attributable to Comcast Corporation and transfers from (to) noncontrolling</w:t>
            </w:r>
          </w:p>
        </w:tc>
        <w:tc>
          <w:tcPr>
            <w:tcW w:w="12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3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interests</w:t>
            </w:r>
          </w:p>
        </w:tc>
        <w:tc>
          <w:tcPr>
            <w:tcW w:w="128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b w:val="1"/>
                <w:bCs w:val="1"/>
                <w:color w:val="auto"/>
              </w:rPr>
              <w:t>$ 3,395</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$ 4,687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August 2013, we settled all of our obligations related to the termination in February 2012 of the qualified pension plan that provided benefits to former AT&amp;T Broadband employees. In connection with this final settlement, we fully funded the plan with additional contributions of $55 million and recorded an expense of $74 million in other operating and administrative expenses, which was previously recorded in accumulated 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and is awarded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2013, we granted 18.4 million stock options and 5.2 million RSUs related to our annual management awards. The weighted-average fair values associated with these grants were $8.80 per stock option and $37.85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gridSpan w:val="3"/>
          </w:tcPr>
          <w:p>
            <w:pPr>
              <w:jc w:val="right"/>
              <w:ind w:right="416"/>
              <w:spacing w:after="0"/>
              <w:rPr>
                <w:sz w:val="20"/>
                <w:szCs w:val="20"/>
                <w:color w:val="auto"/>
              </w:rPr>
            </w:pPr>
            <w:r>
              <w:rPr>
                <w:rFonts w:ascii="Arial" w:cs="Arial" w:eastAsia="Arial" w:hAnsi="Arial"/>
                <w:sz w:val="14"/>
                <w:szCs w:val="14"/>
                <w:color w:val="auto"/>
                <w:w w:val="90"/>
              </w:rPr>
              <w:t>Three Months Ended</w:t>
            </w:r>
          </w:p>
        </w:tc>
        <w:tc>
          <w:tcPr>
            <w:tcW w:w="460" w:type="dxa"/>
            <w:vAlign w:val="bottom"/>
          </w:tcPr>
          <w:p>
            <w:pPr>
              <w:spacing w:after="0"/>
              <w:rPr>
                <w:sz w:val="14"/>
                <w:szCs w:val="14"/>
                <w:color w:val="auto"/>
              </w:rPr>
            </w:pPr>
          </w:p>
        </w:tc>
        <w:tc>
          <w:tcPr>
            <w:tcW w:w="1600" w:type="dxa"/>
            <w:vAlign w:val="bottom"/>
            <w:gridSpan w:val="3"/>
          </w:tcPr>
          <w:p>
            <w:pPr>
              <w:jc w:val="right"/>
              <w:ind w:right="25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0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616"/>
              <w:spacing w:after="0" w:line="159" w:lineRule="exact"/>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color w:val="auto"/>
                <w:w w:val="89"/>
              </w:rPr>
              <w:t>2013</w:t>
            </w: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color w:val="auto"/>
                <w:w w:val="83"/>
              </w:rPr>
              <w:t>2012</w:t>
            </w: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color w:val="auto"/>
                <w:w w:val="89"/>
              </w:rPr>
              <w:t>2013</w:t>
            </w: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706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32</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tcPr>
          <w:p>
            <w:pPr>
              <w:spacing w:after="0"/>
              <w:rPr>
                <w:sz w:val="18"/>
                <w:szCs w:val="18"/>
                <w:color w:val="auto"/>
              </w:rPr>
            </w:pPr>
          </w:p>
        </w:tc>
        <w:tc>
          <w:tcPr>
            <w:tcW w:w="620" w:type="dxa"/>
            <w:vAlign w:val="bottom"/>
          </w:tcPr>
          <w:p>
            <w:pPr>
              <w:jc w:val="right"/>
              <w:ind w:right="101"/>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780" w:type="dxa"/>
            <w:vAlign w:val="bottom"/>
          </w:tcPr>
          <w:p>
            <w:pPr>
              <w:jc w:val="right"/>
              <w:ind w:right="276"/>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720" w:type="dxa"/>
            <w:vAlign w:val="bottom"/>
          </w:tcPr>
          <w:p>
            <w:pPr>
              <w:jc w:val="right"/>
              <w:ind w:right="201"/>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01"/>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74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247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2013, we had unrecognized pretax compensation expense of $351 million and $414 million related to nonvested stock options and nonvested RSUs,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5540" w:type="dxa"/>
            <w:vAlign w:val="bottom"/>
            <w:gridSpan w:val="2"/>
          </w:tcPr>
          <w:p>
            <w:pPr>
              <w:ind w:left="436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4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6"/>
              <w:spacing w:after="0" w:line="159" w:lineRule="exact"/>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4520" w:type="dxa"/>
            <w:vAlign w:val="bottom"/>
            <w:shd w:val="clear" w:color="auto" w:fill="E5E5E5"/>
          </w:tcPr>
          <w:p>
            <w:pPr>
              <w:ind w:left="4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5,964</w:t>
            </w:r>
          </w:p>
        </w:tc>
        <w:tc>
          <w:tcPr>
            <w:tcW w:w="56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4520" w:type="dxa"/>
            <w:vAlign w:val="bottom"/>
          </w:tcPr>
          <w:p>
            <w:pPr>
              <w:spacing w:after="0"/>
              <w:rPr>
                <w:sz w:val="18"/>
                <w:szCs w:val="18"/>
                <w:color w:val="auto"/>
              </w:rPr>
            </w:pPr>
          </w:p>
        </w:tc>
        <w:tc>
          <w:tcPr>
            <w:tcW w:w="1020" w:type="dxa"/>
            <w:vAlign w:val="bottom"/>
          </w:tcPr>
          <w:p>
            <w:pPr>
              <w:jc w:val="right"/>
              <w:ind w:right="316"/>
              <w:spacing w:after="0"/>
              <w:rPr>
                <w:sz w:val="20"/>
                <w:szCs w:val="20"/>
                <w:color w:val="auto"/>
              </w:rPr>
            </w:pPr>
            <w:r>
              <w:rPr>
                <w:rFonts w:ascii="Arial" w:cs="Arial" w:eastAsia="Arial" w:hAnsi="Arial"/>
                <w:sz w:val="18"/>
                <w:szCs w:val="18"/>
                <w:color w:val="auto"/>
              </w:rPr>
              <w:t>249</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4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452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color w:val="auto"/>
              </w:rPr>
              <w:t>214</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198</w:t>
            </w:r>
          </w:p>
        </w:tc>
      </w:tr>
      <w:tr>
        <w:trPr>
          <w:trHeight w:val="217"/>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4520" w:type="dxa"/>
            <w:vAlign w:val="bottom"/>
            <w:tcBorders>
              <w:bottom w:val="single" w:sz="8" w:color="auto"/>
            </w:tcBorders>
          </w:tcPr>
          <w:p>
            <w:pPr>
              <w:ind w:left="43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b w:val="1"/>
                <w:bCs w:val="1"/>
                <w:color w:val="auto"/>
              </w:rPr>
              <w:t>5,501</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5,521</w:t>
            </w:r>
          </w:p>
        </w:tc>
      </w:tr>
      <w:tr>
        <w:trPr>
          <w:trHeight w:val="363"/>
        </w:trPr>
        <w:tc>
          <w:tcPr>
            <w:tcW w:w="4660" w:type="dxa"/>
            <w:vAlign w:val="bottom"/>
          </w:tcPr>
          <w:p>
            <w:pPr>
              <w:spacing w:after="0"/>
              <w:rPr>
                <w:sz w:val="24"/>
                <w:szCs w:val="24"/>
                <w:color w:val="auto"/>
              </w:rPr>
            </w:pPr>
          </w:p>
        </w:tc>
        <w:tc>
          <w:tcPr>
            <w:tcW w:w="4520" w:type="dxa"/>
            <w:vAlign w:val="bottom"/>
          </w:tcPr>
          <w:p>
            <w:pPr>
              <w:jc w:val="right"/>
              <w:ind w:right="3277"/>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color w:val="auto"/>
                <w:w w:val="95"/>
              </w:rPr>
              <w:t>September 30,</w:t>
            </w:r>
          </w:p>
        </w:tc>
        <w:tc>
          <w:tcPr>
            <w:tcW w:w="1780" w:type="dxa"/>
            <w:vAlign w:val="bottom"/>
            <w:gridSpan w:val="2"/>
          </w:tcPr>
          <w:p>
            <w:pPr>
              <w:jc w:val="right"/>
              <w:ind w:right="15"/>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77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w w:val="96"/>
              </w:rPr>
              <w:t>2013</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shd w:val="clear" w:color="auto" w:fill="E5E5E5"/>
          </w:tcPr>
          <w:p>
            <w:pPr>
              <w:jc w:val="center"/>
              <w:ind w:left="738"/>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(50)</w:t>
            </w:r>
          </w:p>
        </w:tc>
        <w:tc>
          <w:tcPr>
            <w:tcW w:w="104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(110)</w:t>
            </w:r>
          </w:p>
        </w:tc>
        <w:tc>
          <w:tcPr>
            <w:tcW w:w="1040" w:type="dxa"/>
            <w:vAlign w:val="bottom"/>
            <w:tcBorders>
              <w:bottom w:val="single" w:sz="8" w:color="auto"/>
            </w:tcBorders>
            <w:shd w:val="clear" w:color="auto" w:fill="E5E5E5"/>
          </w:tcPr>
          <w:p>
            <w:pPr>
              <w:jc w:val="center"/>
              <w:ind w:left="738"/>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403"/>
        </w:trPr>
        <w:tc>
          <w:tcPr>
            <w:tcW w:w="7700" w:type="dxa"/>
            <w:vAlign w:val="bottom"/>
            <w:gridSpan w:val="2"/>
          </w:tcPr>
          <w:p>
            <w:pPr>
              <w:ind w:left="396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80" w:type="dxa"/>
            <w:vAlign w:val="bottom"/>
            <w:gridSpan w:val="2"/>
          </w:tcPr>
          <w:p>
            <w:pPr>
              <w:jc w:val="right"/>
              <w:ind w:right="27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7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5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color w:val="auto"/>
              </w:rPr>
              <w:t>2013</w:t>
            </w:r>
          </w:p>
        </w:tc>
        <w:tc>
          <w:tcPr>
            <w:tcW w:w="7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$ 5,167</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$ 6,058</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5,873</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5,998</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312</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122</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18"/>
              <w:spacing w:after="0"/>
              <w:rPr>
                <w:sz w:val="20"/>
                <w:szCs w:val="20"/>
                <w:color w:val="auto"/>
              </w:rPr>
            </w:pPr>
            <w:r>
              <w:rPr>
                <w:rFonts w:ascii="Arial" w:cs="Arial" w:eastAsia="Arial" w:hAnsi="Arial"/>
                <w:sz w:val="18"/>
                <w:szCs w:val="18"/>
                <w:color w:val="auto"/>
              </w:rPr>
              <w:t>96</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Cash received from investees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89</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(239)</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258"/>
              <w:spacing w:after="0"/>
              <w:rPr>
                <w:sz w:val="20"/>
                <w:szCs w:val="20"/>
                <w:color w:val="auto"/>
              </w:rPr>
            </w:pPr>
            <w:r>
              <w:rPr>
                <w:rFonts w:ascii="Arial" w:cs="Arial" w:eastAsia="Arial" w:hAnsi="Arial"/>
                <w:sz w:val="18"/>
                <w:szCs w:val="18"/>
                <w:color w:val="auto"/>
              </w:rPr>
              <w:t>(52)</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18"/>
              <w:spacing w:after="0"/>
              <w:rPr>
                <w:sz w:val="20"/>
                <w:szCs w:val="20"/>
                <w:color w:val="auto"/>
              </w:rPr>
            </w:pPr>
            <w:r>
              <w:rPr>
                <w:rFonts w:ascii="Arial" w:cs="Arial" w:eastAsia="Arial" w:hAnsi="Arial"/>
                <w:sz w:val="18"/>
                <w:szCs w:val="18"/>
                <w:color w:val="auto"/>
              </w:rPr>
              <w:t>145</w:t>
            </w:r>
          </w:p>
        </w:tc>
        <w:tc>
          <w:tcPr>
            <w:tcW w:w="74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2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(5,590)</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258"/>
              <w:spacing w:after="0"/>
              <w:rPr>
                <w:sz w:val="20"/>
                <w:szCs w:val="20"/>
                <w:color w:val="auto"/>
              </w:rPr>
            </w:pPr>
            <w:r>
              <w:rPr>
                <w:rFonts w:ascii="Arial" w:cs="Arial" w:eastAsia="Arial" w:hAnsi="Arial"/>
                <w:sz w:val="18"/>
                <w:szCs w:val="18"/>
                <w:color w:val="auto"/>
              </w:rPr>
              <w:t>(108)</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2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(134)</w:t>
            </w: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7"/>
        </w:trPr>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b w:val="1"/>
                <w:bCs w:val="1"/>
                <w:color w:val="auto"/>
                <w:w w:val="88"/>
              </w:rPr>
              <w:t>$ 11,679</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88"/>
              </w:rPr>
              <w:t>$ 11,239</w:t>
            </w:r>
          </w:p>
        </w:tc>
        <w:tc>
          <w:tcPr>
            <w:tcW w:w="0" w:type="dxa"/>
            <w:vAlign w:val="bottom"/>
          </w:tcPr>
          <w:p>
            <w:pPr>
              <w:spacing w:after="0"/>
              <w:rPr>
                <w:sz w:val="1"/>
                <w:szCs w:val="1"/>
                <w:color w:val="auto"/>
              </w:rPr>
            </w:pPr>
          </w:p>
        </w:tc>
      </w:tr>
      <w:tr>
        <w:trPr>
          <w:trHeight w:val="403"/>
        </w:trPr>
        <w:tc>
          <w:tcPr>
            <w:tcW w:w="7700" w:type="dxa"/>
            <w:vAlign w:val="bottom"/>
            <w:gridSpan w:val="2"/>
          </w:tcPr>
          <w:p>
            <w:pPr>
              <w:ind w:left="3800"/>
              <w:spacing w:after="0"/>
              <w:rPr>
                <w:sz w:val="20"/>
                <w:szCs w:val="20"/>
                <w:color w:val="auto"/>
              </w:rPr>
            </w:pPr>
            <w:r>
              <w:rPr>
                <w:rFonts w:ascii="Arial" w:cs="Arial" w:eastAsia="Arial" w:hAnsi="Arial"/>
                <w:sz w:val="18"/>
                <w:szCs w:val="18"/>
                <w:b w:val="1"/>
                <w:bCs w:val="1"/>
                <w:color w:val="auto"/>
                <w:w w:val="98"/>
              </w:rPr>
              <w:t>Cash Payments for Interest and Income Taxes</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color w:val="auto"/>
                <w:w w:val="93"/>
              </w:rPr>
              <w:t>Three Months Ended</w:t>
            </w:r>
          </w:p>
        </w:tc>
        <w:tc>
          <w:tcPr>
            <w:tcW w:w="1780" w:type="dxa"/>
            <w:vAlign w:val="bottom"/>
            <w:gridSpan w:val="2"/>
          </w:tcPr>
          <w:p>
            <w:pPr>
              <w:jc w:val="center"/>
              <w:ind w:left="38"/>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7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left="3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color w:val="auto"/>
                <w:w w:val="89"/>
              </w:rPr>
              <w:t>2013</w:t>
            </w: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76"/>
              </w:rPr>
              <w:t>2012</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78"/>
              <w:spacing w:after="0" w:line="142" w:lineRule="exact"/>
              <w:rPr>
                <w:sz w:val="20"/>
                <w:szCs w:val="20"/>
                <w:color w:val="auto"/>
              </w:rPr>
            </w:pPr>
            <w:r>
              <w:rPr>
                <w:rFonts w:ascii="Arial" w:cs="Arial" w:eastAsia="Arial" w:hAnsi="Arial"/>
                <w:sz w:val="14"/>
                <w:szCs w:val="14"/>
                <w:color w:val="auto"/>
                <w:w w:val="89"/>
              </w:rPr>
              <w:t>2013</w:t>
            </w:r>
          </w:p>
        </w:tc>
        <w:tc>
          <w:tcPr>
            <w:tcW w:w="740" w:type="dxa"/>
            <w:vAlign w:val="bottom"/>
            <w:tcBorders>
              <w:bottom w:val="single" w:sz="8" w:color="auto"/>
            </w:tcBorders>
          </w:tcPr>
          <w:p>
            <w:pPr>
              <w:jc w:val="center"/>
              <w:ind w:left="15"/>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24"/>
              <w:spacing w:after="0"/>
              <w:rPr>
                <w:sz w:val="20"/>
                <w:szCs w:val="20"/>
                <w:color w:val="auto"/>
              </w:rPr>
            </w:pPr>
            <w:r>
              <w:rPr>
                <w:rFonts w:ascii="Arial" w:cs="Arial" w:eastAsia="Arial" w:hAnsi="Arial"/>
                <w:sz w:val="18"/>
                <w:szCs w:val="18"/>
                <w:color w:val="auto"/>
              </w:rPr>
              <w:t>636</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E5E5E5"/>
          </w:tcPr>
          <w:p>
            <w:pPr>
              <w:spacing w:after="0"/>
              <w:rPr>
                <w:sz w:val="18"/>
                <w:szCs w:val="18"/>
                <w:color w:val="auto"/>
              </w:rPr>
            </w:pPr>
          </w:p>
        </w:tc>
        <w:tc>
          <w:tcPr>
            <w:tcW w:w="1040" w:type="dxa"/>
            <w:vAlign w:val="bottom"/>
            <w:shd w:val="clear" w:color="auto" w:fill="E5E5E5"/>
          </w:tcPr>
          <w:p>
            <w:pPr>
              <w:jc w:val="center"/>
              <w:ind w:right="58"/>
              <w:spacing w:after="0"/>
              <w:rPr>
                <w:sz w:val="20"/>
                <w:szCs w:val="20"/>
                <w:color w:val="auto"/>
              </w:rPr>
            </w:pPr>
            <w:r>
              <w:rPr>
                <w:rFonts w:ascii="Arial" w:cs="Arial" w:eastAsia="Arial" w:hAnsi="Arial"/>
                <w:sz w:val="18"/>
                <w:szCs w:val="18"/>
                <w:color w:val="auto"/>
                <w:w w:val="89"/>
              </w:rPr>
              <w:t>$ 1,768</w:t>
            </w: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$ 1,725</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color w:val="auto"/>
              </w:rPr>
              <w:t>958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color w:val="auto"/>
                <w:w w:val="89"/>
              </w:rPr>
              <w:t>$ 3,180</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$ 1,855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2013:</w:t>
      </w:r>
    </w:p>
    <w:p>
      <w:pPr>
        <w:spacing w:after="0" w:line="77" w:lineRule="exact"/>
        <w:rPr>
          <w:sz w:val="20"/>
          <w:szCs w:val="20"/>
          <w:color w:val="auto"/>
        </w:rPr>
      </w:pPr>
    </w:p>
    <w:p>
      <w:pPr>
        <w:jc w:val="both"/>
        <w:ind w:left="1020" w:right="1240" w:hanging="215"/>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GE’s remaining 49% common equity interest in NBCUniversal Holdings for total consideration of $16.7 billion, which included noncash consideration of $6 billion from the consolidation of NBCUniversal Enterprise that was comprised of $4 billion aggregate principal amount of senior notes, $1.25 billion of borrowings under its credit facility and $725 million aggregate liquidation preference of its Series A cumulative preferred stock (see Note 3 for additional information on the Redemption Transaction)</w:t>
      </w:r>
    </w:p>
    <w:p>
      <w:pPr>
        <w:spacing w:after="0" w:line="48"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acquired $807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 liability of $510 million for a quarterly cash dividend of $0.195 per common share paid in October 2013</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used $1.4 billion of equity securities to settle a portion of our obligations under prepaid forward sale agreements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September 30, 2013 and December 31, 2012.</w:t>
      </w:r>
    </w:p>
    <w:p>
      <w:pPr>
        <w:spacing w:after="0" w:line="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on our condensed consolidated balance sheet as of September 30, 2013 and December 31, 2012. The servicing fees are recorded as a component of other income (expense), net.</w:t>
      </w:r>
    </w:p>
    <w:p>
      <w:pPr>
        <w:spacing w:after="0" w:line="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net cash payments on transfers that are included within net cash provided by operating activities in our condensed consolidated statement of cash flows were $367 million for the nine months ended September 30, 2013. The net cash proceeds on transfers that are included within net cash provided by operating activities in our condensed consolidated statement of cash flows were $70 million for the nine months ended September 30, 2012. The receivables monetization program did not have a material effect on our condensed consolidated statement of income for the periods presented.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720" w:type="dxa"/>
            <w:vAlign w:val="bottom"/>
            <w:gridSpan w:val="2"/>
          </w:tcPr>
          <w:p>
            <w:pPr>
              <w:ind w:left="35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w w:val="90"/>
              </w:rPr>
              <w:t>December 31,</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9"/>
              <w:spacing w:after="0" w:line="159" w:lineRule="exact"/>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660" w:type="dxa"/>
            <w:vAlign w:val="bottom"/>
            <w:shd w:val="clear" w:color="auto" w:fill="E5E5E5"/>
          </w:tcPr>
          <w:p>
            <w:pPr>
              <w:ind w:left="3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59"/>
              <w:spacing w:after="0"/>
              <w:rPr>
                <w:sz w:val="20"/>
                <w:szCs w:val="20"/>
                <w:color w:val="auto"/>
              </w:rPr>
            </w:pPr>
            <w:r>
              <w:rPr>
                <w:rFonts w:ascii="Arial" w:cs="Arial" w:eastAsia="Arial" w:hAnsi="Arial"/>
                <w:sz w:val="18"/>
                <w:szCs w:val="18"/>
                <w:color w:val="auto"/>
              </w:rPr>
              <w:t>642</w:t>
            </w:r>
          </w:p>
        </w:tc>
        <w:tc>
          <w:tcPr>
            <w:tcW w:w="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791</w:t>
            </w: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660" w:type="dxa"/>
            <w:vAlign w:val="bottom"/>
            <w:tcBorders>
              <w:bottom w:val="single" w:sz="8" w:color="auto"/>
            </w:tcBorders>
          </w:tcPr>
          <w:p>
            <w:pPr>
              <w:ind w:left="3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217</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$616 million and $882 million payable to our monetization programs as of September 30, 2013 and December 31, 2012, respectively. These amounts represent cash receipts that were not yet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NBCUniversal previously held an equity interest in Station Venture Holdings, LLC (“Station Venture”), a nonconsolidated variable interest entity, and the remaining equity interests in Station Venture were held by LIN TV, Corp. Station Venture was the obligor on an $816 million senior secured note (the “Station Venture note”) that was due in 2023 to General Electric Capital Corporation (“GECC”) as servicer. The Station Venture note, among other things, was collateralized by substantially all of the assets of Station Venture and Station Venture Operations, LP (“Station LP”). Station LP was a less than wholly owned consolidated subsidiary of NBCUniversal. In connection with the acquisition of our controlling interest in NBCUniversal Holdings on January 28, 2011, a liability of $482 million was recorded to noncurrent liabilities in our allocation of purchase price, which represented the fair value of the net assets of Station LP. In February 2013, we closed our agreement with GE, GECC and LIN TV under which, among other things, NBCUniversal purchased the Station Venture note from GECC for $602 million, which represented the agreed upon fair value of the assets of Station LP. As of the closing date of the transaction, the $482 million recorded liability was effectively settled, and Station Venture and Station LP became wholly owned subsidiaries of NBCUniversal. We now consolidate Station Venture, and the Station Venture note is eliminated in consolidation. Due to the related party nature of this transaction, the excess of the purchase price of the Station Venture note over the recorded amount of the liability was recorded to additional paid-in capital.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In March 2010, we moved for summary judgment dismissing all of the plaintiffs’ claims in the Philadelphia Cluster. In April 2012, the District Court issued a decision dismissing some of the plaintiffs’ claims, but allowing two claims to proceed to trial. The plaintiffs’ claims concerning the other two clusters are stayed pending determination of the Philadelphia Cluster claims. In June 2012, the U.S. Supreme Court granted our petition to review the Third Circuit Court of Appeals’ ruling and in September 2012, the trial court stayed all proceedings pending resolution of the Supreme Court appeal. In March 2013, the Supreme Court ruled that the class had been improperly certified and reversed the judgment of the Third Circuit. The matter has been returned to the District Court for action consistent with the Supreme Court’s opinion. In August 2013, a plaintiff in the Philadelphia Cluster case moved to certify a new class, and in September 2013, we moved to strike that motion on procedural grounds.</w:t>
      </w:r>
    </w:p>
    <w:p>
      <w:pPr>
        <w:spacing w:after="0" w:line="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June 2013, a comprehensive settlement agreement for all 23 cases was submitted to the District Court for preliminary approval. Regardless of whether this settlement agreement is approved, we do not expect these cases to have a material effect on our results of operations, cash flows or financial position.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40" w:hanging="215"/>
        <w:spacing w:after="0" w:line="26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(“cable services”) to residential customers under the XFINITY brand, and we also provide these services to businesses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our cable television production operations, and our related digital media properties.</w:t>
      </w:r>
    </w:p>
    <w:p>
      <w:pPr>
        <w:spacing w:after="0" w:line="25" w:lineRule="exact"/>
        <w:rPr>
          <w:rFonts w:ascii="Arial" w:cs="Arial" w:eastAsia="Arial" w:hAnsi="Arial"/>
          <w:sz w:val="18"/>
          <w:szCs w:val="18"/>
          <w:color w:val="auto"/>
        </w:rPr>
      </w:pPr>
    </w:p>
    <w:p>
      <w:pPr>
        <w:ind w:left="1020" w:right="1260" w:hanging="215"/>
        <w:spacing w:after="0" w:line="32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color w:val="auto"/>
                <w:w w:val="92"/>
              </w:rPr>
              <w:t>Three Months Ended September 30, 2013</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8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98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144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Depreciation and</w:t>
            </w:r>
          </w:p>
        </w:tc>
        <w:tc>
          <w:tcPr>
            <w:tcW w:w="148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1"/>
                <w:szCs w:val="11"/>
                <w:color w:val="auto"/>
              </w:rPr>
            </w:pPr>
          </w:p>
        </w:tc>
        <w:tc>
          <w:tcPr>
            <w:tcW w:w="660" w:type="dxa"/>
            <w:vAlign w:val="bottom"/>
          </w:tcPr>
          <w:p>
            <w:pPr>
              <w:jc w:val="right"/>
              <w:ind w:right="134"/>
              <w:spacing w:after="0" w:line="133" w:lineRule="exact"/>
              <w:rPr>
                <w:sz w:val="20"/>
                <w:szCs w:val="20"/>
                <w:color w:val="auto"/>
              </w:rPr>
            </w:pPr>
            <w:r>
              <w:rPr>
                <w:rFonts w:ascii="Arial" w:cs="Arial" w:eastAsia="Arial" w:hAnsi="Arial"/>
                <w:sz w:val="14"/>
                <w:szCs w:val="14"/>
                <w:color w:val="auto"/>
                <w:w w:val="96"/>
              </w:rPr>
              <w:t>Capital</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w w:val="92"/>
              </w:rPr>
              <w:t>Amortization</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(Loss)</w:t>
            </w:r>
          </w:p>
        </w:tc>
        <w:tc>
          <w:tcPr>
            <w:tcW w:w="10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$ 10,491</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4,246</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1,549</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2,697</w:t>
            </w:r>
          </w:p>
        </w:tc>
        <w:tc>
          <w:tcPr>
            <w:tcW w:w="360" w:type="dxa"/>
            <w:vAlign w:val="bottom"/>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NBCUniversal</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2,239</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853</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670</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1,644</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1,400</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661</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7</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69</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5,851</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898</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Corporate and Other</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133</w:t>
            </w:r>
          </w:p>
        </w:tc>
        <w:tc>
          <w:tcPr>
            <w:tcW w:w="500" w:type="dxa"/>
            <w:vAlign w:val="bottom"/>
          </w:tcPr>
          <w:p>
            <w:pPr>
              <w:spacing w:after="0"/>
              <w:rPr>
                <w:sz w:val="18"/>
                <w:szCs w:val="18"/>
                <w:color w:val="auto"/>
              </w:rPr>
            </w:pP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(324)</w:t>
            </w:r>
          </w:p>
        </w:tc>
        <w:tc>
          <w:tcPr>
            <w:tcW w:w="50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$ 16,151</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5,330</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1,916</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3,414</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284"/>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color w:val="auto"/>
                <w:w w:val="92"/>
              </w:rPr>
              <w:t>Three Months Ended September 30, 2012</w:t>
            </w: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8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98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144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Depreciation and</w:t>
            </w:r>
          </w:p>
        </w:tc>
        <w:tc>
          <w:tcPr>
            <w:tcW w:w="148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1"/>
                <w:szCs w:val="11"/>
                <w:color w:val="auto"/>
              </w:rPr>
            </w:pPr>
          </w:p>
        </w:tc>
        <w:tc>
          <w:tcPr>
            <w:tcW w:w="66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87"/>
              </w:rPr>
              <w:t>Capital</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w w:val="89"/>
              </w:rPr>
              <w:t>Amortization</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(Loss)</w:t>
            </w: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  9,976</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3,998</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1,607</w:t>
            </w:r>
          </w:p>
        </w:tc>
        <w:tc>
          <w:tcPr>
            <w:tcW w:w="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2,391</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NBCUniversal</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2,152</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2,790</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1,355</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72</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68</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614</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8</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53</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(97)</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6,822</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337</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Corporate and Other</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8"/>
                <w:szCs w:val="18"/>
                <w:color w:val="auto"/>
              </w:rPr>
            </w:pP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(366)</w:t>
            </w:r>
          </w:p>
        </w:tc>
        <w:tc>
          <w:tcPr>
            <w:tcW w:w="50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$ 16,544</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5,008</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1,960</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3,048</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1,582</w:t>
            </w:r>
          </w:p>
        </w:tc>
        <w:tc>
          <w:tcPr>
            <w:tcW w:w="0" w:type="dxa"/>
            <w:vAlign w:val="bottom"/>
          </w:tcPr>
          <w:p>
            <w:pPr>
              <w:spacing w:after="0"/>
              <w:rPr>
                <w:sz w:val="1"/>
                <w:szCs w:val="1"/>
                <w:color w:val="auto"/>
              </w:rPr>
            </w:pPr>
          </w:p>
        </w:tc>
      </w:tr>
      <w:tr>
        <w:trPr>
          <w:trHeight w:val="284"/>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color w:val="auto"/>
                <w:w w:val="94"/>
              </w:rPr>
              <w:t>Nine Months Ended September 30, 2013</w:t>
            </w: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8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98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Before Depreciation and</w:t>
            </w:r>
          </w:p>
        </w:tc>
        <w:tc>
          <w:tcPr>
            <w:tcW w:w="144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Depreciation and</w:t>
            </w:r>
          </w:p>
        </w:tc>
        <w:tc>
          <w:tcPr>
            <w:tcW w:w="148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1"/>
                <w:szCs w:val="11"/>
                <w:color w:val="auto"/>
              </w:rPr>
            </w:pPr>
          </w:p>
        </w:tc>
        <w:tc>
          <w:tcPr>
            <w:tcW w:w="66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87"/>
              </w:rPr>
              <w:t>Capital</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w w:val="89"/>
              </w:rPr>
              <w:t>Amortization</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(Loss)</w:t>
            </w: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$ 31,175</w:t>
            </w:r>
          </w:p>
        </w:tc>
        <w:tc>
          <w:tcPr>
            <w:tcW w:w="50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12,800</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4,780</w:t>
            </w:r>
          </w:p>
        </w:tc>
        <w:tc>
          <w:tcPr>
            <w:tcW w:w="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8,020</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NBCUniversal</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6,877</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2,572</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549</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4,893</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4,004</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11</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1,669</w:t>
            </w:r>
          </w:p>
        </w:tc>
        <w:tc>
          <w:tcPr>
            <w:tcW w:w="5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529</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25</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(416)</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(609)</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(282)</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200" w:type="dxa"/>
            <w:vAlign w:val="bottom"/>
            <w:gridSpan w:val="2"/>
            <w:shd w:val="clear" w:color="auto" w:fill="E5E5E5"/>
          </w:tcPr>
          <w:p>
            <w:pPr>
              <w:jc w:val="right"/>
              <w:ind w:right="112"/>
              <w:spacing w:after="0"/>
              <w:rPr>
                <w:sz w:val="20"/>
                <w:szCs w:val="20"/>
                <w:color w:val="auto"/>
              </w:rPr>
            </w:pPr>
            <w:r>
              <w:rPr>
                <w:rFonts w:ascii="Arial" w:cs="Arial" w:eastAsia="Arial" w:hAnsi="Arial"/>
                <w:sz w:val="18"/>
                <w:szCs w:val="18"/>
                <w:color w:val="auto"/>
              </w:rPr>
              <w:t>17,186</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3,394</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1,045</w:t>
            </w:r>
          </w:p>
        </w:tc>
        <w:tc>
          <w:tcPr>
            <w:tcW w:w="4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2,349</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Corporate and Other</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431</w:t>
            </w:r>
          </w:p>
        </w:tc>
        <w:tc>
          <w:tcPr>
            <w:tcW w:w="500" w:type="dxa"/>
            <w:vAlign w:val="bottom"/>
          </w:tcPr>
          <w:p>
            <w:pPr>
              <w:spacing w:after="0"/>
              <w:rPr>
                <w:sz w:val="18"/>
                <w:szCs w:val="18"/>
                <w:color w:val="auto"/>
              </w:rPr>
            </w:pP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00" w:type="dxa"/>
            <w:vAlign w:val="bottom"/>
            <w:tcBorders>
              <w:bottom w:val="single" w:sz="8" w:color="auto"/>
            </w:tcBorders>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(1,061)</w:t>
            </w:r>
          </w:p>
        </w:tc>
        <w:tc>
          <w:tcPr>
            <w:tcW w:w="50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2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$ 47,731</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15,789</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5,873</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9,916</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4,593</w:t>
            </w:r>
          </w:p>
        </w:tc>
        <w:tc>
          <w:tcPr>
            <w:tcW w:w="0" w:type="dxa"/>
            <w:vAlign w:val="bottom"/>
          </w:tcPr>
          <w:p>
            <w:pPr>
              <w:spacing w:after="0"/>
              <w:rPr>
                <w:sz w:val="1"/>
                <w:szCs w:val="1"/>
                <w:color w:val="auto"/>
              </w:rPr>
            </w:pPr>
          </w:p>
        </w:tc>
      </w:tr>
      <w:tr>
        <w:trPr>
          <w:trHeight w:val="363"/>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18</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color w:val="auto"/>
                <w:w w:val="93"/>
              </w:rPr>
              <w:t>Nine Months Ended September 30, 2012</w:t>
            </w: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80" w:type="dxa"/>
            <w:vAlign w:val="bottom"/>
            <w:gridSpan w:val="2"/>
          </w:tcPr>
          <w:p>
            <w:pPr>
              <w:ind w:left="240"/>
              <w:spacing w:after="0" w:line="131" w:lineRule="exact"/>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320" w:type="dxa"/>
            <w:vAlign w:val="bottom"/>
          </w:tcPr>
          <w:p>
            <w:pPr>
              <w:spacing w:after="0"/>
              <w:rPr>
                <w:sz w:val="11"/>
                <w:szCs w:val="11"/>
                <w:color w:val="auto"/>
              </w:rPr>
            </w:pPr>
          </w:p>
        </w:tc>
        <w:tc>
          <w:tcPr>
            <w:tcW w:w="1280" w:type="dxa"/>
            <w:vAlign w:val="bottom"/>
            <w:vMerge w:val="restart"/>
          </w:tcPr>
          <w:p>
            <w:pPr>
              <w:jc w:val="right"/>
              <w:ind w:right="19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(d)</w:t>
            </w:r>
          </w:p>
        </w:tc>
        <w:tc>
          <w:tcPr>
            <w:tcW w:w="188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Before Depreciation and</w:t>
            </w:r>
          </w:p>
        </w:tc>
        <w:tc>
          <w:tcPr>
            <w:tcW w:w="140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Depreciation and</w:t>
            </w:r>
          </w:p>
        </w:tc>
        <w:tc>
          <w:tcPr>
            <w:tcW w:w="150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5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w w:val="92"/>
              </w:rPr>
              <w:t>Amortization</w:t>
            </w: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(Loss)</w:t>
            </w: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2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$ 29,472</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12,054</w:t>
            </w:r>
          </w:p>
        </w:tc>
        <w:tc>
          <w:tcPr>
            <w:tcW w:w="300" w:type="dxa"/>
            <w:vAlign w:val="bottom"/>
            <w:shd w:val="clear" w:color="auto" w:fill="E5E5E5"/>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4,802</w:t>
            </w:r>
          </w:p>
        </w:tc>
        <w:tc>
          <w:tcPr>
            <w:tcW w:w="4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7,252</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NBCUniversal</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2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6,520</w:t>
            </w:r>
          </w:p>
        </w:tc>
        <w:tc>
          <w:tcPr>
            <w:tcW w:w="4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2,408</w:t>
            </w:r>
          </w:p>
        </w:tc>
        <w:tc>
          <w:tcPr>
            <w:tcW w:w="3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548</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1,860</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6,203</w:t>
            </w:r>
          </w:p>
        </w:tc>
        <w:tc>
          <w:tcPr>
            <w:tcW w:w="4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2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3,778</w:t>
            </w:r>
          </w:p>
        </w:tc>
        <w:tc>
          <w:tcPr>
            <w:tcW w:w="4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(5)</w:t>
            </w:r>
          </w:p>
        </w:tc>
        <w:tc>
          <w:tcPr>
            <w:tcW w:w="3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12</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(17)</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1,565</w:t>
            </w:r>
          </w:p>
        </w:tc>
        <w:tc>
          <w:tcPr>
            <w:tcW w:w="4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(b)</w:t>
            </w:r>
          </w:p>
        </w:tc>
        <w:tc>
          <w:tcPr>
            <w:tcW w:w="12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31</w:t>
            </w:r>
          </w:p>
        </w:tc>
        <w:tc>
          <w:tcPr>
            <w:tcW w:w="4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(593)</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(299)</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2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17,798</w:t>
            </w:r>
          </w:p>
        </w:tc>
        <w:tc>
          <w:tcPr>
            <w:tcW w:w="40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2,935</w:t>
            </w:r>
          </w:p>
        </w:tc>
        <w:tc>
          <w:tcPr>
            <w:tcW w:w="30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969</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1,966</w:t>
            </w: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and Other</w:t>
            </w: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416</w:t>
            </w:r>
          </w:p>
        </w:tc>
        <w:tc>
          <w:tcPr>
            <w:tcW w:w="400" w:type="dxa"/>
            <w:vAlign w:val="bottom"/>
          </w:tcPr>
          <w:p>
            <w:pPr>
              <w:spacing w:after="0"/>
              <w:rPr>
                <w:sz w:val="18"/>
                <w:szCs w:val="18"/>
                <w:color w:val="auto"/>
              </w:rPr>
            </w:pP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(c)</w:t>
            </w:r>
          </w:p>
        </w:tc>
        <w:tc>
          <w:tcPr>
            <w:tcW w:w="12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(1,053)</w:t>
            </w:r>
          </w:p>
        </w:tc>
        <w:tc>
          <w:tcPr>
            <w:tcW w:w="400" w:type="dxa"/>
            <w:vAlign w:val="bottom"/>
            <w:tcBorders>
              <w:bottom w:val="single" w:sz="8" w:color="auto"/>
            </w:tcBorders>
            <w:shd w:val="clear" w:color="auto" w:fill="E5E5E5"/>
          </w:tcPr>
          <w:p>
            <w:pPr>
              <w:spacing w:after="0"/>
              <w:rPr>
                <w:sz w:val="18"/>
                <w:szCs w:val="18"/>
                <w:color w:val="auto"/>
              </w:rPr>
            </w:pPr>
          </w:p>
        </w:tc>
        <w:tc>
          <w:tcPr>
            <w:tcW w:w="148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$ 46,633</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14,700</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5,815</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8,885</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4,043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2013 and 2012, Cable Communications segment revenue was derived from the following sources:</w:t>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640" w:type="dxa"/>
            <w:vAlign w:val="bottom"/>
            <w:gridSpan w:val="2"/>
          </w:tcPr>
          <w:p>
            <w:pPr>
              <w:jc w:val="right"/>
              <w:ind w:right="592"/>
              <w:spacing w:after="0"/>
              <w:rPr>
                <w:sz w:val="20"/>
                <w:szCs w:val="20"/>
                <w:color w:val="auto"/>
              </w:rPr>
            </w:pPr>
            <w:r>
              <w:rPr>
                <w:rFonts w:ascii="Arial" w:cs="Arial" w:eastAsia="Arial" w:hAnsi="Arial"/>
                <w:sz w:val="14"/>
                <w:szCs w:val="14"/>
                <w:color w:val="auto"/>
              </w:rPr>
              <w:t>Three Months Ended</w:t>
            </w:r>
          </w:p>
        </w:tc>
        <w:tc>
          <w:tcPr>
            <w:tcW w:w="2020" w:type="dxa"/>
            <w:vAlign w:val="bottom"/>
            <w:gridSpan w:val="2"/>
          </w:tcPr>
          <w:p>
            <w:pPr>
              <w:jc w:val="right"/>
              <w:ind w:right="312"/>
              <w:spacing w:after="0"/>
              <w:rPr>
                <w:sz w:val="20"/>
                <w:szCs w:val="20"/>
                <w:color w:val="auto"/>
              </w:rPr>
            </w:pPr>
            <w:r>
              <w:rPr>
                <w:rFonts w:ascii="Arial" w:cs="Arial" w:eastAsia="Arial" w:hAnsi="Arial"/>
                <w:sz w:val="14"/>
                <w:szCs w:val="14"/>
                <w:color w:val="auto"/>
              </w:rPr>
              <w:t>Nine Months Ended</w:t>
            </w:r>
          </w:p>
        </w:tc>
      </w:tr>
      <w:tr>
        <w:trPr>
          <w:trHeight w:val="159"/>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89"/>
              </w:rPr>
              <w:t>2012</w:t>
            </w: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89"/>
              </w:rPr>
              <w:t>2012</w:t>
            </w:r>
          </w:p>
        </w:tc>
      </w:tr>
      <w:tr>
        <w:trPr>
          <w:trHeight w:val="142"/>
        </w:trPr>
        <w:tc>
          <w:tcPr>
            <w:tcW w:w="20" w:type="dxa"/>
            <w:vAlign w:val="bottom"/>
          </w:tcPr>
          <w:p>
            <w:pPr>
              <w:spacing w:after="0"/>
              <w:rPr>
                <w:sz w:val="12"/>
                <w:szCs w:val="12"/>
                <w:color w:val="auto"/>
              </w:rPr>
            </w:pPr>
          </w:p>
        </w:tc>
        <w:tc>
          <w:tcPr>
            <w:tcW w:w="56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182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500" w:type="dxa"/>
            <w:vAlign w:val="bottom"/>
            <w:shd w:val="clear" w:color="auto" w:fill="E5E5E5"/>
          </w:tcPr>
          <w:p>
            <w:pPr>
              <w:spacing w:after="0"/>
              <w:rPr>
                <w:sz w:val="12"/>
                <w:szCs w:val="12"/>
                <w:color w:val="auto"/>
              </w:rPr>
            </w:pPr>
          </w:p>
        </w:tc>
        <w:tc>
          <w:tcPr>
            <w:tcW w:w="520" w:type="dxa"/>
            <w:vAlign w:val="bottom"/>
            <w:shd w:val="clear" w:color="auto" w:fill="E5E5E5"/>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Video</w:t>
            </w:r>
          </w:p>
        </w:tc>
        <w:tc>
          <w:tcPr>
            <w:tcW w:w="182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48.9%</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49.9%</w:t>
            </w:r>
          </w:p>
        </w:tc>
        <w:tc>
          <w:tcPr>
            <w:tcW w:w="15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49.4%</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50.7%</w:t>
            </w:r>
          </w:p>
        </w:tc>
      </w:tr>
      <w:tr>
        <w:trPr>
          <w:trHeight w:val="149"/>
        </w:trPr>
        <w:tc>
          <w:tcPr>
            <w:tcW w:w="20" w:type="dxa"/>
            <w:vAlign w:val="bottom"/>
          </w:tcPr>
          <w:p>
            <w:pPr>
              <w:spacing w:after="0"/>
              <w:rPr>
                <w:sz w:val="12"/>
                <w:szCs w:val="12"/>
                <w:color w:val="auto"/>
              </w:rPr>
            </w:pPr>
          </w:p>
        </w:tc>
        <w:tc>
          <w:tcPr>
            <w:tcW w:w="5600" w:type="dxa"/>
            <w:vAlign w:val="bottom"/>
            <w:shd w:val="clear" w:color="auto" w:fill="E5E5E5"/>
          </w:tcPr>
          <w:p>
            <w:pPr>
              <w:ind w:left="420"/>
              <w:spacing w:after="0" w:line="149" w:lineRule="exact"/>
              <w:rPr>
                <w:sz w:val="20"/>
                <w:szCs w:val="20"/>
                <w:color w:val="auto"/>
              </w:rPr>
            </w:pPr>
            <w:r>
              <w:rPr>
                <w:rFonts w:ascii="Arial" w:cs="Arial" w:eastAsia="Arial" w:hAnsi="Arial"/>
                <w:sz w:val="14"/>
                <w:szCs w:val="14"/>
                <w:color w:val="auto"/>
              </w:rPr>
              <w:t>High-speed Internet</w:t>
            </w:r>
          </w:p>
        </w:tc>
        <w:tc>
          <w:tcPr>
            <w:tcW w:w="182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24.7%</w:t>
            </w:r>
          </w:p>
        </w:tc>
        <w:tc>
          <w:tcPr>
            <w:tcW w:w="820" w:type="dxa"/>
            <w:vAlign w:val="bottom"/>
            <w:shd w:val="clear" w:color="auto" w:fill="E5E5E5"/>
          </w:tcPr>
          <w:p>
            <w:pPr>
              <w:jc w:val="right"/>
              <w:ind w:right="312"/>
              <w:spacing w:after="0" w:line="149" w:lineRule="exact"/>
              <w:rPr>
                <w:sz w:val="20"/>
                <w:szCs w:val="20"/>
                <w:color w:val="auto"/>
              </w:rPr>
            </w:pPr>
            <w:r>
              <w:rPr>
                <w:rFonts w:ascii="Arial" w:cs="Arial" w:eastAsia="Arial" w:hAnsi="Arial"/>
                <w:sz w:val="14"/>
                <w:szCs w:val="14"/>
                <w:color w:val="auto"/>
              </w:rPr>
              <w:t>24.1%</w:t>
            </w:r>
          </w:p>
        </w:tc>
        <w:tc>
          <w:tcPr>
            <w:tcW w:w="150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24.6%</w:t>
            </w:r>
          </w:p>
        </w:tc>
        <w:tc>
          <w:tcPr>
            <w:tcW w:w="5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Voice</w:t>
            </w:r>
          </w:p>
        </w:tc>
        <w:tc>
          <w:tcPr>
            <w:tcW w:w="182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8.8%</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9.0%</w:t>
            </w:r>
          </w:p>
        </w:tc>
        <w:tc>
          <w:tcPr>
            <w:tcW w:w="15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8.8%</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9.0%</w:t>
            </w:r>
          </w:p>
        </w:tc>
      </w:tr>
      <w:tr>
        <w:trPr>
          <w:trHeight w:val="149"/>
        </w:trPr>
        <w:tc>
          <w:tcPr>
            <w:tcW w:w="20" w:type="dxa"/>
            <w:vAlign w:val="bottom"/>
          </w:tcPr>
          <w:p>
            <w:pPr>
              <w:spacing w:after="0"/>
              <w:rPr>
                <w:sz w:val="12"/>
                <w:szCs w:val="12"/>
                <w:color w:val="auto"/>
              </w:rPr>
            </w:pPr>
          </w:p>
        </w:tc>
        <w:tc>
          <w:tcPr>
            <w:tcW w:w="56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182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8.0%</w:t>
            </w:r>
          </w:p>
        </w:tc>
        <w:tc>
          <w:tcPr>
            <w:tcW w:w="820" w:type="dxa"/>
            <w:vAlign w:val="bottom"/>
            <w:shd w:val="clear" w:color="auto" w:fill="E5E5E5"/>
          </w:tcPr>
          <w:p>
            <w:pPr>
              <w:jc w:val="right"/>
              <w:ind w:right="312"/>
              <w:spacing w:after="0" w:line="149" w:lineRule="exact"/>
              <w:rPr>
                <w:sz w:val="20"/>
                <w:szCs w:val="20"/>
                <w:color w:val="auto"/>
              </w:rPr>
            </w:pPr>
            <w:r>
              <w:rPr>
                <w:rFonts w:ascii="Arial" w:cs="Arial" w:eastAsia="Arial" w:hAnsi="Arial"/>
                <w:sz w:val="14"/>
                <w:szCs w:val="14"/>
                <w:color w:val="auto"/>
              </w:rPr>
              <w:t>6.6%</w:t>
            </w:r>
          </w:p>
        </w:tc>
        <w:tc>
          <w:tcPr>
            <w:tcW w:w="150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7.6%</w:t>
            </w:r>
          </w:p>
        </w:tc>
        <w:tc>
          <w:tcPr>
            <w:tcW w:w="5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6.3%</w:t>
            </w: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182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5.2%</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6.1%</w:t>
            </w:r>
          </w:p>
        </w:tc>
        <w:tc>
          <w:tcPr>
            <w:tcW w:w="15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5.1%</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w:t>
            </w:r>
          </w:p>
        </w:tc>
      </w:tr>
      <w:tr>
        <w:trPr>
          <w:trHeight w:val="149"/>
        </w:trPr>
        <w:tc>
          <w:tcPr>
            <w:tcW w:w="20" w:type="dxa"/>
            <w:vAlign w:val="bottom"/>
          </w:tcPr>
          <w:p>
            <w:pPr>
              <w:spacing w:after="0"/>
              <w:rPr>
                <w:sz w:val="12"/>
                <w:szCs w:val="12"/>
                <w:color w:val="auto"/>
              </w:rPr>
            </w:pPr>
          </w:p>
        </w:tc>
        <w:tc>
          <w:tcPr>
            <w:tcW w:w="56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1820" w:type="dxa"/>
            <w:vAlign w:val="bottom"/>
            <w:tcBorders>
              <w:bottom w:val="single" w:sz="8" w:color="auto"/>
            </w:tcBorders>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4.4%</w:t>
            </w:r>
          </w:p>
        </w:tc>
        <w:tc>
          <w:tcPr>
            <w:tcW w:w="820" w:type="dxa"/>
            <w:vAlign w:val="bottom"/>
            <w:tcBorders>
              <w:bottom w:val="single" w:sz="8" w:color="auto"/>
            </w:tcBorders>
            <w:shd w:val="clear" w:color="auto" w:fill="E5E5E5"/>
          </w:tcPr>
          <w:p>
            <w:pPr>
              <w:jc w:val="right"/>
              <w:ind w:right="312"/>
              <w:spacing w:after="0" w:line="149" w:lineRule="exact"/>
              <w:rPr>
                <w:sz w:val="20"/>
                <w:szCs w:val="20"/>
                <w:color w:val="auto"/>
              </w:rPr>
            </w:pPr>
            <w:r>
              <w:rPr>
                <w:rFonts w:ascii="Arial" w:cs="Arial" w:eastAsia="Arial" w:hAnsi="Arial"/>
                <w:sz w:val="14"/>
                <w:szCs w:val="14"/>
                <w:color w:val="auto"/>
              </w:rPr>
              <w:t>4.3%</w:t>
            </w:r>
          </w:p>
        </w:tc>
        <w:tc>
          <w:tcPr>
            <w:tcW w:w="1500" w:type="dxa"/>
            <w:vAlign w:val="bottom"/>
            <w:tcBorders>
              <w:bottom w:val="single" w:sz="8" w:color="auto"/>
            </w:tcBorders>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4.5%</w:t>
            </w:r>
          </w:p>
        </w:tc>
        <w:tc>
          <w:tcPr>
            <w:tcW w:w="520" w:type="dxa"/>
            <w:vAlign w:val="bottom"/>
            <w:tcBorders>
              <w:bottom w:val="single" w:sz="8" w:color="auto"/>
            </w:tcBorders>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4.4%</w:t>
            </w:r>
          </w:p>
        </w:tc>
      </w:tr>
      <w:tr>
        <w:trPr>
          <w:trHeight w:val="149"/>
        </w:trPr>
        <w:tc>
          <w:tcPr>
            <w:tcW w:w="20" w:type="dxa"/>
            <w:vAlign w:val="bottom"/>
            <w:tcBorders>
              <w:bottom w:val="single" w:sz="8" w:color="auto"/>
            </w:tcBorders>
          </w:tcPr>
          <w:p>
            <w:pPr>
              <w:spacing w:after="0"/>
              <w:rPr>
                <w:sz w:val="12"/>
                <w:szCs w:val="12"/>
                <w:color w:val="auto"/>
              </w:rPr>
            </w:pPr>
          </w:p>
        </w:tc>
        <w:tc>
          <w:tcPr>
            <w:tcW w:w="5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82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color w:val="auto"/>
              </w:rPr>
              <w:t>100%</w:t>
            </w:r>
          </w:p>
        </w:tc>
        <w:tc>
          <w:tcPr>
            <w:tcW w:w="8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color w:val="auto"/>
              </w:rPr>
              <w:t>100%</w:t>
            </w:r>
          </w:p>
        </w:tc>
        <w:tc>
          <w:tcPr>
            <w:tcW w:w="150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color w:val="auto"/>
              </w:rPr>
              <w:t>100%</w:t>
            </w:r>
          </w:p>
        </w:tc>
        <w:tc>
          <w:tcPr>
            <w:tcW w:w="5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jc w:val="both"/>
        <w:ind w:left="360"/>
        <w:spacing w:after="0" w:line="233"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 Beginning in 2013, revenue from certain business customers, such as hotels, restaurants and bars, is presented in the business services revenue line item rather than in video revenue. Reclassifications have been made to the prior year periods to conform to this presentation.</w:t>
      </w:r>
    </w:p>
    <w:p>
      <w:pPr>
        <w:spacing w:after="0" w:line="44" w:lineRule="exact"/>
        <w:rPr>
          <w:sz w:val="20"/>
          <w:szCs w:val="20"/>
          <w:color w:val="auto"/>
        </w:rPr>
      </w:pPr>
    </w:p>
    <w:p>
      <w:pPr>
        <w:jc w:val="both"/>
        <w:ind w:left="360" w:right="20"/>
        <w:spacing w:after="0" w:line="239" w:lineRule="auto"/>
        <w:rPr>
          <w:sz w:val="20"/>
          <w:szCs w:val="20"/>
          <w:color w:val="auto"/>
        </w:rPr>
      </w:pPr>
      <w:r>
        <w:rPr>
          <w:rFonts w:ascii="Arial" w:cs="Arial" w:eastAsia="Arial" w:hAnsi="Arial"/>
          <w:sz w:val="14"/>
          <w:szCs w:val="14"/>
          <w:color w:val="auto"/>
        </w:rPr>
        <w:t>For both the three and nine months ended September 30, 2013, 2.9% of Cable Communications revenue was derived from franchise and other regulatory fees. For both the three and nine months ended September 30, 2012, 2.8% of Cable Communications revenue was derived from franchise and other regulatory fees.</w:t>
      </w:r>
    </w:p>
    <w:p>
      <w:pPr>
        <w:spacing w:after="0" w:line="4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the substantial majority of the transactions among our segments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68"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(“Comcast Parent”) and four of our wholly owned cable holding company subsidiaries, Comcast Cable Communications, LLC (“CCCL Parent”), Comcast MO Group, Inc. (“Comcast MO Group”), Comcast Cable Holdings, LLC (“CCH”) and Comcast MO of Delaware, LLC (“Comcast MO of Delaware”) (collectively, the “cable guarantors”),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27, 2013, Comcast Parent, the cable guarantors and NBCUniversal Media, LLC (referred to as “NBCUniversal Media Parent” in the tables below) entered into a series of agreements and supplemental indentures to include NBCUniversal Media, LLC as part of our existing cross-guarantee structure. As members of the cross-guarantee structure, Comcast Parent and the cable guarantors fully and unconditionally guarantee NBCUniversal Media, LLC’s public debt securities, and NBCUniversal Media, LLC fully and unconditionally guarantees all of Comcast Parent’s and the cable guarantors’ public debt securities, as well as the $6.25 billion revolving credit facility of Comcast Parent and Comcast Cable Communications, LLC.</w:t>
      </w:r>
    </w:p>
    <w:p>
      <w:pPr>
        <w:spacing w:after="0" w:line="21"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Comcast Parent and the cable guarantors also fully and unconditionally guarantee NBCUniversal Enterprise’s $4 billion of senior notes and its $1.35 billion credit facility due March 2018. NBCUniversal Media, LLC does not guarantee the NBCUniversal Enterprise senior notes or credit facility.</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LLC guarantee the Comcast Holdings ZONES due October 2029. None of Comcast Parent, the cable guarantors nor NBCUniversal Media, LLC guarantee the $62 million principal amount currently outstanding of Comcast Holdings’ ZONES due November 2029.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6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color w:val="auto"/>
                <w:w w:val="87"/>
              </w:rPr>
              <w:t>Parent</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color w:val="auto"/>
                <w:w w:val="96"/>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240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1,363</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4,132</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5,501</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203</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964</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12,919</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4,588</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3,290</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78,024</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95,366</w:t>
            </w:r>
          </w:p>
        </w:tc>
        <w:tc>
          <w:tcPr>
            <w:tcW w:w="2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w w:val="86"/>
              </w:rPr>
              <w:t>100,411</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53,230</w:t>
            </w: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40,496</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82,558</w:t>
            </w: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(450,085)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28,583</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27,079</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17,325</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1,095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1,881</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(894)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7"/>
              </w:rPr>
              <w:t>79,562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95,511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6"/>
              </w:rPr>
              <w:t>100,411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53,230</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41,273</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237,587</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(450,979)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156,595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89"/>
              </w:rPr>
              <w:t>Accounts payable and accrued expenses related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 trade creditors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6,025</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5"/>
              </w:rPr>
              <w:t>Accrued expenses and other current liabilities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6,720</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1,411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14,139</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7"/>
              </w:rPr>
              <w:t>25,163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1,507</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10,239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5,333</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31,166</w:t>
            </w:r>
          </w:p>
        </w:tc>
        <w:tc>
          <w:tcPr>
            <w:tcW w:w="2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8,614</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7"/>
              </w:rPr>
              <w:t>49,688</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94,352</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98,283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51,702</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28,682</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177,066</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(450,085)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6"/>
              </w:rPr>
              <w:t>Total Comcast Corporation shareholders’ equity</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49,718</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94,352</w:t>
            </w:r>
          </w:p>
        </w:tc>
        <w:tc>
          <w:tcPr>
            <w:tcW w:w="22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98,283</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51,702</w:t>
            </w:r>
          </w:p>
        </w:tc>
        <w:tc>
          <w:tcPr>
            <w:tcW w:w="3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28,682</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177,066</w:t>
            </w:r>
          </w:p>
        </w:tc>
        <w:tc>
          <w:tcPr>
            <w:tcW w:w="2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(450,085)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416</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49,718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94,352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98,283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51,702</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28,682</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177,482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(450,085)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7"/>
              </w:rPr>
              <w:t>79,562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95,511</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6"/>
              </w:rPr>
              <w:t>100,411</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53,230</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41,273</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237,587</w:t>
            </w:r>
          </w:p>
        </w:tc>
        <w:tc>
          <w:tcPr>
            <w:tcW w:w="28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90"/>
              </w:rPr>
              <w:t>(450,979)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156,595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gridSpan w:val="2"/>
          </w:tcPr>
          <w:p>
            <w:pPr>
              <w:jc w:val="right"/>
              <w:ind w:right="453"/>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62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89"/>
              </w:rPr>
              <w:t>CCCL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CCHMO</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3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82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2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w w:val="82"/>
              </w:rPr>
              <w:t>Parent</w:t>
            </w:r>
          </w:p>
        </w:tc>
        <w:tc>
          <w:tcPr>
            <w:tcW w:w="24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w w:val="78"/>
              </w:rPr>
              <w:t>Parents</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5,129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5,822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1,464</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5,518</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909</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5,183</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14,557</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5,054</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5,796</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5"/>
              </w:rPr>
              <w:t>Investments in and amounts due from subsidiaries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eliminated upon consolidation</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74,227</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87,630</w:t>
            </w:r>
          </w:p>
        </w:tc>
        <w:tc>
          <w:tcPr>
            <w:tcW w:w="2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96,853</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50,242</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38,464</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73,298</w:t>
            </w: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(420,714)</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26,990</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26,985</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17,828</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1,130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1,650</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(900)</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75,844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87,777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3"/>
              </w:rPr>
              <w:t>96,868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7"/>
              </w:rPr>
              <w:t>50,246</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44,328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231,522</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3"/>
              </w:rPr>
              <w:t>(421,614)</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w w:val="88"/>
              </w:rPr>
              <w:t>Accounts payable and accrued expenses related to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trade creditors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6,198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1,350</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w w:val="99"/>
              </w:rPr>
              <w:t>Accrued expenses and other current liabilities</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4,690</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2,105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241</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2,315</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12,261</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3"/>
              </w:rPr>
              <w:t>23,306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1,827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1,512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11,219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30,035</w:t>
            </w:r>
          </w:p>
        </w:tc>
        <w:tc>
          <w:tcPr>
            <w:tcW w:w="2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1,884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10,604</w:t>
            </w: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89"/>
              </w:rPr>
              <w:t>Redeemable noncontrolling interests and redeemable</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2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16,998</w:t>
            </w:r>
          </w:p>
        </w:tc>
        <w:tc>
          <w:tcPr>
            <w:tcW w:w="26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49,325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86,635</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3"/>
              </w:rPr>
              <w:t>92,726</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7"/>
              </w:rPr>
              <w:t>48,439</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31,835</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161,079</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3"/>
              </w:rPr>
              <w:t>(420,714)</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49,356</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86,635</w:t>
            </w:r>
          </w:p>
        </w:tc>
        <w:tc>
          <w:tcPr>
            <w:tcW w:w="2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w w:val="83"/>
              </w:rPr>
              <w:t>92,726</w:t>
            </w:r>
          </w:p>
        </w:tc>
        <w:tc>
          <w:tcPr>
            <w:tcW w:w="240" w:type="dxa"/>
            <w:vAlign w:val="bottom"/>
          </w:tcPr>
          <w:p>
            <w:pPr>
              <w:spacing w:after="0"/>
              <w:rPr>
                <w:sz w:val="18"/>
                <w:szCs w:val="18"/>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w w:val="87"/>
              </w:rPr>
              <w:t>48,439</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31,835</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w w:val="86"/>
              </w:rPr>
              <w:t>161,079</w:t>
            </w:r>
          </w:p>
        </w:tc>
        <w:tc>
          <w:tcPr>
            <w:tcW w:w="26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w w:val="93"/>
              </w:rPr>
              <w:t>(420,714)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49,356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86,635</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3"/>
              </w:rPr>
              <w:t>92,726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7"/>
              </w:rPr>
              <w:t>48,439</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31,835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161,519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3"/>
              </w:rPr>
              <w:t>(420,714)</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75,844</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w w:val="87"/>
              </w:rPr>
              <w:t>87,777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3"/>
              </w:rPr>
              <w:t>96,868</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87"/>
              </w:rPr>
              <w:t>50,246</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44,328</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231,522</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3"/>
              </w:rPr>
              <w:t>(421,614)</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5"/>
              </w:rPr>
              <w:t>164,971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gridSpan w:val="2"/>
          </w:tcPr>
          <w:p>
            <w:pPr>
              <w:jc w:val="right"/>
              <w:ind w:right="513"/>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10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1180" w:type="dxa"/>
            <w:vAlign w:val="bottom"/>
            <w:gridSpan w:val="2"/>
          </w:tcPr>
          <w:p>
            <w:pPr>
              <w:jc w:val="right"/>
              <w:ind w:right="172"/>
              <w:spacing w:after="0"/>
              <w:rPr>
                <w:sz w:val="20"/>
                <w:szCs w:val="20"/>
                <w:color w:val="auto"/>
              </w:rPr>
            </w:pPr>
            <w:r>
              <w:rPr>
                <w:rFonts w:ascii="Arial" w:cs="Arial" w:eastAsia="Arial" w:hAnsi="Arial"/>
                <w:sz w:val="14"/>
                <w:szCs w:val="14"/>
                <w:color w:val="auto"/>
              </w:rPr>
              <w:t>Media Parent</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16,151</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16,151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4"/>
              </w:rPr>
              <w:t>16,151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16,151</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4,787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4,787</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4,673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4,751</w:t>
            </w: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1,283</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1,283</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1,513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1,520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396</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219</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211</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94"/>
              </w:rPr>
              <w:t>12,651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12,737</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3,500</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3,414</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471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464</w:t>
            </w:r>
          </w:p>
        </w:tc>
      </w:tr>
      <w:tr>
        <w:trPr>
          <w:trHeight w:val="208"/>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w w:val="96"/>
              </w:rPr>
              <w:t>Equity in net income (losses) of investees,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1,898</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1,787</w:t>
            </w:r>
          </w:p>
        </w:tc>
        <w:tc>
          <w:tcPr>
            <w:tcW w:w="2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1,850</w:t>
            </w:r>
          </w:p>
        </w:tc>
        <w:tc>
          <w:tcPr>
            <w:tcW w:w="280" w:type="dxa"/>
            <w:vAlign w:val="bottom"/>
          </w:tcPr>
          <w:p>
            <w:pPr>
              <w:spacing w:after="0"/>
              <w:rPr>
                <w:sz w:val="19"/>
                <w:szCs w:val="19"/>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1,371</w:t>
            </w:r>
          </w:p>
        </w:tc>
        <w:tc>
          <w:tcPr>
            <w:tcW w:w="44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(310)</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1,517</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1,779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1,805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1,341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450</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211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1,642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1,779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1,805</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1,341</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3,711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2,799</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8"/>
              </w:rPr>
              <w:t>(1,137)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10"/>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1,732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1,782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1,820</w:t>
            </w:r>
          </w:p>
        </w:tc>
        <w:tc>
          <w:tcPr>
            <w:tcW w:w="2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1,352</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2,574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(7,718)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1,778</w:t>
            </w: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197"/>
        </w:trPr>
        <w:tc>
          <w:tcPr>
            <w:tcW w:w="20" w:type="dxa"/>
            <w:vAlign w:val="bottom"/>
          </w:tcPr>
          <w:p>
            <w:pPr>
              <w:spacing w:after="0"/>
              <w:rPr>
                <w:sz w:val="17"/>
                <w:szCs w:val="17"/>
                <w:color w:val="auto"/>
              </w:rPr>
            </w:pPr>
          </w:p>
        </w:tc>
        <w:tc>
          <w:tcPr>
            <w:tcW w:w="34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w w:val="97"/>
              </w:rPr>
              <w:t>Net income (loss) attributable to Comcast</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1,732</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1,782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1,820</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1,352</w:t>
            </w: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236</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2,528</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(7,718)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1,732</w:t>
            </w: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b w:val="1"/>
                <w:bCs w:val="1"/>
                <w:color w:val="auto"/>
                <w:w w:val="90"/>
              </w:rPr>
              <w:t>Comprehensive income (loss) attributable to</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1,545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1,864</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1,415</w:t>
            </w: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244</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2,327</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(7,678)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1,545</w:t>
            </w: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16,544</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16,544</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16,544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16,544</w:t>
            </w: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5,726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5,726</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4,481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4,580</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1,230</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1,541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411</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13,388</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13,496</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3,156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3,048</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20" w:type="dxa"/>
            <w:vAlign w:val="bottom"/>
          </w:tcPr>
          <w:p>
            <w:pPr>
              <w:spacing w:after="0"/>
              <w:rPr>
                <w:sz w:val="18"/>
                <w:szCs w:val="18"/>
                <w:color w:val="auto"/>
              </w:rPr>
            </w:pPr>
          </w:p>
        </w:tc>
        <w:tc>
          <w:tcPr>
            <w:tcW w:w="41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2,281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2,047</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1,641</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1,216</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2,583</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(10,845)</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911</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988</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987</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1,919</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2,040</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1,560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1,183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1,887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3,591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(10,845)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1,335</w:t>
            </w: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2,022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2,040</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1,560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1,183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1,676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6,747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(10,845)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4,383</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r>
      <w:tr>
        <w:trPr>
          <w:trHeight w:val="210"/>
        </w:trPr>
        <w:tc>
          <w:tcPr>
            <w:tcW w:w="20" w:type="dxa"/>
            <w:vAlign w:val="bottom"/>
          </w:tcPr>
          <w:p>
            <w:pPr>
              <w:spacing w:after="0"/>
              <w:rPr>
                <w:sz w:val="18"/>
                <w:szCs w:val="18"/>
                <w:color w:val="auto"/>
              </w:rPr>
            </w:pPr>
          </w:p>
        </w:tc>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2,113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2,043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1,588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1,195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5,212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(10,845)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2,978</w:t>
            </w: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and redeemable subsidiary</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(865)</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r>
      <w:tr>
        <w:trPr>
          <w:trHeight w:val="197"/>
        </w:trPr>
        <w:tc>
          <w:tcPr>
            <w:tcW w:w="20" w:type="dxa"/>
            <w:vAlign w:val="bottom"/>
          </w:tcPr>
          <w:p>
            <w:pPr>
              <w:spacing w:after="0"/>
              <w:rPr>
                <w:sz w:val="17"/>
                <w:szCs w:val="17"/>
                <w:color w:val="auto"/>
              </w:rPr>
            </w:pPr>
          </w:p>
        </w:tc>
        <w:tc>
          <w:tcPr>
            <w:tcW w:w="410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2,113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2,043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1,588</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1,195</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1,672</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4,347</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(10,845)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2,113</w:t>
            </w: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b w:val="1"/>
                <w:bCs w:val="1"/>
                <w:color w:val="auto"/>
                <w:w w:val="88"/>
              </w:rPr>
              <w:t>Comprehensive income (loss) attributable to Comcast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2,235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2,043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1,591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1,195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1,706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4,398</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(10,933)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2,235</w:t>
            </w:r>
          </w:p>
        </w:tc>
      </w:tr>
      <w:tr>
        <w:trPr>
          <w:trHeight w:val="36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47,731</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47,731</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47,731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47,731</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14,418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14,418</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13,523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13,787</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3,737</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3,737</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22</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4,647</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4,669</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1,200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1,204</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641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37,525</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37,815</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10,206</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9,916</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(1,141)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549</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w w:val="97"/>
              </w:rPr>
              <w:t>Equity in net income (losses) of investees, net</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5,416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5,438</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5,448</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3,982</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(280)</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4,276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5,428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5,281</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3,886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1,868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1,240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4,627</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5,428</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5,281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3,886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1,227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11,446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8,161</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(3,353)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4,903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5,432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5,339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3,920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8,093</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(23,734)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5,167</w:t>
            </w: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197"/>
        </w:trPr>
        <w:tc>
          <w:tcPr>
            <w:tcW w:w="20" w:type="dxa"/>
            <w:vAlign w:val="bottom"/>
          </w:tcPr>
          <w:p>
            <w:pPr>
              <w:spacing w:after="0"/>
              <w:rPr>
                <w:sz w:val="17"/>
                <w:szCs w:val="17"/>
                <w:color w:val="auto"/>
              </w:rPr>
            </w:pPr>
          </w:p>
        </w:tc>
        <w:tc>
          <w:tcPr>
            <w:tcW w:w="37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4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4,903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5,432</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5,339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3,920</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1,214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7,829</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(23,734)</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4,903</w:t>
            </w: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b w:val="1"/>
                <w:bCs w:val="1"/>
                <w:color w:val="auto"/>
                <w:w w:val="98"/>
              </w:rPr>
              <w:t>Comprehensive income (loss) attributable to</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4,804</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5,471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5,386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3,983</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1,176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7,741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(23,757)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4,804</w:t>
            </w: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0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Comcast</w:t>
            </w: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8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Holdings</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6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46,633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46,633</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381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(1,616)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46,633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(1,616)</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46,633</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15,013</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15,013</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381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686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12,839</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(1,616)</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13,190</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3,730</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3,730</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4,571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4,594</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1,218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1,221</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381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686</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37,371</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(1,616)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37,748</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9,262</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8,885</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87"/>
              </w:rPr>
              <w:t>(1,084)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16"/>
        </w:trPr>
        <w:tc>
          <w:tcPr>
            <w:tcW w:w="20" w:type="dxa"/>
            <w:vAlign w:val="bottom"/>
          </w:tcPr>
          <w:p>
            <w:pPr>
              <w:spacing w:after="0"/>
              <w:rPr>
                <w:sz w:val="18"/>
                <w:szCs w:val="18"/>
                <w:color w:val="auto"/>
              </w:rPr>
            </w:pPr>
          </w:p>
        </w:tc>
        <w:tc>
          <w:tcPr>
            <w:tcW w:w="37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w w:val="97"/>
              </w:rPr>
              <w:t>Equity in net income (losses) of investees, net</w:t>
            </w:r>
          </w:p>
        </w:tc>
        <w:tc>
          <w:tcPr>
            <w:tcW w:w="4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5,186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5,171</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4,863</w:t>
            </w:r>
          </w:p>
        </w:tc>
        <w:tc>
          <w:tcPr>
            <w:tcW w:w="24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3,591</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3,572</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3,513</w:t>
            </w:r>
          </w:p>
        </w:tc>
        <w:tc>
          <w:tcPr>
            <w:tcW w:w="2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w w:val="98"/>
              </w:rPr>
              <w:t>(24,953)</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943</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938</w:t>
            </w:r>
          </w:p>
        </w:tc>
        <w:tc>
          <w:tcPr>
            <w:tcW w:w="2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924</w:t>
            </w:r>
          </w:p>
        </w:tc>
      </w:tr>
      <w:tr>
        <w:trPr>
          <w:trHeight w:val="210"/>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7"/>
              </w:rPr>
              <w:t>4,106</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5,149</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4,617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3,489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3,251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4,480</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(24,953)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4,415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5,149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4,617</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3,489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2,565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13,742</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(24,953)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9,024</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(3,371)</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r>
      <w:tr>
        <w:trPr>
          <w:trHeight w:val="210"/>
        </w:trPr>
        <w:tc>
          <w:tcPr>
            <w:tcW w:w="20" w:type="dxa"/>
            <w:vAlign w:val="bottom"/>
          </w:tcPr>
          <w:p>
            <w:pPr>
              <w:spacing w:after="0"/>
              <w:rPr>
                <w:sz w:val="18"/>
                <w:szCs w:val="18"/>
                <w:color w:val="auto"/>
              </w:rPr>
            </w:pPr>
          </w:p>
        </w:tc>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4,685</w:t>
            </w:r>
          </w:p>
        </w:tc>
        <w:tc>
          <w:tcPr>
            <w:tcW w:w="22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5,157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4,703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3,525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2,570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94"/>
              </w:rPr>
              <w:t>10,371</w:t>
            </w: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8"/>
              </w:rPr>
              <w:t>(24,953)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6,058</w:t>
            </w: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interests and redeemable subsidiary</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preferred stock</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(1,373)</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r>
      <w:tr>
        <w:trPr>
          <w:trHeight w:val="197"/>
        </w:trPr>
        <w:tc>
          <w:tcPr>
            <w:tcW w:w="20" w:type="dxa"/>
            <w:vAlign w:val="bottom"/>
          </w:tcPr>
          <w:p>
            <w:pPr>
              <w:spacing w:after="0"/>
              <w:rPr>
                <w:sz w:val="17"/>
                <w:szCs w:val="17"/>
                <w:color w:val="auto"/>
              </w:rPr>
            </w:pPr>
          </w:p>
        </w:tc>
        <w:tc>
          <w:tcPr>
            <w:tcW w:w="37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4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7"/>
              </w:rPr>
              <w:t>4,685</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4"/>
              </w:rPr>
              <w:t>5,157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4,703</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3"/>
              </w:rPr>
              <w:t>3,525</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2,570</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8,998</w:t>
            </w:r>
          </w:p>
        </w:tc>
        <w:tc>
          <w:tcPr>
            <w:tcW w:w="2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8"/>
              </w:rPr>
              <w:t>(24,953)</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4,685</w:t>
            </w:r>
          </w:p>
        </w:tc>
      </w:tr>
      <w:tr>
        <w:trPr>
          <w:trHeight w:val="202"/>
        </w:trPr>
        <w:tc>
          <w:tcPr>
            <w:tcW w:w="20" w:type="dxa"/>
            <w:vAlign w:val="bottom"/>
          </w:tcPr>
          <w:p>
            <w:pPr>
              <w:spacing w:after="0"/>
              <w:rPr>
                <w:sz w:val="17"/>
                <w:szCs w:val="17"/>
                <w:color w:val="auto"/>
              </w:rPr>
            </w:pPr>
          </w:p>
        </w:tc>
        <w:tc>
          <w:tcPr>
            <w:tcW w:w="3780" w:type="dxa"/>
            <w:vAlign w:val="bottom"/>
          </w:tcPr>
          <w:p>
            <w:pPr>
              <w:spacing w:after="0" w:line="201" w:lineRule="exact"/>
              <w:rPr>
                <w:sz w:val="20"/>
                <w:szCs w:val="20"/>
                <w:color w:val="auto"/>
              </w:rPr>
            </w:pPr>
            <w:r>
              <w:rPr>
                <w:rFonts w:ascii="Arial" w:cs="Arial" w:eastAsia="Arial" w:hAnsi="Arial"/>
                <w:sz w:val="18"/>
                <w:szCs w:val="18"/>
                <w:b w:val="1"/>
                <w:bCs w:val="1"/>
                <w:color w:val="auto"/>
                <w:w w:val="98"/>
              </w:rPr>
              <w:t>Comprehensive income (loss) attributable to</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4,789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5,157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4,710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3,525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2,587</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9,061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8"/>
              </w:rPr>
              <w:t>(25,040)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4,789</w:t>
            </w:r>
          </w:p>
        </w:tc>
      </w:tr>
      <w:tr>
        <w:trPr>
          <w:trHeight w:val="36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4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680" w:type="dxa"/>
            <w:vAlign w:val="bottom"/>
          </w:tcPr>
          <w:p>
            <w:pPr>
              <w:jc w:val="right"/>
              <w:ind w:right="234"/>
              <w:spacing w:after="0" w:line="149" w:lineRule="exact"/>
              <w:rPr>
                <w:sz w:val="20"/>
                <w:szCs w:val="20"/>
                <w:color w:val="auto"/>
              </w:rPr>
            </w:pPr>
            <w:r>
              <w:rPr>
                <w:rFonts w:ascii="Arial" w:cs="Arial" w:eastAsia="Arial" w:hAnsi="Arial"/>
                <w:sz w:val="14"/>
                <w:szCs w:val="14"/>
                <w:color w:val="auto"/>
                <w:w w:val="89"/>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1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NBCUniversal</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color w:val="auto"/>
                <w:w w:val="77"/>
              </w:rPr>
              <w:t>Parent</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280" w:type="dxa"/>
            <w:vAlign w:val="bottom"/>
          </w:tcPr>
          <w:p>
            <w:pPr>
              <w:spacing w:after="0"/>
              <w:rPr>
                <w:sz w:val="15"/>
                <w:szCs w:val="15"/>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color w:val="auto"/>
                <w:w w:val="82"/>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2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7"/>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5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4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6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(451)</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(99)</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(767)</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0"/>
              </w:rPr>
              <w:t>13,006</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11,679</w:t>
            </w:r>
          </w:p>
        </w:tc>
      </w:tr>
      <w:tr>
        <w:trPr>
          <w:trHeight w:val="212"/>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2,100</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(1,428)</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(4,590)</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(4,593)</w:t>
            </w: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(693)</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Acquisitions of real estate properties</w:t>
            </w:r>
          </w:p>
        </w:tc>
        <w:tc>
          <w:tcPr>
            <w:tcW w:w="2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(1,705)</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(42)</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4"/>
              </w:rPr>
              <w:t>Proceeds from sales of businesses and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655</w:t>
            </w:r>
          </w:p>
        </w:tc>
      </w:tr>
      <w:tr>
        <w:trPr>
          <w:trHeight w:val="217"/>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Return of capital from investees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(1,167)</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83</w:t>
            </w: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8"/>
              </w:rPr>
              <w:t>Net cash provided by (used in) investing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2,100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(794)</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(8,849)</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w:t>
            </w:r>
          </w:p>
        </w:tc>
      </w:tr>
      <w:tr>
        <w:trPr>
          <w:trHeight w:val="212"/>
        </w:trPr>
        <w:tc>
          <w:tcPr>
            <w:tcW w:w="20" w:type="dxa"/>
            <w:vAlign w:val="bottom"/>
          </w:tcPr>
          <w:p>
            <w:pPr>
              <w:spacing w:after="0"/>
              <w:rPr>
                <w:sz w:val="18"/>
                <w:szCs w:val="18"/>
                <w:color w:val="auto"/>
              </w:rPr>
            </w:pPr>
          </w:p>
        </w:tc>
        <w:tc>
          <w:tcPr>
            <w:tcW w:w="3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8"/>
              </w:rPr>
              <w:t>Proceeds from (repayments of) short-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term borrowings, net</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395</w:t>
            </w:r>
          </w:p>
        </w:tc>
      </w:tr>
      <w:tr>
        <w:trPr>
          <w:trHeight w:val="217"/>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7"/>
              </w:rPr>
              <w:t>2,933</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2,933</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w w:val="98"/>
              </w:rPr>
              <w:t>Repurchases and repayments of debt</w:t>
            </w:r>
          </w:p>
        </w:tc>
        <w:tc>
          <w:tcPr>
            <w:tcW w:w="2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w w:val="87"/>
              </w:rPr>
              <w:t>(2,097)</w:t>
            </w:r>
          </w:p>
        </w:tc>
        <w:tc>
          <w:tcPr>
            <w:tcW w:w="34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(238)</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(2,442)</w:t>
            </w:r>
          </w:p>
        </w:tc>
      </w:tr>
      <w:tr>
        <w:trPr>
          <w:trHeight w:val="208"/>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retirements of</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4"/>
              </w:rPr>
              <w:t>(1,500)</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4"/>
              </w:rPr>
              <w:t>(1,454)</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35</w:t>
            </w: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w:t>
            </w:r>
          </w:p>
        </w:tc>
      </w:tr>
      <w:tr>
        <w:trPr>
          <w:trHeight w:val="208"/>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Purchase of NBCUniversal</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noncontrolling common equity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9"/>
                <w:szCs w:val="19"/>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(3,200)</w:t>
            </w:r>
          </w:p>
        </w:tc>
        <w:tc>
          <w:tcPr>
            <w:tcW w:w="30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(7,561)</w:t>
            </w:r>
          </w:p>
        </w:tc>
        <w:tc>
          <w:tcPr>
            <w:tcW w:w="36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(10,761)</w:t>
            </w:r>
          </w:p>
        </w:tc>
      </w:tr>
      <w:tr>
        <w:trPr>
          <w:trHeight w:val="209"/>
        </w:trPr>
        <w:tc>
          <w:tcPr>
            <w:tcW w:w="20" w:type="dxa"/>
            <w:vAlign w:val="bottom"/>
          </w:tcPr>
          <w:p>
            <w:pPr>
              <w:spacing w:after="0"/>
              <w:rPr>
                <w:sz w:val="18"/>
                <w:szCs w:val="18"/>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5"/>
              </w:rPr>
              <w:t>Distributions to noncontrolling interests</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Settlement of Station Venture liability</w:t>
            </w:r>
          </w:p>
        </w:tc>
        <w:tc>
          <w:tcPr>
            <w:tcW w:w="260" w:type="dxa"/>
            <w:vAlign w:val="bottom"/>
          </w:tcPr>
          <w:p>
            <w:pPr>
              <w:spacing w:after="0"/>
              <w:rPr>
                <w:sz w:val="18"/>
                <w:szCs w:val="18"/>
                <w:color w:val="auto"/>
              </w:rPr>
            </w:pP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(602)</w:t>
            </w:r>
          </w:p>
        </w:tc>
        <w:tc>
          <w:tcPr>
            <w:tcW w:w="36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165</w:t>
            </w:r>
          </w:p>
        </w:tc>
        <w:tc>
          <w:tcPr>
            <w:tcW w:w="3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(265)</w:t>
            </w:r>
          </w:p>
        </w:tc>
        <w:tc>
          <w:tcPr>
            <w:tcW w:w="3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(140)</w:t>
            </w:r>
          </w:p>
        </w:tc>
      </w:tr>
      <w:tr>
        <w:trPr>
          <w:trHeight w:val="201"/>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w w:val="98"/>
              </w:rPr>
              <w:t>Net cash provided by (used in) financing</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579</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7"/>
              </w:rPr>
              <w:t>(2,097)</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(238)</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(3,328)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(8,616)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(13,700)</w:t>
            </w:r>
          </w:p>
        </w:tc>
      </w:tr>
      <w:tr>
        <w:trPr>
          <w:trHeight w:val="202"/>
        </w:trPr>
        <w:tc>
          <w:tcPr>
            <w:tcW w:w="20" w:type="dxa"/>
            <w:vAlign w:val="bottom"/>
          </w:tcPr>
          <w:p>
            <w:pPr>
              <w:spacing w:after="0"/>
              <w:rPr>
                <w:sz w:val="17"/>
                <w:szCs w:val="17"/>
                <w:color w:val="auto"/>
              </w:rPr>
            </w:pPr>
          </w:p>
        </w:tc>
        <w:tc>
          <w:tcPr>
            <w:tcW w:w="3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1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(4,889)</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(4,459)</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(9,348)</w:t>
            </w: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97"/>
              </w:rPr>
              <w:t>Cash and cash equivalents, beginning of</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5,129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5,822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10,951</w:t>
            </w:r>
          </w:p>
        </w:tc>
      </w:tr>
      <w:tr>
        <w:trPr>
          <w:trHeight w:val="197"/>
        </w:trPr>
        <w:tc>
          <w:tcPr>
            <w:tcW w:w="20" w:type="dxa"/>
            <w:vAlign w:val="bottom"/>
          </w:tcPr>
          <w:p>
            <w:pPr>
              <w:spacing w:after="0"/>
              <w:rPr>
                <w:sz w:val="17"/>
                <w:szCs w:val="17"/>
                <w:color w:val="auto"/>
              </w:rPr>
            </w:pPr>
          </w:p>
        </w:tc>
        <w:tc>
          <w:tcPr>
            <w:tcW w:w="318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Cash and cash equivalents, end of</w:t>
            </w: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period</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240</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1,363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1,603</w:t>
            </w:r>
          </w:p>
        </w:tc>
      </w:tr>
      <w:tr>
        <w:trPr>
          <w:trHeight w:val="36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780" w:type="dxa"/>
            <w:vAlign w:val="bottom"/>
          </w:tcPr>
          <w:p>
            <w:pPr>
              <w:jc w:val="center"/>
              <w:ind w:right="29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CCCL</w:t>
            </w:r>
          </w:p>
        </w:tc>
        <w:tc>
          <w:tcPr>
            <w:tcW w:w="9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12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NBCUniversal</w:t>
            </w:r>
          </w:p>
        </w:tc>
        <w:tc>
          <w:tcPr>
            <w:tcW w:w="110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w w:val="82"/>
              </w:rPr>
              <w:t>Parent</w:t>
            </w: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1240" w:type="dxa"/>
            <w:vAlign w:val="bottom"/>
            <w:gridSpan w:val="2"/>
          </w:tcPr>
          <w:p>
            <w:pPr>
              <w:jc w:val="right"/>
              <w:ind w:right="192"/>
              <w:spacing w:after="0"/>
              <w:rPr>
                <w:sz w:val="20"/>
                <w:szCs w:val="20"/>
                <w:color w:val="auto"/>
              </w:rPr>
            </w:pPr>
            <w:r>
              <w:rPr>
                <w:rFonts w:ascii="Arial" w:cs="Arial" w:eastAsia="Arial" w:hAnsi="Arial"/>
                <w:sz w:val="14"/>
                <w:szCs w:val="14"/>
                <w:color w:val="auto"/>
              </w:rPr>
              <w:t>Media Parent</w:t>
            </w: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200" w:type="dxa"/>
            <w:vAlign w:val="bottom"/>
            <w:tcBorders>
              <w:top w:val="single" w:sz="8" w:color="auto"/>
            </w:tcBorders>
            <w:shd w:val="clear" w:color="auto" w:fill="E5E5E5"/>
          </w:tcPr>
          <w:p>
            <w:pPr>
              <w:spacing w:after="0" w:line="201" w:lineRule="exact"/>
              <w:rPr>
                <w:sz w:val="20"/>
                <w:szCs w:val="20"/>
                <w:color w:val="auto"/>
              </w:rPr>
            </w:pPr>
            <w:r>
              <w:rPr>
                <w:rFonts w:ascii="Arial" w:cs="Arial" w:eastAsia="Arial" w:hAnsi="Arial"/>
                <w:sz w:val="18"/>
                <w:szCs w:val="18"/>
                <w:color w:val="auto"/>
                <w:w w:val="98"/>
              </w:rPr>
              <w:t>Net cash provided by (used in) operating</w:t>
            </w:r>
          </w:p>
        </w:tc>
        <w:tc>
          <w:tcPr>
            <w:tcW w:w="260" w:type="dxa"/>
            <w:vAlign w:val="bottom"/>
            <w:tcBorders>
              <w:top w:val="single" w:sz="8" w:color="auto"/>
            </w:tcBorders>
            <w:shd w:val="clear" w:color="auto" w:fill="E5E5E5"/>
          </w:tcPr>
          <w:p>
            <w:pPr>
              <w:spacing w:after="0"/>
              <w:rPr>
                <w:sz w:val="17"/>
                <w:szCs w:val="17"/>
                <w:color w:val="auto"/>
              </w:rPr>
            </w:pPr>
          </w:p>
        </w:tc>
        <w:tc>
          <w:tcPr>
            <w:tcW w:w="70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spacing w:after="0"/>
              <w:rPr>
                <w:sz w:val="17"/>
                <w:szCs w:val="17"/>
                <w:color w:val="auto"/>
              </w:rPr>
            </w:pPr>
          </w:p>
        </w:tc>
        <w:tc>
          <w:tcPr>
            <w:tcW w:w="280" w:type="dxa"/>
            <w:vAlign w:val="bottom"/>
            <w:tcBorders>
              <w:top w:val="single" w:sz="8" w:color="auto"/>
            </w:tcBorders>
            <w:shd w:val="clear" w:color="auto" w:fill="E5E5E5"/>
          </w:tcPr>
          <w:p>
            <w:pPr>
              <w:spacing w:after="0"/>
              <w:rPr>
                <w:sz w:val="17"/>
                <w:szCs w:val="17"/>
                <w:color w:val="auto"/>
              </w:rPr>
            </w:pPr>
          </w:p>
        </w:tc>
        <w:tc>
          <w:tcPr>
            <w:tcW w:w="560" w:type="dxa"/>
            <w:vAlign w:val="bottom"/>
            <w:tcBorders>
              <w:top w:val="single" w:sz="8" w:color="auto"/>
            </w:tcBorders>
            <w:shd w:val="clear" w:color="auto" w:fill="E5E5E5"/>
          </w:tcPr>
          <w:p>
            <w:pPr>
              <w:spacing w:after="0"/>
              <w:rPr>
                <w:sz w:val="17"/>
                <w:szCs w:val="17"/>
                <w:color w:val="auto"/>
              </w:rPr>
            </w:pPr>
          </w:p>
        </w:tc>
        <w:tc>
          <w:tcPr>
            <w:tcW w:w="30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440" w:type="dxa"/>
            <w:vAlign w:val="bottom"/>
            <w:tcBorders>
              <w:top w:val="single" w:sz="8" w:color="auto"/>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80" w:type="dxa"/>
            <w:vAlign w:val="bottom"/>
            <w:tcBorders>
              <w:top w:val="single" w:sz="8" w:color="auto"/>
            </w:tcBorders>
            <w:shd w:val="clear" w:color="auto" w:fill="E5E5E5"/>
          </w:tcPr>
          <w:p>
            <w:pPr>
              <w:spacing w:after="0"/>
              <w:rPr>
                <w:sz w:val="17"/>
                <w:szCs w:val="17"/>
                <w:color w:val="auto"/>
              </w:rPr>
            </w:pPr>
          </w:p>
        </w:tc>
        <w:tc>
          <w:tcPr>
            <w:tcW w:w="78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3"/>
              </w:rPr>
              <w:t>(39)</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(871)</w:t>
            </w:r>
          </w:p>
        </w:tc>
        <w:tc>
          <w:tcPr>
            <w:tcW w:w="3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4"/>
              </w:rPr>
              <w:t>12,668</w:t>
            </w:r>
          </w:p>
        </w:tc>
        <w:tc>
          <w:tcPr>
            <w:tcW w:w="3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11,239</w:t>
            </w: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7"/>
              </w:rPr>
              <w:t>3,015</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39</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675</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4,750</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(8,684)</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(4,035)</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(4,043)</w:t>
            </w:r>
          </w:p>
        </w:tc>
      </w:tr>
      <w:tr>
        <w:trPr>
          <w:trHeight w:val="216"/>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8"/>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4"/>
              </w:rPr>
              <w:t>Proceeds from sales of businesses and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3,095</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3,095</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Return of capital from investees</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2,281</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2,281</w:t>
            </w:r>
          </w:p>
        </w:tc>
      </w:tr>
      <w:tr>
        <w:trPr>
          <w:trHeight w:val="216"/>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r>
      <w:tr>
        <w:trPr>
          <w:trHeight w:val="201"/>
        </w:trPr>
        <w:tc>
          <w:tcPr>
            <w:tcW w:w="20" w:type="dxa"/>
            <w:vAlign w:val="bottom"/>
          </w:tcPr>
          <w:p>
            <w:pPr>
              <w:spacing w:after="0"/>
              <w:rPr>
                <w:sz w:val="17"/>
                <w:szCs w:val="17"/>
                <w:color w:val="auto"/>
              </w:rPr>
            </w:pPr>
          </w:p>
        </w:tc>
        <w:tc>
          <w:tcPr>
            <w:tcW w:w="32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w w:val="99"/>
              </w:rPr>
              <w:t>Net cash provided by (used in) investing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7"/>
              </w:rPr>
              <w:t>3,003</w:t>
            </w:r>
          </w:p>
        </w:tc>
        <w:tc>
          <w:tcPr>
            <w:tcW w:w="3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206</w:t>
            </w:r>
          </w:p>
        </w:tc>
        <w:tc>
          <w:tcPr>
            <w:tcW w:w="2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675</w:t>
            </w:r>
          </w:p>
        </w:tc>
        <w:tc>
          <w:tcPr>
            <w:tcW w:w="44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4,712</w:t>
            </w:r>
          </w:p>
        </w:tc>
        <w:tc>
          <w:tcPr>
            <w:tcW w:w="32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(8,125)</w:t>
            </w:r>
          </w:p>
        </w:tc>
        <w:tc>
          <w:tcPr>
            <w:tcW w:w="38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510</w:t>
            </w: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Proceeds from (repayments of) short-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term borrowings, net</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(555)</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w w:val="97"/>
              </w:rPr>
              <w:t>2,248</w:t>
            </w:r>
          </w:p>
        </w:tc>
        <w:tc>
          <w:tcPr>
            <w:tcW w:w="3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2,248</w:t>
            </w:r>
          </w:p>
        </w:tc>
      </w:tr>
      <w:tr>
        <w:trPr>
          <w:trHeight w:val="216"/>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Repurchases and repayments of debt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(1,726)</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(202)</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(553)</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(2,505)</w:t>
            </w:r>
          </w:p>
        </w:tc>
      </w:tr>
      <w:tr>
        <w:trPr>
          <w:trHeight w:val="208"/>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Repurchases and retirements of</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87"/>
              </w:rPr>
              <w:t>(2,250)</w:t>
            </w:r>
          </w:p>
        </w:tc>
        <w:tc>
          <w:tcPr>
            <w:tcW w:w="3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17"/>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7"/>
              </w:rPr>
              <w:t>(1,176)</w:t>
            </w: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60" w:type="dxa"/>
            <w:vAlign w:val="bottom"/>
          </w:tcPr>
          <w:p>
            <w:pPr>
              <w:spacing w:after="0"/>
              <w:rPr>
                <w:sz w:val="18"/>
                <w:szCs w:val="18"/>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215</w:t>
            </w:r>
          </w:p>
        </w:tc>
      </w:tr>
      <w:tr>
        <w:trPr>
          <w:trHeight w:val="208"/>
        </w:trPr>
        <w:tc>
          <w:tcPr>
            <w:tcW w:w="20" w:type="dxa"/>
            <w:vAlign w:val="bottom"/>
          </w:tcPr>
          <w:p>
            <w:pPr>
              <w:spacing w:after="0"/>
              <w:rPr>
                <w:sz w:val="18"/>
                <w:szCs w:val="18"/>
                <w:color w:val="auto"/>
              </w:rPr>
            </w:pPr>
          </w:p>
        </w:tc>
        <w:tc>
          <w:tcPr>
            <w:tcW w:w="32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6"/>
              </w:rPr>
              <w:t>Distributions to noncontrolling interests</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and dividends for redeemable</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26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9"/>
                <w:szCs w:val="19"/>
                <w:color w:val="auto"/>
              </w:rPr>
            </w:pPr>
          </w:p>
        </w:tc>
        <w:tc>
          <w:tcPr>
            <w:tcW w:w="5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r>
      <w:tr>
        <w:trPr>
          <w:trHeight w:val="201"/>
        </w:trPr>
        <w:tc>
          <w:tcPr>
            <w:tcW w:w="20" w:type="dxa"/>
            <w:vAlign w:val="bottom"/>
          </w:tcPr>
          <w:p>
            <w:pPr>
              <w:spacing w:after="0"/>
              <w:rPr>
                <w:sz w:val="17"/>
                <w:szCs w:val="17"/>
                <w:color w:val="auto"/>
              </w:rPr>
            </w:pPr>
          </w:p>
        </w:tc>
        <w:tc>
          <w:tcPr>
            <w:tcW w:w="32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w w:val="99"/>
              </w:rPr>
              <w:t>Net cash provided by (used in) financing</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87"/>
              </w:rPr>
              <w:t>(2,610)</w:t>
            </w:r>
          </w:p>
        </w:tc>
        <w:tc>
          <w:tcPr>
            <w:tcW w:w="3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9"/>
              </w:rPr>
              <w:t>(202)</w:t>
            </w:r>
          </w:p>
        </w:tc>
        <w:tc>
          <w:tcPr>
            <w:tcW w:w="2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(553)</w:t>
            </w:r>
          </w:p>
        </w:tc>
        <w:tc>
          <w:tcPr>
            <w:tcW w:w="44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(551)</w:t>
            </w:r>
          </w:p>
        </w:tc>
        <w:tc>
          <w:tcPr>
            <w:tcW w:w="32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(554)</w:t>
            </w:r>
          </w:p>
        </w:tc>
        <w:tc>
          <w:tcPr>
            <w:tcW w:w="38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(4,470)</w:t>
            </w:r>
          </w:p>
        </w:tc>
      </w:tr>
      <w:tr>
        <w:trPr>
          <w:trHeight w:val="202"/>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Increase (decrease) in cash and cash</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260" w:type="dxa"/>
            <w:vAlign w:val="bottom"/>
          </w:tcPr>
          <w:p>
            <w:pPr>
              <w:spacing w:after="0"/>
              <w:rPr>
                <w:sz w:val="19"/>
                <w:szCs w:val="19"/>
                <w:color w:val="auto"/>
              </w:rPr>
            </w:pPr>
          </w:p>
        </w:tc>
        <w:tc>
          <w:tcPr>
            <w:tcW w:w="7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3,290</w:t>
            </w:r>
          </w:p>
        </w:tc>
        <w:tc>
          <w:tcPr>
            <w:tcW w:w="32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3,989</w:t>
            </w:r>
          </w:p>
        </w:tc>
        <w:tc>
          <w:tcPr>
            <w:tcW w:w="38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7,279</w:t>
            </w:r>
          </w:p>
        </w:tc>
      </w:tr>
      <w:tr>
        <w:trPr>
          <w:trHeight w:val="210"/>
        </w:trPr>
        <w:tc>
          <w:tcPr>
            <w:tcW w:w="20" w:type="dxa"/>
            <w:vAlign w:val="bottom"/>
          </w:tcPr>
          <w:p>
            <w:pPr>
              <w:spacing w:after="0"/>
              <w:rPr>
                <w:sz w:val="18"/>
                <w:szCs w:val="18"/>
                <w:color w:val="auto"/>
              </w:rPr>
            </w:pPr>
          </w:p>
        </w:tc>
        <w:tc>
          <w:tcPr>
            <w:tcW w:w="3200" w:type="dxa"/>
            <w:vAlign w:val="bottom"/>
            <w:shd w:val="clear" w:color="auto" w:fill="E5E5E5"/>
          </w:tcPr>
          <w:p>
            <w:pPr>
              <w:spacing w:after="0"/>
              <w:rPr>
                <w:sz w:val="20"/>
                <w:szCs w:val="20"/>
                <w:color w:val="auto"/>
              </w:rPr>
            </w:pPr>
            <w:r>
              <w:rPr>
                <w:rFonts w:ascii="Arial" w:cs="Arial" w:eastAsia="Arial" w:hAnsi="Arial"/>
                <w:sz w:val="18"/>
                <w:szCs w:val="18"/>
                <w:color w:val="auto"/>
                <w:w w:val="98"/>
              </w:rPr>
              <w:t>Cash and cash equivalents, beginning of</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9"/>
                <w:szCs w:val="19"/>
                <w:color w:val="auto"/>
              </w:rPr>
            </w:pPr>
          </w:p>
        </w:tc>
        <w:tc>
          <w:tcPr>
            <w:tcW w:w="5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1,382</w:t>
            </w:r>
          </w:p>
        </w:tc>
        <w:tc>
          <w:tcPr>
            <w:tcW w:w="380" w:type="dxa"/>
            <w:vAlign w:val="bottom"/>
            <w:tcBorders>
              <w:bottom w:val="single" w:sz="8" w:color="auto"/>
            </w:tcBorders>
            <w:shd w:val="clear" w:color="auto" w:fill="E5E5E5"/>
          </w:tcPr>
          <w:p>
            <w:pPr>
              <w:spacing w:after="0"/>
              <w:rPr>
                <w:sz w:val="19"/>
                <w:szCs w:val="19"/>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r>
      <w:tr>
        <w:trPr>
          <w:trHeight w:val="219"/>
        </w:trPr>
        <w:tc>
          <w:tcPr>
            <w:tcW w:w="2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Cash and cash equivalents, end of period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3,528</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5,371</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8,899</w:t>
            </w:r>
          </w:p>
        </w:tc>
      </w:tr>
      <w:tr>
        <w:trPr>
          <w:trHeight w:val="36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 Cable Communications, Cable Networks, Broadcast Television, Filmed Entertainment and Theme Parks. The Cable Networks, Broadcast Television, Filmed Entertainment and Theme Parks segments comprise the NBCUniversal businesses and are collectively referred to as the “NBCUniversal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nation’s largest provider of video, high-speed Internet and voice services (“cable services”) to residential customers under the XFINITY brand and we also provide these services to businesses. As of September 30, 2013, our cable systems served 21.6 million video customers, 20.3 million high-speed Internet customers and 10.5 million voice customers and passed more than 53 million homes and businesses. Our Cable Communications segment generates revenue primarily from subscriptions to our cable services, which we market individually and in packages, and from the sale of advertising. During the nine months ended September 30, 2013, our Cable Communications segment generated 65% of our consolidated revenue and more than 80% of our operating income before depreciation and amortization.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operations, and our related digital media properties. Our Cable Networks segment generates revenue primarily from the distribution of our cable network programming to multichannel video providers, the sale of advertising and the licensing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our broadcast television production operations, and our related digital media properties. Our Broadcast Television segment generates revenue primarily from the sale of advertising, the licensing and sale of our owned programming and the fees received under retransmission consent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We also develop, produce and license live stage plays. Our Filmed Entertainment segment generates revenue primarily from the worldwide distribution of our owned and acquired films and the licensing and sale of our owned and acquired films. Our Filmed Entertainment segment also generates revenue from producing and licensing live stage plays and distributing filmed entertainment produced by third parties.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19, 2013, we acquired GE’s remaining 49% common equity interest in NBCUniversal Holdings for approximately $16.7 billion (the “Redemption Transaction”). In addition to this transaction, NBCUniversal purchased from GE certain properties NBCUniversal occupies at 30 Rockefeller Plaza in New York City and CNBC’s headquarters in Englewood Cliffs, New Jersey for approximately $1.4 billion. See Note 3 to our condensed consolidated financial statements for additional information on these transactions.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our service areas, and phone companies, which overlap a substantial portion of our service areas and are continuing to expand their fiber-based networks. We also compete with other providers of traditional cable services and companies that offer programming and other communications services, including high-speed Internet and phone services, to our customers and potential customers. All of these companies typically offer features, pricing and packaging for services comparable to our cable services. Each of NBCUniversal’s businesses also face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Technological changes are further intensifying and complicating the competitive landscape for all of our businesses and are affecting consumer behavior. Wireless services and devices also continue to evolve, allowing consumers to access information, entertainment and communication services outside the home. Additionally, new services and devices that enable digital distribution of movies, television shows and other cable and broadcast video programming continue to emerge, in some cases charging a nominal or no fee. These services and devices may affect the demand for our cable services and cable network, broadcast television and filmed entertainment programming, as the number of entertainment choices available to consumers increases and the manner in which video programming is delivered continues to evolve. In addition, delayed viewing and advertising skipping have become more common as the penetration of DVRs and similar products has increased and as content has become increasingly available via video-on-demand services and Internet sources, which may have a negative impact on our advertising revenue.</w:t>
      </w:r>
    </w:p>
    <w:p>
      <w:pPr>
        <w:spacing w:after="0" w:line="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that adding more content and delivering it on an increasing variety of platforms will assist in attracting and retaining customers in our Cable Communications segment, and we are also developing and launching new technology initiatives, such as our new X1 content delivery platform and deploying new wireless gateway devices. To compete for consumers of our content and theme park attractions, NBCUniversal has invested, and will continue to invest, substantial amounts in acquiring content and producing original content for its cable networks and broadcast television networks, including the acquisition of sports rights, in our film productions and in the development of new theme park attractions.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the Super Bowl. Our advertising revenue and programming and production costs for the nine months ended September 30, 2012 include amounts attributable to our broadcasts of the 2012 Super Bowl and the 2012 London Olympics. There were no such broadcasts in the current year period. All of the revenue and operating costs and expenses associated with our broadcasts of the 2012 Super Bowl and 2012 London Olympics are reported in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Broadcast Television segment. Our U.S. advertising revenue also benefits in even-numbered years from advertising related to candidates running for political office and issue-orientated advertising. Our advertising revenue for the three and nine months ended September 30, 2012 included amounts attributable to the 2012 presidential and congressional elections.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ind w:right="314"/>
              <w:spacing w:after="0"/>
              <w:rPr>
                <w:sz w:val="20"/>
                <w:szCs w:val="20"/>
                <w:color w:val="auto"/>
              </w:rPr>
            </w:pPr>
            <w:r>
              <w:rPr>
                <w:rFonts w:ascii="Arial" w:cs="Arial" w:eastAsia="Arial" w:hAnsi="Arial"/>
                <w:sz w:val="14"/>
                <w:szCs w:val="14"/>
                <w:color w:val="auto"/>
                <w:w w:val="91"/>
              </w:rPr>
              <w:t>Three Months Ended</w:t>
            </w:r>
          </w:p>
        </w:tc>
        <w:tc>
          <w:tcPr>
            <w:tcW w:w="960" w:type="dxa"/>
            <w:vAlign w:val="bottom"/>
          </w:tcPr>
          <w:p>
            <w:pPr>
              <w:jc w:val="right"/>
              <w:ind w:right="195"/>
              <w:spacing w:after="0"/>
              <w:rPr>
                <w:sz w:val="20"/>
                <w:szCs w:val="20"/>
                <w:color w:val="auto"/>
              </w:rPr>
            </w:pPr>
            <w:r>
              <w:rPr>
                <w:rFonts w:ascii="Arial" w:cs="Arial" w:eastAsia="Arial" w:hAnsi="Arial"/>
                <w:sz w:val="14"/>
                <w:szCs w:val="14"/>
                <w:color w:val="auto"/>
              </w:rPr>
              <w:t>Increase/</w:t>
            </w:r>
          </w:p>
        </w:tc>
        <w:tc>
          <w:tcPr>
            <w:tcW w:w="240" w:type="dxa"/>
            <w:vAlign w:val="bottom"/>
          </w:tcPr>
          <w:p>
            <w:pPr>
              <w:spacing w:after="0"/>
              <w:rPr>
                <w:sz w:val="14"/>
                <w:szCs w:val="14"/>
                <w:color w:val="auto"/>
              </w:rPr>
            </w:pPr>
          </w:p>
        </w:tc>
        <w:tc>
          <w:tcPr>
            <w:tcW w:w="1580" w:type="dxa"/>
            <w:vAlign w:val="bottom"/>
            <w:gridSpan w:val="3"/>
          </w:tcPr>
          <w:p>
            <w:pPr>
              <w:jc w:val="right"/>
              <w:ind w:right="294"/>
              <w:spacing w:after="0"/>
              <w:rPr>
                <w:sz w:val="20"/>
                <w:szCs w:val="20"/>
                <w:color w:val="auto"/>
              </w:rPr>
            </w:pPr>
            <w:r>
              <w:rPr>
                <w:rFonts w:ascii="Arial" w:cs="Arial" w:eastAsia="Arial" w:hAnsi="Arial"/>
                <w:sz w:val="14"/>
                <w:szCs w:val="14"/>
                <w:color w:val="auto"/>
                <w:w w:val="95"/>
              </w:rPr>
              <w:t>Nine Months Ended</w:t>
            </w:r>
          </w:p>
        </w:tc>
        <w:tc>
          <w:tcPr>
            <w:tcW w:w="96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57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0"/>
                <w:szCs w:val="20"/>
                <w:color w:val="auto"/>
              </w:rPr>
            </w:pPr>
          </w:p>
        </w:tc>
        <w:tc>
          <w:tcPr>
            <w:tcW w:w="680" w:type="dxa"/>
            <w:vAlign w:val="bottom"/>
          </w:tcPr>
          <w:p>
            <w:pPr>
              <w:jc w:val="right"/>
              <w:ind w:right="276"/>
              <w:spacing w:after="0"/>
              <w:rPr>
                <w:sz w:val="20"/>
                <w:szCs w:val="20"/>
                <w:color w:val="auto"/>
              </w:rPr>
            </w:pPr>
            <w:r>
              <w:rPr>
                <w:rFonts w:ascii="Arial" w:cs="Arial" w:eastAsia="Arial" w:hAnsi="Arial"/>
                <w:sz w:val="14"/>
                <w:szCs w:val="14"/>
                <w:color w:val="auto"/>
                <w:w w:val="96"/>
              </w:rPr>
              <w:t>2013</w:t>
            </w:r>
          </w:p>
        </w:tc>
        <w:tc>
          <w:tcPr>
            <w:tcW w:w="22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color w:val="auto"/>
              </w:rPr>
              <w:t>2012</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56"/>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20"/>
                <w:szCs w:val="20"/>
                <w:color w:val="auto"/>
              </w:rPr>
            </w:pPr>
          </w:p>
        </w:tc>
        <w:tc>
          <w:tcPr>
            <w:tcW w:w="680" w:type="dxa"/>
            <w:vAlign w:val="bottom"/>
          </w:tcPr>
          <w:p>
            <w:pPr>
              <w:jc w:val="right"/>
              <w:ind w:right="254"/>
              <w:spacing w:after="0"/>
              <w:rPr>
                <w:sz w:val="20"/>
                <w:szCs w:val="20"/>
                <w:color w:val="auto"/>
              </w:rPr>
            </w:pPr>
            <w:r>
              <w:rPr>
                <w:rFonts w:ascii="Arial" w:cs="Arial" w:eastAsia="Arial" w:hAnsi="Arial"/>
                <w:sz w:val="14"/>
                <w:szCs w:val="14"/>
                <w:color w:val="auto"/>
              </w:rPr>
              <w:t>2012</w:t>
            </w:r>
          </w:p>
        </w:tc>
        <w:tc>
          <w:tcPr>
            <w:tcW w:w="9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83"/>
              </w:rPr>
              <w:t>16,151</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16,544</w:t>
            </w:r>
          </w:p>
        </w:tc>
        <w:tc>
          <w:tcPr>
            <w:tcW w:w="96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w w:val="83"/>
              </w:rPr>
              <w:t>47,731</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7"/>
              </w:rPr>
              <w:t>46,633</w:t>
            </w:r>
          </w:p>
        </w:tc>
        <w:tc>
          <w:tcPr>
            <w:tcW w:w="9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4,787</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5,726</w:t>
            </w:r>
          </w:p>
        </w:tc>
        <w:tc>
          <w:tcPr>
            <w:tcW w:w="9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w w:val="83"/>
              </w:rPr>
              <w:t>14,418</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7"/>
              </w:rPr>
              <w:t>15,013</w:t>
            </w:r>
          </w:p>
        </w:tc>
        <w:tc>
          <w:tcPr>
            <w:tcW w:w="9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2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4,751</w:t>
            </w:r>
          </w:p>
        </w:tc>
        <w:tc>
          <w:tcPr>
            <w:tcW w:w="2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4,580</w:t>
            </w:r>
          </w:p>
        </w:tc>
        <w:tc>
          <w:tcPr>
            <w:tcW w:w="960" w:type="dxa"/>
            <w:vAlign w:val="bottom"/>
          </w:tcPr>
          <w:p>
            <w:pPr>
              <w:jc w:val="right"/>
              <w:ind w:right="295"/>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w w:val="83"/>
              </w:rPr>
              <w:t>13,787</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w w:val="87"/>
              </w:rPr>
              <w:t>13,190</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1,230</w:t>
            </w:r>
          </w:p>
        </w:tc>
        <w:tc>
          <w:tcPr>
            <w:tcW w:w="9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4.3</w:t>
            </w: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3,737</w:t>
            </w: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3,730</w:t>
            </w:r>
          </w:p>
        </w:tc>
        <w:tc>
          <w:tcPr>
            <w:tcW w:w="9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1,549</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4,669</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4,594</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411</w:t>
            </w:r>
          </w:p>
        </w:tc>
        <w:tc>
          <w:tcPr>
            <w:tcW w:w="9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1,204</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1,221</w:t>
            </w:r>
          </w:p>
        </w:tc>
        <w:tc>
          <w:tcPr>
            <w:tcW w:w="9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3,414</w:t>
            </w:r>
          </w:p>
        </w:tc>
        <w:tc>
          <w:tcPr>
            <w:tcW w:w="2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3,048</w:t>
            </w:r>
          </w:p>
        </w:tc>
        <w:tc>
          <w:tcPr>
            <w:tcW w:w="960" w:type="dxa"/>
            <w:vAlign w:val="bottom"/>
          </w:tcPr>
          <w:p>
            <w:pPr>
              <w:jc w:val="right"/>
              <w:ind w:right="295"/>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9,916</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8,885</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1,335</w:t>
            </w:r>
          </w:p>
        </w:tc>
        <w:tc>
          <w:tcPr>
            <w:tcW w:w="9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(146.0)</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w w:val="91"/>
              </w:rPr>
              <w:t>(1,755)</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139</w:t>
            </w: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2,799</w:t>
            </w:r>
          </w:p>
        </w:tc>
        <w:tc>
          <w:tcPr>
            <w:tcW w:w="2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4,383</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8,161</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9,024</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(9.6)</w:t>
            </w: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w w:val="91"/>
              </w:rPr>
              <w:t>(1,021)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(1,405)</w:t>
            </w:r>
          </w:p>
        </w:tc>
        <w:tc>
          <w:tcPr>
            <w:tcW w:w="9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w w:val="91"/>
              </w:rPr>
              <w:t>(2,994)</w:t>
            </w:r>
          </w:p>
        </w:tc>
        <w:tc>
          <w:tcPr>
            <w:tcW w:w="2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4"/>
              </w:rPr>
              <w:t>(2,966)</w:t>
            </w:r>
          </w:p>
        </w:tc>
        <w:tc>
          <w:tcPr>
            <w:tcW w:w="9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0.9</w:t>
            </w: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2,978</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5,167</w:t>
            </w:r>
          </w:p>
        </w:tc>
        <w:tc>
          <w:tcPr>
            <w:tcW w:w="220" w:type="dxa"/>
            <w:vAlign w:val="bottom"/>
          </w:tcPr>
          <w:p>
            <w:pPr>
              <w:spacing w:after="0"/>
              <w:rPr>
                <w:sz w:val="18"/>
                <w:szCs w:val="18"/>
                <w:color w:val="auto"/>
              </w:rPr>
            </w:pPr>
          </w:p>
        </w:tc>
        <w:tc>
          <w:tcPr>
            <w:tcW w:w="680" w:type="dxa"/>
            <w:vAlign w:val="bottom"/>
          </w:tcPr>
          <w:p>
            <w:pPr>
              <w:jc w:val="right"/>
              <w:ind w:right="94"/>
              <w:spacing w:after="0"/>
              <w:rPr>
                <w:sz w:val="20"/>
                <w:szCs w:val="20"/>
                <w:color w:val="auto"/>
              </w:rPr>
            </w:pPr>
            <w:r>
              <w:rPr>
                <w:rFonts w:ascii="Arial" w:cs="Arial" w:eastAsia="Arial" w:hAnsi="Arial"/>
                <w:sz w:val="18"/>
                <w:szCs w:val="18"/>
                <w:color w:val="auto"/>
              </w:rPr>
              <w:t>6,058</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(14.7)</w:t>
            </w:r>
          </w:p>
        </w:tc>
      </w:tr>
      <w:tr>
        <w:trPr>
          <w:trHeight w:val="208"/>
        </w:trPr>
        <w:tc>
          <w:tcPr>
            <w:tcW w:w="20" w:type="dxa"/>
            <w:vAlign w:val="bottom"/>
          </w:tcPr>
          <w:p>
            <w:pPr>
              <w:spacing w:after="0"/>
              <w:rPr>
                <w:sz w:val="18"/>
                <w:szCs w:val="18"/>
                <w:color w:val="auto"/>
              </w:rPr>
            </w:pPr>
          </w:p>
        </w:tc>
        <w:tc>
          <w:tcPr>
            <w:tcW w:w="5720" w:type="dxa"/>
            <w:vAlign w:val="bottom"/>
            <w:shd w:val="clear" w:color="auto" w:fill="E5E5E5"/>
          </w:tcPr>
          <w:p>
            <w:pPr>
              <w:spacing w:after="0"/>
              <w:rPr>
                <w:sz w:val="20"/>
                <w:szCs w:val="20"/>
                <w:color w:val="auto"/>
              </w:rPr>
            </w:pPr>
            <w:r>
              <w:rPr>
                <w:rFonts w:ascii="Arial" w:cs="Arial" w:eastAsia="Arial" w:hAnsi="Arial"/>
                <w:sz w:val="18"/>
                <w:szCs w:val="18"/>
                <w:color w:val="auto"/>
                <w:w w:val="98"/>
              </w:rPr>
              <w:t>Net (income) loss attributable to noncontrolling interests and redeemable</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(865)</w:t>
            </w:r>
          </w:p>
        </w:tc>
        <w:tc>
          <w:tcPr>
            <w:tcW w:w="9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(94.6)</w:t>
            </w:r>
          </w:p>
        </w:tc>
        <w:tc>
          <w:tcPr>
            <w:tcW w:w="24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94"/>
              </w:rPr>
              <w:t>(1,373)</w:t>
            </w:r>
          </w:p>
        </w:tc>
        <w:tc>
          <w:tcPr>
            <w:tcW w:w="9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(80.8)</w:t>
            </w:r>
          </w:p>
        </w:tc>
      </w:tr>
      <w:tr>
        <w:trPr>
          <w:trHeight w:val="219"/>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1,732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2,113</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4,903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4,685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revenue decreased for the three months ended September 30, 2013 compared to the same period in 2012 primarily as a result of a decrease in our Broadcast Television segment due to our broadcast of the 2012 London Olympics in the prior year period, partially offset by increases in our Cable Communications, Cable Networks, Filmed Entertainment and Theme Parks segments. Excluding $1.2 billion of revenue associated with our broadcast of the 2012 London Olympics, consolidated revenue increased 5.2% for the three months ended September 30, 2013.</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Cable Networks, Filmed Entertainment and Theme Parks segments accounted for the increase in consolidated revenue for the nine months ended September 30, 2013. The increase was partially offset by a decrease in revenue in our Broadcast Television segment due to our broadcasts in the prior year period of the 2012 Super Bowl and the 2012 London Olympics. Excluding $1.4 billion of revenue associated with these events, consolidated revenue increased 5.6% for the nine months ended September 30, 2013.</w:t>
      </w:r>
    </w:p>
    <w:p>
      <w:pPr>
        <w:spacing w:after="0" w:line="49" w:lineRule="exact"/>
        <w:rPr>
          <w:sz w:val="20"/>
          <w:szCs w:val="20"/>
          <w:color w:val="auto"/>
        </w:rPr>
      </w:pPr>
    </w:p>
    <w:p>
      <w:pPr>
        <w:ind w:right="920"/>
        <w:spacing w:after="0" w:line="352" w:lineRule="auto"/>
        <w:rPr>
          <w:sz w:val="20"/>
          <w:szCs w:val="20"/>
          <w:color w:val="auto"/>
        </w:rPr>
      </w:pPr>
      <w:r>
        <w:rPr>
          <w:rFonts w:ascii="Arial" w:cs="Arial" w:eastAsia="Arial" w:hAnsi="Arial"/>
          <w:sz w:val="18"/>
          <w:szCs w:val="18"/>
          <w:color w:val="auto"/>
        </w:rPr>
        <w:t xml:space="preserve">Revenue for our Cable Communications and NBCUniversal segments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Consolidated costs and expenses, excluding depreciation and amortization (“operating costs and expenses”), decreased for the three months ended September 30, 2013 compared to the same period in 2012 primarily as a result of a decrease in our Broadcast Television segment due to our broadcast of the 2012 London Olympics in the prior year period, partially offset by increases in our Cable Communications, Cable Networks and Theme Parks segments. In addition to our business segment operating costs and expenses, Corporate and Other operating costs and expenses for the three months ended September 30, 2013 included $74 million of expense associated with the final settlement of the terminated qualified pension plan that provided benefits to former AT&amp;T Broadband employees.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and Cable Networks segments accounted for substantially all of the increase in consolidated operating costs and expenses for the nine months ended September 30, 2013. The increase was partially offset by lower costs in our Broadcast Television segment due to our broadcasts of the 2012 Super Bowl and the 2012 London Olympics in the prior year period.</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for our Cable Communications and NBCUniversal segments are discussed separately below under the heading “Segment Operating Results.”</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depreciation and amortization decreased slightly for the three months ended September 30, 2013 compared to the same period in 2012 primarily due to higher losses on disposal recorded in the prior year period. Consolidated depreciation and amortization increased slightly for the nine months ended September 30, 2013 compared to the same period in 2012 primarily due to increases in capital spending in our Theme Parks segment, as well as depreciation associated with the properties purchased by NBCUniversal in connection with the Redemption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15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Beginning in 2013, revenue from certain business customers, such as hotels, restaurants and bars, is presented in the business services revenue line item rather than in video revenue. Also beginning in 2013, operating costs and expenses for our Cable Communications segment present franchise and other regulatory fees under a new caption, and the former technical labor caption was expanded to include both technical and product support expenses; previously, franchise and other regulatory fees and product support expenses had been included under the “other” caption. The presentation of operating costs and expenses in our Cable Networks, Broadcast Television and Filmed Entertainment segments was also expanded to present programming and production costs, other operating and administrative expenses, and advertising, marketing and promotion expenses. Reclassifications have been made to the prior year periods to conform to classifications used in the current year periods.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2"/>
          </w:tcPr>
          <w:p>
            <w:pPr>
              <w:jc w:val="right"/>
              <w:ind w:right="233"/>
              <w:spacing w:after="0"/>
              <w:rPr>
                <w:sz w:val="20"/>
                <w:szCs w:val="20"/>
                <w:color w:val="auto"/>
              </w:rPr>
            </w:pPr>
            <w:r>
              <w:rPr>
                <w:rFonts w:ascii="Arial" w:cs="Arial" w:eastAsia="Arial" w:hAnsi="Arial"/>
                <w:sz w:val="14"/>
                <w:szCs w:val="14"/>
                <w:color w:val="auto"/>
                <w:w w:val="96"/>
              </w:rPr>
              <w:t>Three Months Ended</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color w:val="auto"/>
              </w:rPr>
              <w:t>September 30</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w w:val="96"/>
              </w:rPr>
              <w:t>2013</w:t>
            </w:r>
          </w:p>
        </w:tc>
        <w:tc>
          <w:tcPr>
            <w:tcW w:w="9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5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280" w:type="dxa"/>
            <w:vAlign w:val="bottom"/>
            <w:gridSpan w:val="3"/>
            <w:shd w:val="clear" w:color="auto" w:fill="E5E5E5"/>
          </w:tcPr>
          <w:p>
            <w:pPr>
              <w:ind w:left="3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5,127</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$ 4,981</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w w:val="84"/>
              </w:rPr>
              <w:t>$146</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2,592</w:t>
            </w:r>
          </w:p>
        </w:tc>
        <w:tc>
          <w:tcPr>
            <w:tcW w:w="940" w:type="dxa"/>
            <w:vAlign w:val="bottom"/>
          </w:tcPr>
          <w:p>
            <w:pPr>
              <w:jc w:val="right"/>
              <w:spacing w:after="0"/>
              <w:rPr>
                <w:sz w:val="20"/>
                <w:szCs w:val="20"/>
                <w:color w:val="auto"/>
              </w:rPr>
            </w:pPr>
            <w:r>
              <w:rPr>
                <w:rFonts w:ascii="Arial" w:cs="Arial" w:eastAsia="Arial" w:hAnsi="Arial"/>
                <w:sz w:val="18"/>
                <w:szCs w:val="18"/>
                <w:color w:val="auto"/>
              </w:rPr>
              <w:t>2,403</w:t>
            </w:r>
          </w:p>
        </w:tc>
        <w:tc>
          <w:tcPr>
            <w:tcW w:w="180" w:type="dxa"/>
            <w:vAlign w:val="bottom"/>
          </w:tcPr>
          <w:p>
            <w:pPr>
              <w:spacing w:after="0"/>
              <w:rPr>
                <w:sz w:val="18"/>
                <w:szCs w:val="18"/>
                <w:color w:val="auto"/>
              </w:rPr>
            </w:pPr>
          </w:p>
        </w:tc>
        <w:tc>
          <w:tcPr>
            <w:tcW w:w="860" w:type="dxa"/>
            <w:vAlign w:val="bottom"/>
          </w:tcPr>
          <w:p>
            <w:pPr>
              <w:jc w:val="right"/>
              <w:ind w:right="416"/>
              <w:spacing w:after="0"/>
              <w:rPr>
                <w:sz w:val="20"/>
                <w:szCs w:val="20"/>
                <w:color w:val="auto"/>
              </w:rPr>
            </w:pPr>
            <w:r>
              <w:rPr>
                <w:rFonts w:ascii="Arial" w:cs="Arial" w:eastAsia="Arial" w:hAnsi="Arial"/>
                <w:sz w:val="18"/>
                <w:szCs w:val="18"/>
                <w:color w:val="auto"/>
              </w:rPr>
              <w:t>189</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919</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center"/>
              <w:ind w:right="216"/>
              <w:spacing w:after="0"/>
              <w:rPr>
                <w:sz w:val="20"/>
                <w:szCs w:val="20"/>
                <w:color w:val="auto"/>
              </w:rPr>
            </w:pPr>
            <w:r>
              <w:rPr>
                <w:rFonts w:ascii="Arial" w:cs="Arial" w:eastAsia="Arial" w:hAnsi="Arial"/>
                <w:sz w:val="18"/>
                <w:szCs w:val="18"/>
                <w:color w:val="auto"/>
                <w:w w:val="79"/>
              </w:rPr>
              <w:t>24</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836</w:t>
            </w:r>
          </w:p>
        </w:tc>
        <w:tc>
          <w:tcPr>
            <w:tcW w:w="94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8"/>
                <w:szCs w:val="18"/>
                <w:color w:val="auto"/>
              </w:rPr>
            </w:pPr>
          </w:p>
        </w:tc>
        <w:tc>
          <w:tcPr>
            <w:tcW w:w="860" w:type="dxa"/>
            <w:vAlign w:val="bottom"/>
          </w:tcPr>
          <w:p>
            <w:pPr>
              <w:jc w:val="right"/>
              <w:ind w:right="416"/>
              <w:spacing w:after="0"/>
              <w:rPr>
                <w:sz w:val="20"/>
                <w:szCs w:val="20"/>
                <w:color w:val="auto"/>
              </w:rPr>
            </w:pPr>
            <w:r>
              <w:rPr>
                <w:rFonts w:ascii="Arial" w:cs="Arial" w:eastAsia="Arial" w:hAnsi="Arial"/>
                <w:sz w:val="18"/>
                <w:szCs w:val="18"/>
                <w:color w:val="auto"/>
              </w:rPr>
              <w:t>174</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541</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center"/>
              <w:ind w:right="216"/>
              <w:spacing w:after="0"/>
              <w:rPr>
                <w:sz w:val="20"/>
                <w:szCs w:val="20"/>
                <w:color w:val="auto"/>
              </w:rPr>
            </w:pPr>
            <w:r>
              <w:rPr>
                <w:rFonts w:ascii="Arial" w:cs="Arial" w:eastAsia="Arial" w:hAnsi="Arial"/>
                <w:sz w:val="18"/>
                <w:szCs w:val="18"/>
                <w:color w:val="auto"/>
                <w:w w:val="87"/>
              </w:rPr>
              <w:t>(66)</w:t>
            </w: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84"/>
              </w:rPr>
              <w:t>(10.8)</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476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6"/>
              <w:spacing w:after="0"/>
              <w:rPr>
                <w:sz w:val="20"/>
                <w:szCs w:val="20"/>
                <w:color w:val="auto"/>
              </w:rPr>
            </w:pPr>
            <w:r>
              <w:rPr>
                <w:rFonts w:ascii="Arial" w:cs="Arial" w:eastAsia="Arial" w:hAnsi="Arial"/>
                <w:sz w:val="18"/>
                <w:szCs w:val="18"/>
                <w:color w:val="auto"/>
                <w:w w:val="79"/>
              </w:rPr>
              <w:t>48</w:t>
            </w: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w w:val="83"/>
              </w:rPr>
              <w:t>10,491</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9,976</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416"/>
              <w:spacing w:after="0"/>
              <w:rPr>
                <w:sz w:val="20"/>
                <w:szCs w:val="20"/>
                <w:color w:val="auto"/>
              </w:rPr>
            </w:pPr>
            <w:r>
              <w:rPr>
                <w:rFonts w:ascii="Arial" w:cs="Arial" w:eastAsia="Arial" w:hAnsi="Arial"/>
                <w:sz w:val="18"/>
                <w:szCs w:val="18"/>
                <w:b w:val="1"/>
                <w:bCs w:val="1"/>
                <w:color w:val="auto"/>
              </w:rPr>
              <w:t>515</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2,288</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2,095</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416"/>
              <w:spacing w:after="0"/>
              <w:rPr>
                <w:sz w:val="20"/>
                <w:szCs w:val="20"/>
                <w:color w:val="auto"/>
              </w:rPr>
            </w:pPr>
            <w:r>
              <w:rPr>
                <w:rFonts w:ascii="Arial" w:cs="Arial" w:eastAsia="Arial" w:hAnsi="Arial"/>
                <w:sz w:val="18"/>
                <w:szCs w:val="18"/>
                <w:color w:val="auto"/>
              </w:rPr>
              <w:t>193</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1,346</w:t>
            </w:r>
          </w:p>
        </w:tc>
        <w:tc>
          <w:tcPr>
            <w:tcW w:w="940" w:type="dxa"/>
            <w:vAlign w:val="bottom"/>
          </w:tcPr>
          <w:p>
            <w:pPr>
              <w:jc w:val="right"/>
              <w:spacing w:after="0"/>
              <w:rPr>
                <w:sz w:val="20"/>
                <w:szCs w:val="20"/>
                <w:color w:val="auto"/>
              </w:rPr>
            </w:pPr>
            <w:r>
              <w:rPr>
                <w:rFonts w:ascii="Arial" w:cs="Arial" w:eastAsia="Arial" w:hAnsi="Arial"/>
                <w:sz w:val="18"/>
                <w:szCs w:val="18"/>
                <w:color w:val="auto"/>
              </w:rPr>
              <w:t>1,322</w:t>
            </w:r>
          </w:p>
        </w:tc>
        <w:tc>
          <w:tcPr>
            <w:tcW w:w="180" w:type="dxa"/>
            <w:vAlign w:val="bottom"/>
          </w:tcPr>
          <w:p>
            <w:pPr>
              <w:spacing w:after="0"/>
              <w:rPr>
                <w:sz w:val="18"/>
                <w:szCs w:val="18"/>
                <w:color w:val="auto"/>
              </w:rPr>
            </w:pPr>
          </w:p>
        </w:tc>
        <w:tc>
          <w:tcPr>
            <w:tcW w:w="860" w:type="dxa"/>
            <w:vAlign w:val="bottom"/>
          </w:tcPr>
          <w:p>
            <w:pPr>
              <w:jc w:val="center"/>
              <w:ind w:right="216"/>
              <w:spacing w:after="0"/>
              <w:rPr>
                <w:sz w:val="20"/>
                <w:szCs w:val="20"/>
                <w:color w:val="auto"/>
              </w:rPr>
            </w:pPr>
            <w:r>
              <w:rPr>
                <w:rFonts w:ascii="Arial" w:cs="Arial" w:eastAsia="Arial" w:hAnsi="Arial"/>
                <w:sz w:val="18"/>
                <w:szCs w:val="18"/>
                <w:color w:val="auto"/>
                <w:w w:val="79"/>
              </w:rPr>
              <w:t>24</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527</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center"/>
              <w:ind w:right="216"/>
              <w:spacing w:after="0"/>
              <w:rPr>
                <w:sz w:val="20"/>
                <w:szCs w:val="20"/>
                <w:color w:val="auto"/>
              </w:rPr>
            </w:pPr>
            <w:r>
              <w:rPr>
                <w:rFonts w:ascii="Arial" w:cs="Arial" w:eastAsia="Arial" w:hAnsi="Arial"/>
                <w:sz w:val="18"/>
                <w:szCs w:val="18"/>
                <w:color w:val="auto"/>
                <w:w w:val="79"/>
              </w:rPr>
              <w:t>32</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Advertising, marketing and promotion</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757</w:t>
            </w:r>
          </w:p>
        </w:tc>
        <w:tc>
          <w:tcPr>
            <w:tcW w:w="94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860" w:type="dxa"/>
            <w:vAlign w:val="bottom"/>
          </w:tcPr>
          <w:p>
            <w:pPr>
              <w:jc w:val="center"/>
              <w:ind w:right="216"/>
              <w:spacing w:after="0"/>
              <w:rPr>
                <w:sz w:val="20"/>
                <w:szCs w:val="20"/>
                <w:color w:val="auto"/>
              </w:rPr>
            </w:pPr>
            <w:r>
              <w:rPr>
                <w:rFonts w:ascii="Arial" w:cs="Arial" w:eastAsia="Arial" w:hAnsi="Arial"/>
                <w:sz w:val="18"/>
                <w:szCs w:val="18"/>
                <w:color w:val="auto"/>
                <w:w w:val="79"/>
              </w:rPr>
              <w:t>20</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Franchise and other regulatory fees</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313</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center"/>
              <w:ind w:right="216"/>
              <w:spacing w:after="0"/>
              <w:rPr>
                <w:sz w:val="20"/>
                <w:szCs w:val="20"/>
                <w:color w:val="auto"/>
              </w:rPr>
            </w:pPr>
            <w:r>
              <w:rPr>
                <w:rFonts w:ascii="Arial" w:cs="Arial" w:eastAsia="Arial" w:hAnsi="Arial"/>
                <w:sz w:val="18"/>
                <w:szCs w:val="18"/>
                <w:color w:val="auto"/>
                <w:w w:val="79"/>
              </w:rPr>
              <w:t>20</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1,014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6"/>
              <w:spacing w:after="0"/>
              <w:rPr>
                <w:sz w:val="20"/>
                <w:szCs w:val="20"/>
                <w:color w:val="auto"/>
              </w:rPr>
            </w:pPr>
            <w:r>
              <w:rPr>
                <w:rFonts w:ascii="Arial" w:cs="Arial" w:eastAsia="Arial" w:hAnsi="Arial"/>
                <w:sz w:val="18"/>
                <w:szCs w:val="18"/>
                <w:color w:val="auto"/>
                <w:w w:val="87"/>
              </w:rPr>
              <w:t>(22)</w:t>
            </w: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6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6,245</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5,978</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416"/>
              <w:spacing w:after="0"/>
              <w:rPr>
                <w:sz w:val="20"/>
                <w:szCs w:val="20"/>
                <w:color w:val="auto"/>
              </w:rPr>
            </w:pPr>
            <w:r>
              <w:rPr>
                <w:rFonts w:ascii="Arial" w:cs="Arial" w:eastAsia="Arial" w:hAnsi="Arial"/>
                <w:sz w:val="18"/>
                <w:szCs w:val="18"/>
                <w:color w:val="auto"/>
              </w:rPr>
              <w:t>267</w:t>
            </w:r>
          </w:p>
        </w:tc>
        <w:tc>
          <w:tcPr>
            <w:tcW w:w="6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280" w:type="dxa"/>
            <w:vAlign w:val="bottom"/>
            <w:tcBorders>
              <w:bottom w:val="single" w:sz="8" w:color="auto"/>
            </w:tcBorders>
            <w:gridSpan w:val="3"/>
          </w:tcPr>
          <w:p>
            <w:pPr>
              <w:ind w:left="318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4,246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$ 3,998</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w w:val="84"/>
              </w:rPr>
              <w:t>$248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gridSpan w:val="2"/>
          </w:tcPr>
          <w:p>
            <w:pPr>
              <w:jc w:val="right"/>
              <w:ind w:right="373"/>
              <w:spacing w:after="0"/>
              <w:rPr>
                <w:sz w:val="20"/>
                <w:szCs w:val="20"/>
                <w:color w:val="auto"/>
              </w:rPr>
            </w:pPr>
            <w:r>
              <w:rPr>
                <w:rFonts w:ascii="Arial" w:cs="Arial" w:eastAsia="Arial" w:hAnsi="Arial"/>
                <w:sz w:val="14"/>
                <w:szCs w:val="14"/>
                <w:color w:val="auto"/>
                <w:w w:val="91"/>
              </w:rPr>
              <w:t>Nine Months Ended</w:t>
            </w:r>
          </w:p>
        </w:tc>
        <w:tc>
          <w:tcPr>
            <w:tcW w:w="180" w:type="dxa"/>
            <w:vAlign w:val="bottom"/>
          </w:tcPr>
          <w:p>
            <w:pPr>
              <w:spacing w:after="0"/>
              <w:rPr>
                <w:sz w:val="23"/>
                <w:szCs w:val="23"/>
                <w:color w:val="auto"/>
              </w:rPr>
            </w:pPr>
          </w:p>
        </w:tc>
        <w:tc>
          <w:tcPr>
            <w:tcW w:w="860" w:type="dxa"/>
            <w:vAlign w:val="bottom"/>
          </w:tcPr>
          <w:p>
            <w:pPr>
              <w:ind w:left="320"/>
              <w:spacing w:after="0"/>
              <w:rPr>
                <w:sz w:val="20"/>
                <w:szCs w:val="20"/>
                <w:color w:val="auto"/>
              </w:rPr>
            </w:pPr>
            <w:r>
              <w:rPr>
                <w:rFonts w:ascii="Arial" w:cs="Arial" w:eastAsia="Arial" w:hAnsi="Arial"/>
                <w:sz w:val="14"/>
                <w:szCs w:val="14"/>
                <w:color w:val="auto"/>
                <w:w w:val="90"/>
              </w:rPr>
              <w:t>Increase/</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2013</w:t>
            </w:r>
          </w:p>
        </w:tc>
        <w:tc>
          <w:tcPr>
            <w:tcW w:w="9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$15,415</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$14,949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center"/>
              <w:ind w:right="236"/>
              <w:spacing w:after="0"/>
              <w:rPr>
                <w:sz w:val="20"/>
                <w:szCs w:val="20"/>
                <w:color w:val="auto"/>
              </w:rPr>
            </w:pPr>
            <w:r>
              <w:rPr>
                <w:rFonts w:ascii="Arial" w:cs="Arial" w:eastAsia="Arial" w:hAnsi="Arial"/>
                <w:sz w:val="18"/>
                <w:szCs w:val="18"/>
                <w:color w:val="auto"/>
                <w:w w:val="86"/>
              </w:rPr>
              <w:t>466</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3940" w:type="dxa"/>
            <w:vAlign w:val="bottom"/>
            <w:gridSpan w:val="4"/>
          </w:tcPr>
          <w:p>
            <w:pPr>
              <w:jc w:val="right"/>
              <w:ind w:right="237"/>
              <w:spacing w:after="0"/>
              <w:rPr>
                <w:sz w:val="20"/>
                <w:szCs w:val="20"/>
                <w:color w:val="auto"/>
              </w:rPr>
            </w:pPr>
            <w:r>
              <w:rPr>
                <w:rFonts w:ascii="Arial" w:cs="Arial" w:eastAsia="Arial" w:hAnsi="Arial"/>
                <w:sz w:val="18"/>
                <w:szCs w:val="18"/>
                <w:color w:val="auto"/>
              </w:rPr>
              <w:t>7,684</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7,106</w:t>
            </w:r>
          </w:p>
        </w:tc>
        <w:tc>
          <w:tcPr>
            <w:tcW w:w="180" w:type="dxa"/>
            <w:vAlign w:val="bottom"/>
          </w:tcPr>
          <w:p>
            <w:pPr>
              <w:spacing w:after="0"/>
              <w:rPr>
                <w:sz w:val="18"/>
                <w:szCs w:val="18"/>
                <w:color w:val="auto"/>
              </w:rPr>
            </w:pPr>
          </w:p>
        </w:tc>
        <w:tc>
          <w:tcPr>
            <w:tcW w:w="860" w:type="dxa"/>
            <w:vAlign w:val="bottom"/>
          </w:tcPr>
          <w:p>
            <w:pPr>
              <w:jc w:val="center"/>
              <w:ind w:right="236"/>
              <w:spacing w:after="0"/>
              <w:rPr>
                <w:sz w:val="20"/>
                <w:szCs w:val="20"/>
                <w:color w:val="auto"/>
              </w:rPr>
            </w:pPr>
            <w:r>
              <w:rPr>
                <w:rFonts w:ascii="Arial" w:cs="Arial" w:eastAsia="Arial" w:hAnsi="Arial"/>
                <w:sz w:val="18"/>
                <w:szCs w:val="18"/>
                <w:color w:val="auto"/>
                <w:w w:val="86"/>
              </w:rPr>
              <w:t>578</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2,729</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2,662</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67</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3940" w:type="dxa"/>
            <w:vAlign w:val="bottom"/>
            <w:gridSpan w:val="4"/>
          </w:tcPr>
          <w:p>
            <w:pPr>
              <w:jc w:val="right"/>
              <w:ind w:right="237"/>
              <w:spacing w:after="0"/>
              <w:rPr>
                <w:sz w:val="20"/>
                <w:szCs w:val="20"/>
                <w:color w:val="auto"/>
              </w:rPr>
            </w:pPr>
            <w:r>
              <w:rPr>
                <w:rFonts w:ascii="Arial" w:cs="Arial" w:eastAsia="Arial" w:hAnsi="Arial"/>
                <w:sz w:val="18"/>
                <w:szCs w:val="18"/>
                <w:color w:val="auto"/>
              </w:rPr>
              <w:t>2,365</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1,866</w:t>
            </w:r>
          </w:p>
        </w:tc>
        <w:tc>
          <w:tcPr>
            <w:tcW w:w="180" w:type="dxa"/>
            <w:vAlign w:val="bottom"/>
          </w:tcPr>
          <w:p>
            <w:pPr>
              <w:spacing w:after="0"/>
              <w:rPr>
                <w:sz w:val="18"/>
                <w:szCs w:val="18"/>
                <w:color w:val="auto"/>
              </w:rPr>
            </w:pPr>
          </w:p>
        </w:tc>
        <w:tc>
          <w:tcPr>
            <w:tcW w:w="860" w:type="dxa"/>
            <w:vAlign w:val="bottom"/>
          </w:tcPr>
          <w:p>
            <w:pPr>
              <w:jc w:val="center"/>
              <w:ind w:right="236"/>
              <w:spacing w:after="0"/>
              <w:rPr>
                <w:sz w:val="20"/>
                <w:szCs w:val="20"/>
                <w:color w:val="auto"/>
              </w:rPr>
            </w:pPr>
            <w:r>
              <w:rPr>
                <w:rFonts w:ascii="Arial" w:cs="Arial" w:eastAsia="Arial" w:hAnsi="Arial"/>
                <w:sz w:val="18"/>
                <w:szCs w:val="18"/>
                <w:color w:val="auto"/>
                <w:w w:val="86"/>
              </w:rPr>
              <w:t>499</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1,587</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1,633</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rPr>
              <w:t>(46)</w:t>
            </w:r>
          </w:p>
        </w:tc>
        <w:tc>
          <w:tcPr>
            <w:tcW w:w="6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9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1,395</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1,256</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36"/>
              <w:spacing w:after="0"/>
              <w:rPr>
                <w:sz w:val="20"/>
                <w:szCs w:val="20"/>
                <w:color w:val="auto"/>
              </w:rPr>
            </w:pPr>
            <w:r>
              <w:rPr>
                <w:rFonts w:ascii="Arial" w:cs="Arial" w:eastAsia="Arial" w:hAnsi="Arial"/>
                <w:sz w:val="18"/>
                <w:szCs w:val="18"/>
                <w:color w:val="auto"/>
                <w:w w:val="86"/>
              </w:rPr>
              <w:t>139</w:t>
            </w: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31,175</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29,472</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6"/>
              <w:spacing w:after="0"/>
              <w:rPr>
                <w:sz w:val="20"/>
                <w:szCs w:val="20"/>
                <w:color w:val="auto"/>
              </w:rPr>
            </w:pPr>
            <w:r>
              <w:rPr>
                <w:rFonts w:ascii="Arial" w:cs="Arial" w:eastAsia="Arial" w:hAnsi="Arial"/>
                <w:sz w:val="18"/>
                <w:szCs w:val="18"/>
                <w:b w:val="1"/>
                <w:bCs w:val="1"/>
                <w:color w:val="auto"/>
                <w:w w:val="84"/>
              </w:rPr>
              <w:t>1,703</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6,821</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6,280</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center"/>
              <w:ind w:right="236"/>
              <w:spacing w:after="0"/>
              <w:rPr>
                <w:sz w:val="20"/>
                <w:szCs w:val="20"/>
                <w:color w:val="auto"/>
              </w:rPr>
            </w:pPr>
            <w:r>
              <w:rPr>
                <w:rFonts w:ascii="Arial" w:cs="Arial" w:eastAsia="Arial" w:hAnsi="Arial"/>
                <w:sz w:val="18"/>
                <w:szCs w:val="18"/>
                <w:color w:val="auto"/>
                <w:w w:val="86"/>
              </w:rPr>
              <w:t>541</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3940" w:type="dxa"/>
            <w:vAlign w:val="bottom"/>
            <w:gridSpan w:val="4"/>
          </w:tcPr>
          <w:p>
            <w:pPr>
              <w:jc w:val="right"/>
              <w:ind w:right="237"/>
              <w:spacing w:after="0"/>
              <w:rPr>
                <w:sz w:val="20"/>
                <w:szCs w:val="20"/>
                <w:color w:val="auto"/>
              </w:rPr>
            </w:pPr>
            <w:r>
              <w:rPr>
                <w:rFonts w:ascii="Arial" w:cs="Arial" w:eastAsia="Arial" w:hAnsi="Arial"/>
                <w:sz w:val="18"/>
                <w:szCs w:val="18"/>
                <w:color w:val="auto"/>
              </w:rPr>
              <w:t>3,996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3,877</w:t>
            </w:r>
          </w:p>
        </w:tc>
        <w:tc>
          <w:tcPr>
            <w:tcW w:w="180" w:type="dxa"/>
            <w:vAlign w:val="bottom"/>
          </w:tcPr>
          <w:p>
            <w:pPr>
              <w:spacing w:after="0"/>
              <w:rPr>
                <w:sz w:val="18"/>
                <w:szCs w:val="18"/>
                <w:color w:val="auto"/>
              </w:rPr>
            </w:pPr>
          </w:p>
        </w:tc>
        <w:tc>
          <w:tcPr>
            <w:tcW w:w="860" w:type="dxa"/>
            <w:vAlign w:val="bottom"/>
          </w:tcPr>
          <w:p>
            <w:pPr>
              <w:jc w:val="center"/>
              <w:ind w:right="236"/>
              <w:spacing w:after="0"/>
              <w:rPr>
                <w:sz w:val="20"/>
                <w:szCs w:val="20"/>
                <w:color w:val="auto"/>
              </w:rPr>
            </w:pPr>
            <w:r>
              <w:rPr>
                <w:rFonts w:ascii="Arial" w:cs="Arial" w:eastAsia="Arial" w:hAnsi="Arial"/>
                <w:sz w:val="18"/>
                <w:szCs w:val="18"/>
                <w:color w:val="auto"/>
                <w:w w:val="86"/>
              </w:rPr>
              <w:t>119</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394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1,565</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1,486</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79</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Advertising, marketing and promotion</w:t>
            </w:r>
          </w:p>
        </w:tc>
        <w:tc>
          <w:tcPr>
            <w:tcW w:w="3940" w:type="dxa"/>
            <w:vAlign w:val="bottom"/>
            <w:gridSpan w:val="4"/>
          </w:tcPr>
          <w:p>
            <w:pPr>
              <w:jc w:val="right"/>
              <w:ind w:right="237"/>
              <w:spacing w:after="0"/>
              <w:rPr>
                <w:sz w:val="20"/>
                <w:szCs w:val="20"/>
                <w:color w:val="auto"/>
              </w:rPr>
            </w:pPr>
            <w:r>
              <w:rPr>
                <w:rFonts w:ascii="Arial" w:cs="Arial" w:eastAsia="Arial" w:hAnsi="Arial"/>
                <w:sz w:val="18"/>
                <w:szCs w:val="18"/>
                <w:color w:val="auto"/>
              </w:rPr>
              <w:t>2,150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2,042</w:t>
            </w:r>
          </w:p>
        </w:tc>
        <w:tc>
          <w:tcPr>
            <w:tcW w:w="180" w:type="dxa"/>
            <w:vAlign w:val="bottom"/>
          </w:tcPr>
          <w:p>
            <w:pPr>
              <w:spacing w:after="0"/>
              <w:rPr>
                <w:sz w:val="18"/>
                <w:szCs w:val="18"/>
                <w:color w:val="auto"/>
              </w:rPr>
            </w:pPr>
          </w:p>
        </w:tc>
        <w:tc>
          <w:tcPr>
            <w:tcW w:w="860" w:type="dxa"/>
            <w:vAlign w:val="bottom"/>
          </w:tcPr>
          <w:p>
            <w:pPr>
              <w:jc w:val="center"/>
              <w:ind w:right="236"/>
              <w:spacing w:after="0"/>
              <w:rPr>
                <w:sz w:val="20"/>
                <w:szCs w:val="20"/>
                <w:color w:val="auto"/>
              </w:rPr>
            </w:pPr>
            <w:r>
              <w:rPr>
                <w:rFonts w:ascii="Arial" w:cs="Arial" w:eastAsia="Arial" w:hAnsi="Arial"/>
                <w:sz w:val="18"/>
                <w:szCs w:val="18"/>
                <w:color w:val="auto"/>
                <w:w w:val="86"/>
              </w:rPr>
              <w:t>108</w:t>
            </w: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Franchise and other regulatory fees</w:t>
            </w:r>
          </w:p>
        </w:tc>
        <w:tc>
          <w:tcPr>
            <w:tcW w:w="2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932</w:t>
            </w:r>
          </w:p>
        </w:tc>
        <w:tc>
          <w:tcPr>
            <w:tcW w:w="9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56</w:t>
            </w:r>
          </w:p>
        </w:tc>
        <w:tc>
          <w:tcPr>
            <w:tcW w:w="6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9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2,911</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2,857</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54</w:t>
            </w: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940" w:type="dxa"/>
            <w:vAlign w:val="bottom"/>
            <w:tcBorders>
              <w:bottom w:val="single" w:sz="8" w:color="auto"/>
            </w:tcBorders>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18,375</w:t>
            </w:r>
          </w:p>
        </w:tc>
        <w:tc>
          <w:tcPr>
            <w:tcW w:w="9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17,418</w:t>
            </w:r>
          </w:p>
        </w:tc>
        <w:tc>
          <w:tcPr>
            <w:tcW w:w="1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center"/>
              <w:ind w:right="236"/>
              <w:spacing w:after="0"/>
              <w:rPr>
                <w:sz w:val="20"/>
                <w:szCs w:val="20"/>
                <w:color w:val="auto"/>
              </w:rPr>
            </w:pPr>
            <w:r>
              <w:rPr>
                <w:rFonts w:ascii="Arial" w:cs="Arial" w:eastAsia="Arial" w:hAnsi="Arial"/>
                <w:sz w:val="18"/>
                <w:szCs w:val="18"/>
                <w:color w:val="auto"/>
                <w:w w:val="86"/>
              </w:rPr>
              <w:t>957</w:t>
            </w:r>
          </w:p>
        </w:tc>
        <w:tc>
          <w:tcPr>
            <w:tcW w:w="6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94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b w:val="1"/>
                <w:bCs w:val="1"/>
                <w:color w:val="auto"/>
              </w:rPr>
              <w:t>$12,800</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$12,054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center"/>
              <w:ind w:right="236"/>
              <w:spacing w:after="0"/>
              <w:rPr>
                <w:sz w:val="20"/>
                <w:szCs w:val="20"/>
                <w:color w:val="auto"/>
              </w:rPr>
            </w:pPr>
            <w:r>
              <w:rPr>
                <w:rFonts w:ascii="Arial" w:cs="Arial" w:eastAsia="Arial" w:hAnsi="Arial"/>
                <w:sz w:val="18"/>
                <w:szCs w:val="18"/>
                <w:b w:val="1"/>
                <w:bCs w:val="1"/>
                <w:color w:val="auto"/>
                <w:w w:val="86"/>
              </w:rPr>
              <w:t>746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640" w:type="dxa"/>
            <w:vAlign w:val="bottom"/>
          </w:tcPr>
          <w:p>
            <w:pPr>
              <w:jc w:val="right"/>
              <w:ind w:right="16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740" w:type="dxa"/>
            <w:vAlign w:val="bottom"/>
            <w:gridSpan w:val="3"/>
          </w:tcPr>
          <w:p>
            <w:pPr>
              <w:ind w:left="1380"/>
              <w:spacing w:after="0"/>
              <w:rPr>
                <w:sz w:val="20"/>
                <w:szCs w:val="20"/>
                <w:color w:val="auto"/>
              </w:rPr>
            </w:pPr>
            <w:r>
              <w:rPr>
                <w:rFonts w:ascii="Arial" w:cs="Arial" w:eastAsia="Arial" w:hAnsi="Arial"/>
                <w:sz w:val="14"/>
                <w:szCs w:val="14"/>
                <w:color w:val="auto"/>
              </w:rPr>
              <w:t>Total Customers</w:t>
            </w:r>
          </w:p>
        </w:tc>
        <w:tc>
          <w:tcPr>
            <w:tcW w:w="3800" w:type="dxa"/>
            <w:vAlign w:val="bottom"/>
            <w:gridSpan w:val="2"/>
          </w:tcPr>
          <w:p>
            <w:pPr>
              <w:jc w:val="right"/>
              <w:ind w:right="837"/>
              <w:spacing w:after="0"/>
              <w:rPr>
                <w:sz w:val="20"/>
                <w:szCs w:val="20"/>
                <w:color w:val="auto"/>
              </w:rPr>
            </w:pPr>
            <w:r>
              <w:rPr>
                <w:rFonts w:ascii="Arial" w:cs="Arial" w:eastAsia="Arial" w:hAnsi="Arial"/>
                <w:sz w:val="14"/>
                <w:szCs w:val="14"/>
                <w:color w:val="auto"/>
              </w:rPr>
              <w:t>Net Additional Customers</w:t>
            </w:r>
          </w:p>
        </w:tc>
      </w:tr>
      <w:tr>
        <w:trPr>
          <w:trHeight w:val="131"/>
        </w:trPr>
        <w:tc>
          <w:tcPr>
            <w:tcW w:w="3880" w:type="dxa"/>
            <w:vAlign w:val="bottom"/>
          </w:tcPr>
          <w:p>
            <w:pPr>
              <w:spacing w:after="0"/>
              <w:rPr>
                <w:sz w:val="11"/>
                <w:szCs w:val="11"/>
                <w:color w:val="auto"/>
              </w:rPr>
            </w:pPr>
          </w:p>
        </w:tc>
        <w:tc>
          <w:tcPr>
            <w:tcW w:w="1820" w:type="dxa"/>
            <w:vAlign w:val="bottom"/>
            <w:tcBorders>
              <w:top w:val="single" w:sz="8" w:color="auto"/>
            </w:tcBorders>
          </w:tcPr>
          <w:p>
            <w:pPr>
              <w:jc w:val="right"/>
              <w:ind w:right="302"/>
              <w:spacing w:after="0" w:line="131" w:lineRule="exact"/>
              <w:rPr>
                <w:sz w:val="20"/>
                <w:szCs w:val="20"/>
                <w:color w:val="auto"/>
              </w:rPr>
            </w:pPr>
            <w:r>
              <w:rPr>
                <w:rFonts w:ascii="Arial" w:cs="Arial" w:eastAsia="Arial" w:hAnsi="Arial"/>
                <w:sz w:val="14"/>
                <w:szCs w:val="14"/>
                <w:color w:val="auto"/>
              </w:rPr>
              <w:t>September 30,</w:t>
            </w:r>
          </w:p>
        </w:tc>
        <w:tc>
          <w:tcPr>
            <w:tcW w:w="12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September 30,</w:t>
            </w:r>
          </w:p>
        </w:tc>
        <w:tc>
          <w:tcPr>
            <w:tcW w:w="720" w:type="dxa"/>
            <w:vAlign w:val="bottom"/>
          </w:tcPr>
          <w:p>
            <w:pPr>
              <w:spacing w:after="0"/>
              <w:rPr>
                <w:sz w:val="11"/>
                <w:szCs w:val="11"/>
                <w:color w:val="auto"/>
              </w:rPr>
            </w:pPr>
          </w:p>
        </w:tc>
        <w:tc>
          <w:tcPr>
            <w:tcW w:w="2240" w:type="dxa"/>
            <w:vAlign w:val="bottom"/>
            <w:tcBorders>
              <w:top w:val="single" w:sz="8" w:color="auto"/>
            </w:tcBorders>
          </w:tcPr>
          <w:p>
            <w:pPr>
              <w:jc w:val="right"/>
              <w:ind w:right="342"/>
              <w:spacing w:after="0" w:line="131" w:lineRule="exact"/>
              <w:rPr>
                <w:sz w:val="20"/>
                <w:szCs w:val="20"/>
                <w:color w:val="auto"/>
              </w:rPr>
            </w:pPr>
            <w:r>
              <w:rPr>
                <w:rFonts w:ascii="Arial" w:cs="Arial" w:eastAsia="Arial" w:hAnsi="Arial"/>
                <w:sz w:val="14"/>
                <w:szCs w:val="14"/>
                <w:color w:val="auto"/>
              </w:rPr>
              <w:t>Three Months Ended</w:t>
            </w:r>
          </w:p>
        </w:tc>
        <w:tc>
          <w:tcPr>
            <w:tcW w:w="1560" w:type="dxa"/>
            <w:vAlign w:val="bottom"/>
            <w:tcBorders>
              <w:top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Nine Months Ended</w:t>
            </w:r>
          </w:p>
        </w:tc>
      </w:tr>
      <w:tr>
        <w:trPr>
          <w:trHeight w:val="159"/>
        </w:trPr>
        <w:tc>
          <w:tcPr>
            <w:tcW w:w="3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jc w:val="right"/>
              <w:ind w:right="542"/>
              <w:spacing w:after="0" w:line="159" w:lineRule="exact"/>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2012</w:t>
            </w:r>
          </w:p>
        </w:tc>
        <w:tc>
          <w:tcPr>
            <w:tcW w:w="720" w:type="dxa"/>
            <w:vAlign w:val="bottom"/>
            <w:tcBorders>
              <w:bottom w:val="single" w:sz="8" w:color="E5E5E5"/>
            </w:tcBorders>
          </w:tcPr>
          <w:p>
            <w:pPr>
              <w:spacing w:after="0"/>
              <w:rPr>
                <w:sz w:val="13"/>
                <w:szCs w:val="13"/>
                <w:color w:val="auto"/>
              </w:rPr>
            </w:pPr>
          </w:p>
        </w:tc>
        <w:tc>
          <w:tcPr>
            <w:tcW w:w="3800" w:type="dxa"/>
            <w:vAlign w:val="bottom"/>
            <w:tcBorders>
              <w:bottom w:val="single" w:sz="8" w:color="auto"/>
            </w:tcBorders>
            <w:gridSpan w:val="2"/>
          </w:tcPr>
          <w:p>
            <w:pPr>
              <w:jc w:val="right"/>
              <w:ind w:right="997"/>
              <w:spacing w:after="0" w:line="159" w:lineRule="exact"/>
              <w:rPr>
                <w:sz w:val="20"/>
                <w:szCs w:val="20"/>
                <w:color w:val="auto"/>
              </w:rPr>
            </w:pPr>
            <w:r>
              <w:rPr>
                <w:rFonts w:ascii="Arial" w:cs="Arial" w:eastAsia="Arial" w:hAnsi="Arial"/>
                <w:sz w:val="14"/>
                <w:szCs w:val="14"/>
                <w:color w:val="auto"/>
              </w:rPr>
              <w:t>September 30, 2013</w:t>
            </w:r>
          </w:p>
        </w:tc>
      </w:tr>
      <w:tr>
        <w:trPr>
          <w:trHeight w:val="210"/>
        </w:trPr>
        <w:tc>
          <w:tcPr>
            <w:tcW w:w="388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820" w:type="dxa"/>
            <w:vAlign w:val="bottom"/>
            <w:shd w:val="clear" w:color="auto" w:fill="E5E5E5"/>
          </w:tcPr>
          <w:p>
            <w:pPr>
              <w:jc w:val="right"/>
              <w:ind w:right="302"/>
              <w:spacing w:after="0"/>
              <w:rPr>
                <w:sz w:val="20"/>
                <w:szCs w:val="20"/>
                <w:color w:val="auto"/>
              </w:rPr>
            </w:pPr>
            <w:r>
              <w:rPr>
                <w:rFonts w:ascii="Arial" w:cs="Arial" w:eastAsia="Arial" w:hAnsi="Arial"/>
                <w:sz w:val="18"/>
                <w:szCs w:val="18"/>
                <w:color w:val="auto"/>
              </w:rPr>
              <w:t>21,647</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22,002</w:t>
            </w:r>
          </w:p>
        </w:tc>
        <w:tc>
          <w:tcPr>
            <w:tcW w:w="720" w:type="dxa"/>
            <w:vAlign w:val="bottom"/>
            <w:shd w:val="clear" w:color="auto" w:fill="E5E5E5"/>
          </w:tcPr>
          <w:p>
            <w:pPr>
              <w:spacing w:after="0"/>
              <w:rPr>
                <w:sz w:val="18"/>
                <w:szCs w:val="18"/>
                <w:color w:val="auto"/>
              </w:rPr>
            </w:pPr>
          </w:p>
        </w:tc>
        <w:tc>
          <w:tcPr>
            <w:tcW w:w="2240" w:type="dxa"/>
            <w:vAlign w:val="bottom"/>
            <w:shd w:val="clear" w:color="auto" w:fill="E5E5E5"/>
          </w:tcPr>
          <w:p>
            <w:pPr>
              <w:jc w:val="right"/>
              <w:ind w:right="282"/>
              <w:spacing w:after="0"/>
              <w:rPr>
                <w:sz w:val="20"/>
                <w:szCs w:val="20"/>
                <w:color w:val="auto"/>
              </w:rPr>
            </w:pPr>
            <w:r>
              <w:rPr>
                <w:rFonts w:ascii="Arial" w:cs="Arial" w:eastAsia="Arial" w:hAnsi="Arial"/>
                <w:sz w:val="18"/>
                <w:szCs w:val="18"/>
                <w:color w:val="auto"/>
              </w:rPr>
              <w:t>(129)</w:t>
            </w:r>
          </w:p>
        </w:tc>
        <w:tc>
          <w:tcPr>
            <w:tcW w:w="1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820" w:type="dxa"/>
            <w:vAlign w:val="bottom"/>
          </w:tcPr>
          <w:p>
            <w:pPr>
              <w:jc w:val="right"/>
              <w:ind w:right="302"/>
              <w:spacing w:after="0"/>
              <w:rPr>
                <w:sz w:val="20"/>
                <w:szCs w:val="20"/>
                <w:color w:val="auto"/>
              </w:rPr>
            </w:pPr>
            <w:r>
              <w:rPr>
                <w:rFonts w:ascii="Arial" w:cs="Arial" w:eastAsia="Arial" w:hAnsi="Arial"/>
                <w:sz w:val="18"/>
                <w:szCs w:val="18"/>
                <w:color w:val="auto"/>
              </w:rPr>
              <w:t>20,283</w:t>
            </w:r>
          </w:p>
        </w:tc>
        <w:tc>
          <w:tcPr>
            <w:tcW w:w="1200" w:type="dxa"/>
            <w:vAlign w:val="bottom"/>
          </w:tcPr>
          <w:p>
            <w:pPr>
              <w:jc w:val="right"/>
              <w:spacing w:after="0"/>
              <w:rPr>
                <w:sz w:val="20"/>
                <w:szCs w:val="20"/>
                <w:color w:val="auto"/>
              </w:rPr>
            </w:pPr>
            <w:r>
              <w:rPr>
                <w:rFonts w:ascii="Arial" w:cs="Arial" w:eastAsia="Arial" w:hAnsi="Arial"/>
                <w:sz w:val="18"/>
                <w:szCs w:val="18"/>
                <w:color w:val="auto"/>
              </w:rPr>
              <w:t>19,025</w:t>
            </w:r>
          </w:p>
        </w:tc>
        <w:tc>
          <w:tcPr>
            <w:tcW w:w="720" w:type="dxa"/>
            <w:vAlign w:val="bottom"/>
          </w:tcPr>
          <w:p>
            <w:pPr>
              <w:spacing w:after="0"/>
              <w:rPr>
                <w:sz w:val="18"/>
                <w:szCs w:val="18"/>
                <w:color w:val="auto"/>
              </w:rPr>
            </w:pPr>
          </w:p>
        </w:tc>
        <w:tc>
          <w:tcPr>
            <w:tcW w:w="2240" w:type="dxa"/>
            <w:vAlign w:val="bottom"/>
          </w:tcPr>
          <w:p>
            <w:pPr>
              <w:jc w:val="right"/>
              <w:ind w:right="342"/>
              <w:spacing w:after="0"/>
              <w:rPr>
                <w:sz w:val="20"/>
                <w:szCs w:val="20"/>
                <w:color w:val="auto"/>
              </w:rPr>
            </w:pPr>
            <w:r>
              <w:rPr>
                <w:rFonts w:ascii="Arial" w:cs="Arial" w:eastAsia="Arial" w:hAnsi="Arial"/>
                <w:sz w:val="18"/>
                <w:szCs w:val="18"/>
                <w:color w:val="auto"/>
              </w:rPr>
              <w:t>297</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917</w:t>
            </w:r>
          </w:p>
        </w:tc>
      </w:tr>
      <w:tr>
        <w:trPr>
          <w:trHeight w:val="216"/>
        </w:trPr>
        <w:tc>
          <w:tcPr>
            <w:tcW w:w="3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820" w:type="dxa"/>
            <w:vAlign w:val="bottom"/>
            <w:tcBorders>
              <w:bottom w:val="single" w:sz="8" w:color="auto"/>
            </w:tcBorders>
            <w:shd w:val="clear" w:color="auto" w:fill="E5E5E5"/>
          </w:tcPr>
          <w:p>
            <w:pPr>
              <w:jc w:val="right"/>
              <w:ind w:right="302"/>
              <w:spacing w:after="0"/>
              <w:rPr>
                <w:sz w:val="20"/>
                <w:szCs w:val="20"/>
                <w:color w:val="auto"/>
              </w:rPr>
            </w:pPr>
            <w:r>
              <w:rPr>
                <w:rFonts w:ascii="Arial" w:cs="Arial" w:eastAsia="Arial" w:hAnsi="Arial"/>
                <w:sz w:val="18"/>
                <w:szCs w:val="18"/>
                <w:color w:val="auto"/>
              </w:rPr>
              <w:t>10,496</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9,787</w:t>
            </w:r>
          </w:p>
        </w:tc>
        <w:tc>
          <w:tcPr>
            <w:tcW w:w="720" w:type="dxa"/>
            <w:vAlign w:val="bottom"/>
            <w:shd w:val="clear" w:color="auto" w:fill="E5E5E5"/>
          </w:tcPr>
          <w:p>
            <w:pPr>
              <w:spacing w:after="0"/>
              <w:rPr>
                <w:sz w:val="18"/>
                <w:szCs w:val="18"/>
                <w:color w:val="auto"/>
              </w:rPr>
            </w:pPr>
          </w:p>
        </w:tc>
        <w:tc>
          <w:tcPr>
            <w:tcW w:w="2240" w:type="dxa"/>
            <w:vAlign w:val="bottom"/>
            <w:tcBorders>
              <w:bottom w:val="single" w:sz="8" w:color="auto"/>
            </w:tcBorders>
            <w:shd w:val="clear" w:color="auto" w:fill="E5E5E5"/>
          </w:tcPr>
          <w:p>
            <w:pPr>
              <w:jc w:val="right"/>
              <w:ind w:right="342"/>
              <w:spacing w:after="0"/>
              <w:rPr>
                <w:sz w:val="20"/>
                <w:szCs w:val="20"/>
                <w:color w:val="auto"/>
              </w:rPr>
            </w:pPr>
            <w:r>
              <w:rPr>
                <w:rFonts w:ascii="Arial" w:cs="Arial" w:eastAsia="Arial" w:hAnsi="Arial"/>
                <w:sz w:val="18"/>
                <w:szCs w:val="18"/>
                <w:color w:val="auto"/>
              </w:rPr>
              <w:t>169</w:t>
            </w:r>
          </w:p>
        </w:tc>
        <w:tc>
          <w:tcPr>
            <w:tcW w:w="1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541</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customers, encouraging existing video and high-speed Internet services customers to add new or higher tier services or subscribe to our voice services, and growing newer services, such as business services. We offer our cable services in bundles and often provide promotional incentives. We seek to balance promotional offers and rate increases with their expected effects on the number of customers and overall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Video revenue increased 2.9% and 3.1% for the three and nine months ended September 30, 2013, respectively, compared to the same periods in 2012 primarily due to increases in both periods of approximately 5% from higher rates from price adjustments and customers receiving additional and higher levels of service. As of September 30, 2013, the number of customers who subscribed to our advanced services, which are HDTV and DVR services, increased 5% to 12 million customers compared to the prior year. In both periods, the increases in revenue were partially offset by decreases due to fewer residential video customers.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2013, the number of residential video customers decreased primarily due to competitive pressures in our service areas from phone and satellite competitors and the impact of rate adjustments. We may experience further declines in the number of residential video customers.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High-speed Internet revenue increased 7.9% and 8.1% for the three and nine months ended September 30, 2013, respectively, compared to the same periods in 2012. These increases were primarily due to increases in both periods of approximately 6% from a higher number of residential customers receiving our service and approximately 2% from higher rates from price adjustments and additional customers receiving higher levels of service. Our customer base continues to grow as consumers choose our high-speed Internet service and seek higher speed offerings.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Voice revenue increased 2.6% and 2.5% for the three and nine months ended September 30, 2013, respectively, compared to the same periods in 2012 primarily due to increases in both periods of approximately 6% from a higher number of residential customers receiving our service through our discounted bundled offerings. These increases were partially offset by the impact of the allocation of voice revenue for our bundled customers, because revenue attributable to voice services represents a lower proportion of the bundled rate. The amounts allocated to voice revenue in the bundled rate have decreased because video and high-speed Internet rates have increased, while voice rates have remained relatively flat.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services revenue increased 26.4% and 26.8% for the three and nine months ended September 30, 2013, respectively, compared to the same periods in 2012 primarily due to increases in both periods in the number of business customers, as well as our continued expansion of services to medium-sized business customers. Because business services is a newer offering, we believe the increase in business customers is primarily the result of our efforts to gain share from competitors by offering competitive product and pricing offerings.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decreased 10.8% for the three months ended September 30, 2013 compared to the same period in 2012 primarily due to lower political advertising revenue in the current year period.</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decreased 2.8% for the nine months ended September 30, 2013 compared to the same period in 2012 primarily due to lower political advertising revenue in the current year period, partially offset by increases in the national and regional advertising markets.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11.6% and 11.2% for the three and nine months ended September 30, 2013, respectively, compared to the same periods in 2012 primarily due to increases in franchise and other regulatory fees and in revenue from other services, including our home security and automation service.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significant operating cost is the programming expense we incur to provide content to our video customers. We anticipate that our programming expenses will continue to increase. We have and will continue to attempt to offset increases in programming expenses through rate increases, the sale of additional video and other services, and through operating efficiencies.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and production costs increased for the three and nine months ended September 30, 2013 compared to the same periods in 2012 primarily due to increases in programming license fees, including sports programming and retransmission consent fees, and fees to secure rights for additional programming for our customers across an increasing number of platforms.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Technical and product support expenses increased for the three and nine months ended September 30, 2013 compared to the same periods in 2012 primarily due to increases in expenses related to customer fulfillment activities and expenses related to the development, delivery and support of our products and services, including our new X1 set-top boxes and wireless gateways.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Customer service expenses increased for the three and nine months ended September 30, 2013 compared to the same periods in 2012 primarily due to increases in total labor costs associated with increases in customer service activity.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nine months ended September 30, 2013 compared to the same periods in 2012 primarily due to increases in spending associated with the continued expansion of residential and business services, including X1 and our home security and automation service, and costs associated with branding and competitive marketing.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nine months ended September 30, 2013 compared to the same periods in 2012 primarily due to increases in residential and business services revenue.</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costs and expenses decreased for the three months ended September 30, 2013 compared to the same period in 2012 primarily due to a decrease in employee costs. Other costs and expenses increased for the nine months ended September 30, 2013 compared to the same period in 2012 primarily due to increases in other administrative costs and advertising sales activities.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w w:val="87"/>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276"/>
              <w:spacing w:after="0"/>
              <w:rPr>
                <w:sz w:val="20"/>
                <w:szCs w:val="20"/>
                <w:color w:val="auto"/>
              </w:rPr>
            </w:pPr>
            <w:r>
              <w:rPr>
                <w:rFonts w:ascii="Arial" w:cs="Arial" w:eastAsia="Arial" w:hAnsi="Arial"/>
                <w:sz w:val="14"/>
                <w:szCs w:val="14"/>
                <w:color w:val="auto"/>
                <w:w w:val="83"/>
              </w:rPr>
              <w:t>Increase/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276"/>
              <w:spacing w:after="0"/>
              <w:rPr>
                <w:sz w:val="20"/>
                <w:szCs w:val="20"/>
                <w:color w:val="auto"/>
              </w:rPr>
            </w:pPr>
            <w:r>
              <w:rPr>
                <w:rFonts w:ascii="Arial" w:cs="Arial" w:eastAsia="Arial" w:hAnsi="Arial"/>
                <w:sz w:val="14"/>
                <w:szCs w:val="14"/>
                <w:color w:val="auto"/>
                <w:w w:val="86"/>
              </w:rPr>
              <w:t>(Decrease)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878"/>
              <w:spacing w:after="0" w:line="142" w:lineRule="exact"/>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gridSpan w:val="2"/>
          </w:tcPr>
          <w:p>
            <w:pPr>
              <w:jc w:val="right"/>
              <w:ind w:right="393"/>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120" w:type="dxa"/>
            <w:vAlign w:val="bottom"/>
            <w:gridSpan w:val="4"/>
          </w:tcPr>
          <w:p>
            <w:pPr>
              <w:jc w:val="right"/>
              <w:ind w:right="738"/>
              <w:spacing w:after="0"/>
              <w:rPr>
                <w:sz w:val="20"/>
                <w:szCs w:val="20"/>
                <w:color w:val="auto"/>
              </w:rPr>
            </w:pPr>
            <w:r>
              <w:rPr>
                <w:rFonts w:ascii="Arial" w:cs="Arial" w:eastAsia="Arial" w:hAnsi="Arial"/>
                <w:sz w:val="18"/>
                <w:szCs w:val="18"/>
                <w:color w:val="auto"/>
              </w:rPr>
              <w:t>$ 2,239</w:t>
            </w:r>
          </w:p>
        </w:tc>
        <w:tc>
          <w:tcPr>
            <w:tcW w:w="900" w:type="dxa"/>
            <w:vAlign w:val="bottom"/>
            <w:gridSpan w:val="2"/>
          </w:tcPr>
          <w:p>
            <w:pPr>
              <w:jc w:val="right"/>
              <w:ind w:right="253"/>
              <w:spacing w:after="0"/>
              <w:rPr>
                <w:sz w:val="20"/>
                <w:szCs w:val="20"/>
                <w:color w:val="auto"/>
              </w:rPr>
            </w:pPr>
            <w:r>
              <w:rPr>
                <w:rFonts w:ascii="Arial" w:cs="Arial" w:eastAsia="Arial" w:hAnsi="Arial"/>
                <w:sz w:val="18"/>
                <w:szCs w:val="18"/>
                <w:color w:val="auto"/>
                <w:w w:val="89"/>
              </w:rPr>
              <w:t>$ 2,152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87</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3120" w:type="dxa"/>
            <w:vAlign w:val="bottom"/>
            <w:gridSpan w:val="4"/>
            <w:shd w:val="clear" w:color="auto" w:fill="E5E5E5"/>
          </w:tcPr>
          <w:p>
            <w:pPr>
              <w:jc w:val="right"/>
              <w:ind w:right="738"/>
              <w:spacing w:after="0"/>
              <w:rPr>
                <w:sz w:val="20"/>
                <w:szCs w:val="20"/>
                <w:color w:val="auto"/>
              </w:rPr>
            </w:pPr>
            <w:r>
              <w:rPr>
                <w:rFonts w:ascii="Arial" w:cs="Arial" w:eastAsia="Arial" w:hAnsi="Arial"/>
                <w:sz w:val="18"/>
                <w:szCs w:val="18"/>
                <w:color w:val="auto"/>
              </w:rPr>
              <w:t>1,644</w:t>
            </w:r>
          </w:p>
        </w:tc>
        <w:tc>
          <w:tcPr>
            <w:tcW w:w="9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2,790</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w w:val="87"/>
              </w:rPr>
              <w:t>(1,146)</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3120" w:type="dxa"/>
            <w:vAlign w:val="bottom"/>
            <w:gridSpan w:val="4"/>
          </w:tcPr>
          <w:p>
            <w:pPr>
              <w:jc w:val="right"/>
              <w:ind w:right="738"/>
              <w:spacing w:after="0"/>
              <w:rPr>
                <w:sz w:val="20"/>
                <w:szCs w:val="20"/>
                <w:color w:val="auto"/>
              </w:rPr>
            </w:pPr>
            <w:r>
              <w:rPr>
                <w:rFonts w:ascii="Arial" w:cs="Arial" w:eastAsia="Arial" w:hAnsi="Arial"/>
                <w:sz w:val="18"/>
                <w:szCs w:val="18"/>
                <w:color w:val="auto"/>
              </w:rPr>
              <w:t>1,400</w:t>
            </w:r>
          </w:p>
        </w:tc>
        <w:tc>
          <w:tcPr>
            <w:tcW w:w="900" w:type="dxa"/>
            <w:vAlign w:val="bottom"/>
            <w:gridSpan w:val="2"/>
          </w:tcPr>
          <w:p>
            <w:pPr>
              <w:jc w:val="right"/>
              <w:ind w:right="253"/>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8"/>
                <w:szCs w:val="18"/>
                <w:color w:val="auto"/>
              </w:rPr>
            </w:pP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45</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3120" w:type="dxa"/>
            <w:vAlign w:val="bottom"/>
            <w:gridSpan w:val="4"/>
            <w:shd w:val="clear" w:color="auto" w:fill="E5E5E5"/>
          </w:tcPr>
          <w:p>
            <w:pPr>
              <w:jc w:val="right"/>
              <w:ind w:right="738"/>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47</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312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120" w:type="dxa"/>
            <w:vAlign w:val="bottom"/>
            <w:tcBorders>
              <w:bottom w:val="single" w:sz="8" w:color="auto"/>
            </w:tcBorders>
            <w:gridSpan w:val="4"/>
            <w:shd w:val="clear" w:color="auto" w:fill="E5E5E5"/>
          </w:tcPr>
          <w:p>
            <w:pPr>
              <w:jc w:val="right"/>
              <w:ind w:right="738"/>
              <w:spacing w:after="0"/>
              <w:rPr>
                <w:sz w:val="20"/>
                <w:szCs w:val="20"/>
                <w:color w:val="auto"/>
              </w:rPr>
            </w:pPr>
            <w:r>
              <w:rPr>
                <w:rFonts w:ascii="Arial" w:cs="Arial" w:eastAsia="Arial" w:hAnsi="Arial"/>
                <w:sz w:val="18"/>
                <w:szCs w:val="18"/>
                <w:b w:val="1"/>
                <w:bCs w:val="1"/>
                <w:color w:val="auto"/>
              </w:rPr>
              <w:t>$ 5,851</w:t>
            </w:r>
          </w:p>
        </w:tc>
        <w:tc>
          <w:tcPr>
            <w:tcW w:w="90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b w:val="1"/>
                <w:bCs w:val="1"/>
                <w:color w:val="auto"/>
                <w:w w:val="89"/>
              </w:rPr>
              <w:t>$ 6,822</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476"/>
              <w:spacing w:after="0"/>
              <w:rPr>
                <w:sz w:val="20"/>
                <w:szCs w:val="20"/>
                <w:color w:val="auto"/>
              </w:rPr>
            </w:pPr>
            <w:r>
              <w:rPr>
                <w:rFonts w:ascii="Arial" w:cs="Arial" w:eastAsia="Arial" w:hAnsi="Arial"/>
                <w:sz w:val="18"/>
                <w:szCs w:val="18"/>
                <w:b w:val="1"/>
                <w:bCs w:val="1"/>
                <w:color w:val="auto"/>
              </w:rPr>
              <w:t>(971)</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w w:val="97"/>
              </w:rPr>
              <w:t>Operating Income (Loss) Before Depreciation and Amortization</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3120" w:type="dxa"/>
            <w:vAlign w:val="bottom"/>
            <w:gridSpan w:val="4"/>
            <w:shd w:val="clear" w:color="auto" w:fill="E5E5E5"/>
          </w:tcPr>
          <w:p>
            <w:pPr>
              <w:jc w:val="right"/>
              <w:ind w:right="738"/>
              <w:spacing w:after="0"/>
              <w:rPr>
                <w:sz w:val="20"/>
                <w:szCs w:val="20"/>
                <w:color w:val="auto"/>
              </w:rPr>
            </w:pPr>
            <w:r>
              <w:rPr>
                <w:rFonts w:ascii="Arial" w:cs="Arial" w:eastAsia="Arial" w:hAnsi="Arial"/>
                <w:sz w:val="18"/>
                <w:szCs w:val="18"/>
                <w:color w:val="auto"/>
              </w:rPr>
              <w:t>$  853</w:t>
            </w:r>
          </w:p>
        </w:tc>
        <w:tc>
          <w:tcPr>
            <w:tcW w:w="2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44</w:t>
            </w:r>
          </w:p>
        </w:tc>
        <w:tc>
          <w:tcPr>
            <w:tcW w:w="7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738"/>
              <w:spacing w:after="0"/>
              <w:rPr>
                <w:sz w:val="20"/>
                <w:szCs w:val="20"/>
                <w:color w:val="auto"/>
              </w:rPr>
            </w:pPr>
            <w:r>
              <w:rPr>
                <w:rFonts w:ascii="Arial" w:cs="Arial" w:eastAsia="Arial" w:hAnsi="Arial"/>
                <w:sz w:val="18"/>
                <w:szCs w:val="18"/>
                <w:color w:val="auto"/>
                <w:w w:val="79"/>
              </w:rPr>
              <w:t>34</w:t>
            </w:r>
          </w:p>
        </w:tc>
        <w:tc>
          <w:tcPr>
            <w:tcW w:w="200" w:type="dxa"/>
            <w:vAlign w:val="bottom"/>
          </w:tcPr>
          <w:p>
            <w:pPr>
              <w:spacing w:after="0"/>
              <w:rPr>
                <w:sz w:val="18"/>
                <w:szCs w:val="18"/>
                <w:color w:val="auto"/>
              </w:rPr>
            </w:pP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8"/>
                <w:szCs w:val="18"/>
                <w:color w:val="auto"/>
              </w:rPr>
              <w:t>(54)</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3120" w:type="dxa"/>
            <w:vAlign w:val="bottom"/>
            <w:gridSpan w:val="4"/>
            <w:shd w:val="clear" w:color="auto" w:fill="E5E5E5"/>
          </w:tcPr>
          <w:p>
            <w:pPr>
              <w:jc w:val="right"/>
              <w:ind w:right="738"/>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rPr>
              <w:t>72</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117</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7"/>
              </w:rPr>
              <w:t>164.1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3120" w:type="dxa"/>
            <w:vAlign w:val="bottom"/>
            <w:gridSpan w:val="4"/>
          </w:tcPr>
          <w:p>
            <w:pPr>
              <w:jc w:val="right"/>
              <w:ind w:right="738"/>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27</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3120" w:type="dxa"/>
            <w:vAlign w:val="bottom"/>
            <w:tcBorders>
              <w:bottom w:val="single" w:sz="8" w:color="auto"/>
            </w:tcBorders>
            <w:gridSpan w:val="4"/>
            <w:shd w:val="clear" w:color="auto" w:fill="E5E5E5"/>
          </w:tcPr>
          <w:p>
            <w:pPr>
              <w:jc w:val="right"/>
              <w:ind w:right="678"/>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5"/>
              </w:rPr>
              <w:t>(145)</w:t>
            </w:r>
          </w:p>
        </w:tc>
        <w:tc>
          <w:tcPr>
            <w:tcW w:w="2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476"/>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operating income (loss) before depreciation and amortization</w:t>
            </w:r>
          </w:p>
        </w:tc>
        <w:tc>
          <w:tcPr>
            <w:tcW w:w="312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8"/>
                <w:szCs w:val="18"/>
                <w:b w:val="1"/>
                <w:bCs w:val="1"/>
                <w:color w:val="auto"/>
              </w:rPr>
              <w:t>$ 1,250</w:t>
            </w:r>
          </w:p>
        </w:tc>
        <w:tc>
          <w:tcPr>
            <w:tcW w:w="9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b w:val="1"/>
                <w:bCs w:val="1"/>
                <w:color w:val="auto"/>
                <w:w w:val="89"/>
              </w:rPr>
              <w:t>$ 1,140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110</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73"/>
        </w:trPr>
        <w:tc>
          <w:tcPr>
            <w:tcW w:w="5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3"/>
          </w:tcPr>
          <w:p>
            <w:pPr>
              <w:jc w:val="right"/>
              <w:ind w:right="493"/>
              <w:spacing w:after="0"/>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23"/>
                <w:szCs w:val="23"/>
                <w:color w:val="auto"/>
              </w:rPr>
            </w:pPr>
          </w:p>
        </w:tc>
        <w:tc>
          <w:tcPr>
            <w:tcW w:w="1080" w:type="dxa"/>
            <w:vAlign w:val="bottom"/>
          </w:tcPr>
          <w:p>
            <w:pPr>
              <w:jc w:val="center"/>
              <w:ind w:left="276"/>
              <w:spacing w:after="0"/>
              <w:rPr>
                <w:sz w:val="20"/>
                <w:szCs w:val="20"/>
                <w:color w:val="auto"/>
              </w:rPr>
            </w:pPr>
            <w:r>
              <w:rPr>
                <w:rFonts w:ascii="Arial" w:cs="Arial" w:eastAsia="Arial" w:hAnsi="Arial"/>
                <w:sz w:val="14"/>
                <w:szCs w:val="14"/>
                <w:color w:val="auto"/>
                <w:w w:val="83"/>
              </w:rPr>
              <w:t>Increase/</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296"/>
              <w:spacing w:after="0"/>
              <w:rPr>
                <w:sz w:val="20"/>
                <w:szCs w:val="20"/>
                <w:color w:val="auto"/>
              </w:rPr>
            </w:pPr>
            <w:r>
              <w:rPr>
                <w:rFonts w:ascii="Arial" w:cs="Arial" w:eastAsia="Arial" w:hAnsi="Arial"/>
                <w:sz w:val="14"/>
                <w:szCs w:val="14"/>
                <w:color w:val="auto"/>
                <w:w w:val="83"/>
              </w:rPr>
              <w:t>(Decrease)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98"/>
              <w:spacing w:after="0" w:line="142" w:lineRule="exact"/>
              <w:rPr>
                <w:sz w:val="20"/>
                <w:szCs w:val="20"/>
                <w:color w:val="auto"/>
              </w:rPr>
            </w:pPr>
            <w:r>
              <w:rPr>
                <w:rFonts w:ascii="Arial" w:cs="Arial" w:eastAsia="Arial" w:hAnsi="Arial"/>
                <w:sz w:val="14"/>
                <w:szCs w:val="14"/>
                <w:color w:val="auto"/>
                <w:w w:val="96"/>
              </w:rPr>
              <w:t>2013</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w w:val="96"/>
              </w:rPr>
              <w:t>2012</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6,877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6,520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357</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1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4,893</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6,203</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476"/>
              <w:spacing w:after="0"/>
              <w:rPr>
                <w:sz w:val="20"/>
                <w:szCs w:val="20"/>
                <w:color w:val="auto"/>
              </w:rPr>
            </w:pPr>
            <w:r>
              <w:rPr>
                <w:rFonts w:ascii="Arial" w:cs="Arial" w:eastAsia="Arial" w:hAnsi="Arial"/>
                <w:sz w:val="18"/>
                <w:szCs w:val="18"/>
                <w:color w:val="auto"/>
                <w:w w:val="87"/>
              </w:rPr>
              <w:t>(1,310)</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4,004</w:t>
            </w:r>
          </w:p>
        </w:tc>
        <w:tc>
          <w:tcPr>
            <w:tcW w:w="20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3,778</w:t>
            </w:r>
          </w:p>
        </w:tc>
        <w:tc>
          <w:tcPr>
            <w:tcW w:w="280" w:type="dxa"/>
            <w:vAlign w:val="bottom"/>
          </w:tcPr>
          <w:p>
            <w:pPr>
              <w:spacing w:after="0"/>
              <w:rPr>
                <w:sz w:val="18"/>
                <w:szCs w:val="18"/>
                <w:color w:val="auto"/>
              </w:rPr>
            </w:pP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226</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1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1,669</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1,565</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104</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1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11</w:t>
            </w: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120" w:type="dxa"/>
            <w:vAlign w:val="bottom"/>
            <w:tcBorders>
              <w:bottom w:val="single" w:sz="8" w:color="auto"/>
            </w:tcBorders>
            <w:gridSpan w:val="4"/>
            <w:shd w:val="clear" w:color="auto" w:fill="E5E5E5"/>
          </w:tcPr>
          <w:p>
            <w:pPr>
              <w:jc w:val="right"/>
              <w:ind w:right="438"/>
              <w:spacing w:after="0"/>
              <w:rPr>
                <w:sz w:val="20"/>
                <w:szCs w:val="20"/>
                <w:color w:val="auto"/>
              </w:rPr>
            </w:pPr>
            <w:r>
              <w:rPr>
                <w:rFonts w:ascii="Arial" w:cs="Arial" w:eastAsia="Arial" w:hAnsi="Arial"/>
                <w:sz w:val="18"/>
                <w:szCs w:val="18"/>
                <w:b w:val="1"/>
                <w:bCs w:val="1"/>
                <w:color w:val="auto"/>
              </w:rPr>
              <w:t>$17,186</w:t>
            </w:r>
          </w:p>
        </w:tc>
        <w:tc>
          <w:tcPr>
            <w:tcW w:w="900" w:type="dxa"/>
            <w:vAlign w:val="bottom"/>
            <w:tcBorders>
              <w:bottom w:val="single" w:sz="8" w:color="auto"/>
            </w:tcBorders>
            <w:gridSpan w:val="2"/>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$17,798</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476"/>
              <w:spacing w:after="0"/>
              <w:rPr>
                <w:sz w:val="20"/>
                <w:szCs w:val="20"/>
                <w:color w:val="auto"/>
              </w:rPr>
            </w:pPr>
            <w:r>
              <w:rPr>
                <w:rFonts w:ascii="Arial" w:cs="Arial" w:eastAsia="Arial" w:hAnsi="Arial"/>
                <w:sz w:val="18"/>
                <w:szCs w:val="18"/>
                <w:b w:val="1"/>
                <w:bCs w:val="1"/>
                <w:color w:val="auto"/>
              </w:rPr>
              <w:t>(612)</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w w:val="97"/>
              </w:rPr>
              <w:t>Operating Income (Loss) Before Depreciation and Amortization</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120" w:type="dxa"/>
            <w:vAlign w:val="bottom"/>
            <w:gridSpan w:val="3"/>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2,408</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164</w:t>
            </w:r>
          </w:p>
        </w:tc>
        <w:tc>
          <w:tcPr>
            <w:tcW w:w="7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1080" w:type="dxa"/>
            <w:vAlign w:val="bottom"/>
          </w:tcPr>
          <w:p>
            <w:pPr>
              <w:jc w:val="right"/>
              <w:ind w:right="476"/>
              <w:spacing w:after="0"/>
              <w:rPr>
                <w:sz w:val="20"/>
                <w:szCs w:val="20"/>
                <w:color w:val="auto"/>
              </w:rPr>
            </w:pPr>
            <w:r>
              <w:rPr>
                <w:rFonts w:ascii="Arial" w:cs="Arial" w:eastAsia="Arial" w:hAnsi="Arial"/>
                <w:sz w:val="18"/>
                <w:szCs w:val="18"/>
                <w:color w:val="auto"/>
              </w:rPr>
              <w:t>(63)</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536"/>
              <w:spacing w:after="0"/>
              <w:rPr>
                <w:sz w:val="20"/>
                <w:szCs w:val="20"/>
                <w:color w:val="auto"/>
              </w:rPr>
            </w:pPr>
            <w:r>
              <w:rPr>
                <w:rFonts w:ascii="Arial" w:cs="Arial" w:eastAsia="Arial" w:hAnsi="Arial"/>
                <w:sz w:val="18"/>
                <w:szCs w:val="18"/>
                <w:color w:val="auto"/>
              </w:rPr>
              <w:t>296</w:t>
            </w:r>
          </w:p>
        </w:tc>
        <w:tc>
          <w:tcPr>
            <w:tcW w:w="7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38"/>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18"/>
                <w:szCs w:val="18"/>
                <w:color w:val="auto"/>
              </w:rPr>
            </w:pPr>
          </w:p>
        </w:tc>
        <w:tc>
          <w:tcPr>
            <w:tcW w:w="1080" w:type="dxa"/>
            <w:vAlign w:val="bottom"/>
          </w:tcPr>
          <w:p>
            <w:pPr>
              <w:jc w:val="right"/>
              <w:ind w:right="536"/>
              <w:spacing w:after="0"/>
              <w:rPr>
                <w:sz w:val="20"/>
                <w:szCs w:val="20"/>
                <w:color w:val="auto"/>
              </w:rPr>
            </w:pPr>
            <w:r>
              <w:rPr>
                <w:rFonts w:ascii="Arial" w:cs="Arial" w:eastAsia="Arial" w:hAnsi="Arial"/>
                <w:sz w:val="18"/>
                <w:szCs w:val="18"/>
                <w:color w:val="auto"/>
              </w:rPr>
              <w:t>39</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172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8"/>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536"/>
              <w:spacing w:after="0"/>
              <w:rPr>
                <w:sz w:val="20"/>
                <w:szCs w:val="20"/>
                <w:color w:val="auto"/>
              </w:rPr>
            </w:pPr>
            <w:r>
              <w:rPr>
                <w:rFonts w:ascii="Arial" w:cs="Arial" w:eastAsia="Arial" w:hAnsi="Arial"/>
                <w:sz w:val="18"/>
                <w:szCs w:val="18"/>
                <w:color w:val="auto"/>
              </w:rPr>
              <w:t>23</w:t>
            </w:r>
          </w:p>
        </w:tc>
        <w:tc>
          <w:tcPr>
            <w:tcW w:w="7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operating income (loss) before depreciation and amortization</w:t>
            </w:r>
          </w:p>
        </w:tc>
        <w:tc>
          <w:tcPr>
            <w:tcW w:w="2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8"/>
                <w:szCs w:val="18"/>
                <w:b w:val="1"/>
                <w:bCs w:val="1"/>
                <w:color w:val="auto"/>
              </w:rPr>
              <w:t>3,394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2,935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459</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363"/>
        </w:trPr>
        <w:tc>
          <w:tcPr>
            <w:tcW w:w="5300" w:type="dxa"/>
            <w:vAlign w:val="bottom"/>
          </w:tcPr>
          <w:p>
            <w:pPr>
              <w:spacing w:after="0"/>
              <w:rPr>
                <w:sz w:val="24"/>
                <w:szCs w:val="24"/>
                <w:color w:val="auto"/>
              </w:rPr>
            </w:pPr>
          </w:p>
        </w:tc>
        <w:tc>
          <w:tcPr>
            <w:tcW w:w="1720" w:type="dxa"/>
            <w:vAlign w:val="bottom"/>
          </w:tcPr>
          <w:p>
            <w:pPr>
              <w:jc w:val="right"/>
              <w:ind w:right="1112"/>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180" w:type="dxa"/>
            <w:vAlign w:val="bottom"/>
            <w:gridSpan w:val="3"/>
          </w:tcPr>
          <w:p>
            <w:pPr>
              <w:jc w:val="center"/>
              <w:ind w:left="77"/>
              <w:spacing w:after="0"/>
              <w:rPr>
                <w:sz w:val="20"/>
                <w:szCs w:val="20"/>
                <w:color w:val="auto"/>
              </w:rPr>
            </w:pPr>
            <w:r>
              <w:rPr>
                <w:rFonts w:ascii="Arial" w:cs="Arial" w:eastAsia="Arial" w:hAnsi="Arial"/>
                <w:sz w:val="14"/>
                <w:szCs w:val="14"/>
                <w:color w:val="auto"/>
                <w:w w:val="87"/>
              </w:rPr>
              <w:t>Three Months Ended</w:t>
            </w:r>
          </w:p>
        </w:tc>
        <w:tc>
          <w:tcPr>
            <w:tcW w:w="1160" w:type="dxa"/>
            <w:vAlign w:val="bottom"/>
          </w:tcPr>
          <w:p>
            <w:pPr>
              <w:jc w:val="center"/>
              <w:ind w:left="457"/>
              <w:spacing w:after="0"/>
              <w:rPr>
                <w:sz w:val="20"/>
                <w:szCs w:val="20"/>
                <w:color w:val="auto"/>
              </w:rPr>
            </w:pPr>
            <w:r>
              <w:rPr>
                <w:rFonts w:ascii="Arial" w:cs="Arial" w:eastAsia="Arial" w:hAnsi="Arial"/>
                <w:sz w:val="14"/>
                <w:szCs w:val="14"/>
                <w:color w:val="auto"/>
                <w:w w:val="86"/>
              </w:rPr>
              <w:t>Increase/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gridSpan w:val="2"/>
          </w:tcPr>
          <w:p>
            <w:pPr>
              <w:jc w:val="center"/>
              <w:ind w:left="717"/>
              <w:spacing w:after="0"/>
              <w:rPr>
                <w:sz w:val="20"/>
                <w:szCs w:val="20"/>
                <w:color w:val="auto"/>
              </w:rPr>
            </w:pPr>
            <w:r>
              <w:rPr>
                <w:rFonts w:ascii="Arial" w:cs="Arial" w:eastAsia="Arial" w:hAnsi="Arial"/>
                <w:sz w:val="14"/>
                <w:szCs w:val="14"/>
                <w:color w:val="auto"/>
                <w:w w:val="84"/>
              </w:rPr>
              <w:t>September 30</w:t>
            </w: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457"/>
              <w:spacing w:after="0"/>
              <w:rPr>
                <w:sz w:val="20"/>
                <w:szCs w:val="20"/>
                <w:color w:val="auto"/>
              </w:rPr>
            </w:pPr>
            <w:r>
              <w:rPr>
                <w:rFonts w:ascii="Arial" w:cs="Arial" w:eastAsia="Arial" w:hAnsi="Arial"/>
                <w:sz w:val="14"/>
                <w:szCs w:val="14"/>
                <w:color w:val="auto"/>
                <w:w w:val="83"/>
              </w:rPr>
              <w:t>(Decrease)</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color w:val="auto"/>
                <w:w w:val="83"/>
              </w:rPr>
              <w:t>2012</w:t>
            </w:r>
          </w:p>
        </w:tc>
        <w:tc>
          <w:tcPr>
            <w:tcW w:w="1160" w:type="dxa"/>
            <w:vAlign w:val="bottom"/>
          </w:tcPr>
          <w:p>
            <w:pPr>
              <w:jc w:val="right"/>
              <w:ind w:right="637"/>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$ 1,219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1,157</w:t>
            </w:r>
          </w:p>
        </w:tc>
        <w:tc>
          <w:tcPr>
            <w:tcW w:w="1160" w:type="dxa"/>
            <w:vAlign w:val="bottom"/>
          </w:tcPr>
          <w:p>
            <w:pPr>
              <w:jc w:val="right"/>
              <w:ind w:right="517"/>
              <w:spacing w:after="0"/>
              <w:rPr>
                <w:sz w:val="20"/>
                <w:szCs w:val="20"/>
                <w:color w:val="auto"/>
              </w:rPr>
            </w:pPr>
            <w:r>
              <w:rPr>
                <w:rFonts w:ascii="Arial" w:cs="Arial" w:eastAsia="Arial" w:hAnsi="Arial"/>
                <w:sz w:val="18"/>
                <w:szCs w:val="18"/>
                <w:color w:val="auto"/>
              </w:rPr>
              <w:t>$ 62</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835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798</w:t>
            </w:r>
          </w:p>
        </w:tc>
        <w:tc>
          <w:tcPr>
            <w:tcW w:w="1160" w:type="dxa"/>
            <w:vAlign w:val="bottom"/>
            <w:shd w:val="clear" w:color="auto" w:fill="E5E5E5"/>
          </w:tcPr>
          <w:p>
            <w:pPr>
              <w:jc w:val="center"/>
              <w:ind w:right="117"/>
              <w:spacing w:after="0"/>
              <w:rPr>
                <w:sz w:val="20"/>
                <w:szCs w:val="20"/>
                <w:color w:val="auto"/>
              </w:rPr>
            </w:pPr>
            <w:r>
              <w:rPr>
                <w:rFonts w:ascii="Arial" w:cs="Arial" w:eastAsia="Arial" w:hAnsi="Arial"/>
                <w:sz w:val="18"/>
                <w:szCs w:val="18"/>
                <w:color w:val="auto"/>
                <w:w w:val="79"/>
              </w:rPr>
              <w:t>37</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197</w:t>
            </w: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8"/>
                <w:szCs w:val="18"/>
                <w:color w:val="auto"/>
                <w:w w:val="87"/>
              </w:rPr>
              <w:t>(12)</w:t>
            </w: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1"/>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2,239</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4"/>
              </w:rPr>
              <w:t>2,152</w:t>
            </w:r>
          </w:p>
        </w:tc>
        <w:tc>
          <w:tcPr>
            <w:tcW w:w="1160" w:type="dxa"/>
            <w:vAlign w:val="bottom"/>
            <w:shd w:val="clear" w:color="auto" w:fill="E5E5E5"/>
          </w:tcPr>
          <w:p>
            <w:pPr>
              <w:jc w:val="center"/>
              <w:ind w:right="117"/>
              <w:spacing w:after="0"/>
              <w:rPr>
                <w:sz w:val="20"/>
                <w:szCs w:val="20"/>
                <w:color w:val="auto"/>
              </w:rPr>
            </w:pPr>
            <w:r>
              <w:rPr>
                <w:rFonts w:ascii="Arial" w:cs="Arial" w:eastAsia="Arial" w:hAnsi="Arial"/>
                <w:sz w:val="18"/>
                <w:szCs w:val="18"/>
                <w:b w:val="1"/>
                <w:bCs w:val="1"/>
                <w:color w:val="auto"/>
                <w:w w:val="79"/>
              </w:rPr>
              <w:t>87</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953</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918</w:t>
            </w:r>
          </w:p>
        </w:tc>
        <w:tc>
          <w:tcPr>
            <w:tcW w:w="1160" w:type="dxa"/>
            <w:vAlign w:val="bottom"/>
            <w:shd w:val="clear" w:color="auto" w:fill="E5E5E5"/>
          </w:tcPr>
          <w:p>
            <w:pPr>
              <w:jc w:val="center"/>
              <w:ind w:right="117"/>
              <w:spacing w:after="0"/>
              <w:rPr>
                <w:sz w:val="20"/>
                <w:szCs w:val="20"/>
                <w:color w:val="auto"/>
              </w:rPr>
            </w:pPr>
            <w:r>
              <w:rPr>
                <w:rFonts w:ascii="Arial" w:cs="Arial" w:eastAsia="Arial" w:hAnsi="Arial"/>
                <w:sz w:val="18"/>
                <w:szCs w:val="18"/>
                <w:color w:val="auto"/>
                <w:w w:val="79"/>
              </w:rPr>
              <w:t>35</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318</w:t>
            </w:r>
          </w:p>
        </w:tc>
        <w:tc>
          <w:tcPr>
            <w:tcW w:w="1160" w:type="dxa"/>
            <w:vAlign w:val="bottom"/>
          </w:tcPr>
          <w:p>
            <w:pPr>
              <w:jc w:val="right"/>
              <w:ind w:right="457"/>
              <w:spacing w:after="0"/>
              <w:rPr>
                <w:sz w:val="20"/>
                <w:szCs w:val="20"/>
                <w:color w:val="auto"/>
              </w:rPr>
            </w:pPr>
            <w:r>
              <w:rPr>
                <w:rFonts w:ascii="Arial" w:cs="Arial" w:eastAsia="Arial" w:hAnsi="Arial"/>
                <w:sz w:val="18"/>
                <w:szCs w:val="18"/>
                <w:color w:val="auto"/>
              </w:rPr>
              <w:t>(5)</w:t>
            </w:r>
          </w:p>
        </w:tc>
        <w:tc>
          <w:tcPr>
            <w:tcW w:w="540" w:type="dxa"/>
            <w:vAlign w:val="bottom"/>
          </w:tcPr>
          <w:p>
            <w:pPr>
              <w:jc w:val="right"/>
              <w:ind w:right="94"/>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107</w:t>
            </w:r>
          </w:p>
        </w:tc>
        <w:tc>
          <w:tcPr>
            <w:tcW w:w="1160" w:type="dxa"/>
            <w:vAlign w:val="bottom"/>
            <w:tcBorders>
              <w:bottom w:val="single" w:sz="8" w:color="auto"/>
            </w:tcBorders>
            <w:shd w:val="clear" w:color="auto" w:fill="E5E5E5"/>
          </w:tcPr>
          <w:p>
            <w:pPr>
              <w:jc w:val="center"/>
              <w:ind w:right="117"/>
              <w:spacing w:after="0"/>
              <w:rPr>
                <w:sz w:val="20"/>
                <w:szCs w:val="20"/>
                <w:color w:val="auto"/>
              </w:rPr>
            </w:pPr>
            <w:r>
              <w:rPr>
                <w:rFonts w:ascii="Arial" w:cs="Arial" w:eastAsia="Arial" w:hAnsi="Arial"/>
                <w:sz w:val="18"/>
                <w:szCs w:val="18"/>
                <w:color w:val="auto"/>
                <w:w w:val="79"/>
              </w:rPr>
              <w:t>13</w:t>
            </w:r>
          </w:p>
        </w:tc>
        <w:tc>
          <w:tcPr>
            <w:tcW w:w="5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5"/>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1,386</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4"/>
              </w:rPr>
              <w:t>1,343</w:t>
            </w: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8"/>
                <w:szCs w:val="18"/>
                <w:color w:val="auto"/>
                <w:w w:val="79"/>
              </w:rPr>
              <w:t>43</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853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809</w:t>
            </w:r>
          </w:p>
        </w:tc>
        <w:tc>
          <w:tcPr>
            <w:tcW w:w="1160" w:type="dxa"/>
            <w:vAlign w:val="bottom"/>
            <w:tcBorders>
              <w:bottom w:val="single" w:sz="8" w:color="auto"/>
            </w:tcBorders>
            <w:shd w:val="clear" w:color="auto" w:fill="E5E5E5"/>
          </w:tcPr>
          <w:p>
            <w:pPr>
              <w:jc w:val="right"/>
              <w:ind w:right="517"/>
              <w:spacing w:after="0"/>
              <w:rPr>
                <w:sz w:val="20"/>
                <w:szCs w:val="20"/>
                <w:color w:val="auto"/>
              </w:rPr>
            </w:pPr>
            <w:r>
              <w:rPr>
                <w:rFonts w:ascii="Arial" w:cs="Arial" w:eastAsia="Arial" w:hAnsi="Arial"/>
                <w:sz w:val="18"/>
                <w:szCs w:val="18"/>
                <w:b w:val="1"/>
                <w:bCs w:val="1"/>
                <w:color w:val="auto"/>
              </w:rPr>
              <w:t>$ 44</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180" w:type="dxa"/>
            <w:vAlign w:val="bottom"/>
            <w:gridSpan w:val="3"/>
          </w:tcPr>
          <w:p>
            <w:pPr>
              <w:jc w:val="center"/>
              <w:ind w:left="77"/>
              <w:spacing w:after="0"/>
              <w:rPr>
                <w:sz w:val="20"/>
                <w:szCs w:val="20"/>
                <w:color w:val="auto"/>
              </w:rPr>
            </w:pPr>
            <w:r>
              <w:rPr>
                <w:rFonts w:ascii="Arial" w:cs="Arial" w:eastAsia="Arial" w:hAnsi="Arial"/>
                <w:sz w:val="14"/>
                <w:szCs w:val="14"/>
                <w:color w:val="auto"/>
                <w:w w:val="89"/>
              </w:rPr>
              <w:t>Nine Months Ended</w:t>
            </w:r>
          </w:p>
        </w:tc>
        <w:tc>
          <w:tcPr>
            <w:tcW w:w="1160" w:type="dxa"/>
            <w:vAlign w:val="bottom"/>
          </w:tcPr>
          <w:p>
            <w:pPr>
              <w:jc w:val="center"/>
              <w:ind w:left="477"/>
              <w:spacing w:after="0"/>
              <w:rPr>
                <w:sz w:val="20"/>
                <w:szCs w:val="20"/>
                <w:color w:val="auto"/>
              </w:rPr>
            </w:pPr>
            <w:r>
              <w:rPr>
                <w:rFonts w:ascii="Arial" w:cs="Arial" w:eastAsia="Arial" w:hAnsi="Arial"/>
                <w:sz w:val="14"/>
                <w:szCs w:val="14"/>
                <w:color w:val="auto"/>
                <w:w w:val="83"/>
              </w:rPr>
              <w:t>Increase/</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40" w:type="dxa"/>
            <w:vAlign w:val="bottom"/>
            <w:tcBorders>
              <w:bottom w:val="single" w:sz="8" w:color="auto"/>
            </w:tcBorders>
            <w:gridSpan w:val="2"/>
          </w:tcPr>
          <w:p>
            <w:pPr>
              <w:jc w:val="center"/>
              <w:ind w:left="717"/>
              <w:spacing w:after="0" w:line="159" w:lineRule="exact"/>
              <w:rPr>
                <w:sz w:val="20"/>
                <w:szCs w:val="20"/>
                <w:color w:val="auto"/>
              </w:rPr>
            </w:pPr>
            <w:r>
              <w:rPr>
                <w:rFonts w:ascii="Arial" w:cs="Arial" w:eastAsia="Arial" w:hAnsi="Arial"/>
                <w:sz w:val="14"/>
                <w:szCs w:val="14"/>
                <w:color w:val="auto"/>
                <w:w w:val="84"/>
              </w:rPr>
              <w:t>September 30</w:t>
            </w:r>
          </w:p>
        </w:tc>
        <w:tc>
          <w:tcPr>
            <w:tcW w:w="6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left="457"/>
              <w:spacing w:after="0" w:line="159" w:lineRule="exact"/>
              <w:rPr>
                <w:sz w:val="20"/>
                <w:szCs w:val="20"/>
                <w:color w:val="auto"/>
              </w:rPr>
            </w:pPr>
            <w:r>
              <w:rPr>
                <w:rFonts w:ascii="Arial" w:cs="Arial" w:eastAsia="Arial" w:hAnsi="Arial"/>
                <w:sz w:val="14"/>
                <w:szCs w:val="14"/>
                <w:color w:val="auto"/>
                <w:w w:val="83"/>
              </w:rPr>
              <w:t>(Decrease)</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1180" w:type="dxa"/>
            <w:vAlign w:val="bottom"/>
          </w:tcPr>
          <w:p>
            <w:pPr>
              <w:jc w:val="right"/>
              <w:ind w:right="297"/>
              <w:spacing w:after="0" w:line="142" w:lineRule="exact"/>
              <w:rPr>
                <w:sz w:val="20"/>
                <w:szCs w:val="20"/>
                <w:color w:val="auto"/>
              </w:rPr>
            </w:pPr>
            <w:r>
              <w:rPr>
                <w:rFonts w:ascii="Arial" w:cs="Arial" w:eastAsia="Arial" w:hAnsi="Arial"/>
                <w:sz w:val="14"/>
                <w:szCs w:val="14"/>
                <w:color w:val="auto"/>
              </w:rPr>
              <w:t>2013</w:t>
            </w:r>
          </w:p>
        </w:tc>
        <w:tc>
          <w:tcPr>
            <w:tcW w:w="360" w:type="dxa"/>
            <w:vAlign w:val="bottom"/>
          </w:tcPr>
          <w:p>
            <w:pPr>
              <w:spacing w:after="0"/>
              <w:rPr>
                <w:sz w:val="12"/>
                <w:szCs w:val="12"/>
                <w:color w:val="auto"/>
              </w:rPr>
            </w:pP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color w:val="auto"/>
                <w:w w:val="83"/>
              </w:rPr>
              <w:t>2012</w:t>
            </w:r>
          </w:p>
        </w:tc>
        <w:tc>
          <w:tcPr>
            <w:tcW w:w="1160" w:type="dxa"/>
            <w:vAlign w:val="bottom"/>
          </w:tcPr>
          <w:p>
            <w:pPr>
              <w:jc w:val="right"/>
              <w:ind w:right="617"/>
              <w:spacing w:after="0" w:line="14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$ 3,679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3,467</w:t>
            </w:r>
          </w:p>
        </w:tc>
        <w:tc>
          <w:tcPr>
            <w:tcW w:w="1160" w:type="dxa"/>
            <w:vAlign w:val="bottom"/>
          </w:tcPr>
          <w:p>
            <w:pPr>
              <w:jc w:val="right"/>
              <w:ind w:right="477"/>
              <w:spacing w:after="0"/>
              <w:rPr>
                <w:sz w:val="20"/>
                <w:szCs w:val="20"/>
                <w:color w:val="auto"/>
              </w:rPr>
            </w:pPr>
            <w:r>
              <w:rPr>
                <w:rFonts w:ascii="Arial" w:cs="Arial" w:eastAsia="Arial" w:hAnsi="Arial"/>
                <w:sz w:val="18"/>
                <w:szCs w:val="18"/>
                <w:color w:val="auto"/>
              </w:rPr>
              <w:t>$212</w:t>
            </w: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2,629</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4"/>
              </w:rPr>
              <w:t>2,520</w:t>
            </w:r>
          </w:p>
        </w:tc>
        <w:tc>
          <w:tcPr>
            <w:tcW w:w="1160" w:type="dxa"/>
            <w:vAlign w:val="bottom"/>
            <w:shd w:val="clear" w:color="auto" w:fill="E5E5E5"/>
          </w:tcPr>
          <w:p>
            <w:pPr>
              <w:jc w:val="center"/>
              <w:ind w:right="137"/>
              <w:spacing w:after="0"/>
              <w:rPr>
                <w:sz w:val="20"/>
                <w:szCs w:val="20"/>
                <w:color w:val="auto"/>
              </w:rPr>
            </w:pPr>
            <w:r>
              <w:rPr>
                <w:rFonts w:ascii="Arial" w:cs="Arial" w:eastAsia="Arial" w:hAnsi="Arial"/>
                <w:sz w:val="18"/>
                <w:szCs w:val="18"/>
                <w:color w:val="auto"/>
                <w:w w:val="86"/>
              </w:rPr>
              <w:t>109</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569</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533</w:t>
            </w: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6,877</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4"/>
              </w:rPr>
              <w:t>6,520</w:t>
            </w:r>
          </w:p>
        </w:tc>
        <w:tc>
          <w:tcPr>
            <w:tcW w:w="1160" w:type="dxa"/>
            <w:vAlign w:val="bottom"/>
            <w:shd w:val="clear" w:color="auto" w:fill="E5E5E5"/>
          </w:tcPr>
          <w:p>
            <w:pPr>
              <w:jc w:val="center"/>
              <w:ind w:right="137"/>
              <w:spacing w:after="0"/>
              <w:rPr>
                <w:sz w:val="20"/>
                <w:szCs w:val="20"/>
                <w:color w:val="auto"/>
              </w:rPr>
            </w:pPr>
            <w:r>
              <w:rPr>
                <w:rFonts w:ascii="Arial" w:cs="Arial" w:eastAsia="Arial" w:hAnsi="Arial"/>
                <w:sz w:val="18"/>
                <w:szCs w:val="18"/>
                <w:b w:val="1"/>
                <w:bCs w:val="1"/>
                <w:color w:val="auto"/>
                <w:w w:val="86"/>
              </w:rPr>
              <w:t>357</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1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2,945</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4"/>
              </w:rPr>
              <w:t>2,797</w:t>
            </w:r>
          </w:p>
        </w:tc>
        <w:tc>
          <w:tcPr>
            <w:tcW w:w="1160" w:type="dxa"/>
            <w:vAlign w:val="bottom"/>
            <w:shd w:val="clear" w:color="auto" w:fill="E5E5E5"/>
          </w:tcPr>
          <w:p>
            <w:pPr>
              <w:jc w:val="center"/>
              <w:ind w:right="137"/>
              <w:spacing w:after="0"/>
              <w:rPr>
                <w:sz w:val="20"/>
                <w:szCs w:val="20"/>
                <w:color w:val="auto"/>
              </w:rPr>
            </w:pPr>
            <w:r>
              <w:rPr>
                <w:rFonts w:ascii="Arial" w:cs="Arial" w:eastAsia="Arial" w:hAnsi="Arial"/>
                <w:sz w:val="18"/>
                <w:szCs w:val="18"/>
                <w:color w:val="auto"/>
                <w:w w:val="86"/>
              </w:rPr>
              <w:t>148</w:t>
            </w:r>
          </w:p>
        </w:tc>
        <w:tc>
          <w:tcPr>
            <w:tcW w:w="5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985</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949</w:t>
            </w:r>
          </w:p>
        </w:tc>
        <w:tc>
          <w:tcPr>
            <w:tcW w:w="1160" w:type="dxa"/>
            <w:vAlign w:val="bottom"/>
          </w:tcPr>
          <w:p>
            <w:pPr>
              <w:jc w:val="right"/>
              <w:ind w:right="477"/>
              <w:spacing w:after="0"/>
              <w:rPr>
                <w:sz w:val="20"/>
                <w:szCs w:val="20"/>
                <w:color w:val="auto"/>
              </w:rPr>
            </w:pPr>
            <w:r>
              <w:rPr>
                <w:rFonts w:ascii="Arial" w:cs="Arial" w:eastAsia="Arial" w:hAnsi="Arial"/>
                <w:sz w:val="18"/>
                <w:szCs w:val="18"/>
                <w:color w:val="auto"/>
              </w:rPr>
              <w:t>36</w:t>
            </w:r>
          </w:p>
        </w:tc>
        <w:tc>
          <w:tcPr>
            <w:tcW w:w="540" w:type="dxa"/>
            <w:vAlign w:val="bottom"/>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366</w:t>
            </w:r>
          </w:p>
        </w:tc>
        <w:tc>
          <w:tcPr>
            <w:tcW w:w="116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4,305</w:t>
            </w: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4"/>
              </w:rPr>
              <w:t>4,112</w:t>
            </w: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8"/>
                <w:szCs w:val="18"/>
                <w:color w:val="auto"/>
                <w:w w:val="86"/>
              </w:rPr>
              <w:t>193</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1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$ 2,572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4"/>
              </w:rPr>
              <w:t>2,408</w:t>
            </w:r>
          </w:p>
        </w:tc>
        <w:tc>
          <w:tcPr>
            <w:tcW w:w="1160" w:type="dxa"/>
            <w:vAlign w:val="bottom"/>
            <w:tcBorders>
              <w:bottom w:val="single" w:sz="8" w:color="auto"/>
            </w:tcBorders>
            <w:shd w:val="clear" w:color="auto" w:fill="E5E5E5"/>
          </w:tcPr>
          <w:p>
            <w:pPr>
              <w:jc w:val="right"/>
              <w:ind w:right="477"/>
              <w:spacing w:after="0"/>
              <w:rPr>
                <w:sz w:val="20"/>
                <w:szCs w:val="20"/>
                <w:color w:val="auto"/>
              </w:rPr>
            </w:pPr>
            <w:r>
              <w:rPr>
                <w:rFonts w:ascii="Arial" w:cs="Arial" w:eastAsia="Arial" w:hAnsi="Arial"/>
                <w:sz w:val="18"/>
                <w:szCs w:val="18"/>
                <w:b w:val="1"/>
                <w:bCs w:val="1"/>
                <w:color w:val="auto"/>
              </w:rPr>
              <w:t>$164</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revenue increased for the three and nine months ended September 30, 2013 compared to the same periods in 2012 due to increases in distribution and advertising revenue. The increases in distribution revenue for both periods were primarily due to increases in the contractual rates charged under distribution agreements. Advertising revenue increased 4.6% and 4.3% for the three and nine months ended September 30, 2013, respectively. Higher prices and volume of advertising units sold contributed to increases in the three and nine months ended September 30, 2013 of 7% and 10%, respectively. These increases were partially offset by continuing declines in audience ratings at some of our networks.</w:t>
      </w:r>
    </w:p>
    <w:p>
      <w:pPr>
        <w:spacing w:after="0" w:line="2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For the three and nine months ended September 30, 2013 and 2012, 13% of our Cable Networks segment revenue was generated from our Cable Communications segment. These amounts are eliminated in our condensed consolidated financial statements but are included in the amounts presented above.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and nine months ended September 30, 2013 compared to the same periods in 2012 primarily due to increases in programming and production costs from our continued investment in original programming at certain of our cable networks and higher sports programming rights costs.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3"/>
          </w:tcPr>
          <w:p>
            <w:pPr>
              <w:jc w:val="right"/>
              <w:ind w:right="274"/>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000" w:type="dxa"/>
            <w:vAlign w:val="bottom"/>
          </w:tcPr>
          <w:p>
            <w:pPr>
              <w:jc w:val="center"/>
              <w:ind w:left="258"/>
              <w:spacing w:after="0"/>
              <w:rPr>
                <w:sz w:val="20"/>
                <w:szCs w:val="20"/>
                <w:color w:val="auto"/>
              </w:rPr>
            </w:pPr>
            <w:r>
              <w:rPr>
                <w:rFonts w:ascii="Arial" w:cs="Arial" w:eastAsia="Arial" w:hAnsi="Arial"/>
                <w:sz w:val="14"/>
                <w:szCs w:val="14"/>
                <w:color w:val="auto"/>
                <w:w w:val="86"/>
              </w:rPr>
              <w:t>Increase/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32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258"/>
              <w:spacing w:after="0"/>
              <w:rPr>
                <w:sz w:val="20"/>
                <w:szCs w:val="20"/>
                <w:color w:val="auto"/>
              </w:rPr>
            </w:pPr>
            <w:r>
              <w:rPr>
                <w:rFonts w:ascii="Arial" w:cs="Arial" w:eastAsia="Arial" w:hAnsi="Arial"/>
                <w:sz w:val="14"/>
                <w:szCs w:val="14"/>
                <w:color w:val="auto"/>
                <w:w w:val="83"/>
              </w:rPr>
              <w:t>(Decrease)</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right"/>
              <w:ind w:right="257"/>
              <w:spacing w:after="0" w:line="142" w:lineRule="exact"/>
              <w:rPr>
                <w:sz w:val="20"/>
                <w:szCs w:val="20"/>
                <w:color w:val="auto"/>
              </w:rPr>
            </w:pPr>
            <w:r>
              <w:rPr>
                <w:rFonts w:ascii="Arial" w:cs="Arial" w:eastAsia="Arial" w:hAnsi="Arial"/>
                <w:sz w:val="14"/>
                <w:szCs w:val="14"/>
                <w:color w:val="auto"/>
                <w:w w:val="96"/>
              </w:rPr>
              <w:t>2013</w:t>
            </w:r>
          </w:p>
        </w:tc>
        <w:tc>
          <w:tcPr>
            <w:tcW w:w="36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Arial" w:cs="Arial" w:eastAsia="Arial" w:hAnsi="Arial"/>
                <w:sz w:val="14"/>
                <w:szCs w:val="14"/>
                <w:color w:val="auto"/>
                <w:w w:val="89"/>
              </w:rPr>
              <w:t>2012</w:t>
            </w:r>
          </w:p>
        </w:tc>
        <w:tc>
          <w:tcPr>
            <w:tcW w:w="280" w:type="dxa"/>
            <w:vAlign w:val="bottom"/>
          </w:tcPr>
          <w:p>
            <w:pPr>
              <w:spacing w:after="0"/>
              <w:rPr>
                <w:sz w:val="12"/>
                <w:szCs w:val="12"/>
                <w:color w:val="auto"/>
              </w:rPr>
            </w:pPr>
          </w:p>
        </w:tc>
        <w:tc>
          <w:tcPr>
            <w:tcW w:w="1000" w:type="dxa"/>
            <w:vAlign w:val="bottom"/>
          </w:tcPr>
          <w:p>
            <w:pPr>
              <w:jc w:val="right"/>
              <w:ind w:right="698"/>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7"/>
              <w:spacing w:after="0"/>
              <w:rPr>
                <w:sz w:val="20"/>
                <w:szCs w:val="20"/>
                <w:color w:val="auto"/>
              </w:rPr>
            </w:pPr>
            <w:r>
              <w:rPr>
                <w:rFonts w:ascii="Arial" w:cs="Arial" w:eastAsia="Arial" w:hAnsi="Arial"/>
                <w:sz w:val="18"/>
                <w:szCs w:val="18"/>
                <w:color w:val="auto"/>
                <w:w w:val="97"/>
              </w:rPr>
              <w:t>1,104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w w:val="93"/>
              </w:rPr>
              <w:t>1,998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8"/>
              <w:spacing w:after="0"/>
              <w:rPr>
                <w:sz w:val="20"/>
                <w:szCs w:val="20"/>
                <w:color w:val="auto"/>
              </w:rPr>
            </w:pPr>
            <w:r>
              <w:rPr>
                <w:rFonts w:ascii="Arial" w:cs="Arial" w:eastAsia="Arial" w:hAnsi="Arial"/>
                <w:sz w:val="18"/>
                <w:szCs w:val="18"/>
                <w:color w:val="auto"/>
              </w:rPr>
              <w:t>(894)</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(30)</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(222)</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b w:val="1"/>
                <w:bCs w:val="1"/>
                <w:color w:val="auto"/>
                <w:w w:val="97"/>
              </w:rPr>
              <w:t>1,644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93"/>
              </w:rPr>
              <w:t>2,790</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b w:val="1"/>
                <w:bCs w:val="1"/>
                <w:color w:val="auto"/>
                <w:w w:val="87"/>
              </w:rPr>
              <w:t>(1,146)</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97"/>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7"/>
              </w:rPr>
              <w:t>1,194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93"/>
              </w:rPr>
              <w:t>2,278</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w w:val="87"/>
              </w:rPr>
              <w:t>(1,084)</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0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18"/>
                <w:szCs w:val="18"/>
                <w:color w:val="auto"/>
              </w:rPr>
            </w:pP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1000" w:type="dxa"/>
            <w:vAlign w:val="bottom"/>
          </w:tcPr>
          <w:p>
            <w:pPr>
              <w:jc w:val="right"/>
              <w:ind w:right="398"/>
              <w:spacing w:after="0"/>
              <w:rPr>
                <w:sz w:val="20"/>
                <w:szCs w:val="20"/>
                <w:color w:val="auto"/>
              </w:rPr>
            </w:pPr>
            <w:r>
              <w:rPr>
                <w:rFonts w:ascii="Arial" w:cs="Arial" w:eastAsia="Arial" w:hAnsi="Arial"/>
                <w:sz w:val="18"/>
                <w:szCs w:val="18"/>
                <w:color w:val="auto"/>
              </w:rPr>
              <w:t>(13)</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8"/>
              <w:spacing w:after="0"/>
              <w:rPr>
                <w:sz w:val="20"/>
                <w:szCs w:val="20"/>
                <w:color w:val="auto"/>
              </w:rPr>
            </w:pPr>
            <w:r>
              <w:rPr>
                <w:rFonts w:ascii="Arial" w:cs="Arial" w:eastAsia="Arial" w:hAnsi="Arial"/>
                <w:sz w:val="18"/>
                <w:szCs w:val="18"/>
                <w:color w:val="auto"/>
              </w:rPr>
              <w:t>5</w:t>
            </w:r>
          </w:p>
        </w:tc>
        <w:tc>
          <w:tcPr>
            <w:tcW w:w="7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97"/>
              </w:rPr>
              <w:t>1,610</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3"/>
              </w:rPr>
              <w:t>2,702</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w w:val="87"/>
              </w:rPr>
              <w:t>(1,092)</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(40.4)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34</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rPr>
              <w:t>88</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398"/>
              <w:spacing w:after="0"/>
              <w:rPr>
                <w:sz w:val="20"/>
                <w:szCs w:val="20"/>
                <w:color w:val="auto"/>
              </w:rPr>
            </w:pPr>
            <w:r>
              <w:rPr>
                <w:rFonts w:ascii="Arial" w:cs="Arial" w:eastAsia="Arial" w:hAnsi="Arial"/>
                <w:sz w:val="18"/>
                <w:szCs w:val="18"/>
                <w:b w:val="1"/>
                <w:bCs w:val="1"/>
                <w:color w:val="auto"/>
              </w:rPr>
              <w:t>(54)</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(61.1)%</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20" w:type="dxa"/>
            <w:vAlign w:val="bottom"/>
            <w:gridSpan w:val="3"/>
          </w:tcPr>
          <w:p>
            <w:pPr>
              <w:jc w:val="right"/>
              <w:ind w:right="334"/>
              <w:spacing w:after="0"/>
              <w:rPr>
                <w:sz w:val="20"/>
                <w:szCs w:val="20"/>
                <w:color w:val="auto"/>
              </w:rPr>
            </w:pPr>
            <w:r>
              <w:rPr>
                <w:rFonts w:ascii="Arial" w:cs="Arial" w:eastAsia="Arial" w:hAnsi="Arial"/>
                <w:sz w:val="14"/>
                <w:szCs w:val="14"/>
                <w:color w:val="auto"/>
                <w:w w:val="95"/>
              </w:rPr>
              <w:t>Nine Months Ended</w:t>
            </w:r>
          </w:p>
        </w:tc>
        <w:tc>
          <w:tcPr>
            <w:tcW w:w="280" w:type="dxa"/>
            <w:vAlign w:val="bottom"/>
          </w:tcPr>
          <w:p>
            <w:pPr>
              <w:spacing w:after="0"/>
              <w:rPr>
                <w:sz w:val="23"/>
                <w:szCs w:val="23"/>
                <w:color w:val="auto"/>
              </w:rPr>
            </w:pPr>
          </w:p>
        </w:tc>
        <w:tc>
          <w:tcPr>
            <w:tcW w:w="1000" w:type="dxa"/>
            <w:vAlign w:val="bottom"/>
          </w:tcPr>
          <w:p>
            <w:pPr>
              <w:jc w:val="center"/>
              <w:ind w:left="238"/>
              <w:spacing w:after="0"/>
              <w:rPr>
                <w:sz w:val="20"/>
                <w:szCs w:val="20"/>
                <w:color w:val="auto"/>
              </w:rPr>
            </w:pPr>
            <w:r>
              <w:rPr>
                <w:rFonts w:ascii="Arial" w:cs="Arial" w:eastAsia="Arial" w:hAnsi="Arial"/>
                <w:sz w:val="14"/>
                <w:szCs w:val="14"/>
                <w:color w:val="auto"/>
                <w:w w:val="83"/>
              </w:rPr>
              <w:t>Increase/</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238"/>
              <w:spacing w:after="0"/>
              <w:rPr>
                <w:sz w:val="20"/>
                <w:szCs w:val="20"/>
                <w:color w:val="auto"/>
              </w:rPr>
            </w:pPr>
            <w:r>
              <w:rPr>
                <w:rFonts w:ascii="Arial" w:cs="Arial" w:eastAsia="Arial" w:hAnsi="Arial"/>
                <w:sz w:val="14"/>
                <w:szCs w:val="14"/>
                <w:color w:val="auto"/>
                <w:w w:val="86"/>
              </w:rPr>
              <w:t>(Decrease)</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8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right"/>
              <w:ind w:right="297"/>
              <w:spacing w:after="0" w:line="142" w:lineRule="exact"/>
              <w:rPr>
                <w:sz w:val="20"/>
                <w:szCs w:val="20"/>
                <w:color w:val="auto"/>
              </w:rPr>
            </w:pPr>
            <w:r>
              <w:rPr>
                <w:rFonts w:ascii="Arial" w:cs="Arial" w:eastAsia="Arial" w:hAnsi="Arial"/>
                <w:sz w:val="14"/>
                <w:szCs w:val="14"/>
                <w:color w:val="auto"/>
                <w:w w:val="83"/>
              </w:rPr>
              <w:t>2013</w:t>
            </w:r>
          </w:p>
        </w:tc>
        <w:tc>
          <w:tcPr>
            <w:tcW w:w="36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83"/>
              </w:rPr>
              <w:t>2012</w:t>
            </w:r>
          </w:p>
        </w:tc>
        <w:tc>
          <w:tcPr>
            <w:tcW w:w="280" w:type="dxa"/>
            <w:vAlign w:val="bottom"/>
          </w:tcPr>
          <w:p>
            <w:pPr>
              <w:spacing w:after="0"/>
              <w:rPr>
                <w:sz w:val="12"/>
                <w:szCs w:val="12"/>
                <w:color w:val="auto"/>
              </w:rPr>
            </w:pPr>
          </w:p>
        </w:tc>
        <w:tc>
          <w:tcPr>
            <w:tcW w:w="1000" w:type="dxa"/>
            <w:vAlign w:val="bottom"/>
          </w:tcPr>
          <w:p>
            <w:pPr>
              <w:jc w:val="right"/>
              <w:ind w:right="698"/>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3,323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4,393</w:t>
            </w:r>
          </w:p>
        </w:tc>
        <w:tc>
          <w:tcPr>
            <w:tcW w:w="1280" w:type="dxa"/>
            <w:vAlign w:val="bottom"/>
            <w:gridSpan w:val="2"/>
          </w:tcPr>
          <w:p>
            <w:pPr>
              <w:jc w:val="right"/>
              <w:ind w:right="398"/>
              <w:spacing w:after="0"/>
              <w:rPr>
                <w:sz w:val="20"/>
                <w:szCs w:val="20"/>
                <w:color w:val="auto"/>
              </w:rPr>
            </w:pPr>
            <w:r>
              <w:rPr>
                <w:rFonts w:ascii="Arial" w:cs="Arial" w:eastAsia="Arial" w:hAnsi="Arial"/>
                <w:sz w:val="18"/>
                <w:szCs w:val="18"/>
                <w:color w:val="auto"/>
              </w:rPr>
              <w:t>$(1,070)</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1,048</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4"/>
              </w:rPr>
              <w:t>1,173</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(125)</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522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637</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(115)</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b w:val="1"/>
                <w:bCs w:val="1"/>
                <w:color w:val="auto"/>
                <w:w w:val="88"/>
              </w:rPr>
              <w:t>4,893</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84"/>
              </w:rPr>
              <w:t>6,203</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b w:val="1"/>
                <w:bCs w:val="1"/>
                <w:color w:val="auto"/>
                <w:w w:val="87"/>
              </w:rPr>
              <w:t>(1,310)</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97"/>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3,508</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4"/>
              </w:rPr>
              <w:t>4,791</w:t>
            </w:r>
          </w:p>
        </w:tc>
        <w:tc>
          <w:tcPr>
            <w:tcW w:w="2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w w:val="87"/>
              </w:rPr>
              <w:t>(1,283)</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97"/>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Other operating and administrative</w:t>
            </w:r>
          </w:p>
        </w:tc>
        <w:tc>
          <w:tcPr>
            <w:tcW w:w="50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rPr>
              <w:t>879</w:t>
            </w:r>
          </w:p>
        </w:tc>
        <w:tc>
          <w:tcPr>
            <w:tcW w:w="36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869</w:t>
            </w:r>
          </w:p>
        </w:tc>
        <w:tc>
          <w:tcPr>
            <w:tcW w:w="280" w:type="dxa"/>
            <w:vAlign w:val="bottom"/>
          </w:tcPr>
          <w:p>
            <w:pPr>
              <w:spacing w:after="0"/>
              <w:rPr>
                <w:sz w:val="18"/>
                <w:szCs w:val="18"/>
                <w:color w:val="auto"/>
              </w:rPr>
            </w:pPr>
          </w:p>
        </w:tc>
        <w:tc>
          <w:tcPr>
            <w:tcW w:w="1000" w:type="dxa"/>
            <w:vAlign w:val="bottom"/>
          </w:tcPr>
          <w:p>
            <w:pPr>
              <w:jc w:val="right"/>
              <w:ind w:right="458"/>
              <w:spacing w:after="0"/>
              <w:rPr>
                <w:sz w:val="20"/>
                <w:szCs w:val="20"/>
                <w:color w:val="auto"/>
              </w:rPr>
            </w:pPr>
            <w:r>
              <w:rPr>
                <w:rFonts w:ascii="Arial" w:cs="Arial" w:eastAsia="Arial" w:hAnsi="Arial"/>
                <w:sz w:val="18"/>
                <w:szCs w:val="18"/>
                <w:color w:val="auto"/>
              </w:rPr>
              <w:t>10</w:t>
            </w:r>
          </w:p>
        </w:tc>
        <w:tc>
          <w:tcPr>
            <w:tcW w:w="700" w:type="dxa"/>
            <w:vAlign w:val="bottom"/>
          </w:tcPr>
          <w:p>
            <w:pPr>
              <w:jc w:val="right"/>
              <w:ind w:right="19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301</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58"/>
              <w:spacing w:after="0"/>
              <w:rPr>
                <w:sz w:val="20"/>
                <w:szCs w:val="20"/>
                <w:color w:val="auto"/>
              </w:rPr>
            </w:pPr>
            <w:r>
              <w:rPr>
                <w:rFonts w:ascii="Arial" w:cs="Arial" w:eastAsia="Arial" w:hAnsi="Arial"/>
                <w:sz w:val="18"/>
                <w:szCs w:val="18"/>
                <w:color w:val="auto"/>
              </w:rPr>
              <w:t>26</w:t>
            </w:r>
          </w:p>
        </w:tc>
        <w:tc>
          <w:tcPr>
            <w:tcW w:w="7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w w:val="88"/>
              </w:rPr>
              <w:t>4,688</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4"/>
              </w:rPr>
              <w:t>5,935</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w w:val="87"/>
              </w:rPr>
              <w:t>(1,247)</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7"/>
              </w:rPr>
              <w:t>(21.0)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205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268</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398"/>
              <w:spacing w:after="0"/>
              <w:rPr>
                <w:sz w:val="20"/>
                <w:szCs w:val="20"/>
                <w:color w:val="auto"/>
              </w:rPr>
            </w:pPr>
            <w:r>
              <w:rPr>
                <w:rFonts w:ascii="Arial" w:cs="Arial" w:eastAsia="Arial" w:hAnsi="Arial"/>
                <w:sz w:val="18"/>
                <w:szCs w:val="18"/>
                <w:b w:val="1"/>
                <w:bCs w:val="1"/>
                <w:color w:val="auto"/>
              </w:rPr>
              <w:t>(63)</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Our Broadcast Television revenue decreased for the three months ended September 30, 2013 compared to the same period in 2012 primarily due to our broadcast of the 2012 London Olympics in the prior year period. Excluding $1.2 billion of revenue associated with this event, Broadcast Television revenue increased 2.6% primarily due to an increase in other revenue from fees recognized under our retransmission consent agreements and higher advertising revenue.</w:t>
      </w:r>
    </w:p>
    <w:p>
      <w:pPr>
        <w:spacing w:after="0" w:line="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decreased for the nine months ended September 30, 2013 compared to the same period in 2012 primarily due to our broadcasts of the 2012 Super Bowl and the 2012 London Olympics in the prior year period. Excluding $1.4 billion of revenue associated with these events, Broadcast Television revenue increased 2.9% primarily due to fees recognized under our retransmission consent agreements and higher advertising revenue, partially offset by lower content licensing revenue associated with the timing of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September 30, 2013 compared to the same period in 2012 due to lower programming and production costs associated with our broadcast of the 2012 London Olympics in the prior year period. Excluding $1.1 billion of operating costs and expenses associated with this event, operating costs and expenses remained relatively flat.</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decreased for the nine months ended September 30, 2013 compared to the same period in 2012 primarily due to lower programming and production costs associated with our broadcasts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2012 Super Bowl and the 2012 London Olympics in the prior year period. Excluding the impact of these events, operating costs and expenses increased primarily due to higher costs associated with our 2013 primetime schedule.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ind w:right="513"/>
              <w:spacing w:after="0"/>
              <w:rPr>
                <w:sz w:val="20"/>
                <w:szCs w:val="20"/>
                <w:color w:val="auto"/>
              </w:rPr>
            </w:pPr>
            <w:r>
              <w:rPr>
                <w:rFonts w:ascii="Arial" w:cs="Arial" w:eastAsia="Arial" w:hAnsi="Arial"/>
                <w:sz w:val="14"/>
                <w:szCs w:val="14"/>
                <w:color w:val="auto"/>
                <w:w w:val="96"/>
              </w:rPr>
              <w:t>Three Months Ended</w:t>
            </w:r>
          </w:p>
        </w:tc>
        <w:tc>
          <w:tcPr>
            <w:tcW w:w="1120" w:type="dxa"/>
            <w:vAlign w:val="bottom"/>
          </w:tcPr>
          <w:p>
            <w:pPr>
              <w:jc w:val="right"/>
              <w:spacing w:after="0"/>
              <w:rPr>
                <w:sz w:val="20"/>
                <w:szCs w:val="20"/>
                <w:color w:val="auto"/>
              </w:rPr>
            </w:pPr>
            <w:r>
              <w:rPr>
                <w:rFonts w:ascii="Arial" w:cs="Arial" w:eastAsia="Arial" w:hAnsi="Arial"/>
                <w:sz w:val="14"/>
                <w:szCs w:val="14"/>
                <w:color w:val="auto"/>
              </w:rPr>
              <w:t>Increase/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93"/>
              <w:spacing w:after="0" w:line="142" w:lineRule="exact"/>
              <w:rPr>
                <w:sz w:val="20"/>
                <w:szCs w:val="20"/>
                <w:color w:val="auto"/>
              </w:rPr>
            </w:pPr>
            <w:r>
              <w:rPr>
                <w:rFonts w:ascii="Arial" w:cs="Arial" w:eastAsia="Arial" w:hAnsi="Arial"/>
                <w:sz w:val="14"/>
                <w:szCs w:val="14"/>
                <w:color w:val="auto"/>
                <w:w w:val="83"/>
              </w:rPr>
              <w:t>2012</w:t>
            </w:r>
          </w:p>
        </w:tc>
        <w:tc>
          <w:tcPr>
            <w:tcW w:w="112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559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w w:val="86"/>
              </w:rPr>
              <w:t>410</w:t>
            </w:r>
          </w:p>
        </w:tc>
        <w:tc>
          <w:tcPr>
            <w:tcW w:w="1120" w:type="dxa"/>
            <w:vAlign w:val="bottom"/>
          </w:tcPr>
          <w:p>
            <w:pPr>
              <w:jc w:val="right"/>
              <w:ind w:right="497"/>
              <w:spacing w:after="0"/>
              <w:rPr>
                <w:sz w:val="20"/>
                <w:szCs w:val="20"/>
                <w:color w:val="auto"/>
              </w:rPr>
            </w:pPr>
            <w:r>
              <w:rPr>
                <w:rFonts w:ascii="Arial" w:cs="Arial" w:eastAsia="Arial" w:hAnsi="Arial"/>
                <w:sz w:val="18"/>
                <w:szCs w:val="18"/>
                <w:color w:val="auto"/>
              </w:rPr>
              <w:t>$ 149</w:t>
            </w: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6"/>
              </w:rPr>
              <w:t>368</w:t>
            </w:r>
          </w:p>
        </w:tc>
        <w:tc>
          <w:tcPr>
            <w:tcW w:w="112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11</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w w:val="86"/>
              </w:rPr>
              <w:t>482</w:t>
            </w:r>
          </w:p>
        </w:tc>
        <w:tc>
          <w:tcPr>
            <w:tcW w:w="1120" w:type="dxa"/>
            <w:vAlign w:val="bottom"/>
          </w:tcPr>
          <w:p>
            <w:pPr>
              <w:jc w:val="right"/>
              <w:ind w:right="437"/>
              <w:spacing w:after="0"/>
              <w:rPr>
                <w:sz w:val="20"/>
                <w:szCs w:val="20"/>
                <w:color w:val="auto"/>
              </w:rPr>
            </w:pPr>
            <w:r>
              <w:rPr>
                <w:rFonts w:ascii="Arial" w:cs="Arial" w:eastAsia="Arial" w:hAnsi="Arial"/>
                <w:sz w:val="18"/>
                <w:szCs w:val="18"/>
                <w:color w:val="auto"/>
              </w:rPr>
              <w:t>(123)</w:t>
            </w:r>
          </w:p>
        </w:tc>
        <w:tc>
          <w:tcPr>
            <w:tcW w:w="620" w:type="dxa"/>
            <w:vAlign w:val="bottom"/>
          </w:tcPr>
          <w:p>
            <w:pPr>
              <w:jc w:val="right"/>
              <w:ind w:right="94"/>
              <w:spacing w:after="0"/>
              <w:rPr>
                <w:sz w:val="20"/>
                <w:szCs w:val="20"/>
                <w:color w:val="auto"/>
              </w:rPr>
            </w:pPr>
            <w:r>
              <w:rPr>
                <w:rFonts w:ascii="Arial" w:cs="Arial" w:eastAsia="Arial" w:hAnsi="Arial"/>
                <w:sz w:val="18"/>
                <w:szCs w:val="18"/>
                <w:color w:val="auto"/>
                <w:w w:val="89"/>
              </w:rPr>
              <w:t>(25.6)</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7"/>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53"/>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8</w:t>
            </w:r>
          </w:p>
        </w:tc>
        <w:tc>
          <w:tcPr>
            <w:tcW w:w="6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b w:val="1"/>
                <w:bCs w:val="1"/>
                <w:color w:val="auto"/>
                <w:w w:val="93"/>
              </w:rPr>
              <w:t>1,400</w:t>
            </w:r>
          </w:p>
        </w:tc>
        <w:tc>
          <w:tcPr>
            <w:tcW w:w="280" w:type="dxa"/>
            <w:vAlign w:val="bottom"/>
          </w:tcPr>
          <w:p>
            <w:pPr>
              <w:spacing w:after="0"/>
              <w:rPr>
                <w:sz w:val="18"/>
                <w:szCs w:val="18"/>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8"/>
                <w:szCs w:val="18"/>
                <w:b w:val="1"/>
                <w:bCs w:val="1"/>
                <w:color w:val="auto"/>
                <w:w w:val="88"/>
              </w:rPr>
              <w:t>1,355</w:t>
            </w:r>
          </w:p>
        </w:tc>
        <w:tc>
          <w:tcPr>
            <w:tcW w:w="1120" w:type="dxa"/>
            <w:vAlign w:val="bottom"/>
          </w:tcPr>
          <w:p>
            <w:pPr>
              <w:jc w:val="right"/>
              <w:ind w:right="497"/>
              <w:spacing w:after="0"/>
              <w:rPr>
                <w:sz w:val="20"/>
                <w:szCs w:val="20"/>
                <w:color w:val="auto"/>
              </w:rPr>
            </w:pPr>
            <w:r>
              <w:rPr>
                <w:rFonts w:ascii="Arial" w:cs="Arial" w:eastAsia="Arial" w:hAnsi="Arial"/>
                <w:sz w:val="18"/>
                <w:szCs w:val="18"/>
                <w:b w:val="1"/>
                <w:bCs w:val="1"/>
                <w:color w:val="auto"/>
              </w:rPr>
              <w:t>45</w:t>
            </w:r>
          </w:p>
        </w:tc>
        <w:tc>
          <w:tcPr>
            <w:tcW w:w="620" w:type="dxa"/>
            <w:vAlign w:val="bottom"/>
          </w:tcPr>
          <w:p>
            <w:pPr>
              <w:jc w:val="right"/>
              <w:ind w:right="134"/>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253"/>
              <w:spacing w:after="0"/>
              <w:rPr>
                <w:sz w:val="20"/>
                <w:szCs w:val="20"/>
                <w:color w:val="auto"/>
              </w:rPr>
            </w:pPr>
            <w:r>
              <w:rPr>
                <w:rFonts w:ascii="Arial" w:cs="Arial" w:eastAsia="Arial" w:hAnsi="Arial"/>
                <w:sz w:val="18"/>
                <w:szCs w:val="18"/>
                <w:color w:val="auto"/>
                <w:w w:val="86"/>
              </w:rPr>
              <w:t>816</w:t>
            </w:r>
          </w:p>
        </w:tc>
        <w:tc>
          <w:tcPr>
            <w:tcW w:w="1120" w:type="dxa"/>
            <w:vAlign w:val="bottom"/>
          </w:tcPr>
          <w:p>
            <w:pPr>
              <w:jc w:val="right"/>
              <w:ind w:right="437"/>
              <w:spacing w:after="0"/>
              <w:rPr>
                <w:sz w:val="20"/>
                <w:szCs w:val="20"/>
                <w:color w:val="auto"/>
              </w:rPr>
            </w:pPr>
            <w:r>
              <w:rPr>
                <w:rFonts w:ascii="Arial" w:cs="Arial" w:eastAsia="Arial" w:hAnsi="Arial"/>
                <w:sz w:val="18"/>
                <w:szCs w:val="18"/>
                <w:color w:val="auto"/>
              </w:rPr>
              <w:t>(96)</w:t>
            </w:r>
          </w:p>
        </w:tc>
        <w:tc>
          <w:tcPr>
            <w:tcW w:w="620" w:type="dxa"/>
            <w:vAlign w:val="bottom"/>
          </w:tcPr>
          <w:p>
            <w:pPr>
              <w:jc w:val="right"/>
              <w:ind w:right="94"/>
              <w:spacing w:after="0"/>
              <w:rPr>
                <w:sz w:val="20"/>
                <w:szCs w:val="20"/>
                <w:color w:val="auto"/>
              </w:rPr>
            </w:pPr>
            <w:r>
              <w:rPr>
                <w:rFonts w:ascii="Arial" w:cs="Arial" w:eastAsia="Arial" w:hAnsi="Arial"/>
                <w:sz w:val="18"/>
                <w:szCs w:val="18"/>
                <w:color w:val="auto"/>
                <w:w w:val="89"/>
              </w:rPr>
              <w:t>(11.8)</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7"/>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53"/>
              <w:spacing w:after="0"/>
              <w:rPr>
                <w:sz w:val="20"/>
                <w:szCs w:val="20"/>
                <w:color w:val="auto"/>
              </w:rPr>
            </w:pPr>
            <w:r>
              <w:rPr>
                <w:rFonts w:ascii="Arial" w:cs="Arial" w:eastAsia="Arial" w:hAnsi="Arial"/>
                <w:sz w:val="18"/>
                <w:szCs w:val="18"/>
                <w:color w:val="auto"/>
                <w:w w:val="86"/>
              </w:rPr>
              <w:t>170</w:t>
            </w:r>
          </w:p>
        </w:tc>
        <w:tc>
          <w:tcPr>
            <w:tcW w:w="112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18</w:t>
            </w:r>
          </w:p>
        </w:tc>
        <w:tc>
          <w:tcPr>
            <w:tcW w:w="6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86"/>
              </w:rPr>
              <w:t>297</w:t>
            </w: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6</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17"/>
              <w:spacing w:after="0"/>
              <w:rPr>
                <w:sz w:val="20"/>
                <w:szCs w:val="20"/>
                <w:color w:val="auto"/>
              </w:rPr>
            </w:pPr>
            <w:r>
              <w:rPr>
                <w:rFonts w:ascii="Arial" w:cs="Arial" w:eastAsia="Arial" w:hAnsi="Arial"/>
                <w:sz w:val="18"/>
                <w:szCs w:val="18"/>
                <w:color w:val="auto"/>
                <w:w w:val="93"/>
              </w:rPr>
              <w:t>1,211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color w:val="auto"/>
                <w:w w:val="88"/>
              </w:rPr>
              <w:t>1,283</w:t>
            </w:r>
          </w:p>
        </w:tc>
        <w:tc>
          <w:tcPr>
            <w:tcW w:w="112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(72)</w:t>
            </w:r>
          </w:p>
        </w:tc>
        <w:tc>
          <w:tcPr>
            <w:tcW w:w="6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189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72</w:t>
            </w: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$ 117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164.1%</w:t>
            </w:r>
          </w:p>
        </w:tc>
        <w:tc>
          <w:tcPr>
            <w:tcW w:w="0" w:type="dxa"/>
            <w:vAlign w:val="bottom"/>
          </w:tcPr>
          <w:p>
            <w:pPr>
              <w:spacing w:after="0"/>
              <w:rPr>
                <w:sz w:val="1"/>
                <w:szCs w:val="1"/>
                <w:color w:val="auto"/>
              </w:rPr>
            </w:pPr>
          </w:p>
        </w:tc>
      </w:tr>
      <w:tr>
        <w:trPr>
          <w:trHeight w:val="273"/>
        </w:trPr>
        <w:tc>
          <w:tcPr>
            <w:tcW w:w="7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4"/>
          </w:tcPr>
          <w:p>
            <w:pPr>
              <w:jc w:val="right"/>
              <w:ind w:right="333"/>
              <w:spacing w:after="0"/>
              <w:rPr>
                <w:sz w:val="20"/>
                <w:szCs w:val="20"/>
                <w:color w:val="auto"/>
              </w:rPr>
            </w:pPr>
            <w:r>
              <w:rPr>
                <w:rFonts w:ascii="Arial" w:cs="Arial" w:eastAsia="Arial" w:hAnsi="Arial"/>
                <w:sz w:val="14"/>
                <w:szCs w:val="14"/>
                <w:color w:val="auto"/>
              </w:rPr>
              <w:t>Nine Months Ended</w:t>
            </w:r>
          </w:p>
        </w:tc>
        <w:tc>
          <w:tcPr>
            <w:tcW w:w="1740" w:type="dxa"/>
            <w:vAlign w:val="bottom"/>
            <w:gridSpan w:val="2"/>
          </w:tcPr>
          <w:p>
            <w:pPr>
              <w:jc w:val="right"/>
              <w:ind w:right="5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73"/>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color w:val="auto"/>
              </w:rPr>
              <w:t>September 30</w:t>
            </w:r>
          </w:p>
        </w:tc>
        <w:tc>
          <w:tcPr>
            <w:tcW w:w="174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w w:val="89"/>
              </w:rPr>
              <w:t>2012</w:t>
            </w:r>
          </w:p>
        </w:tc>
        <w:tc>
          <w:tcPr>
            <w:tcW w:w="1120" w:type="dxa"/>
            <w:vAlign w:val="bottom"/>
            <w:tcBorders>
              <w:bottom w:val="single" w:sz="8" w:color="auto"/>
            </w:tcBorders>
          </w:tcPr>
          <w:p>
            <w:pPr>
              <w:jc w:val="right"/>
              <w:ind w:right="537"/>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$ 1,425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3"/>
              <w:spacing w:after="0"/>
              <w:rPr>
                <w:sz w:val="20"/>
                <w:szCs w:val="20"/>
                <w:color w:val="auto"/>
              </w:rPr>
            </w:pPr>
            <w:r>
              <w:rPr>
                <w:rFonts w:ascii="Arial" w:cs="Arial" w:eastAsia="Arial" w:hAnsi="Arial"/>
                <w:sz w:val="18"/>
                <w:szCs w:val="18"/>
                <w:color w:val="auto"/>
                <w:w w:val="93"/>
              </w:rPr>
              <w:t>1,176</w:t>
            </w:r>
          </w:p>
        </w:tc>
        <w:tc>
          <w:tcPr>
            <w:tcW w:w="1120" w:type="dxa"/>
            <w:vAlign w:val="bottom"/>
          </w:tcPr>
          <w:p>
            <w:pPr>
              <w:jc w:val="right"/>
              <w:ind w:right="357"/>
              <w:spacing w:after="0"/>
              <w:rPr>
                <w:sz w:val="20"/>
                <w:szCs w:val="20"/>
                <w:color w:val="auto"/>
              </w:rPr>
            </w:pPr>
            <w:r>
              <w:rPr>
                <w:rFonts w:ascii="Arial" w:cs="Arial" w:eastAsia="Arial" w:hAnsi="Arial"/>
                <w:sz w:val="18"/>
                <w:szCs w:val="18"/>
                <w:color w:val="auto"/>
              </w:rPr>
              <w:t>$ 249</w:t>
            </w: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1,223</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3"/>
              </w:rPr>
              <w:t>1,127</w:t>
            </w:r>
          </w:p>
        </w:tc>
        <w:tc>
          <w:tcPr>
            <w:tcW w:w="112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96</w:t>
            </w: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8"/>
                <w:szCs w:val="18"/>
                <w:color w:val="auto"/>
                <w:w w:val="93"/>
              </w:rPr>
              <w:t>1,179</w:t>
            </w:r>
          </w:p>
        </w:tc>
        <w:tc>
          <w:tcPr>
            <w:tcW w:w="1120" w:type="dxa"/>
            <w:vAlign w:val="bottom"/>
          </w:tcPr>
          <w:p>
            <w:pPr>
              <w:jc w:val="right"/>
              <w:ind w:right="297"/>
              <w:spacing w:after="0"/>
              <w:rPr>
                <w:sz w:val="20"/>
                <w:szCs w:val="20"/>
                <w:color w:val="auto"/>
              </w:rPr>
            </w:pPr>
            <w:r>
              <w:rPr>
                <w:rFonts w:ascii="Arial" w:cs="Arial" w:eastAsia="Arial" w:hAnsi="Arial"/>
                <w:sz w:val="18"/>
                <w:szCs w:val="18"/>
                <w:color w:val="auto"/>
              </w:rPr>
              <w:t>(110)</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287</w:t>
            </w: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296</w:t>
            </w:r>
          </w:p>
        </w:tc>
        <w:tc>
          <w:tcPr>
            <w:tcW w:w="112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4,004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8"/>
                <w:szCs w:val="18"/>
                <w:b w:val="1"/>
                <w:bCs w:val="1"/>
                <w:color w:val="auto"/>
                <w:w w:val="93"/>
              </w:rPr>
              <w:t>3,778</w:t>
            </w:r>
          </w:p>
        </w:tc>
        <w:tc>
          <w:tcPr>
            <w:tcW w:w="1120" w:type="dxa"/>
            <w:vAlign w:val="bottom"/>
          </w:tcPr>
          <w:p>
            <w:pPr>
              <w:jc w:val="right"/>
              <w:ind w:right="357"/>
              <w:spacing w:after="0"/>
              <w:rPr>
                <w:sz w:val="20"/>
                <w:szCs w:val="20"/>
                <w:color w:val="auto"/>
              </w:rPr>
            </w:pPr>
            <w:r>
              <w:rPr>
                <w:rFonts w:ascii="Arial" w:cs="Arial" w:eastAsia="Arial" w:hAnsi="Arial"/>
                <w:sz w:val="18"/>
                <w:szCs w:val="18"/>
                <w:b w:val="1"/>
                <w:bCs w:val="1"/>
                <w:color w:val="auto"/>
              </w:rPr>
              <w:t>226</w:t>
            </w:r>
          </w:p>
        </w:tc>
        <w:tc>
          <w:tcPr>
            <w:tcW w:w="620" w:type="dxa"/>
            <w:vAlign w:val="bottom"/>
          </w:tcPr>
          <w:p>
            <w:pPr>
              <w:jc w:val="right"/>
              <w:ind w:right="114"/>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8"/>
                <w:szCs w:val="18"/>
                <w:color w:val="auto"/>
                <w:w w:val="93"/>
              </w:rPr>
              <w:t>2,199</w:t>
            </w:r>
          </w:p>
        </w:tc>
        <w:tc>
          <w:tcPr>
            <w:tcW w:w="1120" w:type="dxa"/>
            <w:vAlign w:val="bottom"/>
          </w:tcPr>
          <w:p>
            <w:pPr>
              <w:jc w:val="right"/>
              <w:ind w:right="357"/>
              <w:spacing w:after="0"/>
              <w:rPr>
                <w:sz w:val="20"/>
                <w:szCs w:val="20"/>
                <w:color w:val="auto"/>
              </w:rPr>
            </w:pPr>
            <w:r>
              <w:rPr>
                <w:rFonts w:ascii="Arial" w:cs="Arial" w:eastAsia="Arial" w:hAnsi="Arial"/>
                <w:sz w:val="18"/>
                <w:szCs w:val="18"/>
                <w:color w:val="auto"/>
              </w:rPr>
              <w:t>36</w:t>
            </w: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1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469</w:t>
            </w:r>
          </w:p>
        </w:tc>
        <w:tc>
          <w:tcPr>
            <w:tcW w:w="112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50</w:t>
            </w:r>
          </w:p>
        </w:tc>
        <w:tc>
          <w:tcPr>
            <w:tcW w:w="6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959</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3"/>
              </w:rPr>
              <w:t>1,115</w:t>
            </w:r>
          </w:p>
        </w:tc>
        <w:tc>
          <w:tcPr>
            <w:tcW w:w="11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(156)</w:t>
            </w: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7"/>
              </w:rPr>
              <w:t>(13.9)</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3,713</w:t>
            </w: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3"/>
              </w:rPr>
              <w:t>3,783</w:t>
            </w:r>
          </w:p>
        </w:tc>
        <w:tc>
          <w:tcPr>
            <w:tcW w:w="112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(70)</w:t>
            </w:r>
          </w:p>
        </w:tc>
        <w:tc>
          <w:tcPr>
            <w:tcW w:w="62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  291</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w:t>
            </w: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$ 296</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Our Filmed Entertainment revenue increased for the three and nine months ended September 30, 2013 compared to the same periods in 2012 primarily due to increases in theatrical revenue, partially offset by decreases in home entertainment revenue. The increases in theatrical revenue were primarily due to the strong performance of </w:t>
      </w:r>
      <w:r>
        <w:rPr>
          <w:rFonts w:ascii="Arial" w:cs="Arial" w:eastAsia="Arial" w:hAnsi="Arial"/>
          <w:sz w:val="16"/>
          <w:szCs w:val="16"/>
          <w:i w:val="1"/>
          <w:iCs w:val="1"/>
          <w:color w:val="auto"/>
        </w:rPr>
        <w:t>Despicable Me 2</w:t>
      </w:r>
      <w:r>
        <w:rPr>
          <w:rFonts w:ascii="Arial" w:cs="Arial" w:eastAsia="Arial" w:hAnsi="Arial"/>
          <w:sz w:val="16"/>
          <w:szCs w:val="16"/>
          <w:color w:val="auto"/>
        </w:rPr>
        <w:t xml:space="preserve"> in the current quarter, as well as </w:t>
      </w:r>
      <w:r>
        <w:rPr>
          <w:rFonts w:ascii="Arial" w:cs="Arial" w:eastAsia="Arial" w:hAnsi="Arial"/>
          <w:sz w:val="16"/>
          <w:szCs w:val="16"/>
          <w:i w:val="1"/>
          <w:iCs w:val="1"/>
          <w:color w:val="auto"/>
        </w:rPr>
        <w:t>Fast and Furious 6</w:t>
      </w:r>
      <w:r>
        <w:rPr>
          <w:rFonts w:ascii="Arial" w:cs="Arial" w:eastAsia="Arial" w:hAnsi="Arial"/>
          <w:sz w:val="16"/>
          <w:szCs w:val="16"/>
          <w:color w:val="auto"/>
        </w:rPr>
        <w:t xml:space="preserve">, </w:t>
      </w:r>
      <w:r>
        <w:rPr>
          <w:rFonts w:ascii="Arial" w:cs="Arial" w:eastAsia="Arial" w:hAnsi="Arial"/>
          <w:sz w:val="16"/>
          <w:szCs w:val="16"/>
          <w:i w:val="1"/>
          <w:iCs w:val="1"/>
          <w:color w:val="auto"/>
        </w:rPr>
        <w:t>Les Miserables, Identity Thief</w:t>
      </w:r>
      <w:r>
        <w:rPr>
          <w:rFonts w:ascii="Arial" w:cs="Arial" w:eastAsia="Arial" w:hAnsi="Arial"/>
          <w:sz w:val="16"/>
          <w:szCs w:val="16"/>
          <w:color w:val="auto"/>
        </w:rPr>
        <w:t xml:space="preserve"> and </w:t>
      </w:r>
      <w:r>
        <w:rPr>
          <w:rFonts w:ascii="Arial" w:cs="Arial" w:eastAsia="Arial" w:hAnsi="Arial"/>
          <w:sz w:val="16"/>
          <w:szCs w:val="16"/>
          <w:i w:val="1"/>
          <w:iCs w:val="1"/>
          <w:color w:val="auto"/>
        </w:rPr>
        <w:t>Mama</w:t>
      </w:r>
      <w:r>
        <w:rPr>
          <w:rFonts w:ascii="Arial" w:cs="Arial" w:eastAsia="Arial" w:hAnsi="Arial"/>
          <w:sz w:val="16"/>
          <w:szCs w:val="16"/>
          <w:color w:val="auto"/>
        </w:rPr>
        <w:t xml:space="preserve"> for the nine months ended September 30, 2013. The decreases in home entertainment revenue were primarily due to fewer releases in the current year periods. Content licensing revenue also increased for the nine months ended September 30, 2013 primarily due to the international licensing of our 2012 theatrical releases.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decreased for the three months ended September 30, 2013 compared to the same period in 2012 primarily due to lower amortization of film costs, including films in production.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decreased for the nine months ended September 30, 2013 compared to the same period in 2012 primarily due to lower advertising, marketing and promotion expenses associated with our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theatrical releases. The decrease was partially offset by higher amortization of film costs and higher other operating and administrative expenses due to the realization of a receivable in the prior year period that was previously reserved for as uncollectible.</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4"/>
          </w:tcPr>
          <w:p>
            <w:pPr>
              <w:jc w:val="right"/>
              <w:ind w:right="535"/>
              <w:spacing w:after="0"/>
              <w:rPr>
                <w:sz w:val="20"/>
                <w:szCs w:val="20"/>
                <w:color w:val="auto"/>
              </w:rPr>
            </w:pPr>
            <w:r>
              <w:rPr>
                <w:rFonts w:ascii="Arial" w:cs="Arial" w:eastAsia="Arial" w:hAnsi="Arial"/>
                <w:sz w:val="14"/>
                <w:szCs w:val="14"/>
                <w:color w:val="auto"/>
                <w:w w:val="96"/>
              </w:rPr>
              <w:t>Three Months Ended</w:t>
            </w:r>
          </w:p>
        </w:tc>
        <w:tc>
          <w:tcPr>
            <w:tcW w:w="1200" w:type="dxa"/>
            <w:vAlign w:val="bottom"/>
          </w:tcPr>
          <w:p>
            <w:pPr>
              <w:ind w:left="600"/>
              <w:spacing w:after="0"/>
              <w:rPr>
                <w:sz w:val="20"/>
                <w:szCs w:val="20"/>
                <w:color w:val="auto"/>
              </w:rPr>
            </w:pPr>
            <w:r>
              <w:rPr>
                <w:rFonts w:ascii="Arial" w:cs="Arial" w:eastAsia="Arial" w:hAnsi="Arial"/>
                <w:sz w:val="14"/>
                <w:szCs w:val="14"/>
                <w:color w:val="auto"/>
              </w:rPr>
              <w:t>Increase/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540"/>
              <w:spacing w:after="0" w:line="159" w:lineRule="exact"/>
              <w:rPr>
                <w:sz w:val="20"/>
                <w:szCs w:val="20"/>
                <w:color w:val="auto"/>
              </w:rPr>
            </w:pPr>
            <w:r>
              <w:rPr>
                <w:rFonts w:ascii="Arial" w:cs="Arial" w:eastAsia="Arial" w:hAnsi="Arial"/>
                <w:sz w:val="14"/>
                <w:szCs w:val="14"/>
                <w:color w:val="auto"/>
                <w:w w:val="92"/>
              </w:rPr>
              <w:t>(Decrease)</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center"/>
              <w:ind w:right="402"/>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322"/>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ind w:left="20"/>
              <w:spacing w:after="0"/>
              <w:rPr>
                <w:sz w:val="20"/>
                <w:szCs w:val="20"/>
                <w:color w:val="auto"/>
              </w:rPr>
            </w:pPr>
            <w:r>
              <w:rPr>
                <w:rFonts w:ascii="Arial" w:cs="Arial" w:eastAsia="Arial" w:hAnsi="Arial"/>
                <w:sz w:val="18"/>
                <w:szCs w:val="18"/>
                <w:color w:val="auto"/>
              </w:rPr>
              <w:t>614</w:t>
            </w:r>
          </w:p>
        </w:tc>
        <w:tc>
          <w:tcPr>
            <w:tcW w:w="1200" w:type="dxa"/>
            <w:vAlign w:val="bottom"/>
            <w:shd w:val="clear" w:color="auto" w:fill="E5E5E5"/>
          </w:tcPr>
          <w:p>
            <w:pPr>
              <w:jc w:val="center"/>
              <w:ind w:right="382"/>
              <w:spacing w:after="0"/>
              <w:rPr>
                <w:sz w:val="20"/>
                <w:szCs w:val="20"/>
                <w:color w:val="auto"/>
              </w:rPr>
            </w:pPr>
            <w:r>
              <w:rPr>
                <w:rFonts w:ascii="Arial" w:cs="Arial" w:eastAsia="Arial" w:hAnsi="Arial"/>
                <w:sz w:val="18"/>
                <w:szCs w:val="18"/>
                <w:color w:val="auto"/>
                <w:w w:val="96"/>
              </w:rPr>
              <w:t>$ 47</w:t>
            </w:r>
          </w:p>
        </w:tc>
        <w:tc>
          <w:tcPr>
            <w:tcW w:w="520" w:type="dxa"/>
            <w:vAlign w:val="bottom"/>
            <w:shd w:val="clear" w:color="auto" w:fill="E5E5E5"/>
          </w:tcPr>
          <w:p>
            <w:pPr>
              <w:ind w:lef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color w:val="auto"/>
              </w:rPr>
              <w:t>318</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298</w:t>
            </w:r>
          </w:p>
        </w:tc>
        <w:tc>
          <w:tcPr>
            <w:tcW w:w="12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w w:val="89"/>
              </w:rPr>
              <w:t>20</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0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8"/>
                <w:szCs w:val="18"/>
                <w:b w:val="1"/>
                <w:bCs w:val="1"/>
                <w:color w:val="auto"/>
              </w:rPr>
              <w:t>343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316</w:t>
            </w:r>
          </w:p>
        </w:tc>
        <w:tc>
          <w:tcPr>
            <w:tcW w:w="1200" w:type="dxa"/>
            <w:vAlign w:val="bottom"/>
            <w:tcBorders>
              <w:bottom w:val="single" w:sz="8" w:color="auto"/>
            </w:tcBorders>
            <w:shd w:val="clear" w:color="auto" w:fill="E5E5E5"/>
          </w:tcPr>
          <w:p>
            <w:pPr>
              <w:jc w:val="center"/>
              <w:ind w:right="382"/>
              <w:spacing w:after="0"/>
              <w:rPr>
                <w:sz w:val="20"/>
                <w:szCs w:val="20"/>
                <w:color w:val="auto"/>
              </w:rPr>
            </w:pPr>
            <w:r>
              <w:rPr>
                <w:rFonts w:ascii="Arial" w:cs="Arial" w:eastAsia="Arial" w:hAnsi="Arial"/>
                <w:sz w:val="18"/>
                <w:szCs w:val="18"/>
                <w:b w:val="1"/>
                <w:bCs w:val="1"/>
                <w:color w:val="auto"/>
                <w:w w:val="96"/>
              </w:rPr>
              <w:t>$ 27</w:t>
            </w:r>
          </w:p>
        </w:tc>
        <w:tc>
          <w:tcPr>
            <w:tcW w:w="5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73"/>
        </w:trPr>
        <w:tc>
          <w:tcPr>
            <w:tcW w:w="7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gridSpan w:val="4"/>
          </w:tcPr>
          <w:p>
            <w:pPr>
              <w:jc w:val="right"/>
              <w:ind w:right="355"/>
              <w:spacing w:after="0"/>
              <w:rPr>
                <w:sz w:val="20"/>
                <w:szCs w:val="20"/>
                <w:color w:val="auto"/>
              </w:rPr>
            </w:pPr>
            <w:r>
              <w:rPr>
                <w:rFonts w:ascii="Arial" w:cs="Arial" w:eastAsia="Arial" w:hAnsi="Arial"/>
                <w:sz w:val="14"/>
                <w:szCs w:val="14"/>
                <w:color w:val="auto"/>
              </w:rPr>
              <w:t>Nine Months Ended</w:t>
            </w:r>
          </w:p>
        </w:tc>
        <w:tc>
          <w:tcPr>
            <w:tcW w:w="1200" w:type="dxa"/>
            <w:vAlign w:val="bottom"/>
          </w:tcPr>
          <w:p>
            <w:pPr>
              <w:ind w:left="640"/>
              <w:spacing w:after="0"/>
              <w:rPr>
                <w:sz w:val="20"/>
                <w:szCs w:val="20"/>
                <w:color w:val="auto"/>
              </w:rPr>
            </w:pPr>
            <w:r>
              <w:rPr>
                <w:rFonts w:ascii="Arial" w:cs="Arial" w:eastAsia="Arial" w:hAnsi="Arial"/>
                <w:sz w:val="14"/>
                <w:szCs w:val="14"/>
                <w:color w:val="auto"/>
                <w:w w:val="93"/>
              </w:rPr>
              <w:t>Increase/</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2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535"/>
              <w:spacing w:after="0" w:line="159" w:lineRule="exact"/>
              <w:rPr>
                <w:sz w:val="20"/>
                <w:szCs w:val="20"/>
                <w:color w:val="auto"/>
              </w:rPr>
            </w:pPr>
            <w:r>
              <w:rPr>
                <w:rFonts w:ascii="Arial" w:cs="Arial" w:eastAsia="Arial" w:hAnsi="Arial"/>
                <w:sz w:val="14"/>
                <w:szCs w:val="14"/>
                <w:color w:val="auto"/>
              </w:rPr>
              <w:t>September 30</w:t>
            </w:r>
          </w:p>
        </w:tc>
        <w:tc>
          <w:tcPr>
            <w:tcW w:w="1200" w:type="dxa"/>
            <w:vAlign w:val="bottom"/>
            <w:tcBorders>
              <w:bottom w:val="single" w:sz="8" w:color="auto"/>
            </w:tcBorders>
          </w:tcPr>
          <w:p>
            <w:pPr>
              <w:ind w:left="580"/>
              <w:spacing w:after="0" w:line="159" w:lineRule="exact"/>
              <w:rPr>
                <w:sz w:val="20"/>
                <w:szCs w:val="20"/>
                <w:color w:val="auto"/>
              </w:rPr>
            </w:pPr>
            <w:r>
              <w:rPr>
                <w:rFonts w:ascii="Arial" w:cs="Arial" w:eastAsia="Arial" w:hAnsi="Arial"/>
                <w:sz w:val="14"/>
                <w:szCs w:val="14"/>
                <w:color w:val="auto"/>
                <w:w w:val="86"/>
              </w:rPr>
              <w:t>(Decrease)</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center"/>
              <w:ind w:right="222"/>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82"/>
              <w:spacing w:after="0"/>
              <w:rPr>
                <w:sz w:val="20"/>
                <w:szCs w:val="20"/>
                <w:color w:val="auto"/>
              </w:rPr>
            </w:pPr>
            <w:r>
              <w:rPr>
                <w:rFonts w:ascii="Arial" w:cs="Arial" w:eastAsia="Arial" w:hAnsi="Arial"/>
                <w:sz w:val="18"/>
                <w:szCs w:val="18"/>
                <w:color w:val="auto"/>
              </w:rPr>
              <w:t>$ 1,669</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88"/>
              </w:rPr>
              <w:t>1,565</w:t>
            </w:r>
          </w:p>
        </w:tc>
        <w:tc>
          <w:tcPr>
            <w:tcW w:w="1200" w:type="dxa"/>
            <w:vAlign w:val="bottom"/>
            <w:shd w:val="clear" w:color="auto" w:fill="E5E5E5"/>
          </w:tcPr>
          <w:p>
            <w:pPr>
              <w:jc w:val="center"/>
              <w:ind w:right="242"/>
              <w:spacing w:after="0"/>
              <w:rPr>
                <w:sz w:val="20"/>
                <w:szCs w:val="20"/>
                <w:color w:val="auto"/>
              </w:rPr>
            </w:pPr>
            <w:r>
              <w:rPr>
                <w:rFonts w:ascii="Arial" w:cs="Arial" w:eastAsia="Arial" w:hAnsi="Arial"/>
                <w:sz w:val="18"/>
                <w:szCs w:val="18"/>
                <w:color w:val="auto"/>
                <w:w w:val="89"/>
              </w:rPr>
              <w:t>$104</w:t>
            </w:r>
          </w:p>
        </w:tc>
        <w:tc>
          <w:tcPr>
            <w:tcW w:w="520" w:type="dxa"/>
            <w:vAlign w:val="bottom"/>
            <w:shd w:val="clear" w:color="auto" w:fill="E5E5E5"/>
          </w:tcPr>
          <w:p>
            <w:pPr>
              <w:ind w:lef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922</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857</w:t>
            </w: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7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82"/>
              <w:spacing w:after="0"/>
              <w:rPr>
                <w:sz w:val="20"/>
                <w:szCs w:val="20"/>
                <w:color w:val="auto"/>
              </w:rPr>
            </w:pPr>
            <w:r>
              <w:rPr>
                <w:rFonts w:ascii="Arial" w:cs="Arial" w:eastAsia="Arial" w:hAnsi="Arial"/>
                <w:sz w:val="18"/>
                <w:szCs w:val="18"/>
                <w:b w:val="1"/>
                <w:bCs w:val="1"/>
                <w:color w:val="auto"/>
              </w:rPr>
              <w:t>$  747</w:t>
            </w: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708</w:t>
            </w:r>
          </w:p>
        </w:tc>
        <w:tc>
          <w:tcPr>
            <w:tcW w:w="1200" w:type="dxa"/>
            <w:vAlign w:val="bottom"/>
            <w:tcBorders>
              <w:bottom w:val="single" w:sz="8" w:color="auto"/>
            </w:tcBorders>
            <w:shd w:val="clear" w:color="auto" w:fill="E5E5E5"/>
          </w:tcPr>
          <w:p>
            <w:pPr>
              <w:jc w:val="center"/>
              <w:ind w:right="242"/>
              <w:spacing w:after="0"/>
              <w:rPr>
                <w:sz w:val="20"/>
                <w:szCs w:val="20"/>
                <w:color w:val="auto"/>
              </w:rPr>
            </w:pPr>
            <w:r>
              <w:rPr>
                <w:rFonts w:ascii="Arial" w:cs="Arial" w:eastAsia="Arial" w:hAnsi="Arial"/>
                <w:sz w:val="18"/>
                <w:szCs w:val="18"/>
                <w:b w:val="1"/>
                <w:bCs w:val="1"/>
                <w:color w:val="auto"/>
              </w:rPr>
              <w:t>$ 39</w:t>
            </w:r>
          </w:p>
        </w:tc>
        <w:tc>
          <w:tcPr>
            <w:tcW w:w="52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Theme Parks revenue increased for the three months ended September 30, 2013 compared to the same period in 2012 primarily due to an increase in per capita spending at our Orlando and Hollywood theme parks and higher guest attendance at our Orlando theme park following the launch of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Theme Parks revenue increased for the nine months ended September 30, 2013 compared to the same period in 2012 primarily due to higher guest attendance at our Orlando and Hollywood theme parks, as well as an increase in per capita spending.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operating costs and expenses increased for the three and nine months ended September 30, 2013 compared to the same periods in 2012 primarily due to additional costs at our Orlando and Hollywood theme parks associated with additional attractions as well as the increases in per capita spending and attendance.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three months ended September 30, 2013 compared to the same period in 2012 was primarily due to higher employee costs.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nine months ended September 30, 2013 compared to the same period in 2012 was primarily due to lower administrative expenses.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4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7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vMerge w:val="continue"/>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w w:val="83"/>
              </w:rPr>
              <w:t>2013</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w w:val="83"/>
              </w:rPr>
              <w:t>2012</w:t>
            </w:r>
          </w:p>
        </w:tc>
        <w:tc>
          <w:tcPr>
            <w:tcW w:w="10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32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(633)</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$(1,928)</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(1,898)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2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Arial" w:cs="Arial" w:eastAsia="Arial" w:hAnsi="Arial"/>
                <w:sz w:val="18"/>
                <w:szCs w:val="18"/>
                <w:color w:val="auto"/>
              </w:rPr>
              <w:t>464</w:t>
            </w:r>
          </w:p>
        </w:tc>
        <w:tc>
          <w:tcPr>
            <w:tcW w:w="36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70</w:t>
            </w:r>
          </w:p>
        </w:tc>
        <w:tc>
          <w:tcPr>
            <w:tcW w:w="1080" w:type="dxa"/>
            <w:vAlign w:val="bottom"/>
          </w:tcPr>
          <w:p>
            <w:pPr>
              <w:jc w:val="right"/>
              <w:ind w:right="200"/>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18"/>
                <w:szCs w:val="18"/>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27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911</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987</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(280)</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(615)</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w w:val="88"/>
              </w:rPr>
              <w:t>1,335</w:t>
            </w:r>
          </w:p>
        </w:tc>
        <w:tc>
          <w:tcPr>
            <w:tcW w:w="108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$(1,755)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363"/>
        </w:trPr>
        <w:tc>
          <w:tcPr>
            <w:tcW w:w="4420" w:type="dxa"/>
            <w:vAlign w:val="bottom"/>
          </w:tcPr>
          <w:p>
            <w:pPr>
              <w:spacing w:after="0"/>
              <w:rPr>
                <w:sz w:val="24"/>
                <w:szCs w:val="24"/>
                <w:color w:val="auto"/>
              </w:rPr>
            </w:pPr>
          </w:p>
        </w:tc>
        <w:tc>
          <w:tcPr>
            <w:tcW w:w="2700" w:type="dxa"/>
            <w:vAlign w:val="bottom"/>
          </w:tcPr>
          <w:p>
            <w:pPr>
              <w:jc w:val="right"/>
              <w:ind w:right="1212"/>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increased slightly for the three and nine months ended September 30, 2013 compared to the same periods in 2012 primarily due to an increase in our debt outstanding, partially offset by a reduction in our average cost of debt.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Investment income (loss), net increased for the three and nine months ended September 30, 2013 compared to the same periods in 2012 primarily due to the $443 million gain related to the sale of our investment in Clearwire Corporation in July 2013. The components of investment income (loss), net for the three and nine months ended September 30, 2013 and 2012 are presented in a table in Note 5 to our condensed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changes in equity in net income (losses) of investees, net for the three and nine months ended September 30, 2013 compared to the same periods in 2012 were primarily due to $876 million of income recorded in the prior year periods related to our portion of SpectrumCo’s gain on sale of its advanced wireless services spectrum licenses, as well as $135 million of equity losses recorded in the current year periods attributable to our investment in Hulu, LLC (“Hulu”). As a result of our agreement in July 2013 to provide our first capital contribution to Hulu since our interest was acquired as part of the NBCUniversal transaction, we began to apply the equity method of accounting for our investment in Hulu, which we had previously accounted for as a cost method investment. The change in the method of accounting for this investment required us to recognize our portion of Hulu’s accumulated losses since the date of the NBCUniversal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changes in other income (expense), net for the three and nine months ended September 30, 2013 compared to the same periods in 2012 were primarily due to the $1 billion gain recorded in the prior year periods related to the sale of our investment in A&amp;E Television Networks LLC, as well as an impairment of $236 million of our equity method investment in, and loans with, a regional sports cable network based in Houston, Texas, which was recorded in the current year periods.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for the three and nine months ended September 30, 2013 and 2012 reflects an effective income tax rate that differs from the federal statutory rate primarily due to state income taxes, uncertain tax positions and, until the close of the Redemption Transaction in March 2013, foreign income taxes and the partnership structure of NBCUniversal Holdings. We expect our 2013 annual effective tax rate to be in the range of 35% to 40%, absent changes in tax laws or significant changes in uncertain tax positions.</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color w:val="auto"/>
        </w:rPr>
        <w:t>Consolidated Net (Income) Loss Attributable to Noncontrolling Interests and Redeemable Subsidiary Preferred Stock</w:t>
      </w:r>
    </w:p>
    <w:p>
      <w:pPr>
        <w:spacing w:after="0" w:line="2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decreases in net (income) loss attributable to noncontrolling interests and redeemable subsidiary preferred stock for the three and nine months ended September 30, 2013 were primarily due to our acquisition of GE’s remaining 49% common equity interest in NBCUniversal Holdings in March 2013.</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27, 2013, we, four of our wholly owned cable holding company subsidiaries (the “cable guarantors”) and NBCUniversal entered into a series of agreements and supplemental indentures to include NBCUniversal as part of our existing cross-guarantee structure. As members of the cross-guarantee structure, we and the cable guarantors fully and unconditionally guarantee NBCUniversal’s public debt securities, and NBCUniversal fully and unconditionally guarantees all of our and the cable guarantors’ public debt securities, as well as our revolving credit facility.</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and the cable guarantors also fully and unconditionally guarantee NBCUniversal Enterprise’s $4 billion of senior notes and its $1.35 billion credit facility due March 2018. NBCUniversal does not guarantee the NBCUniversal Enterprise senior notes or credit facility.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our condensed consolidated financial statements for additional information on our subsidiary cross-guarantee structure.</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meet our debt repayment obligations, to fund our capital expenditures, to invest in business opportunities and to return capital to shareholders.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9,916</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5,873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10"/>
        </w:trPr>
        <w:tc>
          <w:tcPr>
            <w:tcW w:w="9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83"/>
              </w:rPr>
              <w:t>15,789</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14,700</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44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93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440" w:type="dxa"/>
            <w:vAlign w:val="bottom"/>
          </w:tcPr>
          <w:p>
            <w:pPr>
              <w:spacing w:after="0"/>
              <w:rPr>
                <w:sz w:val="18"/>
                <w:szCs w:val="18"/>
                <w:color w:val="auto"/>
              </w:rPr>
            </w:pPr>
          </w:p>
        </w:tc>
        <w:tc>
          <w:tcPr>
            <w:tcW w:w="740" w:type="dxa"/>
            <w:vAlign w:val="bottom"/>
          </w:tcPr>
          <w:p>
            <w:pPr>
              <w:jc w:val="right"/>
              <w:ind w:right="177"/>
              <w:spacing w:after="0"/>
              <w:rPr>
                <w:sz w:val="20"/>
                <w:szCs w:val="20"/>
                <w:color w:val="auto"/>
              </w:rPr>
            </w:pPr>
            <w:r>
              <w:rPr>
                <w:rFonts w:ascii="Arial" w:cs="Arial" w:eastAsia="Arial" w:hAnsi="Arial"/>
                <w:sz w:val="18"/>
                <w:szCs w:val="18"/>
                <w:color w:val="auto"/>
                <w:w w:val="83"/>
              </w:rPr>
              <w:t>16,684</w:t>
            </w:r>
          </w:p>
        </w:tc>
        <w:tc>
          <w:tcPr>
            <w:tcW w:w="28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14,724</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w w:val="91"/>
              </w:rPr>
              <w:t>(1,768)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(1,725)</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44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8"/>
                <w:szCs w:val="18"/>
                <w:color w:val="auto"/>
                <w:w w:val="91"/>
              </w:rPr>
              <w:t>(3,180)</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(1,855)</w:t>
            </w:r>
          </w:p>
        </w:tc>
        <w:tc>
          <w:tcPr>
            <w:tcW w:w="0" w:type="dxa"/>
            <w:vAlign w:val="bottom"/>
          </w:tcPr>
          <w:p>
            <w:pPr>
              <w:spacing w:after="0"/>
              <w:rPr>
                <w:sz w:val="1"/>
                <w:szCs w:val="1"/>
                <w:color w:val="auto"/>
              </w:rPr>
            </w:pPr>
          </w:p>
        </w:tc>
      </w:tr>
      <w:tr>
        <w:trPr>
          <w:trHeight w:val="216"/>
        </w:trPr>
        <w:tc>
          <w:tcPr>
            <w:tcW w:w="936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7"/>
        </w:trPr>
        <w:tc>
          <w:tcPr>
            <w:tcW w:w="9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w w:val="83"/>
              </w:rPr>
              <w:t>11,679</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7"/>
              </w:rPr>
              <w:t>11,239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changes in operating assets and liabilities for the nine months ended September 30, 2013 compared to the same period in 2012 were primarily related to the timing of receipts for our accounts receivable and payments of our accounts payable related to trade creditors, a decrease in film and television costs, and the timing of operating items associated with our broadcast of the 2012 London Olympics in the prior year period.</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income tax payments for the nine months ended September 30, 2013 compared to the same period in 2012 was primarily due to higher taxable income from operations, tax payments made in 2013 that related to 2012, the net impact of the economic stimulus legislation, the settlement of tax disputes and the repatriation of foreign earnings in the first half of 2013.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for the nine months ended September 30, 2013 consisted primarily of cash paid for capital expenditures, NBCUniversal’s acquisitions of real estate properties, purchases of investments and cash paid for intangible assets. NBCUniversal’s acquisitions of real estate properties were its purchases of the 30 Rockefeller Plaza properties in connection with the Redemption Transaction and of the property located at 10 Universal City Plaza, which is adjacent to Universal Studios in Hollywood, California. The purchases of investments primarily related to equity securities to be held as collateral for our prepaid forward sale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nine months ended September 30, 2013 consisted primarily of our acquisition of GE’s remaining 49% common equity interest in NBCUniversal Holdings, repayments of debt, repurchases of our common stock, dividend payments and the effective settlement of our Station Venture liability, primarily offset by proceeds from borrowings.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Note 7 to our condensed consolidated financial statements for additional information on the long-term debt incurred in connection with the Redemption Transaction, including the debt issued by NBCUniversal Enterprise, which we now consolidate.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 to meet our short-term liquidity requirements.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19, 2013, NBCUniversal Enterprise amended and restated the existing credit agreement of NBCUniversal to, among other things, substitute NBCUniversal Enterprise for NBCUniversal as the sole borrower, reduce the borrowing capacity of the facility from $1.5 billion to $1.35 billion, extend the term of the facility to March 2018 and revise the interest rate on borrowings. The interest rate on the credit facility consists of a base rate plus a borrowing margin that is determined based on our credit rating. As of September 30, 2013, the interest rate was 1.252%. Following the amendments to this credit agreement, NBCUniversal’s commercial paper program was terminated.</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commercial paper program provides a lower cost source of borrowing to fund our short-term working capital requirements and is supported by the Comcast and Comcast Cable Communications, LLC $6.25 billion revolving credit facility due June 2017. In September 2013, we increased the borrowing capacity of our commercial paper program from $2.25 billion to $6.25 billion.</w:t>
      </w:r>
    </w:p>
    <w:p>
      <w:pPr>
        <w:spacing w:after="0" w:line="4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September 30, 2013, amounts available under our consolidated revolving credit facilities, net of amounts outstanding under our commercial paper program and undrawn letters of credit, totaled $5.7 billion, which included $100 million available under NBCUniversal Enterprise’s credit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our Board of Directors approved a $6.5 billion share repurchase authorization, which does not have an expiration date. Under this authorization, we may repurchase shares in the open market or in private transactions. During the nine months ended September 30, 2013, we repurchased 38 million shares of our Class A Special common stock for $1.5 billion.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2013, our Board of Directors approved a 20% increase in our dividend to $0.78 per share on an annualized basis. In February, May and July 2013, our Board of Directors approved a quarterly dividend of $0.195 per share as part of our planned annual dividend. We expect to continue to pay quarterly dividends, although each dividend is subject to approval by our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center"/>
              <w:ind w:left="100"/>
              <w:spacing w:after="0"/>
              <w:rPr>
                <w:sz w:val="20"/>
                <w:szCs w:val="20"/>
                <w:color w:val="auto"/>
              </w:rPr>
            </w:pPr>
            <w:r>
              <w:rPr>
                <w:rFonts w:ascii="Arial" w:cs="Arial" w:eastAsia="Arial" w:hAnsi="Arial"/>
                <w:sz w:val="14"/>
                <w:szCs w:val="14"/>
                <w:color w:val="auto"/>
                <w:w w:val="95"/>
              </w:rPr>
              <w:t>Month of</w:t>
            </w:r>
          </w:p>
        </w:tc>
      </w:tr>
      <w:tr>
        <w:trPr>
          <w:trHeight w:val="173"/>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340" w:type="dxa"/>
            <w:vAlign w:val="bottom"/>
            <w:tcBorders>
              <w:bottom w:val="single" w:sz="8" w:color="auto"/>
            </w:tcBorders>
            <w:gridSpan w:val="2"/>
          </w:tcPr>
          <w:p>
            <w:pPr>
              <w:ind w:left="5680"/>
              <w:spacing w:after="0"/>
              <w:rPr>
                <w:sz w:val="20"/>
                <w:szCs w:val="20"/>
                <w:color w:val="auto"/>
              </w:rPr>
            </w:pPr>
            <w:r>
              <w:rPr>
                <w:rFonts w:ascii="Arial" w:cs="Arial" w:eastAsia="Arial" w:hAnsi="Arial"/>
                <w:sz w:val="14"/>
                <w:szCs w:val="14"/>
                <w:color w:val="auto"/>
              </w:rPr>
              <w:t>Amount</w:t>
            </w:r>
          </w:p>
        </w:tc>
        <w:tc>
          <w:tcPr>
            <w:tcW w:w="820" w:type="dxa"/>
            <w:vAlign w:val="bottom"/>
            <w:tcBorders>
              <w:bottom w:val="single" w:sz="8" w:color="auto"/>
            </w:tcBorders>
          </w:tcPr>
          <w:p>
            <w:pPr>
              <w:jc w:val="center"/>
              <w:ind w:left="100"/>
              <w:spacing w:after="0"/>
              <w:rPr>
                <w:sz w:val="20"/>
                <w:szCs w:val="20"/>
                <w:color w:val="auto"/>
              </w:rPr>
            </w:pPr>
            <w:r>
              <w:rPr>
                <w:rFonts w:ascii="Arial" w:cs="Arial" w:eastAsia="Arial" w:hAnsi="Arial"/>
                <w:sz w:val="14"/>
                <w:szCs w:val="14"/>
                <w:color w:val="auto"/>
                <w:w w:val="86"/>
              </w:rPr>
              <w:t>Payment</w:t>
            </w:r>
          </w:p>
        </w:tc>
      </w:tr>
      <w:tr>
        <w:trPr>
          <w:trHeight w:val="210"/>
        </w:trPr>
        <w:tc>
          <w:tcPr>
            <w:tcW w:w="42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2013</w:t>
            </w:r>
          </w:p>
        </w:tc>
        <w:tc>
          <w:tcPr>
            <w:tcW w:w="5800" w:type="dxa"/>
            <w:vAlign w:val="bottom"/>
            <w:shd w:val="clear" w:color="auto" w:fill="E5E5E5"/>
          </w:tcPr>
          <w:p>
            <w:pPr>
              <w:ind w:left="5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514</w:t>
            </w:r>
          </w:p>
        </w:tc>
        <w:tc>
          <w:tcPr>
            <w:tcW w:w="820" w:type="dxa"/>
            <w:vAlign w:val="bottom"/>
            <w:shd w:val="clear" w:color="auto" w:fill="E5E5E5"/>
          </w:tcPr>
          <w:p>
            <w:pPr>
              <w:jc w:val="center"/>
              <w:ind w:left="100"/>
              <w:spacing w:after="0"/>
              <w:rPr>
                <w:sz w:val="20"/>
                <w:szCs w:val="20"/>
                <w:color w:val="auto"/>
              </w:rPr>
            </w:pPr>
            <w:r>
              <w:rPr>
                <w:rFonts w:ascii="Arial" w:cs="Arial" w:eastAsia="Arial" w:hAnsi="Arial"/>
                <w:sz w:val="18"/>
                <w:szCs w:val="18"/>
                <w:color w:val="auto"/>
                <w:w w:val="99"/>
              </w:rPr>
              <w:t>April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Three months ended June 30, 2013</w:t>
            </w:r>
          </w:p>
        </w:tc>
        <w:tc>
          <w:tcPr>
            <w:tcW w:w="5800" w:type="dxa"/>
            <w:vAlign w:val="bottom"/>
          </w:tcPr>
          <w:p>
            <w:pPr>
              <w:ind w:left="56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512</w:t>
            </w:r>
          </w:p>
        </w:tc>
        <w:tc>
          <w:tcPr>
            <w:tcW w:w="820" w:type="dxa"/>
            <w:vAlign w:val="bottom"/>
          </w:tcPr>
          <w:p>
            <w:pPr>
              <w:jc w:val="center"/>
              <w:ind w:left="100"/>
              <w:spacing w:after="0"/>
              <w:rPr>
                <w:sz w:val="20"/>
                <w:szCs w:val="20"/>
                <w:color w:val="auto"/>
              </w:rPr>
            </w:pPr>
            <w:r>
              <w:rPr>
                <w:rFonts w:ascii="Arial" w:cs="Arial" w:eastAsia="Arial" w:hAnsi="Arial"/>
                <w:sz w:val="18"/>
                <w:szCs w:val="18"/>
                <w:color w:val="auto"/>
                <w:w w:val="87"/>
              </w:rPr>
              <w:t>July</w:t>
            </w:r>
          </w:p>
        </w:tc>
      </w:tr>
      <w:tr>
        <w:trPr>
          <w:trHeight w:val="216"/>
        </w:trPr>
        <w:tc>
          <w:tcPr>
            <w:tcW w:w="4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2013</w:t>
            </w:r>
          </w:p>
        </w:tc>
        <w:tc>
          <w:tcPr>
            <w:tcW w:w="5800" w:type="dxa"/>
            <w:vAlign w:val="bottom"/>
            <w:tcBorders>
              <w:bottom w:val="single" w:sz="8" w:color="auto"/>
            </w:tcBorders>
            <w:shd w:val="clear" w:color="auto" w:fill="E5E5E5"/>
          </w:tcPr>
          <w:p>
            <w:pPr>
              <w:ind w:left="56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510</w:t>
            </w:r>
          </w:p>
        </w:tc>
        <w:tc>
          <w:tcPr>
            <w:tcW w:w="820" w:type="dxa"/>
            <w:vAlign w:val="bottom"/>
            <w:tcBorders>
              <w:bottom w:val="single" w:sz="8" w:color="auto"/>
            </w:tcBorders>
            <w:shd w:val="clear" w:color="auto" w:fill="E5E5E5"/>
          </w:tcPr>
          <w:p>
            <w:pPr>
              <w:jc w:val="center"/>
              <w:ind w:left="100"/>
              <w:spacing w:after="0"/>
              <w:rPr>
                <w:sz w:val="20"/>
                <w:szCs w:val="20"/>
                <w:color w:val="auto"/>
              </w:rPr>
            </w:pPr>
            <w:r>
              <w:rPr>
                <w:rFonts w:ascii="Arial" w:cs="Arial" w:eastAsia="Arial" w:hAnsi="Arial"/>
                <w:sz w:val="18"/>
                <w:szCs w:val="18"/>
                <w:color w:val="auto"/>
                <w:w w:val="87"/>
              </w:rPr>
              <w:t>October</w:t>
            </w:r>
          </w:p>
        </w:tc>
      </w:tr>
      <w:tr>
        <w:trPr>
          <w:trHeight w:val="356"/>
        </w:trPr>
        <w:tc>
          <w:tcPr>
            <w:tcW w:w="4260" w:type="dxa"/>
            <w:vAlign w:val="bottom"/>
          </w:tcPr>
          <w:p>
            <w:pPr>
              <w:spacing w:after="0"/>
              <w:rPr>
                <w:sz w:val="24"/>
                <w:szCs w:val="24"/>
                <w:color w:val="auto"/>
              </w:rPr>
            </w:pPr>
          </w:p>
        </w:tc>
        <w:tc>
          <w:tcPr>
            <w:tcW w:w="5800" w:type="dxa"/>
            <w:vAlign w:val="bottom"/>
          </w:tcPr>
          <w:p>
            <w:pPr>
              <w:ind w:left="1360"/>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accounting for income taxes, and accounting for film and television costs are critical in the preparation of our condensed consolidated financial statements. We performed our annual impairment testing of our cable franchise rights as of July 1, 2013 and no impairment charge was required.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2012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 to Note 14 to our condensed consolidated financial statements included in this Quarterly Report on Form 10-Q for a discussion of recent developments related to our legal proceedings. There have been no material developments in the matter reported in our Form 10-Q for the Quarter Ended March 31, 2013 regarding the California Attorney General and the Alameda County, California District Attorney’s investigation of certain of our waste disposal policies, procedures and practices.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2012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below summarizes our Class A Special common stock repurchases under our Board-authorized share repurchase program during the three months ended September 30, 2013.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560" w:type="dxa"/>
            <w:vAlign w:val="bottom"/>
            <w:vMerge w:val="restart"/>
          </w:tcPr>
          <w:p>
            <w:pPr>
              <w:jc w:val="center"/>
              <w:ind w:left="1122"/>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4"/>
                <w:szCs w:val="14"/>
                <w:color w:val="auto"/>
              </w:rPr>
            </w:pPr>
          </w:p>
        </w:tc>
        <w:tc>
          <w:tcPr>
            <w:tcW w:w="1120" w:type="dxa"/>
            <w:vAlign w:val="bottom"/>
          </w:tcPr>
          <w:p>
            <w:pPr>
              <w:jc w:val="center"/>
              <w:ind w:right="263"/>
              <w:spacing w:after="0"/>
              <w:rPr>
                <w:sz w:val="20"/>
                <w:szCs w:val="20"/>
                <w:color w:val="auto"/>
              </w:rPr>
            </w:pPr>
            <w:r>
              <w:rPr>
                <w:rFonts w:ascii="Arial" w:cs="Arial" w:eastAsia="Arial" w:hAnsi="Arial"/>
                <w:sz w:val="14"/>
                <w:szCs w:val="14"/>
                <w:color w:val="auto"/>
                <w:w w:val="92"/>
              </w:rPr>
              <w:t>Total Dollar</w:t>
            </w:r>
          </w:p>
        </w:tc>
        <w:tc>
          <w:tcPr>
            <w:tcW w:w="1440" w:type="dxa"/>
            <w:vAlign w:val="bottom"/>
          </w:tcPr>
          <w:p>
            <w:pPr>
              <w:jc w:val="center"/>
              <w:ind w:left="104"/>
              <w:spacing w:after="0"/>
              <w:rPr>
                <w:sz w:val="20"/>
                <w:szCs w:val="20"/>
                <w:color w:val="auto"/>
              </w:rPr>
            </w:pPr>
            <w:r>
              <w:rPr>
                <w:rFonts w:ascii="Arial" w:cs="Arial" w:eastAsia="Arial" w:hAnsi="Arial"/>
                <w:sz w:val="14"/>
                <w:szCs w:val="14"/>
                <w:color w:val="auto"/>
                <w:w w:val="92"/>
              </w:rPr>
              <w:t>Maximum Dollar</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080" w:type="dxa"/>
            <w:vAlign w:val="bottom"/>
            <w:gridSpan w:val="2"/>
          </w:tcPr>
          <w:p>
            <w:pPr>
              <w:jc w:val="center"/>
              <w:ind w:right="1"/>
              <w:spacing w:after="0" w:line="135" w:lineRule="exact"/>
              <w:rPr>
                <w:sz w:val="20"/>
                <w:szCs w:val="20"/>
                <w:color w:val="auto"/>
              </w:rPr>
            </w:pPr>
            <w:r>
              <w:rPr>
                <w:rFonts w:ascii="Arial" w:cs="Arial" w:eastAsia="Arial" w:hAnsi="Arial"/>
                <w:sz w:val="14"/>
                <w:szCs w:val="14"/>
                <w:color w:val="auto"/>
                <w:w w:val="84"/>
              </w:rPr>
              <w:t>Average</w:t>
            </w:r>
          </w:p>
        </w:tc>
        <w:tc>
          <w:tcPr>
            <w:tcW w:w="1760" w:type="dxa"/>
            <w:vAlign w:val="bottom"/>
          </w:tcPr>
          <w:p>
            <w:pPr>
              <w:jc w:val="center"/>
              <w:spacing w:after="0" w:line="135" w:lineRule="exact"/>
              <w:rPr>
                <w:sz w:val="20"/>
                <w:szCs w:val="20"/>
                <w:color w:val="auto"/>
              </w:rPr>
            </w:pPr>
            <w:r>
              <w:rPr>
                <w:rFonts w:ascii="Arial" w:cs="Arial" w:eastAsia="Arial" w:hAnsi="Arial"/>
                <w:sz w:val="14"/>
                <w:szCs w:val="14"/>
                <w:color w:val="auto"/>
                <w:w w:val="81"/>
              </w:rPr>
              <w:t>Shares Purchased</w:t>
            </w:r>
          </w:p>
        </w:tc>
        <w:tc>
          <w:tcPr>
            <w:tcW w:w="360" w:type="dxa"/>
            <w:vAlign w:val="bottom"/>
          </w:tcPr>
          <w:p>
            <w:pPr>
              <w:spacing w:after="0"/>
              <w:rPr>
                <w:sz w:val="11"/>
                <w:szCs w:val="11"/>
                <w:color w:val="auto"/>
              </w:rPr>
            </w:pPr>
          </w:p>
        </w:tc>
        <w:tc>
          <w:tcPr>
            <w:tcW w:w="1120" w:type="dxa"/>
            <w:vAlign w:val="bottom"/>
          </w:tcPr>
          <w:p>
            <w:pPr>
              <w:jc w:val="center"/>
              <w:ind w:right="283"/>
              <w:spacing w:after="0" w:line="135" w:lineRule="exact"/>
              <w:rPr>
                <w:sz w:val="20"/>
                <w:szCs w:val="20"/>
                <w:color w:val="auto"/>
              </w:rPr>
            </w:pPr>
            <w:r>
              <w:rPr>
                <w:rFonts w:ascii="Arial" w:cs="Arial" w:eastAsia="Arial" w:hAnsi="Arial"/>
                <w:sz w:val="14"/>
                <w:szCs w:val="14"/>
                <w:color w:val="auto"/>
                <w:w w:val="91"/>
              </w:rPr>
              <w:t>Amount</w:t>
            </w:r>
          </w:p>
        </w:tc>
        <w:tc>
          <w:tcPr>
            <w:tcW w:w="1440" w:type="dxa"/>
            <w:vAlign w:val="bottom"/>
          </w:tcPr>
          <w:p>
            <w:pPr>
              <w:jc w:val="center"/>
              <w:ind w:left="124"/>
              <w:spacing w:after="0" w:line="135" w:lineRule="exact"/>
              <w:rPr>
                <w:sz w:val="20"/>
                <w:szCs w:val="20"/>
                <w:color w:val="auto"/>
              </w:rPr>
            </w:pPr>
            <w:r>
              <w:rPr>
                <w:rFonts w:ascii="Arial" w:cs="Arial" w:eastAsia="Arial" w:hAnsi="Arial"/>
                <w:sz w:val="14"/>
                <w:szCs w:val="14"/>
                <w:color w:val="auto"/>
                <w:w w:val="85"/>
              </w:rPr>
              <w:t>Value of Shares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560" w:type="dxa"/>
            <w:vAlign w:val="bottom"/>
          </w:tcPr>
          <w:p>
            <w:pPr>
              <w:jc w:val="center"/>
              <w:ind w:left="1142"/>
              <w:spacing w:after="0" w:line="149" w:lineRule="exact"/>
              <w:rPr>
                <w:sz w:val="20"/>
                <w:szCs w:val="20"/>
                <w:color w:val="auto"/>
              </w:rPr>
            </w:pPr>
            <w:r>
              <w:rPr>
                <w:rFonts w:ascii="Arial" w:cs="Arial" w:eastAsia="Arial" w:hAnsi="Arial"/>
                <w:sz w:val="14"/>
                <w:szCs w:val="14"/>
                <w:color w:val="auto"/>
                <w:w w:val="88"/>
              </w:rPr>
              <w:t>Number of</w:t>
            </w:r>
          </w:p>
        </w:tc>
        <w:tc>
          <w:tcPr>
            <w:tcW w:w="340" w:type="dxa"/>
            <w:vAlign w:val="bottom"/>
          </w:tcPr>
          <w:p>
            <w:pPr>
              <w:spacing w:after="0"/>
              <w:rPr>
                <w:sz w:val="12"/>
                <w:szCs w:val="12"/>
                <w:color w:val="auto"/>
              </w:rPr>
            </w:pPr>
          </w:p>
        </w:tc>
        <w:tc>
          <w:tcPr>
            <w:tcW w:w="740" w:type="dxa"/>
            <w:vAlign w:val="bottom"/>
          </w:tcPr>
          <w:p>
            <w:pPr>
              <w:jc w:val="center"/>
              <w:ind w:right="341"/>
              <w:spacing w:after="0" w:line="149" w:lineRule="exact"/>
              <w:rPr>
                <w:sz w:val="20"/>
                <w:szCs w:val="20"/>
                <w:color w:val="auto"/>
              </w:rPr>
            </w:pPr>
            <w:r>
              <w:rPr>
                <w:rFonts w:ascii="Arial" w:cs="Arial" w:eastAsia="Arial" w:hAnsi="Arial"/>
                <w:sz w:val="14"/>
                <w:szCs w:val="14"/>
                <w:color w:val="auto"/>
                <w:w w:val="87"/>
              </w:rPr>
              <w:t>Price</w:t>
            </w:r>
          </w:p>
        </w:tc>
        <w:tc>
          <w:tcPr>
            <w:tcW w:w="1760" w:type="dxa"/>
            <w:vAlign w:val="bottom"/>
          </w:tcPr>
          <w:p>
            <w:pPr>
              <w:jc w:val="center"/>
              <w:ind w:right="3"/>
              <w:spacing w:after="0" w:line="149" w:lineRule="exact"/>
              <w:rPr>
                <w:sz w:val="20"/>
                <w:szCs w:val="20"/>
                <w:color w:val="auto"/>
              </w:rPr>
            </w:pPr>
            <w:r>
              <w:rPr>
                <w:rFonts w:ascii="Arial" w:cs="Arial" w:eastAsia="Arial" w:hAnsi="Arial"/>
                <w:sz w:val="14"/>
                <w:szCs w:val="14"/>
                <w:color w:val="auto"/>
                <w:w w:val="89"/>
              </w:rPr>
              <w:t>as Part of Publicly</w:t>
            </w:r>
          </w:p>
        </w:tc>
        <w:tc>
          <w:tcPr>
            <w:tcW w:w="360" w:type="dxa"/>
            <w:vAlign w:val="bottom"/>
          </w:tcPr>
          <w:p>
            <w:pPr>
              <w:spacing w:after="0"/>
              <w:rPr>
                <w:sz w:val="12"/>
                <w:szCs w:val="12"/>
                <w:color w:val="auto"/>
              </w:rPr>
            </w:pPr>
          </w:p>
        </w:tc>
        <w:tc>
          <w:tcPr>
            <w:tcW w:w="112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440" w:type="dxa"/>
            <w:vAlign w:val="bottom"/>
          </w:tcPr>
          <w:p>
            <w:pPr>
              <w:jc w:val="center"/>
              <w:ind w:left="124"/>
              <w:spacing w:after="0" w:line="149" w:lineRule="exact"/>
              <w:rPr>
                <w:sz w:val="20"/>
                <w:szCs w:val="20"/>
                <w:color w:val="auto"/>
              </w:rPr>
            </w:pPr>
            <w:r>
              <w:rPr>
                <w:rFonts w:ascii="Arial" w:cs="Arial" w:eastAsia="Arial" w:hAnsi="Arial"/>
                <w:sz w:val="14"/>
                <w:szCs w:val="14"/>
                <w:color w:val="auto"/>
                <w:w w:val="88"/>
              </w:rPr>
              <w:t>May Yet Be</w:t>
            </w: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2560" w:type="dxa"/>
            <w:vAlign w:val="bottom"/>
          </w:tcPr>
          <w:p>
            <w:pPr>
              <w:jc w:val="center"/>
              <w:ind w:left="1122"/>
              <w:spacing w:after="0" w:line="146" w:lineRule="exact"/>
              <w:rPr>
                <w:sz w:val="20"/>
                <w:szCs w:val="20"/>
                <w:color w:val="auto"/>
              </w:rPr>
            </w:pPr>
            <w:r>
              <w:rPr>
                <w:rFonts w:ascii="Arial" w:cs="Arial" w:eastAsia="Arial" w:hAnsi="Arial"/>
                <w:sz w:val="14"/>
                <w:szCs w:val="14"/>
                <w:color w:val="auto"/>
                <w:w w:val="81"/>
              </w:rPr>
              <w:t>Shares</w:t>
            </w:r>
          </w:p>
        </w:tc>
        <w:tc>
          <w:tcPr>
            <w:tcW w:w="340" w:type="dxa"/>
            <w:vAlign w:val="bottom"/>
          </w:tcPr>
          <w:p>
            <w:pPr>
              <w:spacing w:after="0"/>
              <w:rPr>
                <w:sz w:val="12"/>
                <w:szCs w:val="12"/>
                <w:color w:val="auto"/>
              </w:rPr>
            </w:pPr>
          </w:p>
        </w:tc>
        <w:tc>
          <w:tcPr>
            <w:tcW w:w="740" w:type="dxa"/>
            <w:vAlign w:val="bottom"/>
          </w:tcPr>
          <w:p>
            <w:pPr>
              <w:jc w:val="center"/>
              <w:ind w:right="361"/>
              <w:spacing w:after="0" w:line="146" w:lineRule="exact"/>
              <w:rPr>
                <w:sz w:val="20"/>
                <w:szCs w:val="20"/>
                <w:color w:val="auto"/>
              </w:rPr>
            </w:pPr>
            <w:r>
              <w:rPr>
                <w:rFonts w:ascii="Arial" w:cs="Arial" w:eastAsia="Arial" w:hAnsi="Arial"/>
                <w:sz w:val="14"/>
                <w:szCs w:val="14"/>
                <w:color w:val="auto"/>
                <w:w w:val="82"/>
              </w:rPr>
              <w:t>Per</w:t>
            </w:r>
          </w:p>
        </w:tc>
        <w:tc>
          <w:tcPr>
            <w:tcW w:w="1760" w:type="dxa"/>
            <w:vAlign w:val="bottom"/>
          </w:tcPr>
          <w:p>
            <w:pPr>
              <w:jc w:val="center"/>
              <w:ind w:right="23"/>
              <w:spacing w:after="0" w:line="146" w:lineRule="exact"/>
              <w:rPr>
                <w:sz w:val="20"/>
                <w:szCs w:val="20"/>
                <w:color w:val="auto"/>
              </w:rPr>
            </w:pPr>
            <w:r>
              <w:rPr>
                <w:rFonts w:ascii="Arial" w:cs="Arial" w:eastAsia="Arial" w:hAnsi="Arial"/>
                <w:sz w:val="14"/>
                <w:szCs w:val="14"/>
                <w:color w:val="auto"/>
                <w:w w:val="87"/>
              </w:rPr>
              <w:t>Announced</w:t>
            </w:r>
          </w:p>
        </w:tc>
        <w:tc>
          <w:tcPr>
            <w:tcW w:w="360" w:type="dxa"/>
            <w:vAlign w:val="bottom"/>
          </w:tcPr>
          <w:p>
            <w:pPr>
              <w:spacing w:after="0"/>
              <w:rPr>
                <w:sz w:val="12"/>
                <w:szCs w:val="12"/>
                <w:color w:val="auto"/>
              </w:rPr>
            </w:pPr>
          </w:p>
        </w:tc>
        <w:tc>
          <w:tcPr>
            <w:tcW w:w="1120" w:type="dxa"/>
            <w:vAlign w:val="bottom"/>
          </w:tcPr>
          <w:p>
            <w:pPr>
              <w:jc w:val="center"/>
              <w:ind w:right="263"/>
              <w:spacing w:after="0" w:line="146" w:lineRule="exact"/>
              <w:rPr>
                <w:sz w:val="20"/>
                <w:szCs w:val="20"/>
                <w:color w:val="auto"/>
              </w:rPr>
            </w:pPr>
            <w:r>
              <w:rPr>
                <w:rFonts w:ascii="Arial" w:cs="Arial" w:eastAsia="Arial" w:hAnsi="Arial"/>
                <w:sz w:val="14"/>
                <w:szCs w:val="14"/>
                <w:color w:val="auto"/>
                <w:w w:val="87"/>
              </w:rPr>
              <w:t>Under the</w:t>
            </w:r>
          </w:p>
        </w:tc>
        <w:tc>
          <w:tcPr>
            <w:tcW w:w="1440" w:type="dxa"/>
            <w:vAlign w:val="bottom"/>
          </w:tcPr>
          <w:p>
            <w:pPr>
              <w:jc w:val="center"/>
              <w:ind w:left="124"/>
              <w:spacing w:after="0" w:line="146" w:lineRule="exact"/>
              <w:rPr>
                <w:sz w:val="20"/>
                <w:szCs w:val="20"/>
                <w:color w:val="auto"/>
              </w:rPr>
            </w:pPr>
            <w:r>
              <w:rPr>
                <w:rFonts w:ascii="Arial" w:cs="Arial" w:eastAsia="Arial" w:hAnsi="Arial"/>
                <w:sz w:val="14"/>
                <w:szCs w:val="14"/>
                <w:color w:val="auto"/>
                <w:w w:val="84"/>
              </w:rPr>
              <w:t>Purchased Under the</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60" w:type="dxa"/>
            <w:vAlign w:val="bottom"/>
            <w:tcBorders>
              <w:bottom w:val="single" w:sz="8" w:color="auto"/>
            </w:tcBorders>
          </w:tcPr>
          <w:p>
            <w:pPr>
              <w:jc w:val="center"/>
              <w:ind w:left="1122"/>
              <w:spacing w:after="0"/>
              <w:rPr>
                <w:sz w:val="20"/>
                <w:szCs w:val="20"/>
                <w:color w:val="auto"/>
              </w:rPr>
            </w:pPr>
            <w:r>
              <w:rPr>
                <w:rFonts w:ascii="Arial" w:cs="Arial" w:eastAsia="Arial" w:hAnsi="Arial"/>
                <w:sz w:val="14"/>
                <w:szCs w:val="14"/>
                <w:color w:val="auto"/>
                <w:w w:val="83"/>
              </w:rPr>
              <w:t>Purchased</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color w:val="auto"/>
                <w:w w:val="85"/>
              </w:rPr>
              <w:t>Share</w:t>
            </w:r>
          </w:p>
        </w:tc>
        <w:tc>
          <w:tcPr>
            <w:tcW w:w="17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color w:val="auto"/>
                <w:w w:val="92"/>
              </w:rPr>
              <w:t>Authorization</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0"/>
              </w:rPr>
              <w:t>Authorization</w:t>
            </w:r>
          </w:p>
        </w:tc>
        <w:tc>
          <w:tcPr>
            <w:tcW w:w="1440" w:type="dxa"/>
            <w:vAlign w:val="bottom"/>
            <w:tcBorders>
              <w:bottom w:val="single" w:sz="8" w:color="auto"/>
            </w:tcBorders>
          </w:tcPr>
          <w:p>
            <w:pPr>
              <w:jc w:val="center"/>
              <w:ind w:left="12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c>
          <w:tcPr>
            <w:tcW w:w="0" w:type="dxa"/>
            <w:vAlign w:val="bottom"/>
          </w:tcPr>
          <w:p>
            <w:pPr>
              <w:spacing w:after="0"/>
              <w:rPr>
                <w:sz w:val="1"/>
                <w:szCs w:val="1"/>
                <w:color w:val="auto"/>
              </w:rPr>
            </w:pPr>
          </w:p>
        </w:tc>
      </w:tr>
      <w:tr>
        <w:trPr>
          <w:trHeight w:val="210"/>
        </w:trPr>
        <w:tc>
          <w:tcPr>
            <w:tcW w:w="3100" w:type="dxa"/>
            <w:vAlign w:val="bottom"/>
            <w:shd w:val="clear" w:color="auto" w:fill="E5E5E5"/>
          </w:tcPr>
          <w:p>
            <w:pPr>
              <w:spacing w:after="0"/>
              <w:rPr>
                <w:sz w:val="20"/>
                <w:szCs w:val="20"/>
                <w:color w:val="auto"/>
              </w:rPr>
            </w:pPr>
            <w:r>
              <w:rPr>
                <w:rFonts w:ascii="Arial" w:cs="Arial" w:eastAsia="Arial" w:hAnsi="Arial"/>
                <w:sz w:val="18"/>
                <w:szCs w:val="18"/>
                <w:color w:val="auto"/>
              </w:rPr>
              <w:t>July 1-31, 2013</w:t>
            </w:r>
          </w:p>
        </w:tc>
        <w:tc>
          <w:tcPr>
            <w:tcW w:w="256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61"/>
              <w:spacing w:after="0"/>
              <w:rPr>
                <w:sz w:val="20"/>
                <w:szCs w:val="20"/>
                <w:color w:val="auto"/>
              </w:rPr>
            </w:pPr>
            <w:r>
              <w:rPr>
                <w:rFonts w:ascii="Arial" w:cs="Arial" w:eastAsia="Arial" w:hAnsi="Arial"/>
                <w:sz w:val="18"/>
                <w:szCs w:val="18"/>
                <w:color w:val="auto"/>
              </w:rPr>
              <w:t>—</w:t>
            </w:r>
          </w:p>
        </w:tc>
        <w:tc>
          <w:tcPr>
            <w:tcW w:w="1760" w:type="dxa"/>
            <w:vAlign w:val="bottom"/>
            <w:shd w:val="clear" w:color="auto" w:fill="E5E5E5"/>
          </w:tcPr>
          <w:p>
            <w:pPr>
              <w:jc w:val="right"/>
              <w:ind w:right="16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63"/>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center"/>
              <w:ind w:left="124"/>
              <w:spacing w:after="0"/>
              <w:rPr>
                <w:sz w:val="20"/>
                <w:szCs w:val="20"/>
                <w:color w:val="auto"/>
              </w:rPr>
            </w:pPr>
            <w:r>
              <w:rPr>
                <w:rFonts w:ascii="Arial" w:cs="Arial" w:eastAsia="Arial" w:hAnsi="Arial"/>
                <w:sz w:val="18"/>
                <w:szCs w:val="18"/>
                <w:color w:val="auto"/>
                <w:w w:val="86"/>
              </w:rPr>
              <w:t>$ 2,500,000,000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August 1-31, 2013</w:t>
            </w:r>
          </w:p>
        </w:tc>
        <w:tc>
          <w:tcPr>
            <w:tcW w:w="2560" w:type="dxa"/>
            <w:vAlign w:val="bottom"/>
          </w:tcPr>
          <w:p>
            <w:pPr>
              <w:jc w:val="right"/>
              <w:ind w:right="162"/>
              <w:spacing w:after="0"/>
              <w:rPr>
                <w:sz w:val="20"/>
                <w:szCs w:val="20"/>
                <w:color w:val="auto"/>
              </w:rPr>
            </w:pPr>
            <w:r>
              <w:rPr>
                <w:rFonts w:ascii="Arial" w:cs="Arial" w:eastAsia="Arial" w:hAnsi="Arial"/>
                <w:sz w:val="18"/>
                <w:szCs w:val="18"/>
                <w:color w:val="auto"/>
              </w:rPr>
              <w:t>5,968,560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61"/>
              <w:spacing w:after="0"/>
              <w:rPr>
                <w:sz w:val="20"/>
                <w:szCs w:val="20"/>
                <w:color w:val="auto"/>
              </w:rPr>
            </w:pPr>
            <w:r>
              <w:rPr>
                <w:rFonts w:ascii="Arial" w:cs="Arial" w:eastAsia="Arial" w:hAnsi="Arial"/>
                <w:sz w:val="18"/>
                <w:szCs w:val="18"/>
                <w:color w:val="auto"/>
                <w:w w:val="84"/>
              </w:rPr>
              <w:t>41.89</w:t>
            </w:r>
          </w:p>
        </w:tc>
        <w:tc>
          <w:tcPr>
            <w:tcW w:w="1760" w:type="dxa"/>
            <w:vAlign w:val="bottom"/>
          </w:tcPr>
          <w:p>
            <w:pPr>
              <w:jc w:val="right"/>
              <w:ind w:right="163"/>
              <w:spacing w:after="0"/>
              <w:rPr>
                <w:sz w:val="20"/>
                <w:szCs w:val="20"/>
                <w:color w:val="auto"/>
              </w:rPr>
            </w:pPr>
            <w:r>
              <w:rPr>
                <w:rFonts w:ascii="Arial" w:cs="Arial" w:eastAsia="Arial" w:hAnsi="Arial"/>
                <w:sz w:val="18"/>
                <w:szCs w:val="18"/>
                <w:color w:val="auto"/>
              </w:rPr>
              <w:t>5,968,560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3"/>
              <w:spacing w:after="0"/>
              <w:rPr>
                <w:sz w:val="20"/>
                <w:szCs w:val="20"/>
                <w:color w:val="auto"/>
              </w:rPr>
            </w:pPr>
            <w:r>
              <w:rPr>
                <w:rFonts w:ascii="Arial" w:cs="Arial" w:eastAsia="Arial" w:hAnsi="Arial"/>
                <w:sz w:val="18"/>
                <w:szCs w:val="18"/>
                <w:color w:val="auto"/>
                <w:w w:val="85"/>
              </w:rPr>
              <w:t>250,000,000</w:t>
            </w:r>
          </w:p>
        </w:tc>
        <w:tc>
          <w:tcPr>
            <w:tcW w:w="1440" w:type="dxa"/>
            <w:vAlign w:val="bottom"/>
          </w:tcPr>
          <w:p>
            <w:pPr>
              <w:jc w:val="center"/>
              <w:ind w:left="124"/>
              <w:spacing w:after="0"/>
              <w:rPr>
                <w:sz w:val="20"/>
                <w:szCs w:val="20"/>
                <w:color w:val="auto"/>
              </w:rPr>
            </w:pPr>
            <w:r>
              <w:rPr>
                <w:rFonts w:ascii="Arial" w:cs="Arial" w:eastAsia="Arial" w:hAnsi="Arial"/>
                <w:sz w:val="18"/>
                <w:szCs w:val="18"/>
                <w:color w:val="auto"/>
                <w:w w:val="86"/>
              </w:rPr>
              <w:t>$ 2,250,000,000</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2013</w:t>
            </w:r>
          </w:p>
        </w:tc>
        <w:tc>
          <w:tcPr>
            <w:tcW w:w="256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6,034,701</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261"/>
              <w:spacing w:after="0"/>
              <w:rPr>
                <w:sz w:val="20"/>
                <w:szCs w:val="20"/>
                <w:color w:val="auto"/>
              </w:rPr>
            </w:pPr>
            <w:r>
              <w:rPr>
                <w:rFonts w:ascii="Arial" w:cs="Arial" w:eastAsia="Arial" w:hAnsi="Arial"/>
                <w:sz w:val="18"/>
                <w:szCs w:val="18"/>
                <w:color w:val="auto"/>
                <w:w w:val="84"/>
              </w:rPr>
              <w:t>41.43</w:t>
            </w:r>
          </w:p>
        </w:tc>
        <w:tc>
          <w:tcPr>
            <w:tcW w:w="1760" w:type="dxa"/>
            <w:vAlign w:val="bottom"/>
            <w:tcBorders>
              <w:bottom w:val="single" w:sz="8" w:color="auto"/>
            </w:tcBorders>
            <w:shd w:val="clear" w:color="auto" w:fill="E5E5E5"/>
          </w:tcPr>
          <w:p>
            <w:pPr>
              <w:jc w:val="right"/>
              <w:ind w:right="163"/>
              <w:spacing w:after="0"/>
              <w:rPr>
                <w:sz w:val="20"/>
                <w:szCs w:val="20"/>
                <w:color w:val="auto"/>
              </w:rPr>
            </w:pPr>
            <w:r>
              <w:rPr>
                <w:rFonts w:ascii="Arial" w:cs="Arial" w:eastAsia="Arial" w:hAnsi="Arial"/>
                <w:sz w:val="18"/>
                <w:szCs w:val="18"/>
                <w:color w:val="auto"/>
              </w:rPr>
              <w:t>6,034,701</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63"/>
              <w:spacing w:after="0"/>
              <w:rPr>
                <w:sz w:val="20"/>
                <w:szCs w:val="20"/>
                <w:color w:val="auto"/>
              </w:rPr>
            </w:pPr>
            <w:r>
              <w:rPr>
                <w:rFonts w:ascii="Arial" w:cs="Arial" w:eastAsia="Arial" w:hAnsi="Arial"/>
                <w:sz w:val="18"/>
                <w:szCs w:val="18"/>
                <w:color w:val="auto"/>
                <w:w w:val="85"/>
              </w:rPr>
              <w:t>250,000,000</w:t>
            </w:r>
          </w:p>
        </w:tc>
        <w:tc>
          <w:tcPr>
            <w:tcW w:w="1440" w:type="dxa"/>
            <w:vAlign w:val="bottom"/>
            <w:tcBorders>
              <w:bottom w:val="single" w:sz="8" w:color="auto"/>
            </w:tcBorders>
            <w:shd w:val="clear" w:color="auto" w:fill="E5E5E5"/>
          </w:tcPr>
          <w:p>
            <w:pPr>
              <w:jc w:val="center"/>
              <w:ind w:left="124"/>
              <w:spacing w:after="0"/>
              <w:rPr>
                <w:sz w:val="20"/>
                <w:szCs w:val="20"/>
                <w:color w:val="auto"/>
              </w:rPr>
            </w:pPr>
            <w:r>
              <w:rPr>
                <w:rFonts w:ascii="Arial" w:cs="Arial" w:eastAsia="Arial" w:hAnsi="Arial"/>
                <w:sz w:val="18"/>
                <w:szCs w:val="18"/>
                <w:color w:val="auto"/>
                <w:w w:val="86"/>
              </w:rPr>
              <w:t>$ 2,000,000,000</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6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12,003,261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b w:val="1"/>
                <w:bCs w:val="1"/>
                <w:color w:val="auto"/>
                <w:w w:val="84"/>
              </w:rPr>
              <w:t>41.66</w:t>
            </w:r>
          </w:p>
        </w:tc>
        <w:tc>
          <w:tcPr>
            <w:tcW w:w="176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rPr>
              <w:t>12,003,261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w w:val="85"/>
              </w:rPr>
              <w:t>500,000,000</w:t>
            </w:r>
          </w:p>
        </w:tc>
        <w:tc>
          <w:tcPr>
            <w:tcW w:w="1440" w:type="dxa"/>
            <w:vAlign w:val="bottom"/>
            <w:tcBorders>
              <w:bottom w:val="single" w:sz="8" w:color="auto"/>
            </w:tcBorders>
          </w:tcPr>
          <w:p>
            <w:pPr>
              <w:jc w:val="center"/>
              <w:ind w:left="124"/>
              <w:spacing w:after="0"/>
              <w:rPr>
                <w:sz w:val="20"/>
                <w:szCs w:val="20"/>
                <w:color w:val="auto"/>
              </w:rPr>
            </w:pPr>
            <w:r>
              <w:rPr>
                <w:rFonts w:ascii="Arial" w:cs="Arial" w:eastAsia="Arial" w:hAnsi="Arial"/>
                <w:sz w:val="18"/>
                <w:szCs w:val="18"/>
                <w:b w:val="1"/>
                <w:bCs w:val="1"/>
                <w:color w:val="auto"/>
                <w:w w:val="86"/>
              </w:rPr>
              <w:t>$ 2,000,000,000</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which does not have an expiration date. Under this authorization, we may repurchase shares in the open market or in private transactions. During the nine months ended September 30, 2013, we repurchased $1.5 billion of shares and expect to repurchase an additional $500 million during the remainder of 2013, subject to market conditions.</w:t>
      </w:r>
    </w:p>
    <w:p>
      <w:pPr>
        <w:spacing w:after="0" w:line="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2013 does not include any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722"/>
        <w:spacing w:after="0" w:line="24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10 to Employment Agreement between Comcast Corporation and Brian L. Roberts, effective as of June 30, 2013 (incorporated by reference to Exhibit 99.1 to our Current Report on Form 8-K filed on July 24, 2013).</w:t>
      </w:r>
    </w:p>
    <w:p>
      <w:pPr>
        <w:spacing w:after="0" w:line="1"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2 to Employment Agreement between Comcast Corporation and Stephen B. Burke, dated as of August 16, 2013 (incorporated by reference to Exhibit 99.1 to our Current Report on Form 8-K filed on August 16, 2013).</w:t>
      </w:r>
    </w:p>
    <w:p>
      <w:pPr>
        <w:spacing w:after="0" w:line="1" w:lineRule="exact"/>
        <w:rPr>
          <w:sz w:val="20"/>
          <w:szCs w:val="20"/>
          <w:color w:val="auto"/>
        </w:rPr>
      </w:pPr>
    </w:p>
    <w:p>
      <w:pPr>
        <w:ind w:left="820" w:hanging="722"/>
        <w:spacing w:after="0" w:line="250"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Unit Award and Long-Term Incentive Awards Summary Schedule under the Comcast Corporation 2002 Restricted Stock Plan.</w:t>
      </w:r>
    </w:p>
    <w:p>
      <w:pPr>
        <w:spacing w:after="0" w:line="1" w:lineRule="exact"/>
        <w:rPr>
          <w:sz w:val="20"/>
          <w:szCs w:val="20"/>
          <w:color w:val="auto"/>
        </w:rPr>
      </w:pPr>
    </w:p>
    <w:p>
      <w:pPr>
        <w:ind w:left="820" w:hanging="7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820" w:hanging="72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9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2013, filed with the Securities and Exchange Commission on October 30, 2013,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0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This is a Restricted Stock Unit Award (the “Award”) dated [ ], 2013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-462915</wp:posOffset>
            </wp:positionV>
            <wp:extent cx="3346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 w:lineRule="exact"/>
        <w:rPr>
          <w:sz w:val="20"/>
          <w:szCs w:val="20"/>
          <w:color w:val="auto"/>
        </w:rPr>
      </w:pPr>
    </w:p>
    <w:p>
      <w:pPr>
        <w:ind w:left="640" w:hanging="176"/>
        <w:spacing w:after="0"/>
        <w:tabs>
          <w:tab w:leader="none" w:pos="64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are defined below or, if not defined below, have the meanings given to them in the Plan.</w:t>
      </w:r>
    </w:p>
    <w:p>
      <w:pPr>
        <w:spacing w:after="0" w:line="90" w:lineRule="exact"/>
        <w:rPr>
          <w:rFonts w:ascii="Arial" w:cs="Arial" w:eastAsia="Arial" w:hAnsi="Arial"/>
          <w:sz w:val="18"/>
          <w:szCs w:val="18"/>
          <w:color w:val="auto"/>
        </w:rPr>
      </w:pPr>
    </w:p>
    <w:p>
      <w:pPr>
        <w:ind w:firstLine="921"/>
        <w:spacing w:after="0" w:line="306" w:lineRule="auto"/>
        <w:tabs>
          <w:tab w:leader="none" w:pos="1152" w:val="left"/>
        </w:tabs>
        <w:numPr>
          <w:ilvl w:val="2"/>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25" w:lineRule="exact"/>
        <w:rPr>
          <w:rFonts w:ascii="Arial" w:cs="Arial" w:eastAsia="Arial" w:hAnsi="Arial"/>
          <w:sz w:val="16"/>
          <w:szCs w:val="16"/>
          <w:color w:val="auto"/>
        </w:rPr>
      </w:pPr>
    </w:p>
    <w:p>
      <w:pPr>
        <w:ind w:left="1160" w:hanging="239"/>
        <w:spacing w:after="0"/>
        <w:tabs>
          <w:tab w:leader="none" w:pos="11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dishonesty; (vii) misrepresentation; (viii) conviction of a crime of a felony; (ix) material violation of any Company policy; (x) material violation of the</w:t>
      </w:r>
    </w:p>
    <w:p>
      <w:pPr>
        <w:spacing w:after="0" w:line="32"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Company’s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63" w:lineRule="exact"/>
        <w:rPr>
          <w:rFonts w:ascii="Arial" w:cs="Arial" w:eastAsia="Arial" w:hAnsi="Arial"/>
          <w:sz w:val="16"/>
          <w:szCs w:val="16"/>
          <w:color w:val="auto"/>
        </w:rPr>
      </w:pPr>
    </w:p>
    <w:p>
      <w:pPr>
        <w:ind w:left="1160" w:hanging="239"/>
        <w:spacing w:after="0"/>
        <w:tabs>
          <w:tab w:leader="none" w:pos="11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3"/>
          <w:numId w:val="13"/>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ectPr>
          <w:pgSz w:w="11900" w:h="16838" w:orient="portrait"/>
          <w:cols w:equalWidth="0" w:num="1">
            <w:col w:w="11420"/>
          </w:cols>
          <w:pgMar w:left="240" w:top="125" w:right="239" w:bottom="1440" w:gutter="0" w:footer="0" w:header="0"/>
        </w:sectPr>
      </w:pPr>
    </w:p>
    <w:bookmarkStart w:id="50" w:name="page51"/>
    <w:bookmarkEnd w:id="50"/>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Grantee’s duly-appointed legal guardian following Grantee’s termination of employment by reason of Disability, acting on Grantee’s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behalf.</w:t>
      </w:r>
    </w:p>
    <w:p>
      <w:pPr>
        <w:spacing w:after="0" w:line="84" w:lineRule="exact"/>
        <w:rPr>
          <w:sz w:val="20"/>
          <w:szCs w:val="20"/>
          <w:color w:val="auto"/>
        </w:rPr>
      </w:pPr>
    </w:p>
    <w:p>
      <w:pPr>
        <w:ind w:left="1140" w:hanging="219"/>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 Date.</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 Summary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84" w:lineRule="exact"/>
        <w:rPr>
          <w:sz w:val="20"/>
          <w:szCs w:val="20"/>
          <w:color w:val="auto"/>
        </w:rPr>
      </w:pPr>
    </w:p>
    <w:p>
      <w:pPr>
        <w:ind w:left="1140" w:hanging="219"/>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90" w:lineRule="exact"/>
        <w:rPr>
          <w:rFonts w:ascii="Arial" w:cs="Arial" w:eastAsia="Arial" w:hAnsi="Arial"/>
          <w:sz w:val="18"/>
          <w:szCs w:val="18"/>
          <w:color w:val="auto"/>
        </w:rPr>
      </w:pPr>
    </w:p>
    <w:p>
      <w:pPr>
        <w:ind w:right="300" w:firstLine="921"/>
        <w:spacing w:after="0" w:line="268" w:lineRule="auto"/>
        <w:tabs>
          <w:tab w:leader="none" w:pos="1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50" w:lineRule="exact"/>
        <w:rPr>
          <w:rFonts w:ascii="Arial" w:cs="Arial" w:eastAsia="Arial" w:hAnsi="Arial"/>
          <w:sz w:val="18"/>
          <w:szCs w:val="18"/>
          <w:color w:val="auto"/>
        </w:rPr>
      </w:pPr>
    </w:p>
    <w:p>
      <w:pPr>
        <w:ind w:right="640" w:firstLine="921"/>
        <w:spacing w:after="0" w:line="268"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332" w:lineRule="auto"/>
        <w:tabs>
          <w:tab w:leader="none" w:pos="173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4" w:lineRule="exact"/>
        <w:rPr>
          <w:rFonts w:ascii="Arial" w:cs="Arial" w:eastAsia="Arial" w:hAnsi="Arial"/>
          <w:sz w:val="16"/>
          <w:szCs w:val="16"/>
          <w:color w:val="auto"/>
        </w:rPr>
      </w:pPr>
    </w:p>
    <w:p>
      <w:pPr>
        <w:ind w:right="80" w:firstLine="1492"/>
        <w:spacing w:after="0" w:line="289" w:lineRule="auto"/>
        <w:tabs>
          <w:tab w:leader="none" w:pos="173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Comparability of Operating Cash Flow Between Calendar Years</w:t>
      </w:r>
      <w:r>
        <w:rPr>
          <w:rFonts w:ascii="Arial" w:cs="Arial" w:eastAsia="Arial" w:hAnsi="Arial"/>
          <w:sz w:val="16"/>
          <w:szCs w:val="16"/>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calendar year and the year to which the performance condition applies to take into account the impact of such acquisition or disposition on a pro forma basis such that the measurement of Operating Cash Flow for the year to which the performance condition applies is comparable to that for the prior calendar year. Such adjustment shall be based upon the historical equivalent of Operating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37" w:lineRule="exact"/>
        <w:rPr>
          <w:rFonts w:ascii="Arial" w:cs="Arial" w:eastAsia="Arial" w:hAnsi="Arial"/>
          <w:sz w:val="16"/>
          <w:szCs w:val="16"/>
          <w:color w:val="auto"/>
        </w:rPr>
      </w:pPr>
    </w:p>
    <w:p>
      <w:pPr>
        <w:ind w:right="320" w:firstLine="921"/>
        <w:spacing w:after="0" w:line="268"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Operating Cash Flow for the 12-consecutive-month period ending June 30, 2014 that equals or exceeds 101% of Operating Cash Flow for the 12-consecutive-month period ending June 30, 2013.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1" w:name="page52"/>
    <w:bookmarkEnd w:id="51"/>
    <w:p>
      <w:pPr>
        <w:ind w:left="1100" w:hanging="239"/>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90" w:lineRule="exact"/>
        <w:rPr>
          <w:rFonts w:ascii="Arial" w:cs="Arial" w:eastAsia="Arial" w:hAnsi="Arial"/>
          <w:sz w:val="18"/>
          <w:szCs w:val="18"/>
          <w:color w:val="auto"/>
        </w:rPr>
      </w:pPr>
    </w:p>
    <w:p>
      <w:pPr>
        <w:ind w:left="1080" w:hanging="219"/>
        <w:spacing w:after="0"/>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Period</w:t>
      </w:r>
      <w:r>
        <w:rPr>
          <w:rFonts w:ascii="Arial" w:cs="Arial" w:eastAsia="Arial" w:hAnsi="Arial"/>
          <w:sz w:val="15"/>
          <w:szCs w:val="15"/>
          <w:color w:val="auto"/>
        </w:rPr>
        <w:t>” means, with respect to each Restricted Stock Unit, the period beginning on the Date of Grant and ending on the Vesting Date.</w:t>
      </w:r>
    </w:p>
    <w:p>
      <w:pPr>
        <w:spacing w:after="0" w:line="124" w:lineRule="exact"/>
        <w:rPr>
          <w:rFonts w:ascii="Arial" w:cs="Arial" w:eastAsia="Arial" w:hAnsi="Arial"/>
          <w:sz w:val="15"/>
          <w:szCs w:val="15"/>
          <w:color w:val="auto"/>
        </w:rPr>
      </w:pPr>
    </w:p>
    <w:p>
      <w:pPr>
        <w:jc w:val="both"/>
        <w:ind w:left="-60" w:right="200" w:firstLine="921"/>
        <w:spacing w:after="0" w:line="259" w:lineRule="auto"/>
        <w:tabs>
          <w:tab w:leader="none" w:pos="1082"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59" w:lineRule="exact"/>
        <w:rPr>
          <w:rFonts w:ascii="Arial" w:cs="Arial" w:eastAsia="Arial" w:hAnsi="Arial"/>
          <w:sz w:val="18"/>
          <w:szCs w:val="18"/>
          <w:color w:val="auto"/>
        </w:rPr>
      </w:pPr>
    </w:p>
    <w:p>
      <w:pPr>
        <w:ind w:left="1080" w:hanging="219"/>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90" w:lineRule="exact"/>
        <w:rPr>
          <w:rFonts w:ascii="Arial" w:cs="Arial" w:eastAsia="Arial" w:hAnsi="Arial"/>
          <w:sz w:val="18"/>
          <w:szCs w:val="18"/>
          <w:color w:val="auto"/>
        </w:rPr>
      </w:pPr>
    </w:p>
    <w:p>
      <w:pPr>
        <w:ind w:left="1100" w:hanging="239"/>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90" w:lineRule="exact"/>
        <w:rPr>
          <w:rFonts w:ascii="Arial" w:cs="Arial" w:eastAsia="Arial" w:hAnsi="Arial"/>
          <w:sz w:val="18"/>
          <w:szCs w:val="18"/>
          <w:color w:val="auto"/>
        </w:rPr>
      </w:pPr>
    </w:p>
    <w:p>
      <w:pPr>
        <w:ind w:left="1100" w:hanging="239"/>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90" w:lineRule="exact"/>
        <w:rPr>
          <w:rFonts w:ascii="Arial" w:cs="Arial" w:eastAsia="Arial" w:hAnsi="Arial"/>
          <w:sz w:val="18"/>
          <w:szCs w:val="18"/>
          <w:color w:val="auto"/>
        </w:rPr>
      </w:pPr>
    </w:p>
    <w:p>
      <w:pPr>
        <w:ind w:left="-60" w:firstLine="921"/>
        <w:spacing w:after="0" w:line="268" w:lineRule="auto"/>
        <w:tabs>
          <w:tab w:leader="none" w:pos="11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50" w:lineRule="exact"/>
        <w:rPr>
          <w:rFonts w:ascii="Arial" w:cs="Arial" w:eastAsia="Arial" w:hAnsi="Arial"/>
          <w:sz w:val="18"/>
          <w:szCs w:val="18"/>
          <w:color w:val="auto"/>
        </w:rPr>
      </w:pPr>
    </w:p>
    <w:p>
      <w:pPr>
        <w:ind w:left="1100" w:hanging="239"/>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90" w:lineRule="exact"/>
        <w:rPr>
          <w:rFonts w:ascii="Arial" w:cs="Arial" w:eastAsia="Arial" w:hAnsi="Arial"/>
          <w:sz w:val="18"/>
          <w:szCs w:val="18"/>
          <w:color w:val="auto"/>
        </w:rPr>
      </w:pPr>
    </w:p>
    <w:p>
      <w:pPr>
        <w:ind w:left="-60" w:right="680" w:firstLine="464"/>
        <w:spacing w:after="0" w:line="268"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50" w:lineRule="exact"/>
        <w:rPr>
          <w:rFonts w:ascii="Arial" w:cs="Arial" w:eastAsia="Arial" w:hAnsi="Arial"/>
          <w:sz w:val="18"/>
          <w:szCs w:val="18"/>
          <w:color w:val="auto"/>
        </w:rPr>
      </w:pPr>
    </w:p>
    <w:p>
      <w:pPr>
        <w:ind w:left="580" w:hanging="17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0" w:firstLine="921"/>
        <w:spacing w:after="0" w:line="294" w:lineRule="auto"/>
        <w:tabs>
          <w:tab w:leader="none" w:pos="1092"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34" w:lineRule="exact"/>
        <w:rPr>
          <w:rFonts w:ascii="Arial" w:cs="Arial" w:eastAsia="Arial" w:hAnsi="Arial"/>
          <w:sz w:val="16"/>
          <w:szCs w:val="16"/>
          <w:color w:val="auto"/>
        </w:rPr>
      </w:pPr>
    </w:p>
    <w:p>
      <w:pPr>
        <w:ind w:left="-60" w:right="460" w:firstLine="921"/>
        <w:spacing w:after="0" w:line="298" w:lineRule="auto"/>
        <w:tabs>
          <w:tab w:leader="none" w:pos="1102" w:val="left"/>
        </w:tabs>
        <w:numPr>
          <w:ilvl w:val="1"/>
          <w:numId w:val="17"/>
        </w:numPr>
        <w:rPr>
          <w:rFonts w:ascii="Arial" w:cs="Arial" w:eastAsia="Arial" w:hAnsi="Arial"/>
          <w:sz w:val="16"/>
          <w:szCs w:val="16"/>
          <w:color w:val="auto"/>
        </w:rPr>
      </w:pPr>
      <w:r>
        <w:rPr>
          <w:rFonts w:ascii="Arial" w:cs="Arial" w:eastAsia="Arial" w:hAnsi="Arial"/>
          <w:sz w:val="16"/>
          <w:szCs w:val="16"/>
          <w:color w:val="auto"/>
        </w:rPr>
        <w:t>Notwithstanding Paragraph 3(a) to the contrary, if Grantee terminates employment with the Company or a Subsidiary Company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80" w:right="299" w:bottom="1440" w:gutter="0" w:footer="0" w:header="0"/>
        </w:sectPr>
      </w:pPr>
    </w:p>
    <w:bookmarkStart w:id="52" w:name="page53"/>
    <w:bookmarkEnd w:id="52"/>
    <w:p>
      <w:pPr>
        <w:ind w:left="-8" w:firstLine="921"/>
        <w:spacing w:after="0" w:line="286" w:lineRule="auto"/>
        <w:tabs>
          <w:tab w:leader="none" w:pos="1144" w:val="left"/>
        </w:tabs>
        <w:numPr>
          <w:ilvl w:val="1"/>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Paragraphs 3(a) to the contrary, and subject to the non-solicitation or non-competition obligations described in Paragraph 3(d), if Grantee terminates employment with the Company or a Subsidiary Company during the Restricted Period for any reason other than (i) Grantee’s death,</w:t>
      </w:r>
    </w:p>
    <w:p>
      <w:pPr>
        <w:ind w:left="-8" w:right="20" w:firstLine="8"/>
        <w:spacing w:after="0" w:line="254" w:lineRule="auto"/>
        <w:tabs>
          <w:tab w:leader="none" w:pos="2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Grantee becoming a Disabled Grantee within the meaning of Paragraph 1(i)(1)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62" w:lineRule="exact"/>
        <w:rPr>
          <w:rFonts w:ascii="Arial" w:cs="Arial" w:eastAsia="Arial" w:hAnsi="Arial"/>
          <w:sz w:val="18"/>
          <w:szCs w:val="18"/>
          <w:color w:val="auto"/>
        </w:rPr>
      </w:pPr>
    </w:p>
    <w:p>
      <w:pPr>
        <w:ind w:left="-8" w:right="100" w:firstLine="1492"/>
        <w:spacing w:after="0" w:line="298" w:lineRule="auto"/>
        <w:tabs>
          <w:tab w:leader="none" w:pos="1724"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0"/>
          <w:szCs w:val="10"/>
          <w:color w:val="auto"/>
        </w:rPr>
        <w:t>rd</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31" w:lineRule="exact"/>
        <w:rPr>
          <w:rFonts w:ascii="Arial" w:cs="Arial" w:eastAsia="Arial" w:hAnsi="Arial"/>
          <w:sz w:val="16"/>
          <w:szCs w:val="16"/>
          <w:color w:val="auto"/>
        </w:rPr>
      </w:pPr>
    </w:p>
    <w:p>
      <w:pPr>
        <w:ind w:left="-8" w:right="200" w:firstLine="1492"/>
        <w:spacing w:after="0" w:line="298" w:lineRule="auto"/>
        <w:tabs>
          <w:tab w:leader="none" w:pos="1724"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0"/>
          <w:szCs w:val="10"/>
          <w:color w:val="auto"/>
        </w:rPr>
        <w:t>th</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31" w:lineRule="exact"/>
        <w:rPr>
          <w:rFonts w:ascii="Arial" w:cs="Arial" w:eastAsia="Arial" w:hAnsi="Arial"/>
          <w:sz w:val="16"/>
          <w:szCs w:val="16"/>
          <w:color w:val="auto"/>
        </w:rPr>
      </w:pPr>
    </w:p>
    <w:p>
      <w:pPr>
        <w:ind w:left="-8" w:right="120" w:firstLine="1492"/>
        <w:spacing w:after="0" w:line="298" w:lineRule="auto"/>
        <w:tabs>
          <w:tab w:leader="none" w:pos="1724"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Arial" w:cs="Arial" w:eastAsia="Arial" w:hAnsi="Arial"/>
          <w:sz w:val="10"/>
          <w:szCs w:val="10"/>
          <w:color w:val="auto"/>
        </w:rPr>
        <w:t>th</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31" w:lineRule="exact"/>
        <w:rPr>
          <w:rFonts w:ascii="Arial" w:cs="Arial" w:eastAsia="Arial" w:hAnsi="Arial"/>
          <w:sz w:val="16"/>
          <w:szCs w:val="16"/>
          <w:color w:val="auto"/>
        </w:rPr>
      </w:pPr>
    </w:p>
    <w:p>
      <w:pPr>
        <w:ind w:left="-8" w:right="40" w:firstLine="921"/>
        <w:spacing w:after="0" w:line="259" w:lineRule="auto"/>
        <w:tabs>
          <w:tab w:leader="none" w:pos="11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Notwithstanding Paragraph 3(c),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59" w:lineRule="exact"/>
        <w:rPr>
          <w:rFonts w:ascii="Arial" w:cs="Arial" w:eastAsia="Arial" w:hAnsi="Arial"/>
          <w:sz w:val="18"/>
          <w:szCs w:val="18"/>
          <w:color w:val="auto"/>
        </w:rPr>
      </w:pPr>
    </w:p>
    <w:p>
      <w:pPr>
        <w:ind w:left="-8" w:right="600" w:firstLine="1492"/>
        <w:spacing w:after="0" w:line="259" w:lineRule="auto"/>
        <w:tabs>
          <w:tab w:leader="none" w:pos="1724" w:val="left"/>
        </w:tabs>
        <w:numPr>
          <w:ilvl w:val="2"/>
          <w:numId w:val="19"/>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53" w:name="page54"/>
    <w:bookmarkEnd w:id="53"/>
    <w:p>
      <w:pPr>
        <w:ind w:left="-40" w:right="20" w:firstLine="1492"/>
        <w:spacing w:after="0" w:line="289" w:lineRule="auto"/>
        <w:tabs>
          <w:tab w:leader="none" w:pos="1692" w:val="left"/>
        </w:tabs>
        <w:numPr>
          <w:ilvl w:val="2"/>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37" w:lineRule="exact"/>
        <w:rPr>
          <w:rFonts w:ascii="Arial" w:cs="Arial" w:eastAsia="Arial" w:hAnsi="Arial"/>
          <w:sz w:val="16"/>
          <w:szCs w:val="16"/>
          <w:color w:val="auto"/>
        </w:rPr>
      </w:pPr>
    </w:p>
    <w:p>
      <w:pPr>
        <w:ind w:left="-40" w:firstLine="921"/>
        <w:spacing w:after="0" w:line="256" w:lineRule="auto"/>
        <w:tabs>
          <w:tab w:leader="none" w:pos="11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Restricted Stock Units would have vested pursuant to the Long-Term Incentive Awards Summary Schedule or Paragraphs 3(b) or 3(c),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3(b) or 3(c) on which Grantee has complied with all applicable provisions of the HSR Act.</w:t>
      </w:r>
    </w:p>
    <w:p>
      <w:pPr>
        <w:spacing w:after="0" w:line="62" w:lineRule="exact"/>
        <w:rPr>
          <w:rFonts w:ascii="Arial" w:cs="Arial" w:eastAsia="Arial" w:hAnsi="Arial"/>
          <w:sz w:val="18"/>
          <w:szCs w:val="18"/>
          <w:color w:val="auto"/>
        </w:rPr>
      </w:pPr>
    </w:p>
    <w:p>
      <w:pPr>
        <w:ind w:left="600" w:hanging="17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60" w:firstLine="921"/>
        <w:spacing w:after="0" w:line="256" w:lineRule="auto"/>
        <w:tabs>
          <w:tab w:leader="none" w:pos="11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 terminates employment with the Company and all Subsidiaries during the Restricted Period, other than due to death or Disability and except as otherwise provided in Paragraph 3(c), Grantee shall forfeit the Restricted Stock Units as of such termination of employment. Upon a forfeiture of the Restricted Stock Units as provided in this Paragraph 4, the Restricted Stock Units shall be deemed canceled.</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provisions of this Paragraph 4 shall not apply to Shares issued in respect of Restricted Stock Units as to which a Vesting Date has occurred.</w:t>
      </w:r>
    </w:p>
    <w:p>
      <w:pPr>
        <w:spacing w:after="0" w:line="124" w:lineRule="exact"/>
        <w:rPr>
          <w:rFonts w:ascii="Arial" w:cs="Arial" w:eastAsia="Arial" w:hAnsi="Arial"/>
          <w:sz w:val="15"/>
          <w:szCs w:val="15"/>
          <w:color w:val="auto"/>
        </w:rPr>
      </w:pPr>
    </w:p>
    <w:p>
      <w:pPr>
        <w:ind w:left="600" w:hanging="17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90" w:lineRule="exact"/>
        <w:rPr>
          <w:sz w:val="20"/>
          <w:szCs w:val="20"/>
          <w:color w:val="auto"/>
        </w:rPr>
      </w:pPr>
    </w:p>
    <w:p>
      <w:pPr>
        <w:ind w:left="1120" w:hanging="239"/>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100" w:firstLine="1492"/>
        <w:spacing w:after="0" w:line="259" w:lineRule="auto"/>
        <w:tabs>
          <w:tab w:leader="none" w:pos="169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54" w:name="page55"/>
    <w:bookmarkEnd w:id="54"/>
    <w:p>
      <w:pPr>
        <w:ind w:right="200" w:firstLine="1492"/>
        <w:spacing w:after="0" w:line="268" w:lineRule="auto"/>
        <w:tabs>
          <w:tab w:leader="none" w:pos="173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December 31, 2013.</w:t>
      </w:r>
    </w:p>
    <w:p>
      <w:pPr>
        <w:spacing w:after="0" w:line="50" w:lineRule="exact"/>
        <w:rPr>
          <w:rFonts w:ascii="Arial" w:cs="Arial" w:eastAsia="Arial" w:hAnsi="Arial"/>
          <w:sz w:val="18"/>
          <w:szCs w:val="18"/>
          <w:color w:val="auto"/>
        </w:rPr>
      </w:pPr>
    </w:p>
    <w:p>
      <w:pPr>
        <w:ind w:firstLine="1492"/>
        <w:spacing w:after="0" w:line="298" w:lineRule="auto"/>
        <w:tabs>
          <w:tab w:leader="none" w:pos="173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31" w:lineRule="exact"/>
        <w:rPr>
          <w:rFonts w:ascii="Arial" w:cs="Arial" w:eastAsia="Arial" w:hAnsi="Arial"/>
          <w:sz w:val="16"/>
          <w:szCs w:val="16"/>
          <w:color w:val="auto"/>
        </w:rPr>
      </w:pPr>
    </w:p>
    <w:p>
      <w:pPr>
        <w:ind w:right="380" w:firstLine="1492"/>
        <w:spacing w:after="0" w:line="268" w:lineRule="auto"/>
        <w:tabs>
          <w:tab w:leader="none" w:pos="173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 Election is filed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83" w:lineRule="exact"/>
        <w:rPr>
          <w:rFonts w:ascii="Arial" w:cs="Arial" w:eastAsia="Arial" w:hAnsi="Arial"/>
          <w:sz w:val="16"/>
          <w:szCs w:val="16"/>
          <w:color w:val="auto"/>
        </w:rPr>
      </w:pPr>
    </w:p>
    <w:p>
      <w:pPr>
        <w:ind w:right="40" w:firstLine="1492"/>
        <w:spacing w:after="0" w:line="298" w:lineRule="auto"/>
        <w:tabs>
          <w:tab w:leader="none" w:pos="173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31" w:lineRule="exact"/>
        <w:rPr>
          <w:rFonts w:ascii="Arial" w:cs="Arial" w:eastAsia="Arial" w:hAnsi="Arial"/>
          <w:sz w:val="16"/>
          <w:szCs w:val="16"/>
          <w:color w:val="auto"/>
        </w:rPr>
      </w:pPr>
    </w:p>
    <w:p>
      <w:pPr>
        <w:ind w:firstLine="1492"/>
        <w:spacing w:after="0" w:line="298" w:lineRule="auto"/>
        <w:tabs>
          <w:tab w:leader="none" w:pos="173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31" w:lineRule="exact"/>
        <w:rPr>
          <w:rFonts w:ascii="Arial" w:cs="Arial" w:eastAsia="Arial" w:hAnsi="Arial"/>
          <w:sz w:val="16"/>
          <w:szCs w:val="16"/>
          <w:color w:val="auto"/>
        </w:rPr>
      </w:pPr>
    </w:p>
    <w:p>
      <w:pPr>
        <w:jc w:val="both"/>
        <w:ind w:right="40" w:firstLine="1492"/>
        <w:spacing w:after="0" w:line="306" w:lineRule="auto"/>
        <w:tabs>
          <w:tab w:leader="none" w:pos="173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25" w:lineRule="exact"/>
        <w:rPr>
          <w:rFonts w:ascii="Arial" w:cs="Arial" w:eastAsia="Arial" w:hAnsi="Arial"/>
          <w:sz w:val="16"/>
          <w:szCs w:val="16"/>
          <w:color w:val="auto"/>
        </w:rPr>
      </w:pPr>
    </w:p>
    <w:p>
      <w:pPr>
        <w:ind w:right="220" w:firstLine="921"/>
        <w:spacing w:after="0" w:line="268" w:lineRule="auto"/>
        <w:tabs>
          <w:tab w:leader="none" w:pos="11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55" w:name="page56"/>
    <w:bookmarkEnd w:id="55"/>
    <w:p>
      <w:pPr>
        <w:ind w:right="80" w:firstLine="921"/>
        <w:spacing w:after="0" w:line="255" w:lineRule="auto"/>
        <w:tabs>
          <w:tab w:leader="none" w:pos="116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61" w:lineRule="exact"/>
        <w:rPr>
          <w:rFonts w:ascii="Arial" w:cs="Arial" w:eastAsia="Arial" w:hAnsi="Arial"/>
          <w:sz w:val="18"/>
          <w:szCs w:val="18"/>
          <w:color w:val="auto"/>
        </w:rPr>
      </w:pPr>
    </w:p>
    <w:p>
      <w:pPr>
        <w:ind w:right="20" w:firstLine="921"/>
        <w:spacing w:after="0" w:line="303" w:lineRule="auto"/>
        <w:tabs>
          <w:tab w:leader="none" w:pos="1152"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Status of Deferred Amounts</w:t>
      </w:r>
      <w:r>
        <w:rPr>
          <w:rFonts w:ascii="Arial" w:cs="Arial" w:eastAsia="Arial" w:hAnsi="Arial"/>
          <w:sz w:val="15"/>
          <w:szCs w:val="15"/>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w:t>
      </w:r>
    </w:p>
    <w:p>
      <w:pPr>
        <w:spacing w:after="0" w:line="1" w:lineRule="exact"/>
        <w:rPr>
          <w:rFonts w:ascii="Arial" w:cs="Arial" w:eastAsia="Arial" w:hAnsi="Arial"/>
          <w:sz w:val="15"/>
          <w:szCs w:val="15"/>
          <w:color w:val="auto"/>
        </w:rPr>
      </w:pPr>
    </w:p>
    <w:p>
      <w:pPr>
        <w:ind w:right="160"/>
        <w:spacing w:after="0" w:line="352" w:lineRule="auto"/>
        <w:rPr>
          <w:rFonts w:ascii="Arial" w:cs="Arial" w:eastAsia="Arial" w:hAnsi="Arial"/>
          <w:sz w:val="15"/>
          <w:szCs w:val="15"/>
          <w:color w:val="auto"/>
        </w:rPr>
      </w:pPr>
      <w:r>
        <w:rPr>
          <w:rFonts w:ascii="Arial" w:cs="Arial" w:eastAsia="Arial" w:hAnsi="Arial"/>
          <w:sz w:val="15"/>
          <w:szCs w:val="15"/>
          <w:color w:val="auto"/>
        </w:rPr>
        <w:t>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ind w:firstLine="921"/>
        <w:spacing w:after="0" w:line="306" w:lineRule="auto"/>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25" w:lineRule="exact"/>
        <w:rPr>
          <w:rFonts w:ascii="Arial" w:cs="Arial" w:eastAsia="Arial" w:hAnsi="Arial"/>
          <w:sz w:val="16"/>
          <w:szCs w:val="16"/>
          <w:color w:val="auto"/>
        </w:rPr>
      </w:pPr>
    </w:p>
    <w:p>
      <w:pPr>
        <w:ind w:right="460" w:firstLine="464"/>
        <w:spacing w:after="0" w:line="259"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59"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59"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89" w:lineRule="auto"/>
        <w:tabs>
          <w:tab w:leader="none" w:pos="115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6" w:name="page57"/>
    <w:bookmarkEnd w:id="5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to payment of any fractional Shares shall be satisfied in cash, measured by the product of the fractional amount times the Fair Market Value of a Share on the Vesting Date, as determined by the Committee.</w:t>
      </w:r>
    </w:p>
    <w:p>
      <w:pPr>
        <w:spacing w:after="0" w:line="51" w:lineRule="exact"/>
        <w:rPr>
          <w:sz w:val="20"/>
          <w:szCs w:val="20"/>
          <w:color w:val="auto"/>
        </w:rPr>
      </w:pPr>
    </w:p>
    <w:p>
      <w:pPr>
        <w:ind w:right="20" w:firstLine="921"/>
        <w:spacing w:after="0" w:line="289"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37" w:lineRule="exact"/>
        <w:rPr>
          <w:rFonts w:ascii="Arial" w:cs="Arial" w:eastAsia="Arial" w:hAnsi="Arial"/>
          <w:sz w:val="16"/>
          <w:szCs w:val="16"/>
          <w:color w:val="auto"/>
        </w:rPr>
      </w:pPr>
    </w:p>
    <w:p>
      <w:pPr>
        <w:ind w:right="140" w:firstLine="464"/>
        <w:spacing w:after="0" w:line="291"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39" w:lineRule="exact"/>
        <w:rPr>
          <w:rFonts w:ascii="Arial" w:cs="Arial" w:eastAsia="Arial" w:hAnsi="Arial"/>
          <w:sz w:val="16"/>
          <w:szCs w:val="16"/>
          <w:color w:val="auto"/>
        </w:rPr>
      </w:pPr>
    </w:p>
    <w:p>
      <w:pPr>
        <w:ind w:right="640" w:firstLine="464"/>
        <w:spacing w:after="0" w:line="26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0" w:firstLine="921"/>
        <w:spacing w:after="0" w:line="306" w:lineRule="auto"/>
        <w:tabs>
          <w:tab w:leader="none" w:pos="11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25" w:lineRule="exact"/>
        <w:rPr>
          <w:rFonts w:ascii="Arial" w:cs="Arial" w:eastAsia="Arial" w:hAnsi="Arial"/>
          <w:sz w:val="16"/>
          <w:szCs w:val="16"/>
          <w:color w:val="auto"/>
        </w:rPr>
      </w:pPr>
    </w:p>
    <w:p>
      <w:pPr>
        <w:ind w:firstLine="921"/>
        <w:spacing w:after="0" w:line="268" w:lineRule="auto"/>
        <w:tabs>
          <w:tab w:leader="none" w:pos="116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7" w:name="page58"/>
    <w:bookmarkEnd w:id="57"/>
    <w:p>
      <w:pPr>
        <w:ind w:left="-240" w:firstLine="921"/>
        <w:spacing w:after="0" w:line="268" w:lineRule="auto"/>
        <w:tabs>
          <w:tab w:leader="none" w:pos="91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10795</wp:posOffset>
            </wp:positionV>
            <wp:extent cx="23755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80" w:right="459" w:bottom="1440" w:gutter="0" w:footer="0" w:header="0"/>
        </w:sectPr>
      </w:pPr>
    </w:p>
    <w:bookmarkStart w:id="58" w:name="page59"/>
    <w:bookmarkEnd w:id="58"/>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 AWARDS SUMMARY SCHEDULE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This Long-Term Incentive Awards Summary Schedule (this “Schedule) provides certain information related to Restricted Stock Units you were granted by</w:t>
      </w:r>
    </w:p>
    <w:p>
      <w:pPr>
        <w:spacing w:after="0" w:line="3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Comcast Corporation on [</w:t>
      </w:r>
      <w:r>
        <w:rPr>
          <w:sz w:val="20"/>
          <w:szCs w:val="20"/>
          <w:color w:val="auto"/>
        </w:rPr>
        <w:tab/>
      </w:r>
      <w:r>
        <w:rPr>
          <w:rFonts w:ascii="Arial" w:cs="Arial" w:eastAsia="Arial" w:hAnsi="Arial"/>
          <w:sz w:val="15"/>
          <w:szCs w:val="15"/>
          <w:color w:val="auto"/>
        </w:rPr>
        <w:t xml:space="preserve">], 2013 (the “Date of Grant”). </w:t>
      </w:r>
      <w:r>
        <w:rPr>
          <w:rFonts w:ascii="Arial" w:cs="Arial" w:eastAsia="Arial" w:hAnsi="Arial"/>
          <w:sz w:val="15"/>
          <w:szCs w:val="15"/>
          <w:b w:val="1"/>
          <w:bCs w:val="1"/>
          <w:color w:val="auto"/>
        </w:rPr>
        <w:t>This Schedule is intended to be, and shall at all times be interpreted as, a part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-17780</wp:posOffset>
            </wp:positionV>
            <wp:extent cx="4457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Comcast Corporation Restricted Stock Unit Award document.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Unit Award</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Pr>
          <w:p>
            <w:pPr>
              <w:spacing w:after="0"/>
              <w:rPr>
                <w:sz w:val="17"/>
                <w:szCs w:val="17"/>
                <w:color w:val="auto"/>
              </w:rPr>
            </w:pPr>
          </w:p>
        </w:tc>
      </w:tr>
      <w:tr>
        <w:trPr>
          <w:trHeight w:val="399"/>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Grantee:</w:t>
            </w:r>
          </w:p>
        </w:tc>
        <w:tc>
          <w:tcPr>
            <w:tcW w:w="18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60" w:type="dxa"/>
            <w:vAlign w:val="bottom"/>
          </w:tcPr>
          <w:p>
            <w:pPr>
              <w:spacing w:after="0"/>
              <w:rPr>
                <w:sz w:val="24"/>
                <w:szCs w:val="24"/>
                <w:color w:val="auto"/>
              </w:rPr>
            </w:pPr>
          </w:p>
        </w:tc>
      </w:tr>
      <w:tr>
        <w:trPr>
          <w:trHeight w:val="20"/>
        </w:trPr>
        <w:tc>
          <w:tcPr>
            <w:tcW w:w="4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64"/>
        </w:trPr>
        <w:tc>
          <w:tcPr>
            <w:tcW w:w="400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7220" w:type="dxa"/>
            <w:vAlign w:val="bottom"/>
            <w:gridSpan w:val="3"/>
          </w:tcPr>
          <w:p>
            <w:pPr>
              <w:ind w:left="540"/>
              <w:spacing w:after="0"/>
              <w:rPr>
                <w:sz w:val="20"/>
                <w:szCs w:val="20"/>
                <w:color w:val="auto"/>
              </w:rPr>
            </w:pPr>
            <w:r>
              <w:rPr>
                <w:rFonts w:ascii="Arial" w:cs="Arial" w:eastAsia="Arial" w:hAnsi="Arial"/>
                <w:sz w:val="18"/>
                <w:szCs w:val="18"/>
                <w:color w:val="auto"/>
              </w:rPr>
              <w:t>], 2013</w:t>
            </w:r>
          </w:p>
        </w:tc>
      </w:tr>
      <w:tr>
        <w:trPr>
          <w:trHeight w:val="20"/>
        </w:trPr>
        <w:tc>
          <w:tcPr>
            <w:tcW w:w="4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2"/>
        </w:trPr>
        <w:tc>
          <w:tcPr>
            <w:tcW w:w="400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280" w:type="dxa"/>
            <w:vAlign w:val="bottom"/>
            <w:gridSpan w:val="4"/>
          </w:tcPr>
          <w:p>
            <w:pPr>
              <w:spacing w:after="0"/>
              <w:rPr>
                <w:sz w:val="20"/>
                <w:szCs w:val="20"/>
                <w:color w:val="auto"/>
              </w:rPr>
            </w:pPr>
            <w:r>
              <w:rPr>
                <w:rFonts w:ascii="Arial" w:cs="Arial" w:eastAsia="Arial" w:hAnsi="Arial"/>
                <w:sz w:val="18"/>
                <w:szCs w:val="18"/>
                <w:color w:val="auto"/>
              </w:rPr>
              <w:t>Comcast Corporation Class A Common Stock</w:t>
            </w:r>
          </w:p>
        </w:tc>
      </w:tr>
      <w:tr>
        <w:trPr>
          <w:trHeight w:val="245"/>
        </w:trPr>
        <w:tc>
          <w:tcPr>
            <w:tcW w:w="4000" w:type="dxa"/>
            <w:vAlign w:val="bottom"/>
            <w:gridSpan w:val="2"/>
          </w:tcPr>
          <w:p>
            <w:pPr>
              <w:spacing w:after="0"/>
              <w:rPr>
                <w:sz w:val="20"/>
                <w:szCs w:val="20"/>
                <w:color w:val="auto"/>
              </w:rPr>
            </w:pPr>
            <w:r>
              <w:rPr>
                <w:rFonts w:ascii="Arial" w:cs="Arial" w:eastAsia="Arial" w:hAnsi="Arial"/>
                <w:sz w:val="18"/>
                <w:szCs w:val="18"/>
                <w:color w:val="auto"/>
              </w:rPr>
              <w:t>Number of Restricted Stock Units Granted:</w:t>
            </w:r>
          </w:p>
        </w:tc>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60" w:type="dxa"/>
            <w:vAlign w:val="bottom"/>
          </w:tcPr>
          <w:p>
            <w:pPr>
              <w:spacing w:after="0"/>
              <w:rPr>
                <w:sz w:val="21"/>
                <w:szCs w:val="21"/>
                <w:color w:val="auto"/>
              </w:rPr>
            </w:pPr>
          </w:p>
        </w:tc>
      </w:tr>
      <w:tr>
        <w:trPr>
          <w:trHeight w:val="264"/>
        </w:trPr>
        <w:tc>
          <w:tcPr>
            <w:tcW w:w="4000" w:type="dxa"/>
            <w:vAlign w:val="bottom"/>
            <w:gridSpan w:val="2"/>
          </w:tcPr>
          <w:p>
            <w:pPr>
              <w:spacing w:after="0"/>
              <w:rPr>
                <w:sz w:val="20"/>
                <w:szCs w:val="20"/>
                <w:color w:val="auto"/>
              </w:rPr>
            </w:pPr>
            <w:r>
              <w:rPr>
                <w:rFonts w:ascii="Arial" w:cs="Arial" w:eastAsia="Arial" w:hAnsi="Arial"/>
                <w:sz w:val="18"/>
                <w:szCs w:val="18"/>
                <w:color w:val="auto"/>
              </w:rPr>
              <w:t>2014 RSUs</w:t>
            </w:r>
          </w:p>
        </w:tc>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540" w:type="dxa"/>
            <w:vAlign w:val="bottom"/>
            <w:tcBorders>
              <w:top w:val="single" w:sz="8" w:color="auto"/>
              <w:bottom w:val="single" w:sz="8" w:color="auto"/>
            </w:tcBorders>
          </w:tcPr>
          <w:p>
            <w:pPr>
              <w:spacing w:after="0"/>
              <w:rPr>
                <w:sz w:val="22"/>
                <w:szCs w:val="22"/>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 of the Restricted Stock Units.</w:t>
            </w:r>
          </w:p>
        </w:tc>
      </w:tr>
      <w:tr>
        <w:trPr>
          <w:trHeight w:val="264"/>
        </w:trPr>
        <w:tc>
          <w:tcPr>
            <w:tcW w:w="4000" w:type="dxa"/>
            <w:vAlign w:val="bottom"/>
            <w:gridSpan w:val="2"/>
          </w:tcPr>
          <w:p>
            <w:pPr>
              <w:spacing w:after="0"/>
              <w:rPr>
                <w:sz w:val="20"/>
                <w:szCs w:val="20"/>
                <w:color w:val="auto"/>
              </w:rPr>
            </w:pPr>
            <w:r>
              <w:rPr>
                <w:rFonts w:ascii="Arial" w:cs="Arial" w:eastAsia="Arial" w:hAnsi="Arial"/>
                <w:sz w:val="18"/>
                <w:szCs w:val="18"/>
                <w:color w:val="auto"/>
              </w:rPr>
              <w:t>Vesting Date of Restricted Stock Units:</w:t>
            </w:r>
          </w:p>
        </w:tc>
        <w:tc>
          <w:tcPr>
            <w:tcW w:w="7280" w:type="dxa"/>
            <w:vAlign w:val="bottom"/>
            <w:gridSpan w:val="4"/>
          </w:tcPr>
          <w:p>
            <w:pPr>
              <w:spacing w:after="0"/>
              <w:rPr>
                <w:sz w:val="20"/>
                <w:szCs w:val="20"/>
                <w:color w:val="auto"/>
              </w:rPr>
            </w:pPr>
            <w:r>
              <w:rPr>
                <w:rFonts w:ascii="Arial" w:cs="Arial" w:eastAsia="Arial" w:hAnsi="Arial"/>
                <w:sz w:val="18"/>
                <w:szCs w:val="18"/>
                <w:color w:val="auto"/>
                <w:w w:val="87"/>
              </w:rPr>
              <w:t>2014 RSUs. As to the 2014 RSUs, September 23, 2014, provided that the Performance Goal is satisfied</w:t>
            </w:r>
          </w:p>
        </w:tc>
      </w:tr>
      <w:tr>
        <w:trPr>
          <w:trHeight w:val="20"/>
        </w:trPr>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35"/>
        </w:trPr>
        <w:tc>
          <w:tcPr>
            <w:tcW w:w="2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280" w:type="dxa"/>
            <w:vAlign w:val="bottom"/>
            <w:gridSpan w:val="4"/>
          </w:tcPr>
          <w:p>
            <w:pPr>
              <w:spacing w:after="0"/>
              <w:rPr>
                <w:sz w:val="20"/>
                <w:szCs w:val="20"/>
                <w:color w:val="auto"/>
              </w:rPr>
            </w:pPr>
            <w:r>
              <w:rPr>
                <w:rFonts w:ascii="Arial" w:cs="Arial" w:eastAsia="Arial" w:hAnsi="Arial"/>
                <w:sz w:val="18"/>
                <w:szCs w:val="18"/>
                <w:color w:val="auto"/>
              </w:rPr>
              <w:t>for the 12-consecutive-month period ending June 30, 2014.</w:t>
            </w:r>
          </w:p>
        </w:tc>
      </w:tr>
    </w:tbl>
    <w:p>
      <w:pPr>
        <w:spacing w:after="0" w:line="61" w:lineRule="exact"/>
        <w:rPr>
          <w:sz w:val="20"/>
          <w:szCs w:val="20"/>
          <w:color w:val="auto"/>
        </w:rPr>
      </w:pPr>
    </w:p>
    <w:p>
      <w:pPr>
        <w:ind w:left="4000"/>
        <w:spacing w:after="0" w:line="298" w:lineRule="auto"/>
        <w:rPr>
          <w:sz w:val="20"/>
          <w:szCs w:val="20"/>
          <w:color w:val="auto"/>
        </w:rPr>
      </w:pPr>
      <w:r>
        <w:rPr>
          <w:rFonts w:ascii="Arial" w:cs="Arial" w:eastAsia="Arial" w:hAnsi="Arial"/>
          <w:sz w:val="16"/>
          <w:szCs w:val="16"/>
          <w:color w:val="auto"/>
        </w:rPr>
        <w:t>Notwithstanding anything herein to the contrary, to the extent a Vesting Date for any 2014 RSUs has not occurred on or prior to September 23, 2014, such 2014 RSUs which have not vested and become nonforfeitable shall immediately and automatically, without any action on the part of the Grantee or the Company, be forfeited by the Grantee and deemed canceled.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30, 2013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2"/>
    </w:lvl>
    <w:lvl w:ilvl="1">
      <w:lvlJc w:val="left"/>
      <w:lvlText w:val="•"/>
      <w:numFmt w:val="bullet"/>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decimal"/>
      <w:start w:val="31"/>
    </w:lvl>
  </w:abstractNum>
  <w:abstractNum w:abstractNumId="10">
    <w:nsid w:val="721DA317"/>
    <w:multiLevelType w:val="hybridMultilevel"/>
    <w:lvl w:ilvl="0">
      <w:lvlJc w:val="left"/>
      <w:lvlText w:val="*"/>
      <w:numFmt w:val="bullet"/>
      <w:start w:val="1"/>
    </w:lvl>
    <w:lvl w:ilvl="1">
      <w:lvlJc w:val="left"/>
      <w:lvlText w:val="%2"/>
      <w:numFmt w:val="decimal"/>
      <w:start w:val="101"/>
    </w:lvl>
  </w:abstractNum>
  <w:abstractNum w:abstractNumId="11">
    <w:nsid w:val="2443A85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2">
    <w:nsid w:val="2D1D5AE9"/>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5"/>
    </w:lvl>
    <w:lvl w:ilvl="3">
      <w:lvlJc w:val="left"/>
      <w:lvlText w:val="(%4)"/>
      <w:numFmt w:val="decimal"/>
      <w:start w:val="1"/>
    </w:lvl>
  </w:abstractNum>
  <w:abstractNum w:abstractNumId="13">
    <w:nsid w:val="6763845E"/>
    <w:multiLevelType w:val="hybridMultilevel"/>
    <w:lvl w:ilvl="0">
      <w:lvlJc w:val="left"/>
      <w:lvlText w:val="(%1)"/>
      <w:numFmt w:val="lowerLetter"/>
      <w:start w:val="10"/>
    </w:lvl>
  </w:abstractNum>
  <w:abstractNum w:abstractNumId="14">
    <w:nsid w:val="75A2A8D4"/>
    <w:multiLevelType w:val="hybridMultilevel"/>
    <w:lvl w:ilvl="0">
      <w:lvlJc w:val="left"/>
      <w:lvlText w:val="(%1)"/>
      <w:numFmt w:val="lowerLetter"/>
      <w:start w:val="12"/>
    </w:lvl>
    <w:lvl w:ilvl="1">
      <w:lvlJc w:val="left"/>
      <w:lvlText w:val="(%2)"/>
      <w:numFmt w:val="decimal"/>
      <w:start w:val="1"/>
    </w:lvl>
  </w:abstractNum>
  <w:abstractNum w:abstractNumId="15">
    <w:nsid w:val="8EDBDAB"/>
    <w:multiLevelType w:val="hybridMultilevel"/>
    <w:lvl w:ilvl="0">
      <w:lvlJc w:val="left"/>
      <w:lvlText w:val="%1"/>
      <w:numFmt w:val="decimal"/>
      <w:start w:val="1"/>
    </w:lvl>
    <w:lvl w:ilvl="1">
      <w:lvlJc w:val="left"/>
      <w:lvlText w:val="(%2)"/>
      <w:numFmt w:val="lowerLetter"/>
      <w:start w:val="17"/>
    </w:lvl>
  </w:abstractNum>
  <w:abstractNum w:abstractNumId="16">
    <w:nsid w:val="79838CB2"/>
    <w:multiLevelType w:val="hybridMultilevel"/>
    <w:lvl w:ilvl="0">
      <w:lvlJc w:val="left"/>
      <w:lvlText w:val="%1."/>
      <w:numFmt w:val="decimal"/>
      <w:start w:val="2"/>
    </w:lvl>
    <w:lvl w:ilvl="1">
      <w:lvlJc w:val="left"/>
      <w:lvlText w:val="(%2)"/>
      <w:numFmt w:val="lowerLetter"/>
      <w:start w:val="1"/>
    </w:lvl>
  </w:abstractNum>
  <w:abstractNum w:abstractNumId="17">
    <w:nsid w:val="4353D0CD"/>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8">
    <w:nsid w:val="B03E0C6"/>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19">
    <w:nsid w:val="189A76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0">
    <w:nsid w:val="54E49EB4"/>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1">
    <w:nsid w:val="71F3245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2">
    <w:nsid w:val="2CA88611"/>
    <w:multiLevelType w:val="hybridMultilevel"/>
    <w:lvl w:ilvl="0">
      <w:lvlJc w:val="left"/>
      <w:lvlText w:val="(%1)"/>
      <w:numFmt w:val="lowerLetter"/>
      <w:start w:val="1"/>
    </w:lvl>
    <w:lvl w:ilvl="1">
      <w:lvlJc w:val="left"/>
      <w:lvlText w:val="(%2)"/>
      <w:numFmt w:val="decimal"/>
      <w:start w:val="1"/>
    </w:lvl>
  </w:abstractNum>
  <w:abstractNum w:abstractNumId="23">
    <w:nsid w:val="836C40E"/>
    <w:multiLevelType w:val="hybridMultilevel"/>
    <w:lvl w:ilvl="0">
      <w:lvlJc w:val="left"/>
      <w:lvlText w:val="%1"/>
      <w:numFmt w:val="lowerLetter"/>
      <w:start w:val="1"/>
    </w:lvl>
    <w:lvl w:ilvl="1">
      <w:lvlJc w:val="left"/>
      <w:lvlText w:val="(%2)"/>
      <w:numFmt w:val="decimal"/>
      <w:start w:val="2"/>
    </w:lvl>
  </w:abstractNum>
  <w:abstractNum w:abstractNumId="24">
    <w:nsid w:val="2901D82"/>
    <w:multiLevelType w:val="hybridMultilevel"/>
    <w:lvl w:ilvl="0">
      <w:lvlJc w:val="left"/>
      <w:lvlText w:val="(%1)"/>
      <w:numFmt w:val="lowerLetter"/>
      <w:start w:val="2"/>
    </w:lvl>
    <w:lvl w:ilvl="1">
      <w:lvlJc w:val="left"/>
      <w:lvlText w:val="(%2)"/>
      <w:numFmt w:val="decimal"/>
      <w:start w:val="1"/>
    </w:lvl>
  </w:abstractNum>
  <w:abstractNum w:abstractNumId="25">
    <w:nsid w:val="3A95F874"/>
    <w:multiLevelType w:val="hybridMultilevel"/>
    <w:lvl w:ilvl="0">
      <w:lvlJc w:val="left"/>
      <w:lvlText w:val="%1"/>
      <w:numFmt w:val="decimal"/>
      <w:start w:val="1"/>
    </w:lvl>
    <w:lvl w:ilvl="1">
      <w:lvlJc w:val="left"/>
      <w:lvlText w:val="(%2)"/>
      <w:numFmt w:val="lowerLetter"/>
      <w:start w:val="4"/>
    </w:lvl>
  </w:abstractNum>
  <w:abstractNum w:abstractNumId="26">
    <w:nsid w:val="8138641"/>
    <w:multiLevelType w:val="hybridMultilevel"/>
    <w:lvl w:ilvl="0">
      <w:lvlJc w:val="left"/>
      <w:lvlText w:val="%1."/>
      <w:numFmt w:val="decimal"/>
      <w:start w:val="6"/>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2"/>
    </w:lvl>
  </w:abstractNum>
  <w:abstractNum w:abstractNumId="28">
    <w:nsid w:val="7C3DBD3D"/>
    <w:multiLevelType w:val="hybridMultilevel"/>
    <w:lvl w:ilvl="0">
      <w:lvlJc w:val="left"/>
      <w:lvlText w:val="%1."/>
      <w:numFmt w:val="decimal"/>
      <w:start w:val="9"/>
    </w:lvl>
    <w:lvl w:ilvl="1">
      <w:lvlJc w:val="left"/>
      <w:lvlText w:val="(%2)"/>
      <w:numFmt w:val="lowerLetter"/>
      <w:start w:val="1"/>
    </w:lvl>
  </w:abstractNum>
  <w:abstractNum w:abstractNumId="29">
    <w:nsid w:val="737B8DDC"/>
    <w:multiLevelType w:val="hybridMultilevel"/>
    <w:lvl w:ilvl="0">
      <w:lvlJc w:val="left"/>
      <w:lvlText w:val="(%1)"/>
      <w:numFmt w:val="lowerLetter"/>
      <w:start w:val="3"/>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2019-12-07T03:53:56Z</dcterms:created>
  <dcterms:modified xsi:type="dcterms:W3CDTF">2019-12-07T03:53:56Z</dcterms:modified>
</cp:coreProperties>
</file>