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6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5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229235</wp:posOffset>
            </wp:positionV>
            <wp:extent cx="2933065" cy="763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33065"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4"/>
          <w:szCs w:val="24"/>
          <w:color w:val="auto"/>
        </w:rPr>
      </w:pPr>
    </w:p>
    <w:tbl>
      <w:tblPr>
        <w:tblLayout w:type="fixed"/>
        <w:tblInd w:w="1420" w:type="dxa"/>
        <w:tblCellMar>
          <w:top w:w="0" w:type="dxa"/>
          <w:left w:w="0" w:type="dxa"/>
          <w:bottom w:w="0" w:type="dxa"/>
          <w:right w:w="0" w:type="dxa"/>
        </w:tblCellMar>
      </w:tblPr>
      <w:tr>
        <w:trPr>
          <w:trHeight w:val="222"/>
        </w:trPr>
        <w:tc>
          <w:tcPr>
            <w:tcW w:w="4740" w:type="dxa"/>
            <w:vAlign w:val="bottom"/>
          </w:tcPr>
          <w:p>
            <w:pPr>
              <w:jc w:val="center"/>
              <w:ind w:right="1772"/>
              <w:spacing w:after="0"/>
              <w:rPr>
                <w:sz w:val="20"/>
                <w:szCs w:val="20"/>
                <w:color w:val="auto"/>
              </w:rPr>
            </w:pPr>
            <w:r>
              <w:rPr>
                <w:rFonts w:ascii="Arial" w:cs="Arial" w:eastAsia="Arial" w:hAnsi="Arial"/>
                <w:sz w:val="18"/>
                <w:szCs w:val="18"/>
                <w:b w:val="1"/>
                <w:bCs w:val="1"/>
                <w:color w:val="auto"/>
                <w:w w:val="96"/>
              </w:rPr>
              <w:t>PENNSYLVANIA</w:t>
            </w:r>
          </w:p>
        </w:tc>
        <w:tc>
          <w:tcPr>
            <w:tcW w:w="3180" w:type="dxa"/>
            <w:vAlign w:val="bottom"/>
          </w:tcPr>
          <w:p>
            <w:pPr>
              <w:jc w:val="center"/>
              <w:ind w:left="1772"/>
              <w:spacing w:after="0"/>
              <w:rPr>
                <w:sz w:val="20"/>
                <w:szCs w:val="20"/>
                <w:color w:val="auto"/>
              </w:rPr>
            </w:pPr>
            <w:r>
              <w:rPr>
                <w:rFonts w:ascii="Arial" w:cs="Arial" w:eastAsia="Arial" w:hAnsi="Arial"/>
                <w:sz w:val="18"/>
                <w:szCs w:val="18"/>
                <w:b w:val="1"/>
                <w:bCs w:val="1"/>
                <w:color w:val="auto"/>
                <w:w w:val="87"/>
              </w:rPr>
              <w:t>27-0000798</w:t>
            </w:r>
          </w:p>
        </w:tc>
      </w:tr>
      <w:tr>
        <w:trPr>
          <w:trHeight w:val="216"/>
        </w:trPr>
        <w:tc>
          <w:tcPr>
            <w:tcW w:w="4740" w:type="dxa"/>
            <w:vAlign w:val="bottom"/>
          </w:tcPr>
          <w:p>
            <w:pPr>
              <w:jc w:val="center"/>
              <w:ind w:right="1772"/>
              <w:spacing w:after="0"/>
              <w:rPr>
                <w:sz w:val="20"/>
                <w:szCs w:val="20"/>
                <w:color w:val="auto"/>
              </w:rPr>
            </w:pPr>
            <w:r>
              <w:rPr>
                <w:rFonts w:ascii="Arial" w:cs="Arial" w:eastAsia="Arial" w:hAnsi="Arial"/>
                <w:sz w:val="18"/>
                <w:szCs w:val="18"/>
                <w:color w:val="auto"/>
                <w:w w:val="90"/>
              </w:rPr>
              <w:t>(State or other jurisdiction of</w:t>
            </w:r>
          </w:p>
        </w:tc>
        <w:tc>
          <w:tcPr>
            <w:tcW w:w="3180" w:type="dxa"/>
            <w:vAlign w:val="bottom"/>
          </w:tcPr>
          <w:p>
            <w:pPr>
              <w:jc w:val="center"/>
              <w:ind w:left="1772"/>
              <w:spacing w:after="0"/>
              <w:rPr>
                <w:sz w:val="20"/>
                <w:szCs w:val="20"/>
                <w:color w:val="auto"/>
              </w:rPr>
            </w:pPr>
            <w:r>
              <w:rPr>
                <w:rFonts w:ascii="Arial" w:cs="Arial" w:eastAsia="Arial" w:hAnsi="Arial"/>
                <w:sz w:val="18"/>
                <w:szCs w:val="18"/>
                <w:color w:val="auto"/>
                <w:w w:val="90"/>
              </w:rPr>
              <w:t>(I.R.S. Employer</w:t>
            </w:r>
          </w:p>
        </w:tc>
      </w:tr>
      <w:tr>
        <w:trPr>
          <w:trHeight w:val="222"/>
        </w:trPr>
        <w:tc>
          <w:tcPr>
            <w:tcW w:w="4740" w:type="dxa"/>
            <w:vAlign w:val="bottom"/>
          </w:tcPr>
          <w:p>
            <w:pPr>
              <w:jc w:val="center"/>
              <w:ind w:right="1772"/>
              <w:spacing w:after="0"/>
              <w:rPr>
                <w:sz w:val="20"/>
                <w:szCs w:val="20"/>
                <w:color w:val="auto"/>
              </w:rPr>
            </w:pPr>
            <w:r>
              <w:rPr>
                <w:rFonts w:ascii="Arial" w:cs="Arial" w:eastAsia="Arial" w:hAnsi="Arial"/>
                <w:sz w:val="18"/>
                <w:szCs w:val="18"/>
                <w:color w:val="auto"/>
                <w:w w:val="90"/>
              </w:rPr>
              <w:t>incorporation or organization)</w:t>
            </w:r>
          </w:p>
        </w:tc>
        <w:tc>
          <w:tcPr>
            <w:tcW w:w="3180" w:type="dxa"/>
            <w:vAlign w:val="bottom"/>
          </w:tcPr>
          <w:p>
            <w:pPr>
              <w:jc w:val="center"/>
              <w:ind w:left="1772"/>
              <w:spacing w:after="0"/>
              <w:rPr>
                <w:sz w:val="20"/>
                <w:szCs w:val="20"/>
                <w:color w:val="auto"/>
              </w:rPr>
            </w:pPr>
            <w:r>
              <w:rPr>
                <w:rFonts w:ascii="Arial" w:cs="Arial" w:eastAsia="Arial" w:hAnsi="Arial"/>
                <w:sz w:val="18"/>
                <w:szCs w:val="18"/>
                <w:color w:val="auto"/>
                <w:w w:val="94"/>
              </w:rPr>
              <w:t>Identification No.)</w:t>
            </w:r>
          </w:p>
        </w:tc>
      </w:tr>
      <w:tr>
        <w:trPr>
          <w:trHeight w:val="439"/>
        </w:trPr>
        <w:tc>
          <w:tcPr>
            <w:tcW w:w="4740" w:type="dxa"/>
            <w:vAlign w:val="bottom"/>
          </w:tcPr>
          <w:p>
            <w:pPr>
              <w:jc w:val="center"/>
              <w:ind w:right="1752"/>
              <w:spacing w:after="0"/>
              <w:rPr>
                <w:sz w:val="20"/>
                <w:szCs w:val="20"/>
                <w:color w:val="auto"/>
              </w:rPr>
            </w:pPr>
            <w:r>
              <w:rPr>
                <w:rFonts w:ascii="Arial" w:cs="Arial" w:eastAsia="Arial" w:hAnsi="Arial"/>
                <w:sz w:val="18"/>
                <w:szCs w:val="18"/>
                <w:b w:val="1"/>
                <w:bCs w:val="1"/>
                <w:color w:val="auto"/>
                <w:w w:val="88"/>
              </w:rPr>
              <w:t>One Comcast Center, Philadelphia, PA</w:t>
            </w:r>
          </w:p>
        </w:tc>
        <w:tc>
          <w:tcPr>
            <w:tcW w:w="3180" w:type="dxa"/>
            <w:vAlign w:val="bottom"/>
          </w:tcPr>
          <w:p>
            <w:pPr>
              <w:jc w:val="center"/>
              <w:ind w:left="1772"/>
              <w:spacing w:after="0"/>
              <w:rPr>
                <w:sz w:val="20"/>
                <w:szCs w:val="20"/>
                <w:color w:val="auto"/>
              </w:rPr>
            </w:pPr>
            <w:r>
              <w:rPr>
                <w:rFonts w:ascii="Arial" w:cs="Arial" w:eastAsia="Arial" w:hAnsi="Arial"/>
                <w:sz w:val="18"/>
                <w:szCs w:val="18"/>
                <w:b w:val="1"/>
                <w:bCs w:val="1"/>
                <w:color w:val="auto"/>
                <w:w w:val="87"/>
              </w:rPr>
              <w:t>19103-2838</w:t>
            </w:r>
          </w:p>
        </w:tc>
      </w:tr>
      <w:tr>
        <w:trPr>
          <w:trHeight w:val="222"/>
        </w:trPr>
        <w:tc>
          <w:tcPr>
            <w:tcW w:w="4740" w:type="dxa"/>
            <w:vAlign w:val="bottom"/>
          </w:tcPr>
          <w:p>
            <w:pPr>
              <w:jc w:val="center"/>
              <w:ind w:right="1752"/>
              <w:spacing w:after="0"/>
              <w:rPr>
                <w:sz w:val="20"/>
                <w:szCs w:val="20"/>
                <w:color w:val="auto"/>
              </w:rPr>
            </w:pPr>
            <w:r>
              <w:rPr>
                <w:rFonts w:ascii="Arial" w:cs="Arial" w:eastAsia="Arial" w:hAnsi="Arial"/>
                <w:sz w:val="18"/>
                <w:szCs w:val="18"/>
                <w:color w:val="auto"/>
                <w:w w:val="90"/>
              </w:rPr>
              <w:t>(Address of principal executive offices)</w:t>
            </w:r>
          </w:p>
        </w:tc>
        <w:tc>
          <w:tcPr>
            <w:tcW w:w="3180" w:type="dxa"/>
            <w:vAlign w:val="bottom"/>
          </w:tcPr>
          <w:p>
            <w:pPr>
              <w:jc w:val="center"/>
              <w:ind w:left="1772"/>
              <w:spacing w:after="0"/>
              <w:rPr>
                <w:sz w:val="20"/>
                <w:szCs w:val="20"/>
                <w:color w:val="auto"/>
              </w:rPr>
            </w:pPr>
            <w:r>
              <w:rPr>
                <w:rFonts w:ascii="Arial" w:cs="Arial" w:eastAsia="Arial" w:hAnsi="Arial"/>
                <w:sz w:val="18"/>
                <w:szCs w:val="18"/>
                <w:color w:val="auto"/>
                <w:w w:val="89"/>
              </w:rPr>
              <w:t>(Zip Code)</w:t>
            </w: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(215) 286-1700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5" w:lineRule="exact"/>
        <w:rPr>
          <w:sz w:val="24"/>
          <w:szCs w:val="24"/>
          <w:color w:val="auto"/>
        </w:rPr>
      </w:pPr>
    </w:p>
    <w:p>
      <w:pPr>
        <w:ind w:right="3300" w:firstLine="5"/>
        <w:spacing w:after="0" w:line="27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w:t>
      </w:r>
    </w:p>
    <w:p>
      <w:pPr>
        <w:spacing w:after="0" w:line="2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As of September 30, 2012, there were 2,118,906,684 shares of our Class A common stock, 528,911,913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jc w:val="right"/>
              <w:ind w:right="92"/>
              <w:spacing w:after="0" w:line="152" w:lineRule="exact"/>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340" w:type="dxa"/>
            <w:vAlign w:val="bottom"/>
            <w:gridSpan w:val="16"/>
          </w:tcPr>
          <w:p>
            <w:pPr>
              <w:spacing w:after="0" w:line="129" w:lineRule="exact"/>
              <w:rPr>
                <w:sz w:val="20"/>
                <w:szCs w:val="20"/>
                <w:color w:val="auto"/>
              </w:rPr>
            </w:pPr>
            <w:r>
              <w:rPr>
                <w:rFonts w:ascii="Arial" w:cs="Arial" w:eastAsia="Arial" w:hAnsi="Arial"/>
                <w:sz w:val="14"/>
                <w:szCs w:val="14"/>
                <w:b w:val="1"/>
                <w:bCs w:val="1"/>
                <w:color w:val="auto"/>
              </w:rPr>
              <w:t>PART I. FINANCIAL INFORMATION</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80" w:type="dxa"/>
            <w:vAlign w:val="bottom"/>
            <w:gridSpan w:val="2"/>
          </w:tcPr>
          <w:p>
            <w:pPr>
              <w:ind w:left="800"/>
              <w:spacing w:after="0" w:line="148" w:lineRule="exact"/>
              <w:rPr>
                <w:sz w:val="20"/>
                <w:szCs w:val="20"/>
                <w:color w:val="auto"/>
              </w:rPr>
            </w:pPr>
            <w:r>
              <w:rPr>
                <w:rFonts w:ascii="Arial" w:cs="Arial" w:eastAsia="Arial" w:hAnsi="Arial"/>
                <w:sz w:val="14"/>
                <w:szCs w:val="14"/>
                <w:b w:val="1"/>
                <w:bCs w:val="1"/>
                <w:color w:val="auto"/>
              </w:rPr>
              <w:t>Item 1.</w:t>
            </w:r>
          </w:p>
        </w:tc>
        <w:tc>
          <w:tcPr>
            <w:tcW w:w="1140" w:type="dxa"/>
            <w:vAlign w:val="bottom"/>
            <w:tcBorders>
              <w:bottom w:val="single" w:sz="8" w:color="0000EE"/>
            </w:tcBorders>
            <w:gridSpan w:val="4"/>
          </w:tcPr>
          <w:p>
            <w:pPr>
              <w:spacing w:after="0" w:line="148" w:lineRule="exact"/>
              <w:rPr>
                <w:rFonts w:ascii="Arial" w:cs="Arial" w:eastAsia="Arial" w:hAnsi="Arial"/>
                <w:sz w:val="14"/>
                <w:szCs w:val="14"/>
                <w:color w:val="0000EE"/>
                <w:w w:val="85"/>
              </w:rPr>
            </w:pPr>
            <w:hyperlink w:anchor="page3">
              <w:r>
                <w:rPr>
                  <w:rFonts w:ascii="Arial" w:cs="Arial" w:eastAsia="Arial" w:hAnsi="Arial"/>
                  <w:sz w:val="14"/>
                  <w:szCs w:val="14"/>
                  <w:color w:val="0000EE"/>
                  <w:w w:val="85"/>
                </w:rPr>
                <w:t>Financial Statements</w:t>
              </w:r>
            </w:hyperlink>
          </w:p>
        </w:tc>
        <w:tc>
          <w:tcPr>
            <w:tcW w:w="7220" w:type="dxa"/>
            <w:vAlign w:val="bottom"/>
            <w:gridSpan w:val="10"/>
          </w:tcPr>
          <w:p>
            <w:pPr>
              <w:spacing w:after="0"/>
              <w:rPr>
                <w:sz w:val="12"/>
                <w:szCs w:val="12"/>
                <w:color w:val="auto"/>
              </w:rPr>
            </w:pPr>
          </w:p>
        </w:tc>
        <w:tc>
          <w:tcPr>
            <w:tcW w:w="1060" w:type="dxa"/>
            <w:vAlign w:val="bottom"/>
          </w:tcPr>
          <w:p>
            <w:pPr>
              <w:jc w:val="right"/>
              <w:spacing w:after="0" w:line="148"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580" w:type="dxa"/>
            <w:vAlign w:val="bottom"/>
            <w:tcBorders>
              <w:bottom w:val="single" w:sz="8" w:color="0000EE"/>
            </w:tcBorders>
            <w:gridSpan w:val="10"/>
          </w:tcPr>
          <w:p>
            <w:pPr>
              <w:spacing w:after="0" w:line="129" w:lineRule="exact"/>
              <w:rPr>
                <w:rFonts w:ascii="Arial" w:cs="Arial" w:eastAsia="Arial" w:hAnsi="Arial"/>
                <w:sz w:val="14"/>
                <w:szCs w:val="14"/>
                <w:color w:val="0000EE"/>
                <w:w w:val="85"/>
              </w:rPr>
            </w:pPr>
            <w:hyperlink w:anchor="page3">
              <w:r>
                <w:rPr>
                  <w:rFonts w:ascii="Arial" w:cs="Arial" w:eastAsia="Arial" w:hAnsi="Arial"/>
                  <w:sz w:val="14"/>
                  <w:szCs w:val="14"/>
                  <w:color w:val="0000EE"/>
                  <w:w w:val="85"/>
                </w:rPr>
                <w:t>Condensed Consolidated Balance Sheet as of September 30, 2012 and December 31, 2011 (Unaudited)</w:t>
              </w:r>
            </w:hyperlink>
          </w:p>
        </w:tc>
        <w:tc>
          <w:tcPr>
            <w:tcW w:w="2780" w:type="dxa"/>
            <w:vAlign w:val="bottom"/>
            <w:gridSpan w:val="4"/>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940" w:type="dxa"/>
            <w:vAlign w:val="bottom"/>
            <w:tcBorders>
              <w:bottom w:val="single" w:sz="8" w:color="0000EE"/>
            </w:tcBorders>
            <w:gridSpan w:val="12"/>
          </w:tcPr>
          <w:p>
            <w:pPr>
              <w:spacing w:after="0" w:line="129" w:lineRule="exact"/>
              <w:rPr>
                <w:rFonts w:ascii="Arial" w:cs="Arial" w:eastAsia="Arial" w:hAnsi="Arial"/>
                <w:sz w:val="14"/>
                <w:szCs w:val="14"/>
                <w:color w:val="0000EE"/>
                <w:w w:val="86"/>
              </w:rPr>
            </w:pPr>
            <w:hyperlink w:anchor="page4">
              <w:r>
                <w:rPr>
                  <w:rFonts w:ascii="Arial" w:cs="Arial" w:eastAsia="Arial" w:hAnsi="Arial"/>
                  <w:sz w:val="14"/>
                  <w:szCs w:val="14"/>
                  <w:color w:val="0000EE"/>
                  <w:w w:val="86"/>
                </w:rPr>
                <w:t>Condensed Consolidated Statement of Income for the Three and Nine Months Ended September 30, 2012 and 2011 (Unaudited)</w:t>
              </w:r>
            </w:hyperlink>
          </w:p>
        </w:tc>
        <w:tc>
          <w:tcPr>
            <w:tcW w:w="1420" w:type="dxa"/>
            <w:vAlign w:val="bottom"/>
            <w:gridSpan w:val="2"/>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360" w:type="dxa"/>
            <w:vAlign w:val="bottom"/>
            <w:gridSpan w:val="14"/>
          </w:tcPr>
          <w:p>
            <w:pPr>
              <w:spacing w:after="0" w:line="129" w:lineRule="exact"/>
              <w:rPr>
                <w:rFonts w:ascii="Arial" w:cs="Arial" w:eastAsia="Arial" w:hAnsi="Arial"/>
                <w:sz w:val="14"/>
                <w:szCs w:val="14"/>
                <w:color w:val="0000EE"/>
                <w:w w:val="92"/>
              </w:rPr>
            </w:pPr>
            <w:hyperlink w:anchor="page5">
              <w:r>
                <w:rPr>
                  <w:rFonts w:ascii="Arial" w:cs="Arial" w:eastAsia="Arial" w:hAnsi="Arial"/>
                  <w:sz w:val="14"/>
                  <w:szCs w:val="14"/>
                  <w:color w:val="0000EE"/>
                  <w:w w:val="92"/>
                </w:rPr>
                <w:t>Condensed Consolidated Statement of Comprehensive Income for the Three and Nine Months Ended September 30, 2012 and 2011 (Unaudited)</w:t>
              </w:r>
            </w:hyperlink>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20" w:type="dxa"/>
            <w:vAlign w:val="bottom"/>
            <w:tcBorders>
              <w:top w:val="single" w:sz="8" w:color="0000EE"/>
            </w:tcBorders>
            <w:gridSpan w:val="13"/>
          </w:tcPr>
          <w:p>
            <w:pPr>
              <w:spacing w:after="0" w:line="129" w:lineRule="exact"/>
              <w:rPr>
                <w:rFonts w:ascii="Arial" w:cs="Arial" w:eastAsia="Arial" w:hAnsi="Arial"/>
                <w:sz w:val="14"/>
                <w:szCs w:val="14"/>
                <w:color w:val="0000EE"/>
              </w:rPr>
            </w:pPr>
            <w:hyperlink w:anchor="page6">
              <w:r>
                <w:rPr>
                  <w:rFonts w:ascii="Arial" w:cs="Arial" w:eastAsia="Arial" w:hAnsi="Arial"/>
                  <w:sz w:val="14"/>
                  <w:szCs w:val="14"/>
                  <w:color w:val="0000EE"/>
                </w:rPr>
                <w:t>Condensed Consolidated Statement of Cash Flows for the Nine Months Ended September 30, 2012 and 2011 (Unaudited)</w:t>
              </w:r>
            </w:hyperlink>
          </w:p>
        </w:tc>
        <w:tc>
          <w:tcPr>
            <w:tcW w:w="540" w:type="dxa"/>
            <w:vAlign w:val="bottom"/>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6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360" w:type="dxa"/>
            <w:vAlign w:val="bottom"/>
            <w:gridSpan w:val="14"/>
          </w:tcPr>
          <w:p>
            <w:pPr>
              <w:spacing w:after="0" w:line="129" w:lineRule="exact"/>
              <w:rPr>
                <w:rFonts w:ascii="Arial" w:cs="Arial" w:eastAsia="Arial" w:hAnsi="Arial"/>
                <w:sz w:val="14"/>
                <w:szCs w:val="14"/>
                <w:color w:val="0000EE"/>
              </w:rPr>
            </w:pPr>
            <w:hyperlink w:anchor="page7">
              <w:r>
                <w:rPr>
                  <w:rFonts w:ascii="Arial" w:cs="Arial" w:eastAsia="Arial" w:hAnsi="Arial"/>
                  <w:sz w:val="14"/>
                  <w:szCs w:val="14"/>
                  <w:color w:val="0000EE"/>
                </w:rPr>
                <w:t>Condensed Consolidated Statement of Changes in Equity for the Nine Months Ended September 30, 2012 and 2011 (Unaudited)</w:t>
              </w:r>
            </w:hyperlink>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Item 2.</w:t>
            </w:r>
          </w:p>
        </w:tc>
        <w:tc>
          <w:tcPr>
            <w:tcW w:w="6940" w:type="dxa"/>
            <w:vAlign w:val="bottom"/>
            <w:tcBorders>
              <w:top w:val="single" w:sz="8" w:color="0000EE"/>
            </w:tcBorders>
            <w:gridSpan w:val="12"/>
          </w:tcPr>
          <w:p>
            <w:pPr>
              <w:spacing w:after="0" w:line="129" w:lineRule="exact"/>
              <w:rPr>
                <w:rFonts w:ascii="Arial" w:cs="Arial" w:eastAsia="Arial" w:hAnsi="Arial"/>
                <w:sz w:val="14"/>
                <w:szCs w:val="14"/>
                <w:color w:val="0000EE"/>
              </w:rPr>
            </w:pPr>
            <w:hyperlink w:anchor="page8">
              <w:r>
                <w:rPr>
                  <w:rFonts w:ascii="Arial" w:cs="Arial" w:eastAsia="Arial" w:hAnsi="Arial"/>
                  <w:sz w:val="14"/>
                  <w:szCs w:val="14"/>
                  <w:color w:val="0000EE"/>
                </w:rPr>
                <w:t>Notes to Condensed Consolidated Financial Statements (Unaudited)</w:t>
              </w:r>
            </w:hyperlink>
          </w:p>
        </w:tc>
        <w:tc>
          <w:tcPr>
            <w:tcW w:w="1420" w:type="dxa"/>
            <w:vAlign w:val="bottom"/>
            <w:gridSpan w:val="2"/>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3700" w:type="dxa"/>
            <w:vAlign w:val="bottom"/>
            <w:tcBorders>
              <w:top w:val="single" w:sz="8" w:color="0000EE"/>
            </w:tcBorders>
            <w:gridSpan w:val="8"/>
          </w:tcPr>
          <w:p>
            <w:pPr>
              <w:spacing w:after="0" w:line="129" w:lineRule="exact"/>
              <w:rPr>
                <w:rFonts w:ascii="Arial" w:cs="Arial" w:eastAsia="Arial" w:hAnsi="Arial"/>
                <w:sz w:val="14"/>
                <w:szCs w:val="14"/>
                <w:color w:val="0000EE"/>
                <w:w w:val="89"/>
              </w:rPr>
            </w:pPr>
            <w:hyperlink w:anchor="page30">
              <w:r>
                <w:rPr>
                  <w:rFonts w:ascii="Arial" w:cs="Arial" w:eastAsia="Arial" w:hAnsi="Arial"/>
                  <w:sz w:val="14"/>
                  <w:szCs w:val="14"/>
                  <w:color w:val="0000EE"/>
                  <w:w w:val="89"/>
                </w:rPr>
                <w:t>Management’s Discussion and Analysis of Financial Condition and</w:t>
              </w:r>
            </w:hyperlink>
          </w:p>
        </w:tc>
        <w:tc>
          <w:tcPr>
            <w:tcW w:w="4660" w:type="dxa"/>
            <w:vAlign w:val="bottom"/>
            <w:gridSpan w:val="6"/>
          </w:tcPr>
          <w:p>
            <w:pPr>
              <w:spacing w:after="0" w:line="129" w:lineRule="exact"/>
              <w:rPr>
                <w:rFonts w:ascii="Arial" w:cs="Arial" w:eastAsia="Arial" w:hAnsi="Arial"/>
                <w:sz w:val="14"/>
                <w:szCs w:val="14"/>
                <w:color w:val="0000EE"/>
              </w:rPr>
            </w:pPr>
            <w:hyperlink w:anchor="page30">
              <w:r>
                <w:rPr>
                  <w:rFonts w:ascii="Arial" w:cs="Arial" w:eastAsia="Arial" w:hAnsi="Arial"/>
                  <w:sz w:val="14"/>
                  <w:szCs w:val="14"/>
                  <w:color w:val="0000EE"/>
                </w:rPr>
                <w:t>Results of Operations</w:t>
              </w:r>
            </w:hyperlink>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3.</w:t>
            </w:r>
          </w:p>
        </w:tc>
        <w:tc>
          <w:tcPr>
            <w:tcW w:w="4860" w:type="dxa"/>
            <w:vAlign w:val="bottom"/>
            <w:tcBorders>
              <w:top w:val="single" w:sz="8" w:color="0000EE"/>
            </w:tcBorders>
            <w:gridSpan w:val="9"/>
          </w:tcPr>
          <w:p>
            <w:pPr>
              <w:spacing w:after="0" w:line="129" w:lineRule="exact"/>
              <w:rPr>
                <w:rFonts w:ascii="Arial" w:cs="Arial" w:eastAsia="Arial" w:hAnsi="Arial"/>
                <w:sz w:val="14"/>
                <w:szCs w:val="14"/>
                <w:color w:val="0000EE"/>
              </w:rPr>
            </w:pPr>
            <w:hyperlink w:anchor="page44">
              <w:r>
                <w:rPr>
                  <w:rFonts w:ascii="Arial" w:cs="Arial" w:eastAsia="Arial" w:hAnsi="Arial"/>
                  <w:sz w:val="14"/>
                  <w:szCs w:val="14"/>
                  <w:color w:val="0000EE"/>
                </w:rPr>
                <w:t>Quantitative and Qualitative Disclosures About Market Risk</w:t>
              </w:r>
            </w:hyperlink>
          </w:p>
        </w:tc>
        <w:tc>
          <w:tcPr>
            <w:tcW w:w="3500" w:type="dxa"/>
            <w:vAlign w:val="bottom"/>
            <w:gridSpan w:val="5"/>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4.</w:t>
            </w:r>
          </w:p>
        </w:tc>
        <w:tc>
          <w:tcPr>
            <w:tcW w:w="3280" w:type="dxa"/>
            <w:vAlign w:val="bottom"/>
            <w:tcBorders>
              <w:top w:val="single" w:sz="8" w:color="0000EE"/>
            </w:tcBorders>
            <w:gridSpan w:val="7"/>
          </w:tcPr>
          <w:p>
            <w:pPr>
              <w:spacing w:after="0" w:line="129" w:lineRule="exact"/>
              <w:rPr>
                <w:rFonts w:ascii="Arial" w:cs="Arial" w:eastAsia="Arial" w:hAnsi="Arial"/>
                <w:sz w:val="14"/>
                <w:szCs w:val="14"/>
                <w:color w:val="0000EE"/>
              </w:rPr>
            </w:pPr>
            <w:hyperlink w:anchor="page44">
              <w:r>
                <w:rPr>
                  <w:rFonts w:ascii="Arial" w:cs="Arial" w:eastAsia="Arial" w:hAnsi="Arial"/>
                  <w:sz w:val="14"/>
                  <w:szCs w:val="14"/>
                  <w:color w:val="0000EE"/>
                </w:rPr>
                <w:t>Controls and Procedures</w:t>
              </w:r>
            </w:hyperlink>
          </w:p>
        </w:tc>
        <w:tc>
          <w:tcPr>
            <w:tcW w:w="5080" w:type="dxa"/>
            <w:vAlign w:val="bottom"/>
            <w:gridSpan w:val="7"/>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29"/>
        </w:trPr>
        <w:tc>
          <w:tcPr>
            <w:tcW w:w="2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4"/>
              </w:rPr>
              <w:t>PART II. OTHER INFORMATION</w:t>
            </w:r>
          </w:p>
        </w:tc>
        <w:tc>
          <w:tcPr>
            <w:tcW w:w="4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gridSpan w:val="2"/>
          </w:tcPr>
          <w:p>
            <w:pPr>
              <w:spacing w:after="0"/>
              <w:rPr>
                <w:sz w:val="11"/>
                <w:szCs w:val="11"/>
                <w:color w:val="auto"/>
              </w:rPr>
            </w:pPr>
          </w:p>
        </w:tc>
        <w:tc>
          <w:tcPr>
            <w:tcW w:w="1920" w:type="dxa"/>
            <w:vAlign w:val="bottom"/>
          </w:tcPr>
          <w:p>
            <w:pPr>
              <w:spacing w:after="0"/>
              <w:rPr>
                <w:sz w:val="11"/>
                <w:szCs w:val="11"/>
                <w:color w:val="auto"/>
              </w:rPr>
            </w:pPr>
          </w:p>
        </w:tc>
        <w:tc>
          <w:tcPr>
            <w:tcW w:w="5100" w:type="dxa"/>
            <w:vAlign w:val="bottom"/>
            <w:gridSpan w:val="8"/>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80" w:type="dxa"/>
            <w:vAlign w:val="bottom"/>
            <w:gridSpan w:val="2"/>
          </w:tcPr>
          <w:p>
            <w:pPr>
              <w:ind w:left="800"/>
              <w:spacing w:after="0" w:line="148" w:lineRule="exact"/>
              <w:rPr>
                <w:sz w:val="20"/>
                <w:szCs w:val="20"/>
                <w:color w:val="auto"/>
              </w:rPr>
            </w:pPr>
            <w:r>
              <w:rPr>
                <w:rFonts w:ascii="Arial" w:cs="Arial" w:eastAsia="Arial" w:hAnsi="Arial"/>
                <w:sz w:val="14"/>
                <w:szCs w:val="14"/>
                <w:b w:val="1"/>
                <w:bCs w:val="1"/>
                <w:color w:val="auto"/>
              </w:rPr>
              <w:t>Item 1.</w:t>
            </w:r>
          </w:p>
        </w:tc>
        <w:tc>
          <w:tcPr>
            <w:tcW w:w="8360" w:type="dxa"/>
            <w:vAlign w:val="bottom"/>
            <w:gridSpan w:val="14"/>
          </w:tcPr>
          <w:p>
            <w:pPr>
              <w:spacing w:after="0" w:line="148" w:lineRule="exact"/>
              <w:rPr>
                <w:rFonts w:ascii="Arial" w:cs="Arial" w:eastAsia="Arial" w:hAnsi="Arial"/>
                <w:sz w:val="14"/>
                <w:szCs w:val="14"/>
                <w:color w:val="0000EE"/>
              </w:rPr>
            </w:pPr>
            <w:hyperlink w:anchor="page44">
              <w:r>
                <w:rPr>
                  <w:rFonts w:ascii="Arial" w:cs="Arial" w:eastAsia="Arial" w:hAnsi="Arial"/>
                  <w:sz w:val="14"/>
                  <w:szCs w:val="14"/>
                  <w:color w:val="0000EE"/>
                </w:rPr>
                <w:t>Legal Proceedings</w:t>
              </w:r>
            </w:hyperlink>
          </w:p>
        </w:tc>
        <w:tc>
          <w:tcPr>
            <w:tcW w:w="1060" w:type="dxa"/>
            <w:vAlign w:val="bottom"/>
          </w:tcPr>
          <w:p>
            <w:pPr>
              <w:jc w:val="right"/>
              <w:spacing w:after="0" w:line="148"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1A.</w:t>
            </w:r>
          </w:p>
        </w:tc>
        <w:tc>
          <w:tcPr>
            <w:tcW w:w="1000" w:type="dxa"/>
            <w:vAlign w:val="bottom"/>
            <w:tcBorders>
              <w:top w:val="single" w:sz="8" w:color="0000EE"/>
            </w:tcBorders>
            <w:gridSpan w:val="3"/>
          </w:tcPr>
          <w:p>
            <w:pPr>
              <w:spacing w:after="0" w:line="129" w:lineRule="exact"/>
              <w:rPr>
                <w:rFonts w:ascii="Arial" w:cs="Arial" w:eastAsia="Arial" w:hAnsi="Arial"/>
                <w:sz w:val="14"/>
                <w:szCs w:val="14"/>
                <w:color w:val="0000EE"/>
              </w:rPr>
            </w:pPr>
            <w:hyperlink w:anchor="page45">
              <w:r>
                <w:rPr>
                  <w:rFonts w:ascii="Arial" w:cs="Arial" w:eastAsia="Arial" w:hAnsi="Arial"/>
                  <w:sz w:val="14"/>
                  <w:szCs w:val="14"/>
                  <w:color w:val="0000EE"/>
                </w:rPr>
                <w:t>Risk Factors</w:t>
              </w:r>
            </w:hyperlink>
          </w:p>
        </w:tc>
        <w:tc>
          <w:tcPr>
            <w:tcW w:w="2260" w:type="dxa"/>
            <w:vAlign w:val="bottom"/>
            <w:gridSpan w:val="3"/>
          </w:tcPr>
          <w:p>
            <w:pPr>
              <w:spacing w:after="0"/>
              <w:rPr>
                <w:sz w:val="11"/>
                <w:szCs w:val="11"/>
                <w:color w:val="auto"/>
              </w:rPr>
            </w:pPr>
          </w:p>
        </w:tc>
        <w:tc>
          <w:tcPr>
            <w:tcW w:w="5100" w:type="dxa"/>
            <w:vAlign w:val="bottom"/>
            <w:gridSpan w:val="8"/>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2.</w:t>
            </w:r>
          </w:p>
        </w:tc>
        <w:tc>
          <w:tcPr>
            <w:tcW w:w="680" w:type="dxa"/>
            <w:vAlign w:val="bottom"/>
            <w:tcBorders>
              <w:top w:val="single" w:sz="8" w:color="0000EE"/>
            </w:tcBorders>
            <w:gridSpan w:val="2"/>
          </w:tcPr>
          <w:p>
            <w:pPr>
              <w:spacing w:after="0" w:line="129" w:lineRule="exact"/>
              <w:rPr>
                <w:rFonts w:ascii="Arial" w:cs="Arial" w:eastAsia="Arial" w:hAnsi="Arial"/>
                <w:sz w:val="14"/>
                <w:szCs w:val="14"/>
                <w:color w:val="0000EE"/>
                <w:w w:val="82"/>
              </w:rPr>
            </w:pPr>
            <w:hyperlink w:anchor="page45">
              <w:r>
                <w:rPr>
                  <w:rFonts w:ascii="Arial" w:cs="Arial" w:eastAsia="Arial" w:hAnsi="Arial"/>
                  <w:sz w:val="14"/>
                  <w:szCs w:val="14"/>
                  <w:color w:val="0000EE"/>
                  <w:w w:val="82"/>
                </w:rPr>
                <w:t>Unregistered</w:t>
              </w:r>
            </w:hyperlink>
          </w:p>
        </w:tc>
        <w:tc>
          <w:tcPr>
            <w:tcW w:w="7680" w:type="dxa"/>
            <w:vAlign w:val="bottom"/>
            <w:gridSpan w:val="12"/>
          </w:tcPr>
          <w:p>
            <w:pPr>
              <w:ind w:left="60"/>
              <w:spacing w:after="0" w:line="129" w:lineRule="exact"/>
              <w:rPr>
                <w:rFonts w:ascii="Arial" w:cs="Arial" w:eastAsia="Arial" w:hAnsi="Arial"/>
                <w:sz w:val="14"/>
                <w:szCs w:val="14"/>
                <w:color w:val="0000EE"/>
              </w:rPr>
            </w:pPr>
            <w:hyperlink w:anchor="page45">
              <w:r>
                <w:rPr>
                  <w:rFonts w:ascii="Arial" w:cs="Arial" w:eastAsia="Arial" w:hAnsi="Arial"/>
                  <w:sz w:val="14"/>
                  <w:szCs w:val="14"/>
                  <w:color w:val="0000EE"/>
                </w:rPr>
                <w:t>Sales of Equity Securities and Use of Proceeds</w:t>
              </w:r>
            </w:hyperlink>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6.</w:t>
            </w:r>
          </w:p>
        </w:tc>
        <w:tc>
          <w:tcPr>
            <w:tcW w:w="3260" w:type="dxa"/>
            <w:vAlign w:val="bottom"/>
            <w:tcBorders>
              <w:top w:val="single" w:sz="8" w:color="0000EE"/>
            </w:tcBorders>
            <w:gridSpan w:val="6"/>
          </w:tcPr>
          <w:p>
            <w:pPr>
              <w:spacing w:after="0" w:line="129" w:lineRule="exact"/>
              <w:rPr>
                <w:rFonts w:ascii="Arial" w:cs="Arial" w:eastAsia="Arial" w:hAnsi="Arial"/>
                <w:sz w:val="14"/>
                <w:szCs w:val="14"/>
                <w:color w:val="0000EE"/>
              </w:rPr>
            </w:pPr>
            <w:hyperlink w:anchor="page46">
              <w:r>
                <w:rPr>
                  <w:rFonts w:ascii="Arial" w:cs="Arial" w:eastAsia="Arial" w:hAnsi="Arial"/>
                  <w:sz w:val="14"/>
                  <w:szCs w:val="14"/>
                  <w:color w:val="0000EE"/>
                </w:rPr>
                <w:t>Exhibits</w:t>
              </w:r>
            </w:hyperlink>
          </w:p>
        </w:tc>
        <w:tc>
          <w:tcPr>
            <w:tcW w:w="5100" w:type="dxa"/>
            <w:vAlign w:val="bottom"/>
            <w:gridSpan w:val="8"/>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29"/>
        </w:trPr>
        <w:tc>
          <w:tcPr>
            <w:tcW w:w="2000" w:type="dxa"/>
            <w:vAlign w:val="bottom"/>
            <w:gridSpan w:val="3"/>
          </w:tcPr>
          <w:p>
            <w:pPr>
              <w:spacing w:after="0" w:line="129" w:lineRule="exact"/>
              <w:rPr>
                <w:rFonts w:ascii="Arial" w:cs="Arial" w:eastAsia="Arial" w:hAnsi="Arial"/>
                <w:sz w:val="14"/>
                <w:szCs w:val="14"/>
                <w:b w:val="1"/>
                <w:bCs w:val="1"/>
                <w:color w:val="0000EE"/>
              </w:rPr>
            </w:pPr>
            <w:hyperlink w:anchor="page47">
              <w:r>
                <w:rPr>
                  <w:rFonts w:ascii="Arial" w:cs="Arial" w:eastAsia="Arial" w:hAnsi="Arial"/>
                  <w:sz w:val="14"/>
                  <w:szCs w:val="14"/>
                  <w:b w:val="1"/>
                  <w:bCs w:val="1"/>
                  <w:color w:val="0000EE"/>
                </w:rPr>
                <w:t>SIGNATURES</w:t>
              </w:r>
            </w:hyperlink>
          </w:p>
        </w:tc>
        <w:tc>
          <w:tcPr>
            <w:tcW w:w="460" w:type="dxa"/>
            <w:vAlign w:val="bottom"/>
            <w:tcBorders>
              <w:top w:val="single" w:sz="8" w:color="0000EE"/>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60" w:type="dxa"/>
            <w:vAlign w:val="bottom"/>
            <w:tcBorders>
              <w:top w:val="single" w:sz="8" w:color="0000EE"/>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This Quarterly Report on Form 10-Q is for the three and nine months ended September 30, 2012. This Quarterly Report modifies and supersedes documents filed prior to this Quarterly Report.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Comcast Corporation as “Comcast;” Comcast and its consolidated subsidiaries, including NBCUniversal, as “we,” “us” and “our;” and Comcast Holdings Corporation as “Comcast Holdings.”</w:t>
      </w:r>
    </w:p>
    <w:p>
      <w:pPr>
        <w:spacing w:after="0" w:line="19"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You should carefully review the information contained in this Quarterly Report and particularly consider any risk factors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these statements are only our predictions. In evaluating these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Our businesses may be affected by, among other things, the following:</w:t>
      </w:r>
    </w:p>
    <w:p>
      <w:pPr>
        <w:spacing w:after="0" w:line="15" w:lineRule="exact"/>
        <w:rPr>
          <w:sz w:val="20"/>
          <w:szCs w:val="20"/>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currently face a wide range of competition, and our businesses and results of operations could be adversely affected if we do not compete effectively</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consumer behavior driven by new technologies may adversely affect our competitive position, businesses and results of operations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programming expenses for our video services are increasing, which could adversely affect our future results of operations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regulation by federal, state, local and foreign authorities, which may impose additional costs and restrictions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weak economic conditions may have a negative impact on our businesses, results of operations and financial condition</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 decline in advertising expenditures or changes in advertising markets could negatively impact our results of operations</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NBCUniversal’s success depends on consumer acceptance of its content, which is difficult to predict, and our results of operations may be adversely affected if our content fails to achieve sufficient consumer acceptance or our costs to acquire content increase</w:t>
      </w:r>
    </w:p>
    <w:p>
      <w:pPr>
        <w:spacing w:after="0" w:line="3"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our programming distribution agreements, or the renewal of these agreements on less favorable terms, could adversely affect our businesses and results of operations</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depend on keeping pace with technological developments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depend on using and protecting certain intellectual property rights and on not infringing the intellectual property rights of others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sales of DVDs have been declining</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be unable to obtain necessary hardware, software and operational support</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labor disputes, whether involving employees or sports organizations, may disrupt our operations and adversely affect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arising from the outcome of various litigation matters</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acquisitions and other strategic transactions present many risks, and we may not realize the financial and strategic goals that were contemplated at the time of any transaction</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key management personnel or popular on-air and creative talent could have an adverse effect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relating to doing business internationally that could adversely affect our businesses</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color w:val="auto"/>
              </w:rPr>
              <w:t>September 30,</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59"/>
        </w:trPr>
        <w:tc>
          <w:tcPr>
            <w:tcW w:w="858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share data)</w:t>
            </w:r>
          </w:p>
        </w:tc>
        <w:tc>
          <w:tcPr>
            <w:tcW w:w="660" w:type="dxa"/>
            <w:vAlign w:val="bottom"/>
          </w:tcPr>
          <w:p>
            <w:pPr>
              <w:spacing w:after="0"/>
              <w:rPr>
                <w:sz w:val="13"/>
                <w:szCs w:val="13"/>
                <w:color w:val="auto"/>
              </w:rPr>
            </w:pPr>
          </w:p>
        </w:tc>
        <w:tc>
          <w:tcPr>
            <w:tcW w:w="1000" w:type="dxa"/>
            <w:vAlign w:val="bottom"/>
          </w:tcPr>
          <w:p>
            <w:pPr>
              <w:jc w:val="right"/>
              <w:ind w:right="533"/>
              <w:spacing w:after="0" w:line="159" w:lineRule="exact"/>
              <w:rPr>
                <w:sz w:val="20"/>
                <w:szCs w:val="20"/>
                <w:color w:val="auto"/>
              </w:rPr>
            </w:pPr>
            <w:r>
              <w:rPr>
                <w:rFonts w:ascii="Arial" w:cs="Arial" w:eastAsia="Arial" w:hAnsi="Arial"/>
                <w:sz w:val="14"/>
                <w:szCs w:val="14"/>
                <w:color w:val="auto"/>
              </w:rPr>
              <w:t>2012</w:t>
            </w:r>
          </w:p>
        </w:tc>
        <w:tc>
          <w:tcPr>
            <w:tcW w:w="440" w:type="dxa"/>
            <w:vAlign w:val="bottom"/>
          </w:tcPr>
          <w:p>
            <w:pPr>
              <w:spacing w:after="0"/>
              <w:rPr>
                <w:sz w:val="13"/>
                <w:szCs w:val="13"/>
                <w:color w:val="auto"/>
              </w:rPr>
            </w:pPr>
          </w:p>
        </w:tc>
        <w:tc>
          <w:tcPr>
            <w:tcW w:w="74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tcBorders>
              <w:top w:val="single" w:sz="8" w:color="auto"/>
            </w:tcBorders>
            <w:shd w:val="clear" w:color="auto" w:fill="E5E5E5"/>
          </w:tcPr>
          <w:p>
            <w:pPr>
              <w:spacing w:after="0"/>
              <w:rPr>
                <w:sz w:val="18"/>
                <w:szCs w:val="18"/>
                <w:color w:val="auto"/>
              </w:rPr>
            </w:pPr>
          </w:p>
        </w:tc>
        <w:tc>
          <w:tcPr>
            <w:tcW w:w="100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Assets:</w:t>
            </w: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E5E5E5"/>
          </w:tcPr>
          <w:p>
            <w:pPr>
              <w:ind w:left="5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8,899</w:t>
            </w:r>
          </w:p>
        </w:tc>
        <w:tc>
          <w:tcPr>
            <w:tcW w:w="4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66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1,401</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Receivables, net</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5,123</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Programming rights</w:t>
            </w:r>
          </w:p>
        </w:tc>
        <w:tc>
          <w:tcPr>
            <w:tcW w:w="66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1,037</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 current assets</w:t>
            </w:r>
          </w:p>
        </w:tc>
        <w:tc>
          <w:tcPr>
            <w:tcW w:w="66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1,606</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Total current assets</w:t>
            </w:r>
          </w:p>
        </w:tc>
        <w:tc>
          <w:tcPr>
            <w:tcW w:w="66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18,066</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Film and television costs</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4,946</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Investments</w:t>
            </w:r>
          </w:p>
        </w:tc>
        <w:tc>
          <w:tcPr>
            <w:tcW w:w="66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5,951</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9,854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of accumulated depreciation of $38,688 and $36,528</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26,984</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Franchise rights</w:t>
            </w:r>
          </w:p>
        </w:tc>
        <w:tc>
          <w:tcPr>
            <w:tcW w:w="66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59,364</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59,376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27,088</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26,874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$7,573 and $6,665</w:t>
            </w:r>
          </w:p>
        </w:tc>
        <w:tc>
          <w:tcPr>
            <w:tcW w:w="66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17,871</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18,165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66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2,184</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66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w w:val="95"/>
              </w:rPr>
              <w:t>162,454</w:t>
            </w:r>
          </w:p>
        </w:tc>
        <w:tc>
          <w:tcPr>
            <w:tcW w:w="4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5"/>
              </w:rPr>
              <w:t>157,818</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Liabilities:</w:t>
            </w: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660" w:type="dxa"/>
            <w:vAlign w:val="bottom"/>
            <w:shd w:val="clear" w:color="auto" w:fill="E5E5E5"/>
          </w:tcPr>
          <w:p>
            <w:pPr>
              <w:ind w:left="5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6,250</w:t>
            </w:r>
          </w:p>
        </w:tc>
        <w:tc>
          <w:tcPr>
            <w:tcW w:w="4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Accrued participations and residuals</w:t>
            </w:r>
          </w:p>
        </w:tc>
        <w:tc>
          <w:tcPr>
            <w:tcW w:w="66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1,282</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Deferred revenue</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887</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66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6,117</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66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2,799</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66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17,335</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13,241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35,791</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Deferred income taxes</w:t>
            </w:r>
          </w:p>
        </w:tc>
        <w:tc>
          <w:tcPr>
            <w:tcW w:w="66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30,231</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29,932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12,860</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Commitments and contingencies (Note 14)</w:t>
            </w: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16,896</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Equity:</w:t>
            </w: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Preferred stock—authorized, 20,000,000 shares; issued, zero</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w w:val="98"/>
              </w:rPr>
              <w:t>Class A common stock, $0.01 par value—authorized, 7,500,000,000 shares; issued, 2,484,367,434 and</w:t>
            </w: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2,460,937,253; outstanding, 2,118,906,684 and 2,095,476,503</w:t>
            </w:r>
          </w:p>
        </w:tc>
        <w:tc>
          <w:tcPr>
            <w:tcW w:w="660" w:type="dxa"/>
            <w:vAlign w:val="bottom"/>
          </w:tcPr>
          <w:p>
            <w:pPr>
              <w:spacing w:after="0"/>
              <w:rPr>
                <w:sz w:val="19"/>
                <w:szCs w:val="19"/>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2"/>
              </w:rPr>
              <w:t>Class A Special common stock, $0.01 par value—authorized, 7,500,000,000 shares; issued, 599,846,677 and</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shd w:val="clear" w:color="auto" w:fill="E5E5E5"/>
          </w:tcPr>
          <w:p>
            <w:pPr>
              <w:ind w:left="640"/>
              <w:spacing w:after="0"/>
              <w:rPr>
                <w:sz w:val="20"/>
                <w:szCs w:val="20"/>
                <w:color w:val="auto"/>
              </w:rPr>
            </w:pPr>
            <w:r>
              <w:rPr>
                <w:rFonts w:ascii="Arial" w:cs="Arial" w:eastAsia="Arial" w:hAnsi="Arial"/>
                <w:sz w:val="18"/>
                <w:szCs w:val="18"/>
                <w:color w:val="auto"/>
              </w:rPr>
              <w:t>671,947,577; outstanding, 528,911,913 and 601,012,813</w:t>
            </w:r>
          </w:p>
        </w:tc>
        <w:tc>
          <w:tcPr>
            <w:tcW w:w="660" w:type="dxa"/>
            <w:vAlign w:val="bottom"/>
            <w:shd w:val="clear" w:color="auto" w:fill="E5E5E5"/>
          </w:tcPr>
          <w:p>
            <w:pPr>
              <w:spacing w:after="0"/>
              <w:rPr>
                <w:sz w:val="19"/>
                <w:szCs w:val="19"/>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6</w:t>
            </w:r>
          </w:p>
        </w:tc>
        <w:tc>
          <w:tcPr>
            <w:tcW w:w="44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w w:val="94"/>
              </w:rPr>
              <w:t>Class B common stock, $0.01 par value—authorized, 75,000,000 shares; issued and outstanding, 9,444,375</w:t>
            </w:r>
          </w:p>
        </w:tc>
        <w:tc>
          <w:tcPr>
            <w:tcW w:w="66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Additional paid-in capital</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40,652</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40,940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66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15,774</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13,971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8"/>
              </w:rPr>
              <w:t>Treasury stock, 365,460,750 Class A common shares and 70,934,764 Class A Special common shares</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(7,517)</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(48)</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48,892</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47,274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449</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66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49,341</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47,655</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66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w w:val="95"/>
              </w:rPr>
              <w:t>162,454</w:t>
            </w:r>
          </w:p>
        </w:tc>
        <w:tc>
          <w:tcPr>
            <w:tcW w:w="4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5"/>
              </w:rPr>
              <w:t>157,818</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gridSpan w:val="3"/>
          </w:tcPr>
          <w:p>
            <w:pPr>
              <w:jc w:val="right"/>
              <w:ind w:right="393"/>
              <w:spacing w:after="0"/>
              <w:rPr>
                <w:sz w:val="20"/>
                <w:szCs w:val="20"/>
                <w:color w:val="auto"/>
              </w:rPr>
            </w:pPr>
            <w:r>
              <w:rPr>
                <w:rFonts w:ascii="Arial" w:cs="Arial" w:eastAsia="Arial" w:hAnsi="Arial"/>
                <w:sz w:val="14"/>
                <w:szCs w:val="14"/>
                <w:color w:val="auto"/>
                <w:w w:val="96"/>
              </w:rPr>
              <w:t>Three Months Ended</w:t>
            </w:r>
          </w:p>
        </w:tc>
        <w:tc>
          <w:tcPr>
            <w:tcW w:w="280" w:type="dxa"/>
            <w:vAlign w:val="bottom"/>
          </w:tcPr>
          <w:p>
            <w:pPr>
              <w:spacing w:after="0"/>
              <w:rPr>
                <w:sz w:val="14"/>
                <w:szCs w:val="14"/>
                <w:color w:val="auto"/>
              </w:rPr>
            </w:pPr>
          </w:p>
        </w:tc>
        <w:tc>
          <w:tcPr>
            <w:tcW w:w="1600" w:type="dxa"/>
            <w:vAlign w:val="bottom"/>
            <w:gridSpan w:val="3"/>
          </w:tcPr>
          <w:p>
            <w:pPr>
              <w:jc w:val="right"/>
              <w:ind w:right="273"/>
              <w:spacing w:after="0"/>
              <w:rPr>
                <w:sz w:val="20"/>
                <w:szCs w:val="20"/>
                <w:color w:val="auto"/>
              </w:rPr>
            </w:pPr>
            <w:r>
              <w:rPr>
                <w:rFonts w:ascii="Arial" w:cs="Arial" w:eastAsia="Arial" w:hAnsi="Arial"/>
                <w:sz w:val="14"/>
                <w:szCs w:val="14"/>
                <w:color w:val="auto"/>
                <w:w w:val="99"/>
              </w:rPr>
              <w:t>Nine Months Ended</w:t>
            </w:r>
          </w:p>
        </w:tc>
        <w:tc>
          <w:tcPr>
            <w:tcW w:w="0" w:type="dxa"/>
            <w:vAlign w:val="bottom"/>
          </w:tcPr>
          <w:p>
            <w:pPr>
              <w:spacing w:after="0"/>
              <w:rPr>
                <w:sz w:val="1"/>
                <w:szCs w:val="1"/>
                <w:color w:val="auto"/>
              </w:rPr>
            </w:pPr>
          </w:p>
        </w:tc>
      </w:tr>
      <w:tr>
        <w:trPr>
          <w:trHeight w:val="159"/>
        </w:trPr>
        <w:tc>
          <w:tcPr>
            <w:tcW w:w="736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4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593"/>
              <w:spacing w:after="0" w:line="159" w:lineRule="exact"/>
              <w:rPr>
                <w:sz w:val="20"/>
                <w:szCs w:val="20"/>
                <w:color w:val="auto"/>
              </w:rPr>
            </w:pPr>
            <w:r>
              <w:rPr>
                <w:rFonts w:ascii="Arial" w:cs="Arial" w:eastAsia="Arial" w:hAnsi="Arial"/>
                <w:sz w:val="14"/>
                <w:szCs w:val="14"/>
                <w:color w:val="auto"/>
              </w:rPr>
              <w:t>September 30</w:t>
            </w:r>
          </w:p>
        </w:tc>
        <w:tc>
          <w:tcPr>
            <w:tcW w:w="2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453"/>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3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jc w:val="right"/>
              <w:ind w:right="315"/>
              <w:spacing w:after="0" w:line="142" w:lineRule="exact"/>
              <w:rPr>
                <w:sz w:val="20"/>
                <w:szCs w:val="20"/>
                <w:color w:val="auto"/>
              </w:rPr>
            </w:pPr>
            <w:r>
              <w:rPr>
                <w:rFonts w:ascii="Arial" w:cs="Arial" w:eastAsia="Arial" w:hAnsi="Arial"/>
                <w:sz w:val="14"/>
                <w:szCs w:val="14"/>
                <w:color w:val="auto"/>
              </w:rPr>
              <w:t>2012</w:t>
            </w:r>
          </w:p>
        </w:tc>
        <w:tc>
          <w:tcPr>
            <w:tcW w:w="280" w:type="dxa"/>
            <w:vAlign w:val="bottom"/>
          </w:tcPr>
          <w:p>
            <w:pPr>
              <w:spacing w:after="0"/>
              <w:rPr>
                <w:sz w:val="12"/>
                <w:szCs w:val="12"/>
                <w:color w:val="auto"/>
              </w:rPr>
            </w:pPr>
          </w:p>
        </w:tc>
        <w:tc>
          <w:tcPr>
            <w:tcW w:w="740" w:type="dxa"/>
            <w:vAlign w:val="bottom"/>
          </w:tcPr>
          <w:p>
            <w:pPr>
              <w:jc w:val="right"/>
              <w:ind w:right="333"/>
              <w:spacing w:after="0" w:line="142" w:lineRule="exact"/>
              <w:rPr>
                <w:sz w:val="20"/>
                <w:szCs w:val="20"/>
                <w:color w:val="auto"/>
              </w:rPr>
            </w:pPr>
            <w:r>
              <w:rPr>
                <w:rFonts w:ascii="Arial" w:cs="Arial" w:eastAsia="Arial" w:hAnsi="Arial"/>
                <w:sz w:val="14"/>
                <w:szCs w:val="14"/>
                <w:color w:val="auto"/>
                <w:w w:val="96"/>
              </w:rPr>
              <w:t>2011</w:t>
            </w:r>
          </w:p>
        </w:tc>
        <w:tc>
          <w:tcPr>
            <w:tcW w:w="280" w:type="dxa"/>
            <w:vAlign w:val="bottom"/>
          </w:tcPr>
          <w:p>
            <w:pPr>
              <w:spacing w:after="0"/>
              <w:rPr>
                <w:sz w:val="12"/>
                <w:szCs w:val="12"/>
                <w:color w:val="auto"/>
              </w:rPr>
            </w:pPr>
          </w:p>
        </w:tc>
        <w:tc>
          <w:tcPr>
            <w:tcW w:w="720" w:type="dxa"/>
            <w:vAlign w:val="bottom"/>
          </w:tcPr>
          <w:p>
            <w:pPr>
              <w:jc w:val="right"/>
              <w:ind w:right="315"/>
              <w:spacing w:after="0" w:line="142" w:lineRule="exact"/>
              <w:rPr>
                <w:sz w:val="20"/>
                <w:szCs w:val="20"/>
                <w:color w:val="auto"/>
              </w:rPr>
            </w:pPr>
            <w:r>
              <w:rPr>
                <w:rFonts w:ascii="Arial" w:cs="Arial" w:eastAsia="Arial" w:hAnsi="Arial"/>
                <w:sz w:val="14"/>
                <w:szCs w:val="14"/>
                <w:color w:val="auto"/>
                <w:w w:val="96"/>
              </w:rPr>
              <w:t>2012</w:t>
            </w:r>
          </w:p>
        </w:tc>
        <w:tc>
          <w:tcPr>
            <w:tcW w:w="28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w w:val="87"/>
              </w:rPr>
              <w:t>16,544</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w w:val="83"/>
              </w:rPr>
              <w:t>14,339</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w w:val="83"/>
              </w:rPr>
              <w:t>46,633</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40,800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4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w w:val="87"/>
              </w:rPr>
              <w:t>11,536</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9,765</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w w:val="83"/>
              </w:rPr>
              <w:t>31,933</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7"/>
              </w:rPr>
              <w:t>27,359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740" w:type="dxa"/>
            <w:vAlign w:val="bottom"/>
          </w:tcPr>
          <w:p>
            <w:pPr>
              <w:jc w:val="right"/>
              <w:ind w:right="155"/>
              <w:spacing w:after="0"/>
              <w:rPr>
                <w:sz w:val="20"/>
                <w:szCs w:val="20"/>
                <w:color w:val="auto"/>
              </w:rPr>
            </w:pPr>
            <w:r>
              <w:rPr>
                <w:rFonts w:ascii="Arial" w:cs="Arial" w:eastAsia="Arial" w:hAnsi="Arial"/>
                <w:sz w:val="18"/>
                <w:szCs w:val="18"/>
                <w:color w:val="auto"/>
              </w:rPr>
              <w:t>1,549</w:t>
            </w:r>
          </w:p>
        </w:tc>
        <w:tc>
          <w:tcPr>
            <w:tcW w:w="28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1,540</w:t>
            </w:r>
          </w:p>
        </w:tc>
        <w:tc>
          <w:tcPr>
            <w:tcW w:w="280" w:type="dxa"/>
            <w:vAlign w:val="bottom"/>
          </w:tcPr>
          <w:p>
            <w:pPr>
              <w:spacing w:after="0"/>
              <w:rPr>
                <w:sz w:val="18"/>
                <w:szCs w:val="18"/>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4,594</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411</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393</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1,221</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w w:val="87"/>
              </w:rPr>
              <w:t>13,496</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w w:val="83"/>
              </w:rPr>
              <w:t>11,698</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w w:val="83"/>
              </w:rPr>
              <w:t>37,748</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32,997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3,048</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2,641</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8,885</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(633)</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(637)</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w w:val="91"/>
              </w:rPr>
              <w:t>(1,898)</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4"/>
              </w:rPr>
              <w:t>(1,863)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420" w:type="dxa"/>
            <w:vAlign w:val="bottom"/>
          </w:tcPr>
          <w:p>
            <w:pPr>
              <w:spacing w:after="0"/>
              <w:rPr>
                <w:sz w:val="18"/>
                <w:szCs w:val="18"/>
                <w:color w:val="auto"/>
              </w:rPr>
            </w:pPr>
          </w:p>
        </w:tc>
        <w:tc>
          <w:tcPr>
            <w:tcW w:w="740" w:type="dxa"/>
            <w:vAlign w:val="bottom"/>
          </w:tcPr>
          <w:p>
            <w:pPr>
              <w:jc w:val="right"/>
              <w:ind w:right="155"/>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8"/>
                <w:szCs w:val="18"/>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4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911</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(40)</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943</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987</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924</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1,335</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(836)</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139</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(1,982)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8"/>
                <w:szCs w:val="18"/>
                <w:color w:val="auto"/>
              </w:rPr>
            </w:pPr>
          </w:p>
        </w:tc>
        <w:tc>
          <w:tcPr>
            <w:tcW w:w="740" w:type="dxa"/>
            <w:vAlign w:val="bottom"/>
          </w:tcPr>
          <w:p>
            <w:pPr>
              <w:jc w:val="right"/>
              <w:ind w:right="155"/>
              <w:spacing w:after="0"/>
              <w:rPr>
                <w:sz w:val="20"/>
                <w:szCs w:val="20"/>
                <w:color w:val="auto"/>
              </w:rPr>
            </w:pPr>
            <w:r>
              <w:rPr>
                <w:rFonts w:ascii="Arial" w:cs="Arial" w:eastAsia="Arial" w:hAnsi="Arial"/>
                <w:sz w:val="18"/>
                <w:szCs w:val="18"/>
                <w:color w:val="auto"/>
              </w:rPr>
              <w:t>4,383</w:t>
            </w:r>
          </w:p>
        </w:tc>
        <w:tc>
          <w:tcPr>
            <w:tcW w:w="28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1,805</w:t>
            </w:r>
          </w:p>
        </w:tc>
        <w:tc>
          <w:tcPr>
            <w:tcW w:w="280" w:type="dxa"/>
            <w:vAlign w:val="bottom"/>
          </w:tcPr>
          <w:p>
            <w:pPr>
              <w:spacing w:after="0"/>
              <w:rPr>
                <w:sz w:val="18"/>
                <w:szCs w:val="18"/>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9,024</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5,821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w w:val="94"/>
              </w:rPr>
              <w:t>(1,405)</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(639)</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w w:val="91"/>
              </w:rPr>
              <w:t>(2,966)</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(2,249)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8"/>
                <w:szCs w:val="18"/>
                <w:color w:val="auto"/>
              </w:rPr>
            </w:pPr>
          </w:p>
        </w:tc>
        <w:tc>
          <w:tcPr>
            <w:tcW w:w="740" w:type="dxa"/>
            <w:vAlign w:val="bottom"/>
          </w:tcPr>
          <w:p>
            <w:pPr>
              <w:jc w:val="right"/>
              <w:ind w:right="155"/>
              <w:spacing w:after="0"/>
              <w:rPr>
                <w:sz w:val="20"/>
                <w:szCs w:val="20"/>
                <w:color w:val="auto"/>
              </w:rPr>
            </w:pPr>
            <w:r>
              <w:rPr>
                <w:rFonts w:ascii="Arial" w:cs="Arial" w:eastAsia="Arial" w:hAnsi="Arial"/>
                <w:sz w:val="18"/>
                <w:szCs w:val="18"/>
                <w:color w:val="auto"/>
              </w:rPr>
              <w:t>2,978</w:t>
            </w:r>
          </w:p>
        </w:tc>
        <w:tc>
          <w:tcPr>
            <w:tcW w:w="28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1,166</w:t>
            </w:r>
          </w:p>
        </w:tc>
        <w:tc>
          <w:tcPr>
            <w:tcW w:w="280" w:type="dxa"/>
            <w:vAlign w:val="bottom"/>
          </w:tcPr>
          <w:p>
            <w:pPr>
              <w:spacing w:after="0"/>
              <w:rPr>
                <w:sz w:val="18"/>
                <w:szCs w:val="18"/>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6,058</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4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(865)</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(258)</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w w:val="91"/>
              </w:rPr>
              <w:t>(1,373)</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2,113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908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4,685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2,873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0.79</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0.33</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1.74</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b w:val="1"/>
                <w:bCs w:val="1"/>
                <w:color w:val="auto"/>
                <w:w w:val="99"/>
              </w:rPr>
              <w:t>Diluted earnings per common share attributable to Comcast Corporation shareholders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55"/>
              <w:spacing w:after="0"/>
              <w:rPr>
                <w:sz w:val="20"/>
                <w:szCs w:val="20"/>
                <w:color w:val="auto"/>
              </w:rPr>
            </w:pPr>
            <w:r>
              <w:rPr>
                <w:rFonts w:ascii="Arial" w:cs="Arial" w:eastAsia="Arial" w:hAnsi="Arial"/>
                <w:sz w:val="18"/>
                <w:szCs w:val="18"/>
                <w:b w:val="1"/>
                <w:bCs w:val="1"/>
                <w:color w:val="auto"/>
              </w:rPr>
              <w:t>0.78</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73"/>
              <w:spacing w:after="0"/>
              <w:rPr>
                <w:sz w:val="20"/>
                <w:szCs w:val="20"/>
                <w:color w:val="auto"/>
              </w:rPr>
            </w:pPr>
            <w:r>
              <w:rPr>
                <w:rFonts w:ascii="Arial" w:cs="Arial" w:eastAsia="Arial" w:hAnsi="Arial"/>
                <w:sz w:val="18"/>
                <w:szCs w:val="18"/>
                <w:b w:val="1"/>
                <w:bCs w:val="1"/>
                <w:color w:val="auto"/>
              </w:rPr>
              <w:t>0.33</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55"/>
              <w:spacing w:after="0"/>
              <w:rPr>
                <w:sz w:val="20"/>
                <w:szCs w:val="20"/>
                <w:color w:val="auto"/>
              </w:rPr>
            </w:pPr>
            <w:r>
              <w:rPr>
                <w:rFonts w:ascii="Arial" w:cs="Arial" w:eastAsia="Arial" w:hAnsi="Arial"/>
                <w:sz w:val="18"/>
                <w:szCs w:val="18"/>
                <w:b w:val="1"/>
                <w:bCs w:val="1"/>
                <w:color w:val="auto"/>
              </w:rPr>
              <w:t>1.72</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b w:val="1"/>
                <w:bCs w:val="1"/>
                <w:color w:val="auto"/>
              </w:rPr>
              <w:t>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5"/>
              </w:rPr>
              <w:t>Dividends declared per common share attributable to Comcast Corporation shareholders</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b w:val="1"/>
                <w:bCs w:val="1"/>
                <w:color w:val="auto"/>
                <w:w w:val="87"/>
              </w:rPr>
              <w:t>0.1625</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w w:val="83"/>
              </w:rPr>
              <w:t>0.1125</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b w:val="1"/>
                <w:bCs w:val="1"/>
                <w:color w:val="auto"/>
                <w:w w:val="83"/>
              </w:rPr>
              <w:t>0.4875</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7"/>
              </w:rPr>
              <w:t>0.3375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320" w:type="dxa"/>
            <w:vAlign w:val="bottom"/>
            <w:gridSpan w:val="3"/>
          </w:tcPr>
          <w:p>
            <w:pPr>
              <w:jc w:val="right"/>
              <w:ind w:right="434"/>
              <w:spacing w:after="0"/>
              <w:rPr>
                <w:sz w:val="20"/>
                <w:szCs w:val="20"/>
                <w:color w:val="auto"/>
              </w:rPr>
            </w:pPr>
            <w:r>
              <w:rPr>
                <w:rFonts w:ascii="Arial" w:cs="Arial" w:eastAsia="Arial" w:hAnsi="Arial"/>
                <w:sz w:val="14"/>
                <w:szCs w:val="14"/>
                <w:color w:val="auto"/>
              </w:rPr>
              <w:t>Three Months Ended</w:t>
            </w:r>
          </w:p>
        </w:tc>
        <w:tc>
          <w:tcPr>
            <w:tcW w:w="1960" w:type="dxa"/>
            <w:vAlign w:val="bottom"/>
            <w:gridSpan w:val="2"/>
          </w:tcPr>
          <w:p>
            <w:pPr>
              <w:jc w:val="right"/>
              <w:ind w:right="29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71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6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2"/>
          </w:tcPr>
          <w:p>
            <w:pPr>
              <w:jc w:val="right"/>
              <w:ind w:right="454"/>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140" w:type="dxa"/>
            <w:vAlign w:val="bottom"/>
            <w:tcBorders>
              <w:bottom w:val="single" w:sz="8" w:color="auto"/>
            </w:tcBorders>
            <w:vMerge w:val="continue"/>
          </w:tcPr>
          <w:p>
            <w:pPr>
              <w:spacing w:after="0"/>
              <w:rPr>
                <w:sz w:val="12"/>
                <w:szCs w:val="12"/>
                <w:color w:val="auto"/>
              </w:rPr>
            </w:pPr>
          </w:p>
        </w:tc>
        <w:tc>
          <w:tcPr>
            <w:tcW w:w="126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rPr>
              <w:t>2012</w:t>
            </w: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color w:val="auto"/>
                <w:w w:val="83"/>
              </w:rPr>
              <w:t>2011</w:t>
            </w:r>
          </w:p>
        </w:tc>
        <w:tc>
          <w:tcPr>
            <w:tcW w:w="108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rPr>
              <w:t>2012</w:t>
            </w:r>
          </w:p>
        </w:tc>
        <w:tc>
          <w:tcPr>
            <w:tcW w:w="88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714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126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$ 2,978</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w w:val="88"/>
              </w:rPr>
              <w:t>1,166</w:t>
            </w:r>
          </w:p>
        </w:tc>
        <w:tc>
          <w:tcPr>
            <w:tcW w:w="108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$ 6,058</w:t>
            </w:r>
          </w:p>
        </w:tc>
        <w:tc>
          <w:tcPr>
            <w:tcW w:w="8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$ 3,572</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w w:val="88"/>
              </w:rPr>
              <w:t>Unrealized gains (losses) on marketable securities, net of deferred taxes of $(44), $—, $(44) and $(3)</w:t>
            </w:r>
          </w:p>
        </w:tc>
        <w:tc>
          <w:tcPr>
            <w:tcW w:w="1260" w:type="dxa"/>
            <w:vAlign w:val="bottom"/>
          </w:tcPr>
          <w:p>
            <w:pPr>
              <w:jc w:val="right"/>
              <w:ind w:right="217"/>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7"/>
              <w:spacing w:after="0"/>
              <w:rPr>
                <w:sz w:val="20"/>
                <w:szCs w:val="20"/>
                <w:color w:val="auto"/>
              </w:rPr>
            </w:pPr>
            <w:r>
              <w:rPr>
                <w:rFonts w:ascii="Arial" w:cs="Arial" w:eastAsia="Arial" w:hAnsi="Arial"/>
                <w:sz w:val="18"/>
                <w:szCs w:val="18"/>
                <w:color w:val="auto"/>
              </w:rPr>
              <w:t>75</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140" w:type="dxa"/>
            <w:vAlign w:val="bottom"/>
            <w:shd w:val="clear" w:color="auto" w:fill="E5E5E5"/>
          </w:tcPr>
          <w:p>
            <w:pPr>
              <w:spacing w:after="0"/>
              <w:rPr>
                <w:sz w:val="20"/>
                <w:szCs w:val="20"/>
                <w:color w:val="auto"/>
              </w:rPr>
            </w:pPr>
            <w:r>
              <w:rPr>
                <w:rFonts w:ascii="Arial" w:cs="Arial" w:eastAsia="Arial" w:hAnsi="Arial"/>
                <w:sz w:val="18"/>
                <w:szCs w:val="18"/>
                <w:color w:val="auto"/>
                <w:w w:val="93"/>
              </w:rPr>
              <w:t>Deferred gains (losses) on cash flow hedges, net of deferred taxes of $(29), $35, $(20) and $33</w:t>
            </w:r>
          </w:p>
        </w:tc>
        <w:tc>
          <w:tcPr>
            <w:tcW w:w="126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50</w:t>
            </w: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(59)</w:t>
            </w:r>
          </w:p>
        </w:tc>
        <w:tc>
          <w:tcPr>
            <w:tcW w:w="108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35</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Amounts reclassified to net income:</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E5E5E5"/>
          </w:tcPr>
          <w:p>
            <w:pPr>
              <w:ind w:left="440"/>
              <w:spacing w:after="0"/>
              <w:rPr>
                <w:sz w:val="20"/>
                <w:szCs w:val="20"/>
                <w:color w:val="auto"/>
              </w:rPr>
            </w:pPr>
            <w:r>
              <w:rPr>
                <w:rFonts w:ascii="Arial" w:cs="Arial" w:eastAsia="Arial" w:hAnsi="Arial"/>
                <w:sz w:val="18"/>
                <w:szCs w:val="18"/>
                <w:color w:val="auto"/>
                <w:w w:val="89"/>
              </w:rPr>
              <w:t>Realized (gains) losses on marketable securities, net of deferred taxes of $—, $—, $— and $5</w:t>
            </w:r>
          </w:p>
        </w:tc>
        <w:tc>
          <w:tcPr>
            <w:tcW w:w="126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w w:val="91"/>
              </w:rPr>
              <w:t>Realized (gains) losses on cash flow hedges, net of deferred taxes of $9, $(13), $8 and $(7)</w:t>
            </w:r>
          </w:p>
        </w:tc>
        <w:tc>
          <w:tcPr>
            <w:tcW w:w="1260" w:type="dxa"/>
            <w:vAlign w:val="bottom"/>
          </w:tcPr>
          <w:p>
            <w:pPr>
              <w:jc w:val="right"/>
              <w:ind w:right="157"/>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Arial" w:cs="Arial" w:eastAsia="Arial" w:hAnsi="Arial"/>
                <w:sz w:val="18"/>
                <w:szCs w:val="18"/>
                <w:color w:val="auto"/>
              </w:rPr>
              <w:t>23</w:t>
            </w:r>
          </w:p>
        </w:tc>
        <w:tc>
          <w:tcPr>
            <w:tcW w:w="1080" w:type="dxa"/>
            <w:vAlign w:val="bottom"/>
          </w:tcPr>
          <w:p>
            <w:pPr>
              <w:jc w:val="right"/>
              <w:ind w:right="157"/>
              <w:spacing w:after="0"/>
              <w:rPr>
                <w:sz w:val="20"/>
                <w:szCs w:val="20"/>
                <w:color w:val="auto"/>
              </w:rPr>
            </w:pPr>
            <w:r>
              <w:rPr>
                <w:rFonts w:ascii="Arial" w:cs="Arial" w:eastAsia="Arial" w:hAnsi="Arial"/>
                <w:sz w:val="18"/>
                <w:szCs w:val="18"/>
                <w:color w:val="auto"/>
              </w:rPr>
              <w:t>(14)</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140" w:type="dxa"/>
            <w:vAlign w:val="bottom"/>
            <w:shd w:val="clear" w:color="auto" w:fill="E5E5E5"/>
          </w:tcPr>
          <w:p>
            <w:pPr>
              <w:spacing w:after="0"/>
              <w:rPr>
                <w:sz w:val="20"/>
                <w:szCs w:val="20"/>
                <w:color w:val="auto"/>
              </w:rPr>
            </w:pPr>
            <w:r>
              <w:rPr>
                <w:rFonts w:ascii="Arial" w:cs="Arial" w:eastAsia="Arial" w:hAnsi="Arial"/>
                <w:sz w:val="18"/>
                <w:szCs w:val="18"/>
                <w:color w:val="auto"/>
              </w:rPr>
              <w:t>Employee benefit obligations, net of deferred taxes of $(3), $—, $(2) and $(1)</w:t>
            </w:r>
          </w:p>
        </w:tc>
        <w:tc>
          <w:tcPr>
            <w:tcW w:w="126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11</w:t>
            </w: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w:t>
            </w:r>
          </w:p>
        </w:tc>
        <w:tc>
          <w:tcPr>
            <w:tcW w:w="108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6</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translation adjustments, net of deferred taxes of $(4), $—, $(2), and $—</w:t>
            </w: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(9)</w:t>
            </w:r>
          </w:p>
        </w:tc>
        <w:tc>
          <w:tcPr>
            <w:tcW w:w="108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10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714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w:t>
            </w:r>
          </w:p>
        </w:tc>
        <w:tc>
          <w:tcPr>
            <w:tcW w:w="126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3,116</w:t>
            </w: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w w:val="88"/>
              </w:rPr>
              <w:t>1,118</w:t>
            </w:r>
          </w:p>
        </w:tc>
        <w:tc>
          <w:tcPr>
            <w:tcW w:w="108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6,170</w:t>
            </w:r>
          </w:p>
        </w:tc>
        <w:tc>
          <w:tcPr>
            <w:tcW w:w="8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260" w:type="dxa"/>
            <w:vAlign w:val="bottom"/>
          </w:tcPr>
          <w:p>
            <w:pPr>
              <w:jc w:val="right"/>
              <w:ind w:right="157"/>
              <w:spacing w:after="0"/>
              <w:rPr>
                <w:sz w:val="20"/>
                <w:szCs w:val="20"/>
                <w:color w:val="auto"/>
              </w:rPr>
            </w:pPr>
            <w:r>
              <w:rPr>
                <w:rFonts w:ascii="Arial" w:cs="Arial" w:eastAsia="Arial" w:hAnsi="Arial"/>
                <w:sz w:val="18"/>
                <w:szCs w:val="18"/>
                <w:color w:val="auto"/>
              </w:rPr>
              <w:t>(865)</w:t>
            </w:r>
          </w:p>
        </w:tc>
        <w:tc>
          <w:tcPr>
            <w:tcW w:w="34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(258)</w:t>
            </w:r>
          </w:p>
        </w:tc>
        <w:tc>
          <w:tcPr>
            <w:tcW w:w="1080" w:type="dxa"/>
            <w:vAlign w:val="bottom"/>
          </w:tcPr>
          <w:p>
            <w:pPr>
              <w:jc w:val="right"/>
              <w:ind w:right="157"/>
              <w:spacing w:after="0"/>
              <w:rPr>
                <w:sz w:val="20"/>
                <w:szCs w:val="20"/>
                <w:color w:val="auto"/>
              </w:rPr>
            </w:pPr>
            <w:r>
              <w:rPr>
                <w:rFonts w:ascii="Arial" w:cs="Arial" w:eastAsia="Arial" w:hAnsi="Arial"/>
                <w:sz w:val="18"/>
                <w:szCs w:val="18"/>
                <w:color w:val="auto"/>
              </w:rPr>
              <w:t>(1,373)</w:t>
            </w:r>
          </w:p>
        </w:tc>
        <w:tc>
          <w:tcPr>
            <w:tcW w:w="880" w:type="dxa"/>
            <w:vAlign w:val="bottom"/>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71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126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6</w:t>
            </w:r>
          </w:p>
        </w:tc>
        <w:tc>
          <w:tcPr>
            <w:tcW w:w="108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(8)</w:t>
            </w:r>
          </w:p>
        </w:tc>
        <w:tc>
          <w:tcPr>
            <w:tcW w:w="8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7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b w:val="1"/>
                <w:bCs w:val="1"/>
                <w:color w:val="auto"/>
              </w:rPr>
              <w:t>$ 2,235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866</w:t>
            </w:r>
          </w:p>
        </w:tc>
        <w:tc>
          <w:tcPr>
            <w:tcW w:w="108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b w:val="1"/>
                <w:bCs w:val="1"/>
                <w:color w:val="auto"/>
              </w:rPr>
              <w:t>$ 4,789</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$ 2,825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0" w:type="dxa"/>
            <w:vAlign w:val="bottom"/>
            <w:gridSpan w:val="3"/>
          </w:tcPr>
          <w:p>
            <w:pPr>
              <w:jc w:val="right"/>
              <w:ind w:right="373"/>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90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553"/>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90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jc w:val="right"/>
              <w:ind w:right="375"/>
              <w:spacing w:after="0" w:line="142" w:lineRule="exact"/>
              <w:rPr>
                <w:sz w:val="20"/>
                <w:szCs w:val="20"/>
                <w:color w:val="auto"/>
              </w:rPr>
            </w:pPr>
            <w:r>
              <w:rPr>
                <w:rFonts w:ascii="Arial" w:cs="Arial" w:eastAsia="Arial" w:hAnsi="Arial"/>
                <w:sz w:val="14"/>
                <w:szCs w:val="14"/>
                <w:color w:val="auto"/>
                <w:w w:val="96"/>
              </w:rPr>
              <w:t>2012</w:t>
            </w:r>
          </w:p>
        </w:tc>
        <w:tc>
          <w:tcPr>
            <w:tcW w:w="340" w:type="dxa"/>
            <w:vAlign w:val="bottom"/>
          </w:tcPr>
          <w:p>
            <w:pPr>
              <w:spacing w:after="0"/>
              <w:rPr>
                <w:sz w:val="12"/>
                <w:szCs w:val="12"/>
                <w:color w:val="auto"/>
              </w:rPr>
            </w:pPr>
          </w:p>
        </w:tc>
        <w:tc>
          <w:tcPr>
            <w:tcW w:w="680" w:type="dxa"/>
            <w:vAlign w:val="bottom"/>
          </w:tcPr>
          <w:p>
            <w:pPr>
              <w:jc w:val="right"/>
              <w:ind w:right="233"/>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5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b w:val="1"/>
                <w:bCs w:val="1"/>
                <w:color w:val="auto"/>
                <w:w w:val="83"/>
              </w:rPr>
              <w:t>11,239</w:t>
            </w:r>
          </w:p>
        </w:tc>
        <w:tc>
          <w:tcPr>
            <w:tcW w:w="3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10,206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Capital expenditures</w:t>
            </w:r>
          </w:p>
        </w:tc>
        <w:tc>
          <w:tcPr>
            <w:tcW w:w="5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w w:val="91"/>
              </w:rPr>
              <w:t>(4,043)</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Cash paid for intangible assets</w:t>
            </w:r>
          </w:p>
        </w:tc>
        <w:tc>
          <w:tcPr>
            <w:tcW w:w="540" w:type="dxa"/>
            <w:vAlign w:val="bottom"/>
          </w:tcPr>
          <w:p>
            <w:pPr>
              <w:spacing w:after="0"/>
              <w:rPr>
                <w:sz w:val="18"/>
                <w:szCs w:val="18"/>
                <w:color w:val="auto"/>
              </w:rPr>
            </w:pPr>
          </w:p>
        </w:tc>
        <w:tc>
          <w:tcPr>
            <w:tcW w:w="780" w:type="dxa"/>
            <w:vAlign w:val="bottom"/>
          </w:tcPr>
          <w:p>
            <w:pPr>
              <w:jc w:val="right"/>
              <w:ind w:right="155"/>
              <w:spacing w:after="0"/>
              <w:rPr>
                <w:sz w:val="20"/>
                <w:szCs w:val="20"/>
                <w:color w:val="auto"/>
              </w:rPr>
            </w:pPr>
            <w:r>
              <w:rPr>
                <w:rFonts w:ascii="Arial" w:cs="Arial" w:eastAsia="Arial" w:hAnsi="Arial"/>
                <w:sz w:val="18"/>
                <w:szCs w:val="18"/>
                <w:color w:val="auto"/>
              </w:rPr>
              <w:t>(605)</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Acquisitions, net of cash acquired</w:t>
            </w:r>
          </w:p>
        </w:tc>
        <w:tc>
          <w:tcPr>
            <w:tcW w:w="5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(95)</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Proceeds from sales of businesses and investments</w:t>
            </w:r>
          </w:p>
        </w:tc>
        <w:tc>
          <w:tcPr>
            <w:tcW w:w="540" w:type="dxa"/>
            <w:vAlign w:val="bottom"/>
          </w:tcPr>
          <w:p>
            <w:pPr>
              <w:spacing w:after="0"/>
              <w:rPr>
                <w:sz w:val="18"/>
                <w:szCs w:val="18"/>
                <w:color w:val="auto"/>
              </w:rPr>
            </w:pPr>
          </w:p>
        </w:tc>
        <w:tc>
          <w:tcPr>
            <w:tcW w:w="780" w:type="dxa"/>
            <w:vAlign w:val="bottom"/>
          </w:tcPr>
          <w:p>
            <w:pPr>
              <w:jc w:val="right"/>
              <w:ind w:right="215"/>
              <w:spacing w:after="0"/>
              <w:rPr>
                <w:sz w:val="20"/>
                <w:szCs w:val="20"/>
                <w:color w:val="auto"/>
              </w:rPr>
            </w:pPr>
            <w:r>
              <w:rPr>
                <w:rFonts w:ascii="Arial" w:cs="Arial" w:eastAsia="Arial" w:hAnsi="Arial"/>
                <w:sz w:val="18"/>
                <w:szCs w:val="18"/>
                <w:color w:val="auto"/>
              </w:rPr>
              <w:t>3,095</w:t>
            </w:r>
          </w:p>
        </w:tc>
        <w:tc>
          <w:tcPr>
            <w:tcW w:w="34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Return of capital from investees</w:t>
            </w:r>
          </w:p>
        </w:tc>
        <w:tc>
          <w:tcPr>
            <w:tcW w:w="5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2,281</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Purchases of investments</w:t>
            </w:r>
          </w:p>
        </w:tc>
        <w:tc>
          <w:tcPr>
            <w:tcW w:w="540" w:type="dxa"/>
            <w:vAlign w:val="bottom"/>
          </w:tcPr>
          <w:p>
            <w:pPr>
              <w:spacing w:after="0"/>
              <w:rPr>
                <w:sz w:val="18"/>
                <w:szCs w:val="18"/>
                <w:color w:val="auto"/>
              </w:rPr>
            </w:pPr>
          </w:p>
        </w:tc>
        <w:tc>
          <w:tcPr>
            <w:tcW w:w="780" w:type="dxa"/>
            <w:vAlign w:val="bottom"/>
          </w:tcPr>
          <w:p>
            <w:pPr>
              <w:jc w:val="right"/>
              <w:ind w:right="155"/>
              <w:spacing w:after="0"/>
              <w:rPr>
                <w:sz w:val="20"/>
                <w:szCs w:val="20"/>
                <w:color w:val="auto"/>
              </w:rPr>
            </w:pPr>
            <w:r>
              <w:rPr>
                <w:rFonts w:ascii="Arial" w:cs="Arial" w:eastAsia="Arial" w:hAnsi="Arial"/>
                <w:sz w:val="18"/>
                <w:szCs w:val="18"/>
                <w:color w:val="auto"/>
              </w:rPr>
              <w:t>(191)</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68</w:t>
            </w:r>
          </w:p>
        </w:tc>
        <w:tc>
          <w:tcPr>
            <w:tcW w:w="3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510</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(10,661)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5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Proceeds from (repayments of) short-term borrowings, net</w:t>
            </w:r>
          </w:p>
        </w:tc>
        <w:tc>
          <w:tcPr>
            <w:tcW w:w="540" w:type="dxa"/>
            <w:vAlign w:val="bottom"/>
          </w:tcPr>
          <w:p>
            <w:pPr>
              <w:spacing w:after="0"/>
              <w:rPr>
                <w:sz w:val="18"/>
                <w:szCs w:val="18"/>
                <w:color w:val="auto"/>
              </w:rPr>
            </w:pPr>
          </w:p>
        </w:tc>
        <w:tc>
          <w:tcPr>
            <w:tcW w:w="780" w:type="dxa"/>
            <w:vAlign w:val="bottom"/>
          </w:tcPr>
          <w:p>
            <w:pPr>
              <w:jc w:val="right"/>
              <w:ind w:right="155"/>
              <w:spacing w:after="0"/>
              <w:rPr>
                <w:sz w:val="20"/>
                <w:szCs w:val="20"/>
                <w:color w:val="auto"/>
              </w:rPr>
            </w:pPr>
            <w:r>
              <w:rPr>
                <w:rFonts w:ascii="Arial" w:cs="Arial" w:eastAsia="Arial" w:hAnsi="Arial"/>
                <w:sz w:val="18"/>
                <w:szCs w:val="18"/>
                <w:color w:val="auto"/>
              </w:rPr>
              <w:t>(555)</w:t>
            </w:r>
          </w:p>
        </w:tc>
        <w:tc>
          <w:tcPr>
            <w:tcW w:w="34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borrowings</w:t>
            </w:r>
          </w:p>
        </w:tc>
        <w:tc>
          <w:tcPr>
            <w:tcW w:w="5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2,248</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Repurchases and repayments of debt</w:t>
            </w:r>
          </w:p>
        </w:tc>
        <w:tc>
          <w:tcPr>
            <w:tcW w:w="540" w:type="dxa"/>
            <w:vAlign w:val="bottom"/>
          </w:tcPr>
          <w:p>
            <w:pPr>
              <w:spacing w:after="0"/>
              <w:rPr>
                <w:sz w:val="18"/>
                <w:szCs w:val="18"/>
                <w:color w:val="auto"/>
              </w:rPr>
            </w:pPr>
          </w:p>
        </w:tc>
        <w:tc>
          <w:tcPr>
            <w:tcW w:w="780" w:type="dxa"/>
            <w:vAlign w:val="bottom"/>
          </w:tcPr>
          <w:p>
            <w:pPr>
              <w:jc w:val="right"/>
              <w:ind w:right="155"/>
              <w:spacing w:after="0"/>
              <w:rPr>
                <w:sz w:val="20"/>
                <w:szCs w:val="20"/>
                <w:color w:val="auto"/>
              </w:rPr>
            </w:pPr>
            <w:r>
              <w:rPr>
                <w:rFonts w:ascii="Arial" w:cs="Arial" w:eastAsia="Arial" w:hAnsi="Arial"/>
                <w:sz w:val="18"/>
                <w:szCs w:val="18"/>
                <w:color w:val="auto"/>
                <w:w w:val="91"/>
              </w:rPr>
              <w:t>(2,505)</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Repurchases and retirements of common stock</w:t>
            </w:r>
          </w:p>
        </w:tc>
        <w:tc>
          <w:tcPr>
            <w:tcW w:w="5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w w:val="91"/>
              </w:rPr>
              <w:t>(2,250)</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540" w:type="dxa"/>
            <w:vAlign w:val="bottom"/>
          </w:tcPr>
          <w:p>
            <w:pPr>
              <w:spacing w:after="0"/>
              <w:rPr>
                <w:sz w:val="18"/>
                <w:szCs w:val="18"/>
                <w:color w:val="auto"/>
              </w:rPr>
            </w:pPr>
          </w:p>
        </w:tc>
        <w:tc>
          <w:tcPr>
            <w:tcW w:w="780" w:type="dxa"/>
            <w:vAlign w:val="bottom"/>
          </w:tcPr>
          <w:p>
            <w:pPr>
              <w:jc w:val="right"/>
              <w:ind w:right="155"/>
              <w:spacing w:after="0"/>
              <w:rPr>
                <w:sz w:val="20"/>
                <w:szCs w:val="20"/>
                <w:color w:val="auto"/>
              </w:rPr>
            </w:pPr>
            <w:r>
              <w:rPr>
                <w:rFonts w:ascii="Arial" w:cs="Arial" w:eastAsia="Arial" w:hAnsi="Arial"/>
                <w:sz w:val="18"/>
                <w:szCs w:val="18"/>
                <w:color w:val="auto"/>
                <w:w w:val="91"/>
              </w:rPr>
              <w:t>(1,176)</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Issuances of common stock</w:t>
            </w:r>
          </w:p>
        </w:tc>
        <w:tc>
          <w:tcPr>
            <w:tcW w:w="5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215</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Distributions to NBCUniversal noncontrolling member</w:t>
            </w:r>
          </w:p>
        </w:tc>
        <w:tc>
          <w:tcPr>
            <w:tcW w:w="540" w:type="dxa"/>
            <w:vAlign w:val="bottom"/>
          </w:tcPr>
          <w:p>
            <w:pPr>
              <w:spacing w:after="0"/>
              <w:rPr>
                <w:sz w:val="18"/>
                <w:szCs w:val="18"/>
                <w:color w:val="auto"/>
              </w:rPr>
            </w:pPr>
          </w:p>
        </w:tc>
        <w:tc>
          <w:tcPr>
            <w:tcW w:w="780" w:type="dxa"/>
            <w:vAlign w:val="bottom"/>
          </w:tcPr>
          <w:p>
            <w:pPr>
              <w:jc w:val="right"/>
              <w:ind w:right="155"/>
              <w:spacing w:after="0"/>
              <w:rPr>
                <w:sz w:val="20"/>
                <w:szCs w:val="20"/>
                <w:color w:val="auto"/>
              </w:rPr>
            </w:pPr>
            <w:r>
              <w:rPr>
                <w:rFonts w:ascii="Arial" w:cs="Arial" w:eastAsia="Arial" w:hAnsi="Arial"/>
                <w:sz w:val="18"/>
                <w:szCs w:val="18"/>
                <w:color w:val="auto"/>
              </w:rPr>
              <w:t>(340)</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Distributions to other noncontrolling interests</w:t>
            </w:r>
          </w:p>
        </w:tc>
        <w:tc>
          <w:tcPr>
            <w:tcW w:w="5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(157)</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50</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5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b w:val="1"/>
                <w:bCs w:val="1"/>
                <w:color w:val="auto"/>
                <w:w w:val="91"/>
              </w:rPr>
              <w:t>(4,470)</w:t>
            </w:r>
          </w:p>
        </w:tc>
        <w:tc>
          <w:tcPr>
            <w:tcW w:w="3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(3,723)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540" w:type="dxa"/>
            <w:vAlign w:val="bottom"/>
          </w:tcPr>
          <w:p>
            <w:pPr>
              <w:spacing w:after="0"/>
              <w:rPr>
                <w:sz w:val="18"/>
                <w:szCs w:val="18"/>
                <w:color w:val="auto"/>
              </w:rPr>
            </w:pPr>
          </w:p>
        </w:tc>
        <w:tc>
          <w:tcPr>
            <w:tcW w:w="780" w:type="dxa"/>
            <w:vAlign w:val="bottom"/>
          </w:tcPr>
          <w:p>
            <w:pPr>
              <w:jc w:val="right"/>
              <w:ind w:right="215"/>
              <w:spacing w:after="0"/>
              <w:rPr>
                <w:sz w:val="20"/>
                <w:szCs w:val="20"/>
                <w:color w:val="auto"/>
              </w:rPr>
            </w:pPr>
            <w:r>
              <w:rPr>
                <w:rFonts w:ascii="Arial" w:cs="Arial" w:eastAsia="Arial" w:hAnsi="Arial"/>
                <w:sz w:val="18"/>
                <w:szCs w:val="18"/>
                <w:color w:val="auto"/>
              </w:rPr>
              <w:t>7,279</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5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1,620</w:t>
            </w:r>
          </w:p>
        </w:tc>
        <w:tc>
          <w:tcPr>
            <w:tcW w:w="3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8,899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1,806</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60" w:type="dxa"/>
            <w:vAlign w:val="bottom"/>
            <w:gridSpan w:val="3"/>
          </w:tcPr>
          <w:p>
            <w:pPr>
              <w:ind w:left="800"/>
              <w:spacing w:after="0"/>
              <w:rPr>
                <w:sz w:val="20"/>
                <w:szCs w:val="20"/>
                <w:color w:val="auto"/>
              </w:rPr>
            </w:pPr>
            <w:r>
              <w:rPr>
                <w:rFonts w:ascii="Arial" w:cs="Arial" w:eastAsia="Arial" w:hAnsi="Arial"/>
                <w:sz w:val="14"/>
                <w:szCs w:val="14"/>
                <w:color w:val="auto"/>
                <w:w w:val="93"/>
              </w:rPr>
              <w:t>Redeemable</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w w:val="89"/>
              </w:rPr>
              <w:t>Common Stock</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left="32"/>
              <w:spacing w:after="0"/>
              <w:rPr>
                <w:sz w:val="20"/>
                <w:szCs w:val="20"/>
                <w:color w:val="auto"/>
              </w:rPr>
            </w:pPr>
            <w:r>
              <w:rPr>
                <w:rFonts w:ascii="Arial" w:cs="Arial" w:eastAsia="Arial" w:hAnsi="Arial"/>
                <w:sz w:val="14"/>
                <w:szCs w:val="14"/>
                <w:color w:val="auto"/>
                <w:w w:val="88"/>
              </w:rPr>
              <w:t>Accumulated</w:t>
            </w:r>
          </w:p>
        </w:tc>
        <w:tc>
          <w:tcPr>
            <w:tcW w:w="260" w:type="dxa"/>
            <w:vAlign w:val="bottom"/>
          </w:tcPr>
          <w:p>
            <w:pPr>
              <w:spacing w:after="0"/>
              <w:rPr>
                <w:sz w:val="14"/>
                <w:szCs w:val="14"/>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Non-</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gridSpan w:val="2"/>
          </w:tcPr>
          <w:p>
            <w:pPr>
              <w:jc w:val="center"/>
              <w:ind w:right="180"/>
              <w:spacing w:after="0" w:line="115" w:lineRule="exact"/>
              <w:rPr>
                <w:sz w:val="20"/>
                <w:szCs w:val="20"/>
                <w:color w:val="auto"/>
              </w:rPr>
            </w:pPr>
            <w:r>
              <w:rPr>
                <w:rFonts w:ascii="Arial" w:cs="Arial" w:eastAsia="Arial" w:hAnsi="Arial"/>
                <w:sz w:val="12"/>
                <w:szCs w:val="12"/>
                <w:color w:val="auto"/>
              </w:rPr>
              <w:t>Non-</w:t>
            </w:r>
          </w:p>
        </w:tc>
        <w:tc>
          <w:tcPr>
            <w:tcW w:w="2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40" w:type="dxa"/>
            <w:vAlign w:val="bottom"/>
            <w:gridSpan w:val="3"/>
          </w:tcPr>
          <w:p>
            <w:pPr>
              <w:ind w:left="180"/>
              <w:spacing w:after="0" w:line="115" w:lineRule="exact"/>
              <w:rPr>
                <w:sz w:val="20"/>
                <w:szCs w:val="20"/>
                <w:color w:val="auto"/>
              </w:rPr>
            </w:pPr>
            <w:r>
              <w:rPr>
                <w:rFonts w:ascii="Arial" w:cs="Arial" w:eastAsia="Arial" w:hAnsi="Arial"/>
                <w:sz w:val="12"/>
                <w:szCs w:val="12"/>
                <w:color w:val="auto"/>
              </w:rPr>
              <w:t>Additional</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ind w:left="180"/>
              <w:spacing w:after="0" w:line="115" w:lineRule="exact"/>
              <w:rPr>
                <w:sz w:val="20"/>
                <w:szCs w:val="20"/>
                <w:color w:val="auto"/>
              </w:rPr>
            </w:pPr>
            <w:r>
              <w:rPr>
                <w:rFonts w:ascii="Arial" w:cs="Arial" w:eastAsia="Arial" w:hAnsi="Arial"/>
                <w:sz w:val="12"/>
                <w:szCs w:val="12"/>
                <w:color w:val="auto"/>
              </w:rPr>
              <w:t>Treasury</w:t>
            </w:r>
          </w:p>
        </w:tc>
        <w:tc>
          <w:tcPr>
            <w:tcW w:w="340" w:type="dxa"/>
            <w:vAlign w:val="bottom"/>
          </w:tcPr>
          <w:p>
            <w:pPr>
              <w:spacing w:after="0"/>
              <w:rPr>
                <w:sz w:val="10"/>
                <w:szCs w:val="10"/>
                <w:color w:val="auto"/>
              </w:rPr>
            </w:pPr>
          </w:p>
        </w:tc>
        <w:tc>
          <w:tcPr>
            <w:tcW w:w="760" w:type="dxa"/>
            <w:vAlign w:val="bottom"/>
            <w:gridSpan w:val="2"/>
          </w:tcPr>
          <w:p>
            <w:pPr>
              <w:jc w:val="center"/>
              <w:ind w:right="240"/>
              <w:spacing w:after="0" w:line="115" w:lineRule="exact"/>
              <w:rPr>
                <w:sz w:val="20"/>
                <w:szCs w:val="20"/>
                <w:color w:val="auto"/>
              </w:rPr>
            </w:pPr>
            <w:r>
              <w:rPr>
                <w:rFonts w:ascii="Arial" w:cs="Arial" w:eastAsia="Arial" w:hAnsi="Arial"/>
                <w:sz w:val="12"/>
                <w:szCs w:val="12"/>
                <w:color w:val="auto"/>
              </w:rPr>
              <w:t>Other</w:t>
            </w:r>
          </w:p>
        </w:tc>
        <w:tc>
          <w:tcPr>
            <w:tcW w:w="26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560" w:type="dxa"/>
            <w:vAlign w:val="bottom"/>
            <w:gridSpan w:val="3"/>
          </w:tcPr>
          <w:p>
            <w:pPr>
              <w:jc w:val="center"/>
              <w:ind w:left="652"/>
              <w:spacing w:after="0" w:line="149" w:lineRule="exact"/>
              <w:rPr>
                <w:sz w:val="20"/>
                <w:szCs w:val="20"/>
                <w:color w:val="auto"/>
              </w:rPr>
            </w:pPr>
            <w:r>
              <w:rPr>
                <w:rFonts w:ascii="Arial" w:cs="Arial" w:eastAsia="Arial" w:hAnsi="Arial"/>
                <w:sz w:val="14"/>
                <w:szCs w:val="14"/>
                <w:color w:val="auto"/>
                <w:w w:val="93"/>
              </w:rPr>
              <w:t>controlling</w:t>
            </w:r>
          </w:p>
        </w:tc>
        <w:tc>
          <w:tcPr>
            <w:tcW w:w="28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5"/>
              </w:rPr>
              <w:t>Paid-In</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Retained</w:t>
            </w:r>
          </w:p>
        </w:tc>
        <w:tc>
          <w:tcPr>
            <w:tcW w:w="7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Stock at</w:t>
            </w:r>
          </w:p>
        </w:tc>
        <w:tc>
          <w:tcPr>
            <w:tcW w:w="1100" w:type="dxa"/>
            <w:vAlign w:val="bottom"/>
            <w:gridSpan w:val="3"/>
          </w:tcPr>
          <w:p>
            <w:pPr>
              <w:ind w:left="180"/>
              <w:spacing w:after="0" w:line="149" w:lineRule="exact"/>
              <w:rPr>
                <w:sz w:val="20"/>
                <w:szCs w:val="20"/>
                <w:color w:val="auto"/>
              </w:rPr>
            </w:pPr>
            <w:r>
              <w:rPr>
                <w:rFonts w:ascii="Arial" w:cs="Arial" w:eastAsia="Arial" w:hAnsi="Arial"/>
                <w:sz w:val="14"/>
                <w:szCs w:val="14"/>
                <w:color w:val="auto"/>
                <w:w w:val="91"/>
              </w:rPr>
              <w:t>Comprehensive</w:t>
            </w:r>
          </w:p>
        </w:tc>
        <w:tc>
          <w:tcPr>
            <w:tcW w:w="8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controlling</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3"/>
        </w:trPr>
        <w:tc>
          <w:tcPr>
            <w:tcW w:w="29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15"/>
                <w:szCs w:val="15"/>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color w:val="auto"/>
                <w:w w:val="81"/>
              </w:rPr>
              <w:t>Interests</w:t>
            </w:r>
          </w:p>
        </w:tc>
        <w:tc>
          <w:tcPr>
            <w:tcW w:w="280" w:type="dxa"/>
            <w:vAlign w:val="bottom"/>
            <w:tcBorders>
              <w:right w:val="single" w:sz="8" w:color="auto"/>
            </w:tcBorders>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color w:val="auto"/>
              </w:rPr>
              <w:t>A</w:t>
            </w:r>
          </w:p>
        </w:tc>
        <w:tc>
          <w:tcPr>
            <w:tcW w:w="920" w:type="dxa"/>
            <w:vAlign w:val="bottom"/>
            <w:gridSpan w:val="2"/>
          </w:tcPr>
          <w:p>
            <w:pPr>
              <w:ind w:left="160"/>
              <w:spacing w:after="0"/>
              <w:rPr>
                <w:sz w:val="20"/>
                <w:szCs w:val="20"/>
                <w:color w:val="auto"/>
              </w:rPr>
            </w:pPr>
            <w:r>
              <w:rPr>
                <w:rFonts w:ascii="Arial" w:cs="Arial" w:eastAsia="Arial" w:hAnsi="Arial"/>
                <w:sz w:val="14"/>
                <w:szCs w:val="14"/>
                <w:color w:val="auto"/>
              </w:rPr>
              <w:t>A Special</w:t>
            </w:r>
          </w:p>
        </w:tc>
        <w:tc>
          <w:tcPr>
            <w:tcW w:w="340" w:type="dxa"/>
            <w:vAlign w:val="bottom"/>
          </w:tcPr>
          <w:p>
            <w:pPr>
              <w:jc w:val="center"/>
              <w:spacing w:after="0"/>
              <w:rPr>
                <w:sz w:val="20"/>
                <w:szCs w:val="20"/>
                <w:color w:val="auto"/>
              </w:rPr>
            </w:pPr>
            <w:r>
              <w:rPr>
                <w:rFonts w:ascii="Arial" w:cs="Arial" w:eastAsia="Arial" w:hAnsi="Arial"/>
                <w:sz w:val="14"/>
                <w:szCs w:val="14"/>
                <w:color w:val="auto"/>
              </w:rPr>
              <w:t>B</w:t>
            </w:r>
          </w:p>
        </w:tc>
        <w:tc>
          <w:tcPr>
            <w:tcW w:w="26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w w:val="87"/>
              </w:rPr>
              <w:t>Capital</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Earnings</w:t>
            </w:r>
          </w:p>
        </w:tc>
        <w:tc>
          <w:tcPr>
            <w:tcW w:w="260" w:type="dxa"/>
            <w:vAlign w:val="bottom"/>
          </w:tcPr>
          <w:p>
            <w:pPr>
              <w:spacing w:after="0"/>
              <w:rPr>
                <w:sz w:val="15"/>
                <w:szCs w:val="15"/>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color w:val="auto"/>
              </w:rPr>
              <w:t>Cost</w:t>
            </w:r>
          </w:p>
        </w:tc>
        <w:tc>
          <w:tcPr>
            <w:tcW w:w="1100" w:type="dxa"/>
            <w:vAlign w:val="bottom"/>
            <w:gridSpan w:val="3"/>
          </w:tcPr>
          <w:p>
            <w:pPr>
              <w:jc w:val="center"/>
              <w:ind w:left="32"/>
              <w:spacing w:after="0"/>
              <w:rPr>
                <w:sz w:val="20"/>
                <w:szCs w:val="20"/>
                <w:color w:val="auto"/>
              </w:rPr>
            </w:pPr>
            <w:r>
              <w:rPr>
                <w:rFonts w:ascii="Arial" w:cs="Arial" w:eastAsia="Arial" w:hAnsi="Arial"/>
                <w:sz w:val="14"/>
                <w:szCs w:val="14"/>
                <w:color w:val="auto"/>
                <w:w w:val="90"/>
              </w:rPr>
              <w:t>Income (Loss)</w:t>
            </w:r>
          </w:p>
        </w:tc>
        <w:tc>
          <w:tcPr>
            <w:tcW w:w="26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w w:val="78"/>
              </w:rPr>
              <w:t>Interests</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0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Balance, January 1, 2011</w:t>
            </w:r>
          </w:p>
        </w:tc>
        <w:tc>
          <w:tcPr>
            <w:tcW w:w="900" w:type="dxa"/>
            <w:vAlign w:val="bottom"/>
            <w:tcBorders>
              <w:top w:val="single" w:sz="8" w:color="auto"/>
            </w:tcBorders>
            <w:shd w:val="clear" w:color="auto" w:fill="E5E5E5"/>
          </w:tcPr>
          <w:p>
            <w:pPr>
              <w:ind w:left="800"/>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143</w:t>
            </w:r>
          </w:p>
        </w:tc>
        <w:tc>
          <w:tcPr>
            <w:tcW w:w="80" w:type="dxa"/>
            <w:vAlign w:val="bottom"/>
            <w:tcBorders>
              <w:top w:val="single" w:sz="8" w:color="E5E5E5"/>
            </w:tcBorders>
            <w:shd w:val="clear" w:color="auto" w:fill="E5E5E5"/>
          </w:tcPr>
          <w:p>
            <w:pPr>
              <w:spacing w:after="0"/>
              <w:rPr>
                <w:sz w:val="12"/>
                <w:szCs w:val="12"/>
                <w:color w:val="auto"/>
              </w:rPr>
            </w:pPr>
          </w:p>
        </w:tc>
        <w:tc>
          <w:tcPr>
            <w:tcW w:w="280" w:type="dxa"/>
            <w:vAlign w:val="bottom"/>
            <w:tcBorders>
              <w:top w:val="single" w:sz="8" w:color="auto"/>
              <w:right w:val="single" w:sz="8" w:color="auto"/>
            </w:tcBorders>
            <w:shd w:val="clear" w:color="auto" w:fill="E5E5E5"/>
          </w:tcPr>
          <w:p>
            <w:pPr>
              <w:spacing w:after="0"/>
              <w:rPr>
                <w:sz w:val="12"/>
                <w:szCs w:val="12"/>
                <w:color w:val="auto"/>
              </w:rPr>
            </w:pPr>
          </w:p>
        </w:tc>
        <w:tc>
          <w:tcPr>
            <w:tcW w:w="42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$24</w:t>
            </w:r>
          </w:p>
        </w:tc>
        <w:tc>
          <w:tcPr>
            <w:tcW w:w="400" w:type="dxa"/>
            <w:vAlign w:val="bottom"/>
            <w:tcBorders>
              <w:top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8</w:t>
            </w:r>
          </w:p>
        </w:tc>
        <w:tc>
          <w:tcPr>
            <w:tcW w:w="340" w:type="dxa"/>
            <w:vAlign w:val="bottom"/>
            <w:tcBorders>
              <w:top w:val="single" w:sz="8" w:color="auto"/>
            </w:tcBorders>
            <w:shd w:val="clear" w:color="auto" w:fill="E5E5E5"/>
          </w:tcPr>
          <w:p>
            <w:pPr>
              <w:jc w:val="center"/>
              <w:spacing w:after="0" w:line="142" w:lineRule="exact"/>
              <w:rPr>
                <w:sz w:val="20"/>
                <w:szCs w:val="20"/>
                <w:color w:val="auto"/>
              </w:rPr>
            </w:pPr>
            <w:r>
              <w:rPr>
                <w:rFonts w:ascii="Arial" w:cs="Arial" w:eastAsia="Arial" w:hAnsi="Arial"/>
                <w:sz w:val="14"/>
                <w:szCs w:val="14"/>
                <w:color w:val="auto"/>
                <w:w w:val="93"/>
              </w:rPr>
              <w:t>$ —</w:t>
            </w:r>
          </w:p>
        </w:tc>
        <w:tc>
          <w:tcPr>
            <w:tcW w:w="260" w:type="dxa"/>
            <w:vAlign w:val="bottom"/>
            <w:tcBorders>
              <w:top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39,780</w:t>
            </w:r>
          </w:p>
        </w:tc>
        <w:tc>
          <w:tcPr>
            <w:tcW w:w="80" w:type="dxa"/>
            <w:vAlign w:val="bottom"/>
            <w:tcBorders>
              <w:top w:val="single" w:sz="8" w:color="E5E5E5"/>
            </w:tcBorders>
            <w:shd w:val="clear" w:color="auto" w:fill="E5E5E5"/>
          </w:tcPr>
          <w:p>
            <w:pPr>
              <w:spacing w:after="0"/>
              <w:rPr>
                <w:sz w:val="12"/>
                <w:szCs w:val="12"/>
                <w:color w:val="auto"/>
              </w:rPr>
            </w:pPr>
          </w:p>
        </w:tc>
        <w:tc>
          <w:tcPr>
            <w:tcW w:w="66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$ 12,158</w:t>
            </w:r>
          </w:p>
        </w:tc>
        <w:tc>
          <w:tcPr>
            <w:tcW w:w="80" w:type="dxa"/>
            <w:vAlign w:val="bottom"/>
            <w:tcBorders>
              <w:top w:val="single" w:sz="8" w:color="E5E5E5"/>
            </w:tcBorders>
            <w:shd w:val="clear" w:color="auto" w:fill="E5E5E5"/>
          </w:tcPr>
          <w:p>
            <w:pPr>
              <w:spacing w:after="0"/>
              <w:rPr>
                <w:sz w:val="12"/>
                <w:szCs w:val="12"/>
                <w:color w:val="auto"/>
              </w:rPr>
            </w:pPr>
          </w:p>
        </w:tc>
        <w:tc>
          <w:tcPr>
            <w:tcW w:w="260" w:type="dxa"/>
            <w:vAlign w:val="bottom"/>
            <w:tcBorders>
              <w:top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E5E5E5"/>
          </w:tcPr>
          <w:p>
            <w:pPr>
              <w:ind w:left="40"/>
              <w:spacing w:after="0" w:line="142" w:lineRule="exact"/>
              <w:rPr>
                <w:sz w:val="20"/>
                <w:szCs w:val="20"/>
                <w:color w:val="auto"/>
              </w:rPr>
            </w:pPr>
            <w:r>
              <w:rPr>
                <w:rFonts w:ascii="Arial" w:cs="Arial" w:eastAsia="Arial" w:hAnsi="Arial"/>
                <w:sz w:val="14"/>
                <w:szCs w:val="14"/>
                <w:color w:val="auto"/>
                <w:w w:val="76"/>
              </w:rPr>
              <w:t>(7,517)</w:t>
            </w:r>
          </w:p>
        </w:tc>
        <w:tc>
          <w:tcPr>
            <w:tcW w:w="80" w:type="dxa"/>
            <w:vAlign w:val="bottom"/>
            <w:tcBorders>
              <w:top w:val="single" w:sz="8" w:color="E5E5E5"/>
            </w:tcBorders>
            <w:shd w:val="clear" w:color="auto" w:fill="E5E5E5"/>
          </w:tcPr>
          <w:p>
            <w:pPr>
              <w:spacing w:after="0"/>
              <w:rPr>
                <w:sz w:val="12"/>
                <w:szCs w:val="12"/>
                <w:color w:val="auto"/>
              </w:rPr>
            </w:pPr>
          </w:p>
        </w:tc>
        <w:tc>
          <w:tcPr>
            <w:tcW w:w="340" w:type="dxa"/>
            <w:vAlign w:val="bottom"/>
            <w:tcBorders>
              <w:top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(99)</w:t>
            </w:r>
          </w:p>
        </w:tc>
        <w:tc>
          <w:tcPr>
            <w:tcW w:w="80" w:type="dxa"/>
            <w:vAlign w:val="bottom"/>
            <w:tcBorders>
              <w:top w:val="single" w:sz="8" w:color="E5E5E5"/>
            </w:tcBorders>
            <w:shd w:val="clear" w:color="auto" w:fill="E5E5E5"/>
          </w:tcPr>
          <w:p>
            <w:pPr>
              <w:spacing w:after="0"/>
              <w:rPr>
                <w:sz w:val="12"/>
                <w:szCs w:val="12"/>
                <w:color w:val="auto"/>
              </w:rPr>
            </w:pPr>
          </w:p>
        </w:tc>
        <w:tc>
          <w:tcPr>
            <w:tcW w:w="260" w:type="dxa"/>
            <w:vAlign w:val="bottom"/>
            <w:tcBorders>
              <w:top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80</w:t>
            </w:r>
          </w:p>
        </w:tc>
        <w:tc>
          <w:tcPr>
            <w:tcW w:w="80" w:type="dxa"/>
            <w:vAlign w:val="bottom"/>
            <w:tcBorders>
              <w:top w:val="single" w:sz="8" w:color="E5E5E5"/>
            </w:tcBorders>
            <w:shd w:val="clear" w:color="auto" w:fill="E5E5E5"/>
          </w:tcPr>
          <w:p>
            <w:pPr>
              <w:spacing w:after="0"/>
              <w:rPr>
                <w:sz w:val="12"/>
                <w:szCs w:val="12"/>
                <w:color w:val="auto"/>
              </w:rPr>
            </w:pPr>
          </w:p>
        </w:tc>
        <w:tc>
          <w:tcPr>
            <w:tcW w:w="62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$44,434</w:t>
            </w:r>
          </w:p>
        </w:tc>
        <w:tc>
          <w:tcPr>
            <w:tcW w:w="8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color w:val="auto"/>
              </w:rPr>
              <w:t>Stock compensation plans</w:t>
            </w: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414</w:t>
            </w: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rPr>
              <w:t>Repurchase and retirement of common</w:t>
            </w:r>
          </w:p>
        </w:tc>
        <w:tc>
          <w:tcPr>
            <w:tcW w:w="900" w:type="dxa"/>
            <w:vAlign w:val="bottom"/>
            <w:shd w:val="clear" w:color="auto" w:fill="E5E5E5"/>
          </w:tcPr>
          <w:p>
            <w:pPr>
              <w:spacing w:after="0"/>
              <w:rPr>
                <w:sz w:val="11"/>
                <w:szCs w:val="11"/>
                <w:color w:val="auto"/>
              </w:rPr>
            </w:pPr>
          </w:p>
        </w:tc>
        <w:tc>
          <w:tcPr>
            <w:tcW w:w="58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80" w:type="dxa"/>
            <w:vAlign w:val="bottom"/>
            <w:tcBorders>
              <w:right w:val="single" w:sz="8" w:color="auto"/>
            </w:tcBorders>
            <w:shd w:val="clear" w:color="auto" w:fill="E5E5E5"/>
          </w:tcPr>
          <w:p>
            <w:pPr>
              <w:spacing w:after="0"/>
              <w:rPr>
                <w:sz w:val="11"/>
                <w:szCs w:val="11"/>
                <w:color w:val="auto"/>
              </w:rPr>
            </w:pPr>
          </w:p>
        </w:tc>
        <w:tc>
          <w:tcPr>
            <w:tcW w:w="42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68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stock</w:t>
            </w:r>
          </w:p>
        </w:tc>
        <w:tc>
          <w:tcPr>
            <w:tcW w:w="900" w:type="dxa"/>
            <w:vAlign w:val="bottom"/>
            <w:shd w:val="clear" w:color="auto" w:fill="E5E5E5"/>
          </w:tcPr>
          <w:p>
            <w:pPr>
              <w:spacing w:after="0"/>
              <w:rPr>
                <w:sz w:val="13"/>
                <w:szCs w:val="13"/>
                <w:color w:val="auto"/>
              </w:rPr>
            </w:pPr>
          </w:p>
        </w:tc>
        <w:tc>
          <w:tcPr>
            <w:tcW w:w="58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280" w:type="dxa"/>
            <w:vAlign w:val="bottom"/>
            <w:tcBorders>
              <w:right w:val="single" w:sz="8" w:color="auto"/>
            </w:tcBorders>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520" w:type="dxa"/>
            <w:vAlign w:val="bottom"/>
            <w:shd w:val="clear" w:color="auto" w:fill="E5E5E5"/>
          </w:tcPr>
          <w:p>
            <w:pPr>
              <w:jc w:val="right"/>
              <w:ind w:right="112"/>
              <w:spacing w:after="0" w:line="159" w:lineRule="exact"/>
              <w:rPr>
                <w:sz w:val="20"/>
                <w:szCs w:val="20"/>
                <w:color w:val="auto"/>
              </w:rPr>
            </w:pPr>
            <w:r>
              <w:rPr>
                <w:rFonts w:ascii="Arial" w:cs="Arial" w:eastAsia="Arial" w:hAnsi="Arial"/>
                <w:sz w:val="14"/>
                <w:szCs w:val="14"/>
                <w:color w:val="auto"/>
              </w:rPr>
              <w:t>(1)</w:t>
            </w:r>
          </w:p>
        </w:tc>
        <w:tc>
          <w:tcPr>
            <w:tcW w:w="34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580" w:type="dxa"/>
            <w:vAlign w:val="bottom"/>
            <w:gridSpan w:val="2"/>
            <w:shd w:val="clear" w:color="auto" w:fill="E5E5E5"/>
          </w:tcPr>
          <w:p>
            <w:pPr>
              <w:jc w:val="right"/>
              <w:ind w:right="40"/>
              <w:spacing w:after="0" w:line="159" w:lineRule="exact"/>
              <w:rPr>
                <w:sz w:val="20"/>
                <w:szCs w:val="20"/>
                <w:color w:val="auto"/>
              </w:rPr>
            </w:pPr>
            <w:r>
              <w:rPr>
                <w:rFonts w:ascii="Arial" w:cs="Arial" w:eastAsia="Arial" w:hAnsi="Arial"/>
                <w:sz w:val="14"/>
                <w:szCs w:val="14"/>
                <w:color w:val="auto"/>
              </w:rPr>
              <w:t>(822)</w:t>
            </w:r>
          </w:p>
        </w:tc>
        <w:tc>
          <w:tcPr>
            <w:tcW w:w="740" w:type="dxa"/>
            <w:vAlign w:val="bottom"/>
            <w:gridSpan w:val="2"/>
            <w:shd w:val="clear" w:color="auto" w:fill="E5E5E5"/>
          </w:tcPr>
          <w:p>
            <w:pPr>
              <w:jc w:val="right"/>
              <w:ind w:right="40"/>
              <w:spacing w:after="0" w:line="159" w:lineRule="exact"/>
              <w:rPr>
                <w:sz w:val="20"/>
                <w:szCs w:val="20"/>
                <w:color w:val="auto"/>
              </w:rPr>
            </w:pPr>
            <w:r>
              <w:rPr>
                <w:rFonts w:ascii="Arial" w:cs="Arial" w:eastAsia="Arial" w:hAnsi="Arial"/>
                <w:sz w:val="14"/>
                <w:szCs w:val="14"/>
                <w:color w:val="auto"/>
              </w:rPr>
              <w:t>(827)</w:t>
            </w:r>
          </w:p>
        </w:tc>
        <w:tc>
          <w:tcPr>
            <w:tcW w:w="26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52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700" w:type="dxa"/>
            <w:vAlign w:val="bottom"/>
            <w:gridSpan w:val="2"/>
            <w:shd w:val="clear" w:color="auto" w:fill="E5E5E5"/>
          </w:tcPr>
          <w:p>
            <w:pPr>
              <w:jc w:val="right"/>
              <w:ind w:right="40"/>
              <w:spacing w:after="0" w:line="159" w:lineRule="exact"/>
              <w:rPr>
                <w:sz w:val="20"/>
                <w:szCs w:val="20"/>
                <w:color w:val="auto"/>
              </w:rPr>
            </w:pPr>
            <w:r>
              <w:rPr>
                <w:rFonts w:ascii="Arial" w:cs="Arial" w:eastAsia="Arial" w:hAnsi="Arial"/>
                <w:sz w:val="14"/>
                <w:szCs w:val="14"/>
                <w:color w:val="auto"/>
              </w:rPr>
              <w:t>(1,650)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tcPr>
          <w:p>
            <w:pPr>
              <w:spacing w:after="0" w:line="138" w:lineRule="exact"/>
              <w:rPr>
                <w:sz w:val="20"/>
                <w:szCs w:val="20"/>
                <w:color w:val="auto"/>
              </w:rPr>
            </w:pPr>
            <w:r>
              <w:rPr>
                <w:rFonts w:ascii="Arial" w:cs="Arial" w:eastAsia="Arial" w:hAnsi="Arial"/>
                <w:sz w:val="14"/>
                <w:szCs w:val="14"/>
                <w:color w:val="auto"/>
              </w:rPr>
              <w:t>Employee stock purchase</w:t>
            </w: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tcPr>
          <w:p>
            <w:pPr>
              <w:ind w:left="200"/>
              <w:spacing w:after="0" w:line="159" w:lineRule="exact"/>
              <w:rPr>
                <w:sz w:val="20"/>
                <w:szCs w:val="20"/>
                <w:color w:val="auto"/>
              </w:rPr>
            </w:pPr>
            <w:r>
              <w:rPr>
                <w:rFonts w:ascii="Arial" w:cs="Arial" w:eastAsia="Arial" w:hAnsi="Arial"/>
                <w:sz w:val="14"/>
                <w:szCs w:val="14"/>
                <w:color w:val="auto"/>
              </w:rPr>
              <w:t>plan</w:t>
            </w: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50</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Dividends declared</w:t>
            </w:r>
          </w:p>
        </w:tc>
        <w:tc>
          <w:tcPr>
            <w:tcW w:w="90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80" w:type="dxa"/>
            <w:vAlign w:val="bottom"/>
            <w:tcBorders>
              <w:right w:val="single" w:sz="8" w:color="auto"/>
            </w:tcBorders>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74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(928)</w:t>
            </w:r>
          </w:p>
        </w:tc>
        <w:tc>
          <w:tcPr>
            <w:tcW w:w="26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70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(928)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tcPr>
          <w:p>
            <w:pPr>
              <w:spacing w:after="0" w:line="138" w:lineRule="exact"/>
              <w:rPr>
                <w:sz w:val="20"/>
                <w:szCs w:val="20"/>
                <w:color w:val="auto"/>
              </w:rPr>
            </w:pPr>
            <w:r>
              <w:rPr>
                <w:rFonts w:ascii="Arial" w:cs="Arial" w:eastAsia="Arial" w:hAnsi="Arial"/>
                <w:sz w:val="14"/>
                <w:szCs w:val="14"/>
                <w:color w:val="auto"/>
              </w:rPr>
              <w:t>Other comprehensive</w:t>
            </w: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tcPr>
          <w:p>
            <w:pPr>
              <w:ind w:left="200"/>
              <w:spacing w:after="0" w:line="159" w:lineRule="exact"/>
              <w:rPr>
                <w:sz w:val="20"/>
                <w:szCs w:val="20"/>
                <w:color w:val="auto"/>
              </w:rPr>
            </w:pPr>
            <w:r>
              <w:rPr>
                <w:rFonts w:ascii="Arial" w:cs="Arial" w:eastAsia="Arial" w:hAnsi="Arial"/>
                <w:sz w:val="14"/>
                <w:szCs w:val="14"/>
                <w:color w:val="auto"/>
              </w:rPr>
              <w:t>income (loss)</w:t>
            </w:r>
          </w:p>
        </w:tc>
        <w:tc>
          <w:tcPr>
            <w:tcW w:w="900" w:type="dxa"/>
            <w:vAlign w:val="bottom"/>
          </w:tcPr>
          <w:p>
            <w:pPr>
              <w:spacing w:after="0"/>
              <w:rPr>
                <w:sz w:val="13"/>
                <w:szCs w:val="13"/>
                <w:color w:val="auto"/>
              </w:rPr>
            </w:pPr>
          </w:p>
        </w:tc>
        <w:tc>
          <w:tcPr>
            <w:tcW w:w="6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w:t>
            </w:r>
          </w:p>
        </w:tc>
        <w:tc>
          <w:tcPr>
            <w:tcW w:w="28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(48)</w:t>
            </w: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rPr>
              <w:t>NBCUniversal</w:t>
            </w:r>
          </w:p>
        </w:tc>
        <w:tc>
          <w:tcPr>
            <w:tcW w:w="900" w:type="dxa"/>
            <w:vAlign w:val="bottom"/>
            <w:shd w:val="clear" w:color="auto" w:fill="E5E5E5"/>
          </w:tcPr>
          <w:p>
            <w:pPr>
              <w:spacing w:after="0"/>
              <w:rPr>
                <w:sz w:val="11"/>
                <w:szCs w:val="11"/>
                <w:color w:val="auto"/>
              </w:rPr>
            </w:pPr>
          </w:p>
        </w:tc>
        <w:tc>
          <w:tcPr>
            <w:tcW w:w="58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80" w:type="dxa"/>
            <w:vAlign w:val="bottom"/>
            <w:tcBorders>
              <w:right w:val="single" w:sz="8" w:color="auto"/>
            </w:tcBorders>
            <w:shd w:val="clear" w:color="auto" w:fill="E5E5E5"/>
          </w:tcPr>
          <w:p>
            <w:pPr>
              <w:spacing w:after="0"/>
              <w:rPr>
                <w:sz w:val="11"/>
                <w:szCs w:val="11"/>
                <w:color w:val="auto"/>
              </w:rPr>
            </w:pPr>
          </w:p>
        </w:tc>
        <w:tc>
          <w:tcPr>
            <w:tcW w:w="42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68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transaction</w:t>
            </w:r>
          </w:p>
        </w:tc>
        <w:tc>
          <w:tcPr>
            <w:tcW w:w="900" w:type="dxa"/>
            <w:vAlign w:val="bottom"/>
            <w:shd w:val="clear" w:color="auto" w:fill="E5E5E5"/>
          </w:tcPr>
          <w:p>
            <w:pPr>
              <w:spacing w:after="0"/>
              <w:rPr>
                <w:sz w:val="13"/>
                <w:szCs w:val="13"/>
                <w:color w:val="auto"/>
              </w:rPr>
            </w:pPr>
          </w:p>
        </w:tc>
        <w:tc>
          <w:tcPr>
            <w:tcW w:w="58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15,192</w:t>
            </w:r>
          </w:p>
        </w:tc>
        <w:tc>
          <w:tcPr>
            <w:tcW w:w="80" w:type="dxa"/>
            <w:vAlign w:val="bottom"/>
            <w:shd w:val="clear" w:color="auto" w:fill="E5E5E5"/>
          </w:tcPr>
          <w:p>
            <w:pPr>
              <w:spacing w:after="0"/>
              <w:rPr>
                <w:sz w:val="13"/>
                <w:szCs w:val="13"/>
                <w:color w:val="auto"/>
              </w:rPr>
            </w:pPr>
          </w:p>
        </w:tc>
        <w:tc>
          <w:tcPr>
            <w:tcW w:w="280" w:type="dxa"/>
            <w:vAlign w:val="bottom"/>
            <w:tcBorders>
              <w:right w:val="single" w:sz="8" w:color="auto"/>
            </w:tcBorders>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52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50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1,612</w:t>
            </w:r>
          </w:p>
        </w:tc>
        <w:tc>
          <w:tcPr>
            <w:tcW w:w="8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00" w:type="dxa"/>
            <w:vAlign w:val="bottom"/>
            <w:gridSpan w:val="2"/>
            <w:shd w:val="clear" w:color="auto" w:fill="E5E5E5"/>
          </w:tcPr>
          <w:p>
            <w:pPr>
              <w:jc w:val="right"/>
              <w:ind w:right="80"/>
              <w:spacing w:after="0" w:line="159" w:lineRule="exact"/>
              <w:rPr>
                <w:sz w:val="20"/>
                <w:szCs w:val="20"/>
                <w:color w:val="auto"/>
              </w:rPr>
            </w:pPr>
            <w:r>
              <w:rPr>
                <w:rFonts w:ascii="Arial" w:cs="Arial" w:eastAsia="Arial" w:hAnsi="Arial"/>
                <w:sz w:val="14"/>
                <w:szCs w:val="14"/>
                <w:color w:val="auto"/>
              </w:rPr>
              <w:t>211</w:t>
            </w:r>
          </w:p>
        </w:tc>
        <w:tc>
          <w:tcPr>
            <w:tcW w:w="700" w:type="dxa"/>
            <w:vAlign w:val="bottom"/>
            <w:gridSpan w:val="2"/>
            <w:shd w:val="clear" w:color="auto" w:fill="E5E5E5"/>
          </w:tcPr>
          <w:p>
            <w:pPr>
              <w:jc w:val="right"/>
              <w:ind w:right="80"/>
              <w:spacing w:after="0" w:line="159" w:lineRule="exact"/>
              <w:rPr>
                <w:sz w:val="20"/>
                <w:szCs w:val="20"/>
                <w:color w:val="auto"/>
              </w:rPr>
            </w:pPr>
            <w:r>
              <w:rPr>
                <w:rFonts w:ascii="Arial" w:cs="Arial" w:eastAsia="Arial" w:hAnsi="Arial"/>
                <w:sz w:val="14"/>
                <w:szCs w:val="14"/>
                <w:color w:val="auto"/>
              </w:rPr>
              <w:t>1,823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tcPr>
          <w:p>
            <w:pPr>
              <w:spacing w:after="0" w:line="138" w:lineRule="exact"/>
              <w:rPr>
                <w:sz w:val="20"/>
                <w:szCs w:val="20"/>
                <w:color w:val="auto"/>
              </w:rPr>
            </w:pPr>
            <w:r>
              <w:rPr>
                <w:rFonts w:ascii="Arial" w:cs="Arial" w:eastAsia="Arial" w:hAnsi="Arial"/>
                <w:sz w:val="14"/>
                <w:szCs w:val="14"/>
                <w:color w:val="auto"/>
              </w:rPr>
              <w:t>Issuance of subsidiary</w:t>
            </w: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tcPr>
          <w:p>
            <w:pPr>
              <w:ind w:left="200"/>
              <w:spacing w:after="0" w:line="159" w:lineRule="exact"/>
              <w:rPr>
                <w:sz w:val="20"/>
                <w:szCs w:val="20"/>
                <w:color w:val="auto"/>
              </w:rPr>
            </w:pPr>
            <w:r>
              <w:rPr>
                <w:rFonts w:ascii="Arial" w:cs="Arial" w:eastAsia="Arial" w:hAnsi="Arial"/>
                <w:sz w:val="14"/>
                <w:szCs w:val="14"/>
                <w:color w:val="auto"/>
              </w:rPr>
              <w:t>shares to noncontrolling interests</w:t>
            </w:r>
          </w:p>
        </w:tc>
        <w:tc>
          <w:tcPr>
            <w:tcW w:w="9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83</w:t>
            </w:r>
          </w:p>
        </w:tc>
        <w:tc>
          <w:tcPr>
            <w:tcW w:w="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45</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43</w:t>
            </w:r>
          </w:p>
        </w:tc>
        <w:tc>
          <w:tcPr>
            <w:tcW w:w="80" w:type="dxa"/>
            <w:vAlign w:val="bottom"/>
          </w:tcPr>
          <w:p>
            <w:pPr>
              <w:spacing w:after="0"/>
              <w:rPr>
                <w:sz w:val="13"/>
                <w:szCs w:val="13"/>
                <w:color w:val="auto"/>
              </w:rPr>
            </w:pP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rPr>
              <w:t>Contributions from (distributions to)</w:t>
            </w:r>
          </w:p>
        </w:tc>
        <w:tc>
          <w:tcPr>
            <w:tcW w:w="900" w:type="dxa"/>
            <w:vAlign w:val="bottom"/>
            <w:shd w:val="clear" w:color="auto" w:fill="E5E5E5"/>
          </w:tcPr>
          <w:p>
            <w:pPr>
              <w:spacing w:after="0"/>
              <w:rPr>
                <w:sz w:val="11"/>
                <w:szCs w:val="11"/>
                <w:color w:val="auto"/>
              </w:rPr>
            </w:pPr>
          </w:p>
        </w:tc>
        <w:tc>
          <w:tcPr>
            <w:tcW w:w="58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80" w:type="dxa"/>
            <w:vAlign w:val="bottom"/>
            <w:tcBorders>
              <w:right w:val="single" w:sz="8" w:color="auto"/>
            </w:tcBorders>
            <w:shd w:val="clear" w:color="auto" w:fill="E5E5E5"/>
          </w:tcPr>
          <w:p>
            <w:pPr>
              <w:spacing w:after="0"/>
              <w:rPr>
                <w:sz w:val="11"/>
                <w:szCs w:val="11"/>
                <w:color w:val="auto"/>
              </w:rPr>
            </w:pPr>
          </w:p>
        </w:tc>
        <w:tc>
          <w:tcPr>
            <w:tcW w:w="42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68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noncontrolling interests, net</w:t>
            </w:r>
          </w:p>
        </w:tc>
        <w:tc>
          <w:tcPr>
            <w:tcW w:w="900" w:type="dxa"/>
            <w:vAlign w:val="bottom"/>
            <w:shd w:val="clear" w:color="auto" w:fill="E5E5E5"/>
          </w:tcPr>
          <w:p>
            <w:pPr>
              <w:spacing w:after="0"/>
              <w:rPr>
                <w:sz w:val="13"/>
                <w:szCs w:val="13"/>
                <w:color w:val="auto"/>
              </w:rPr>
            </w:pPr>
          </w:p>
        </w:tc>
        <w:tc>
          <w:tcPr>
            <w:tcW w:w="660" w:type="dxa"/>
            <w:vAlign w:val="bottom"/>
            <w:gridSpan w:val="2"/>
            <w:shd w:val="clear" w:color="auto" w:fill="E5E5E5"/>
          </w:tcPr>
          <w:p>
            <w:pPr>
              <w:jc w:val="right"/>
              <w:ind w:right="40"/>
              <w:spacing w:after="0" w:line="159" w:lineRule="exact"/>
              <w:rPr>
                <w:sz w:val="20"/>
                <w:szCs w:val="20"/>
                <w:color w:val="auto"/>
              </w:rPr>
            </w:pPr>
            <w:r>
              <w:rPr>
                <w:rFonts w:ascii="Arial" w:cs="Arial" w:eastAsia="Arial" w:hAnsi="Arial"/>
                <w:sz w:val="14"/>
                <w:szCs w:val="14"/>
                <w:color w:val="auto"/>
              </w:rPr>
              <w:t>(177)</w:t>
            </w:r>
          </w:p>
        </w:tc>
        <w:tc>
          <w:tcPr>
            <w:tcW w:w="280" w:type="dxa"/>
            <w:vAlign w:val="bottom"/>
            <w:tcBorders>
              <w:right w:val="single" w:sz="8" w:color="auto"/>
            </w:tcBorders>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52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5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00" w:type="dxa"/>
            <w:vAlign w:val="bottom"/>
            <w:gridSpan w:val="2"/>
            <w:shd w:val="clear" w:color="auto" w:fill="E5E5E5"/>
          </w:tcPr>
          <w:p>
            <w:pPr>
              <w:jc w:val="right"/>
              <w:ind w:right="40"/>
              <w:spacing w:after="0" w:line="159" w:lineRule="exact"/>
              <w:rPr>
                <w:sz w:val="20"/>
                <w:szCs w:val="20"/>
                <w:color w:val="auto"/>
              </w:rPr>
            </w:pPr>
            <w:r>
              <w:rPr>
                <w:rFonts w:ascii="Arial" w:cs="Arial" w:eastAsia="Arial" w:hAnsi="Arial"/>
                <w:sz w:val="14"/>
                <w:szCs w:val="14"/>
                <w:color w:val="auto"/>
              </w:rPr>
              <w:t>(112)</w:t>
            </w:r>
          </w:p>
        </w:tc>
        <w:tc>
          <w:tcPr>
            <w:tcW w:w="700" w:type="dxa"/>
            <w:vAlign w:val="bottom"/>
            <w:gridSpan w:val="2"/>
            <w:shd w:val="clear" w:color="auto" w:fill="E5E5E5"/>
          </w:tcPr>
          <w:p>
            <w:pPr>
              <w:jc w:val="right"/>
              <w:ind w:right="40"/>
              <w:spacing w:after="0" w:line="15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income (loss)</w:t>
            </w:r>
          </w:p>
        </w:tc>
        <w:tc>
          <w:tcPr>
            <w:tcW w:w="9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592</w:t>
            </w: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2,873</w:t>
            </w: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107</w:t>
            </w: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color w:val="auto"/>
              </w:rPr>
              <w:t>2,980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Balance, September 30, 2011</w:t>
            </w:r>
          </w:p>
        </w:tc>
        <w:tc>
          <w:tcPr>
            <w:tcW w:w="900" w:type="dxa"/>
            <w:vAlign w:val="bottom"/>
            <w:tcBorders>
              <w:bottom w:val="single" w:sz="8" w:color="auto"/>
            </w:tcBorders>
            <w:shd w:val="clear" w:color="auto" w:fill="E5E5E5"/>
          </w:tcPr>
          <w:p>
            <w:pPr>
              <w:ind w:left="80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15,827</w:t>
            </w:r>
          </w:p>
        </w:tc>
        <w:tc>
          <w:tcPr>
            <w:tcW w:w="80" w:type="dxa"/>
            <w:vAlign w:val="bottom"/>
            <w:tcBorders>
              <w:bottom w:val="single" w:sz="8" w:color="auto"/>
            </w:tcBorders>
            <w:shd w:val="clear" w:color="auto" w:fill="E5E5E5"/>
          </w:tcPr>
          <w:p>
            <w:pPr>
              <w:spacing w:after="0"/>
              <w:rPr>
                <w:sz w:val="12"/>
                <w:szCs w:val="12"/>
                <w:color w:val="auto"/>
              </w:rPr>
            </w:pPr>
          </w:p>
        </w:tc>
        <w:tc>
          <w:tcPr>
            <w:tcW w:w="280" w:type="dxa"/>
            <w:vAlign w:val="bottom"/>
            <w:tcBorders>
              <w:bottom w:val="single" w:sz="8" w:color="auto"/>
              <w:right w:val="single" w:sz="8" w:color="auto"/>
            </w:tcBorders>
            <w:shd w:val="clear" w:color="auto" w:fill="E5E5E5"/>
          </w:tcPr>
          <w:p>
            <w:pPr>
              <w:spacing w:after="0"/>
              <w:rPr>
                <w:sz w:val="12"/>
                <w:szCs w:val="12"/>
                <w:color w:val="auto"/>
              </w:rPr>
            </w:pPr>
          </w:p>
        </w:tc>
        <w:tc>
          <w:tcPr>
            <w:tcW w:w="4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$25</w:t>
            </w:r>
          </w:p>
        </w:tc>
        <w:tc>
          <w:tcPr>
            <w:tcW w:w="400" w:type="dxa"/>
            <w:vAlign w:val="bottom"/>
            <w:tcBorders>
              <w:bottom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b w:val="1"/>
                <w:bCs w:val="1"/>
                <w:color w:val="auto"/>
              </w:rPr>
              <w:t>7</w:t>
            </w:r>
          </w:p>
        </w:tc>
        <w:tc>
          <w:tcPr>
            <w:tcW w:w="340" w:type="dxa"/>
            <w:vAlign w:val="bottom"/>
            <w:tcBorders>
              <w:bottom w:val="single" w:sz="8" w:color="auto"/>
            </w:tcBorders>
            <w:shd w:val="clear" w:color="auto" w:fill="E5E5E5"/>
          </w:tcPr>
          <w:p>
            <w:pPr>
              <w:jc w:val="center"/>
              <w:spacing w:after="0" w:line="142" w:lineRule="exact"/>
              <w:rPr>
                <w:sz w:val="20"/>
                <w:szCs w:val="20"/>
                <w:color w:val="auto"/>
              </w:rPr>
            </w:pPr>
            <w:r>
              <w:rPr>
                <w:rFonts w:ascii="Arial" w:cs="Arial" w:eastAsia="Arial" w:hAnsi="Arial"/>
                <w:sz w:val="14"/>
                <w:szCs w:val="14"/>
                <w:b w:val="1"/>
                <w:bCs w:val="1"/>
                <w:color w:val="auto"/>
                <w:w w:val="93"/>
              </w:rPr>
              <w:t>$ —</w:t>
            </w:r>
          </w:p>
        </w:tc>
        <w:tc>
          <w:tcPr>
            <w:tcW w:w="26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41,079</w:t>
            </w:r>
          </w:p>
        </w:tc>
        <w:tc>
          <w:tcPr>
            <w:tcW w:w="8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$ 13,236</w:t>
            </w:r>
          </w:p>
        </w:tc>
        <w:tc>
          <w:tcPr>
            <w:tcW w:w="80" w:type="dxa"/>
            <w:vAlign w:val="bottom"/>
            <w:tcBorders>
              <w:bottom w:val="single" w:sz="8" w:color="auto"/>
            </w:tcBorders>
            <w:shd w:val="clear" w:color="auto" w:fill="E5E5E5"/>
          </w:tcPr>
          <w:p>
            <w:pPr>
              <w:spacing w:after="0"/>
              <w:rPr>
                <w:sz w:val="12"/>
                <w:szCs w:val="12"/>
                <w:color w:val="auto"/>
              </w:rPr>
            </w:pPr>
          </w:p>
        </w:tc>
        <w:tc>
          <w:tcPr>
            <w:tcW w:w="26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auto"/>
            </w:tcBorders>
            <w:gridSpan w:val="2"/>
            <w:shd w:val="clear" w:color="auto" w:fill="E5E5E5"/>
          </w:tcPr>
          <w:p>
            <w:pPr>
              <w:ind w:left="40"/>
              <w:spacing w:after="0" w:line="142" w:lineRule="exact"/>
              <w:rPr>
                <w:sz w:val="20"/>
                <w:szCs w:val="20"/>
                <w:color w:val="auto"/>
              </w:rPr>
            </w:pPr>
            <w:r>
              <w:rPr>
                <w:rFonts w:ascii="Arial" w:cs="Arial" w:eastAsia="Arial" w:hAnsi="Arial"/>
                <w:sz w:val="14"/>
                <w:szCs w:val="14"/>
                <w:b w:val="1"/>
                <w:bCs w:val="1"/>
                <w:color w:val="auto"/>
                <w:w w:val="94"/>
              </w:rPr>
              <w:t>(7,517)</w:t>
            </w:r>
          </w:p>
        </w:tc>
        <w:tc>
          <w:tcPr>
            <w:tcW w:w="34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gridSpan w:val="2"/>
            <w:shd w:val="clear" w:color="auto" w:fill="E5E5E5"/>
          </w:tcPr>
          <w:p>
            <w:pPr>
              <w:jc w:val="right"/>
              <w:ind w:right="20"/>
              <w:spacing w:after="0" w:line="142" w:lineRule="exact"/>
              <w:rPr>
                <w:sz w:val="20"/>
                <w:szCs w:val="20"/>
                <w:color w:val="auto"/>
              </w:rPr>
            </w:pPr>
            <w:r>
              <w:rPr>
                <w:rFonts w:ascii="Arial" w:cs="Arial" w:eastAsia="Arial" w:hAnsi="Arial"/>
                <w:sz w:val="14"/>
                <w:szCs w:val="14"/>
                <w:b w:val="1"/>
                <w:bCs w:val="1"/>
                <w:color w:val="auto"/>
              </w:rPr>
              <w:t>(147)</w:t>
            </w:r>
          </w:p>
        </w:tc>
        <w:tc>
          <w:tcPr>
            <w:tcW w:w="26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329</w:t>
            </w:r>
          </w:p>
        </w:tc>
        <w:tc>
          <w:tcPr>
            <w:tcW w:w="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gridSpan w:val="2"/>
            <w:shd w:val="clear" w:color="auto" w:fill="E5E5E5"/>
          </w:tcPr>
          <w:p>
            <w:pPr>
              <w:jc w:val="right"/>
              <w:ind w:right="80"/>
              <w:spacing w:after="0" w:line="142" w:lineRule="exact"/>
              <w:rPr>
                <w:sz w:val="20"/>
                <w:szCs w:val="20"/>
                <w:color w:val="auto"/>
              </w:rPr>
            </w:pPr>
            <w:r>
              <w:rPr>
                <w:rFonts w:ascii="Arial" w:cs="Arial" w:eastAsia="Arial" w:hAnsi="Arial"/>
                <w:sz w:val="14"/>
                <w:szCs w:val="14"/>
                <w:b w:val="1"/>
                <w:bCs w:val="1"/>
                <w:color w:val="auto"/>
              </w:rPr>
              <w:t>$47,012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color w:val="auto"/>
              </w:rPr>
              <w:t>Balance, January 1, 2012</w:t>
            </w:r>
          </w:p>
        </w:tc>
        <w:tc>
          <w:tcPr>
            <w:tcW w:w="90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16,014</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40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w w:val="93"/>
              </w:rPr>
              <w:t>$ —</w:t>
            </w:r>
          </w:p>
        </w:tc>
        <w:tc>
          <w:tcPr>
            <w:tcW w:w="260" w:type="dxa"/>
            <w:vAlign w:val="bottom"/>
          </w:tcPr>
          <w:p>
            <w:pPr>
              <w:ind w:left="18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40,940</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$ 13,971</w:t>
            </w:r>
          </w:p>
        </w:tc>
        <w:tc>
          <w:tcPr>
            <w:tcW w:w="80" w:type="dxa"/>
            <w:vAlign w:val="bottom"/>
          </w:tcPr>
          <w:p>
            <w:pPr>
              <w:spacing w:after="0"/>
              <w:rPr>
                <w:sz w:val="12"/>
                <w:szCs w:val="12"/>
                <w:color w:val="auto"/>
              </w:rPr>
            </w:pPr>
          </w:p>
        </w:tc>
        <w:tc>
          <w:tcPr>
            <w:tcW w:w="260" w:type="dxa"/>
            <w:vAlign w:val="bottom"/>
          </w:tcPr>
          <w:p>
            <w:pPr>
              <w:ind w:left="18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(7,517)</w:t>
            </w:r>
          </w:p>
        </w:tc>
        <w:tc>
          <w:tcPr>
            <w:tcW w:w="34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(152)</w:t>
            </w:r>
          </w:p>
        </w:tc>
        <w:tc>
          <w:tcPr>
            <w:tcW w:w="260" w:type="dxa"/>
            <w:vAlign w:val="bottom"/>
          </w:tcPr>
          <w:p>
            <w:pPr>
              <w:ind w:left="18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381</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$47,655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Stock compensation plans</w:t>
            </w:r>
          </w:p>
        </w:tc>
        <w:tc>
          <w:tcPr>
            <w:tcW w:w="90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80" w:type="dxa"/>
            <w:vAlign w:val="bottom"/>
            <w:tcBorders>
              <w:right w:val="single" w:sz="8" w:color="auto"/>
            </w:tcBorders>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5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490</w:t>
            </w:r>
          </w:p>
        </w:tc>
        <w:tc>
          <w:tcPr>
            <w:tcW w:w="80" w:type="dxa"/>
            <w:vAlign w:val="bottom"/>
            <w:shd w:val="clear" w:color="auto" w:fill="E5E5E5"/>
          </w:tcPr>
          <w:p>
            <w:pPr>
              <w:spacing w:after="0"/>
              <w:rPr>
                <w:sz w:val="12"/>
                <w:szCs w:val="12"/>
                <w:color w:val="auto"/>
              </w:rPr>
            </w:pPr>
          </w:p>
        </w:tc>
        <w:tc>
          <w:tcPr>
            <w:tcW w:w="74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(169)</w:t>
            </w:r>
          </w:p>
        </w:tc>
        <w:tc>
          <w:tcPr>
            <w:tcW w:w="26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70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tcPr>
          <w:p>
            <w:pPr>
              <w:spacing w:after="0" w:line="138" w:lineRule="exact"/>
              <w:rPr>
                <w:sz w:val="20"/>
                <w:szCs w:val="20"/>
                <w:color w:val="auto"/>
              </w:rPr>
            </w:pPr>
            <w:r>
              <w:rPr>
                <w:rFonts w:ascii="Arial" w:cs="Arial" w:eastAsia="Arial" w:hAnsi="Arial"/>
                <w:sz w:val="14"/>
                <w:szCs w:val="14"/>
                <w:color w:val="auto"/>
              </w:rPr>
              <w:t>Repurchase and retirement of common</w:t>
            </w: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tcPr>
          <w:p>
            <w:pPr>
              <w:ind w:left="200"/>
              <w:spacing w:after="0" w:line="159" w:lineRule="exact"/>
              <w:rPr>
                <w:sz w:val="20"/>
                <w:szCs w:val="20"/>
                <w:color w:val="auto"/>
              </w:rPr>
            </w:pPr>
            <w:r>
              <w:rPr>
                <w:rFonts w:ascii="Arial" w:cs="Arial" w:eastAsia="Arial" w:hAnsi="Arial"/>
                <w:sz w:val="14"/>
                <w:szCs w:val="14"/>
                <w:color w:val="auto"/>
              </w:rPr>
              <w:t>stock</w:t>
            </w: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(842)</w:t>
            </w: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(1,407)</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(2,250)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rPr>
              <w:t>Employee stock purchase</w:t>
            </w:r>
          </w:p>
        </w:tc>
        <w:tc>
          <w:tcPr>
            <w:tcW w:w="900" w:type="dxa"/>
            <w:vAlign w:val="bottom"/>
            <w:shd w:val="clear" w:color="auto" w:fill="E5E5E5"/>
          </w:tcPr>
          <w:p>
            <w:pPr>
              <w:spacing w:after="0"/>
              <w:rPr>
                <w:sz w:val="11"/>
                <w:szCs w:val="11"/>
                <w:color w:val="auto"/>
              </w:rPr>
            </w:pPr>
          </w:p>
        </w:tc>
        <w:tc>
          <w:tcPr>
            <w:tcW w:w="58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80" w:type="dxa"/>
            <w:vAlign w:val="bottom"/>
            <w:tcBorders>
              <w:right w:val="single" w:sz="8" w:color="auto"/>
            </w:tcBorders>
            <w:shd w:val="clear" w:color="auto" w:fill="E5E5E5"/>
          </w:tcPr>
          <w:p>
            <w:pPr>
              <w:spacing w:after="0"/>
              <w:rPr>
                <w:sz w:val="11"/>
                <w:szCs w:val="11"/>
                <w:color w:val="auto"/>
              </w:rPr>
            </w:pPr>
          </w:p>
        </w:tc>
        <w:tc>
          <w:tcPr>
            <w:tcW w:w="42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68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plan</w:t>
            </w:r>
          </w:p>
        </w:tc>
        <w:tc>
          <w:tcPr>
            <w:tcW w:w="900" w:type="dxa"/>
            <w:vAlign w:val="bottom"/>
            <w:shd w:val="clear" w:color="auto" w:fill="E5E5E5"/>
          </w:tcPr>
          <w:p>
            <w:pPr>
              <w:spacing w:after="0"/>
              <w:rPr>
                <w:sz w:val="13"/>
                <w:szCs w:val="13"/>
                <w:color w:val="auto"/>
              </w:rPr>
            </w:pPr>
          </w:p>
        </w:tc>
        <w:tc>
          <w:tcPr>
            <w:tcW w:w="58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280" w:type="dxa"/>
            <w:vAlign w:val="bottom"/>
            <w:tcBorders>
              <w:right w:val="single" w:sz="8" w:color="auto"/>
            </w:tcBorders>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52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50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62</w:t>
            </w:r>
          </w:p>
        </w:tc>
        <w:tc>
          <w:tcPr>
            <w:tcW w:w="8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52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700" w:type="dxa"/>
            <w:vAlign w:val="bottom"/>
            <w:gridSpan w:val="2"/>
            <w:shd w:val="clear" w:color="auto" w:fill="E5E5E5"/>
          </w:tcPr>
          <w:p>
            <w:pPr>
              <w:jc w:val="right"/>
              <w:ind w:right="80"/>
              <w:spacing w:after="0" w:line="15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color w:val="auto"/>
              </w:rPr>
              <w:t>Dividends declared</w:t>
            </w: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(1,306)</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(1,306)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rPr>
              <w:t>Other comprehensive</w:t>
            </w:r>
          </w:p>
        </w:tc>
        <w:tc>
          <w:tcPr>
            <w:tcW w:w="900" w:type="dxa"/>
            <w:vAlign w:val="bottom"/>
            <w:shd w:val="clear" w:color="auto" w:fill="E5E5E5"/>
          </w:tcPr>
          <w:p>
            <w:pPr>
              <w:spacing w:after="0"/>
              <w:rPr>
                <w:sz w:val="11"/>
                <w:szCs w:val="11"/>
                <w:color w:val="auto"/>
              </w:rPr>
            </w:pPr>
          </w:p>
        </w:tc>
        <w:tc>
          <w:tcPr>
            <w:tcW w:w="58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80" w:type="dxa"/>
            <w:vAlign w:val="bottom"/>
            <w:tcBorders>
              <w:right w:val="single" w:sz="8" w:color="auto"/>
            </w:tcBorders>
            <w:shd w:val="clear" w:color="auto" w:fill="E5E5E5"/>
          </w:tcPr>
          <w:p>
            <w:pPr>
              <w:spacing w:after="0"/>
              <w:rPr>
                <w:sz w:val="11"/>
                <w:szCs w:val="11"/>
                <w:color w:val="auto"/>
              </w:rPr>
            </w:pPr>
          </w:p>
        </w:tc>
        <w:tc>
          <w:tcPr>
            <w:tcW w:w="42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68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income (loss)</w:t>
            </w:r>
          </w:p>
        </w:tc>
        <w:tc>
          <w:tcPr>
            <w:tcW w:w="900" w:type="dxa"/>
            <w:vAlign w:val="bottom"/>
            <w:shd w:val="clear" w:color="auto" w:fill="E5E5E5"/>
          </w:tcPr>
          <w:p>
            <w:pPr>
              <w:spacing w:after="0"/>
              <w:rPr>
                <w:sz w:val="13"/>
                <w:szCs w:val="13"/>
                <w:color w:val="auto"/>
              </w:rPr>
            </w:pPr>
          </w:p>
        </w:tc>
        <w:tc>
          <w:tcPr>
            <w:tcW w:w="58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8</w:t>
            </w:r>
          </w:p>
        </w:tc>
        <w:tc>
          <w:tcPr>
            <w:tcW w:w="80" w:type="dxa"/>
            <w:vAlign w:val="bottom"/>
            <w:shd w:val="clear" w:color="auto" w:fill="E5E5E5"/>
          </w:tcPr>
          <w:p>
            <w:pPr>
              <w:spacing w:after="0"/>
              <w:rPr>
                <w:sz w:val="13"/>
                <w:szCs w:val="13"/>
                <w:color w:val="auto"/>
              </w:rPr>
            </w:pPr>
          </w:p>
        </w:tc>
        <w:tc>
          <w:tcPr>
            <w:tcW w:w="280" w:type="dxa"/>
            <w:vAlign w:val="bottom"/>
            <w:tcBorders>
              <w:right w:val="single" w:sz="8" w:color="auto"/>
            </w:tcBorders>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52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5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68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104</w:t>
            </w:r>
          </w:p>
        </w:tc>
        <w:tc>
          <w:tcPr>
            <w:tcW w:w="8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52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700" w:type="dxa"/>
            <w:vAlign w:val="bottom"/>
            <w:gridSpan w:val="2"/>
            <w:shd w:val="clear" w:color="auto" w:fill="E5E5E5"/>
          </w:tcPr>
          <w:p>
            <w:pPr>
              <w:jc w:val="right"/>
              <w:ind w:right="80"/>
              <w:spacing w:after="0" w:line="15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tcPr>
          <w:p>
            <w:pPr>
              <w:spacing w:after="0" w:line="138" w:lineRule="exact"/>
              <w:rPr>
                <w:sz w:val="20"/>
                <w:szCs w:val="20"/>
                <w:color w:val="auto"/>
              </w:rPr>
            </w:pPr>
            <w:r>
              <w:rPr>
                <w:rFonts w:ascii="Arial" w:cs="Arial" w:eastAsia="Arial" w:hAnsi="Arial"/>
                <w:sz w:val="14"/>
                <w:szCs w:val="14"/>
                <w:color w:val="auto"/>
              </w:rPr>
              <w:t>Contributions from (distributions to)</w:t>
            </w: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tcPr>
          <w:p>
            <w:pPr>
              <w:ind w:left="200"/>
              <w:spacing w:after="0" w:line="159" w:lineRule="exact"/>
              <w:rPr>
                <w:sz w:val="20"/>
                <w:szCs w:val="20"/>
                <w:color w:val="auto"/>
              </w:rPr>
            </w:pPr>
            <w:r>
              <w:rPr>
                <w:rFonts w:ascii="Arial" w:cs="Arial" w:eastAsia="Arial" w:hAnsi="Arial"/>
                <w:sz w:val="14"/>
                <w:szCs w:val="14"/>
                <w:color w:val="auto"/>
              </w:rPr>
              <w:t>noncontrolling interests, net</w:t>
            </w:r>
          </w:p>
        </w:tc>
        <w:tc>
          <w:tcPr>
            <w:tcW w:w="900" w:type="dxa"/>
            <w:vAlign w:val="bottom"/>
          </w:tcPr>
          <w:p>
            <w:pPr>
              <w:spacing w:after="0"/>
              <w:rPr>
                <w:sz w:val="13"/>
                <w:szCs w:val="13"/>
                <w:color w:val="auto"/>
              </w:rPr>
            </w:pPr>
          </w:p>
        </w:tc>
        <w:tc>
          <w:tcPr>
            <w:tcW w:w="6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(353)</w:t>
            </w:r>
          </w:p>
        </w:tc>
        <w:tc>
          <w:tcPr>
            <w:tcW w:w="28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(119)</w:t>
            </w:r>
          </w:p>
        </w:tc>
        <w:tc>
          <w:tcPr>
            <w:tcW w:w="7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Other</w:t>
            </w:r>
          </w:p>
        </w:tc>
        <w:tc>
          <w:tcPr>
            <w:tcW w:w="900" w:type="dxa"/>
            <w:vAlign w:val="bottom"/>
            <w:shd w:val="clear" w:color="auto" w:fill="E5E5E5"/>
          </w:tcPr>
          <w:p>
            <w:pPr>
              <w:spacing w:after="0"/>
              <w:rPr>
                <w:sz w:val="12"/>
                <w:szCs w:val="12"/>
                <w:color w:val="auto"/>
              </w:rPr>
            </w:pPr>
          </w:p>
        </w:tc>
        <w:tc>
          <w:tcPr>
            <w:tcW w:w="66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(43)</w:t>
            </w:r>
          </w:p>
        </w:tc>
        <w:tc>
          <w:tcPr>
            <w:tcW w:w="280" w:type="dxa"/>
            <w:vAlign w:val="bottom"/>
            <w:tcBorders>
              <w:right w:val="single" w:sz="8" w:color="auto"/>
            </w:tcBorders>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5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5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84</w:t>
            </w:r>
          </w:p>
        </w:tc>
        <w:tc>
          <w:tcPr>
            <w:tcW w:w="80" w:type="dxa"/>
            <w:vAlign w:val="bottom"/>
            <w:shd w:val="clear" w:color="auto" w:fill="E5E5E5"/>
          </w:tcPr>
          <w:p>
            <w:pPr>
              <w:spacing w:after="0"/>
              <w:rPr>
                <w:sz w:val="12"/>
                <w:szCs w:val="12"/>
                <w:color w:val="auto"/>
              </w:rPr>
            </w:pPr>
          </w:p>
        </w:tc>
        <w:tc>
          <w:tcPr>
            <w:tcW w:w="70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income (loss)</w:t>
            </w:r>
          </w:p>
        </w:tc>
        <w:tc>
          <w:tcPr>
            <w:tcW w:w="9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1,270</w:t>
            </w: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4,685</w:t>
            </w: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w:t>
            </w: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color w:val="auto"/>
              </w:rPr>
              <w:t>4,788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Balance, September 30, 2012</w:t>
            </w:r>
          </w:p>
        </w:tc>
        <w:tc>
          <w:tcPr>
            <w:tcW w:w="900" w:type="dxa"/>
            <w:vAlign w:val="bottom"/>
            <w:tcBorders>
              <w:bottom w:val="single" w:sz="8" w:color="auto"/>
            </w:tcBorders>
            <w:shd w:val="clear" w:color="auto" w:fill="E5E5E5"/>
          </w:tcPr>
          <w:p>
            <w:pPr>
              <w:ind w:left="80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16,896</w:t>
            </w:r>
          </w:p>
        </w:tc>
        <w:tc>
          <w:tcPr>
            <w:tcW w:w="80" w:type="dxa"/>
            <w:vAlign w:val="bottom"/>
            <w:tcBorders>
              <w:bottom w:val="single" w:sz="8" w:color="auto"/>
            </w:tcBorders>
            <w:shd w:val="clear" w:color="auto" w:fill="E5E5E5"/>
          </w:tcPr>
          <w:p>
            <w:pPr>
              <w:spacing w:after="0"/>
              <w:rPr>
                <w:sz w:val="12"/>
                <w:szCs w:val="12"/>
                <w:color w:val="auto"/>
              </w:rPr>
            </w:pPr>
          </w:p>
        </w:tc>
        <w:tc>
          <w:tcPr>
            <w:tcW w:w="280" w:type="dxa"/>
            <w:vAlign w:val="bottom"/>
            <w:tcBorders>
              <w:bottom w:val="single" w:sz="8" w:color="auto"/>
              <w:right w:val="single" w:sz="8" w:color="auto"/>
            </w:tcBorders>
            <w:shd w:val="clear" w:color="auto" w:fill="E5E5E5"/>
          </w:tcPr>
          <w:p>
            <w:pPr>
              <w:spacing w:after="0"/>
              <w:rPr>
                <w:sz w:val="12"/>
                <w:szCs w:val="12"/>
                <w:color w:val="auto"/>
              </w:rPr>
            </w:pPr>
          </w:p>
        </w:tc>
        <w:tc>
          <w:tcPr>
            <w:tcW w:w="4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$25</w:t>
            </w:r>
          </w:p>
        </w:tc>
        <w:tc>
          <w:tcPr>
            <w:tcW w:w="400" w:type="dxa"/>
            <w:vAlign w:val="bottom"/>
            <w:tcBorders>
              <w:bottom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b w:val="1"/>
                <w:bCs w:val="1"/>
                <w:color w:val="auto"/>
              </w:rPr>
              <w:t>6</w:t>
            </w:r>
          </w:p>
        </w:tc>
        <w:tc>
          <w:tcPr>
            <w:tcW w:w="340" w:type="dxa"/>
            <w:vAlign w:val="bottom"/>
            <w:tcBorders>
              <w:bottom w:val="single" w:sz="8" w:color="auto"/>
            </w:tcBorders>
            <w:shd w:val="clear" w:color="auto" w:fill="E5E5E5"/>
          </w:tcPr>
          <w:p>
            <w:pPr>
              <w:jc w:val="center"/>
              <w:spacing w:after="0" w:line="142" w:lineRule="exact"/>
              <w:rPr>
                <w:sz w:val="20"/>
                <w:szCs w:val="20"/>
                <w:color w:val="auto"/>
              </w:rPr>
            </w:pPr>
            <w:r>
              <w:rPr>
                <w:rFonts w:ascii="Arial" w:cs="Arial" w:eastAsia="Arial" w:hAnsi="Arial"/>
                <w:sz w:val="14"/>
                <w:szCs w:val="14"/>
                <w:b w:val="1"/>
                <w:bCs w:val="1"/>
                <w:color w:val="auto"/>
                <w:w w:val="93"/>
              </w:rPr>
              <w:t>$ —</w:t>
            </w:r>
          </w:p>
        </w:tc>
        <w:tc>
          <w:tcPr>
            <w:tcW w:w="26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40,652</w:t>
            </w:r>
          </w:p>
        </w:tc>
        <w:tc>
          <w:tcPr>
            <w:tcW w:w="8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$ 15,774</w:t>
            </w:r>
          </w:p>
        </w:tc>
        <w:tc>
          <w:tcPr>
            <w:tcW w:w="80" w:type="dxa"/>
            <w:vAlign w:val="bottom"/>
            <w:tcBorders>
              <w:bottom w:val="single" w:sz="8" w:color="auto"/>
            </w:tcBorders>
            <w:shd w:val="clear" w:color="auto" w:fill="E5E5E5"/>
          </w:tcPr>
          <w:p>
            <w:pPr>
              <w:spacing w:after="0"/>
              <w:rPr>
                <w:sz w:val="12"/>
                <w:szCs w:val="12"/>
                <w:color w:val="auto"/>
              </w:rPr>
            </w:pPr>
          </w:p>
        </w:tc>
        <w:tc>
          <w:tcPr>
            <w:tcW w:w="26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auto"/>
            </w:tcBorders>
            <w:gridSpan w:val="2"/>
            <w:shd w:val="clear" w:color="auto" w:fill="E5E5E5"/>
          </w:tcPr>
          <w:p>
            <w:pPr>
              <w:ind w:left="40"/>
              <w:spacing w:after="0" w:line="142" w:lineRule="exact"/>
              <w:rPr>
                <w:sz w:val="20"/>
                <w:szCs w:val="20"/>
                <w:color w:val="auto"/>
              </w:rPr>
            </w:pPr>
            <w:r>
              <w:rPr>
                <w:rFonts w:ascii="Arial" w:cs="Arial" w:eastAsia="Arial" w:hAnsi="Arial"/>
                <w:sz w:val="14"/>
                <w:szCs w:val="14"/>
                <w:b w:val="1"/>
                <w:bCs w:val="1"/>
                <w:color w:val="auto"/>
                <w:w w:val="94"/>
              </w:rPr>
              <w:t>(7,517)</w:t>
            </w:r>
          </w:p>
        </w:tc>
        <w:tc>
          <w:tcPr>
            <w:tcW w:w="34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gridSpan w:val="2"/>
            <w:shd w:val="clear" w:color="auto" w:fill="E5E5E5"/>
          </w:tcPr>
          <w:p>
            <w:pPr>
              <w:jc w:val="right"/>
              <w:ind w:right="20"/>
              <w:spacing w:after="0" w:line="142" w:lineRule="exact"/>
              <w:rPr>
                <w:sz w:val="20"/>
                <w:szCs w:val="20"/>
                <w:color w:val="auto"/>
              </w:rPr>
            </w:pPr>
            <w:r>
              <w:rPr>
                <w:rFonts w:ascii="Arial" w:cs="Arial" w:eastAsia="Arial" w:hAnsi="Arial"/>
                <w:sz w:val="14"/>
                <w:szCs w:val="14"/>
                <w:b w:val="1"/>
                <w:bCs w:val="1"/>
                <w:color w:val="auto"/>
              </w:rPr>
              <w:t>(48)</w:t>
            </w:r>
          </w:p>
        </w:tc>
        <w:tc>
          <w:tcPr>
            <w:tcW w:w="26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449</w:t>
            </w:r>
          </w:p>
        </w:tc>
        <w:tc>
          <w:tcPr>
            <w:tcW w:w="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gridSpan w:val="2"/>
            <w:shd w:val="clear" w:color="auto" w:fill="E5E5E5"/>
          </w:tcPr>
          <w:p>
            <w:pPr>
              <w:jc w:val="right"/>
              <w:ind w:right="80"/>
              <w:spacing w:after="0" w:line="142" w:lineRule="exact"/>
              <w:rPr>
                <w:sz w:val="20"/>
                <w:szCs w:val="20"/>
                <w:color w:val="auto"/>
              </w:rPr>
            </w:pPr>
            <w:r>
              <w:rPr>
                <w:rFonts w:ascii="Arial" w:cs="Arial" w:eastAsia="Arial" w:hAnsi="Arial"/>
                <w:sz w:val="14"/>
                <w:szCs w:val="14"/>
                <w:b w:val="1"/>
                <w:bCs w:val="1"/>
                <w:color w:val="auto"/>
              </w:rPr>
              <w:t>$49,341</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prepared these unaudited condensed consolidated financial statements based on Securities and Exchange Commission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2011 Annual Report on Form 10-K.</w:t>
      </w:r>
    </w:p>
    <w:p>
      <w:pPr>
        <w:spacing w:after="0" w:line="4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January 28, 2011, we closed the NBCUniversal transaction in which we acquired control of the businesses of NBC Universal, Inc. (now named NBCUniversal Media, LLC (“NBCUniversal”)), and on July 1, 2011, we closed the Universal Orlando transaction in which we acquired the remaining 50% equity interest in Universal City Development Partners, Ltd. (“Universal Orlando”) that we did not already own. NBCUniversal’s and Universal Orlando’s results of operations have been consolidated with our results following their respective acquisition dates. For a more complete discussion of the NBCUniversal and Universal Orlando transactions, refer to our consolidated financial statements included in our 2011 Annual Report on Form 10-K.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have been made to the condensed consolidated financial statements for the prior year to conform to classifications used in the current period.</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Earnings Per Share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w w:val="98"/>
              </w:rPr>
              <w:t>Three Months Ended September 30</w:t>
            </w:r>
          </w:p>
        </w:tc>
        <w:tc>
          <w:tcPr>
            <w:tcW w:w="9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r>
      <w:tr>
        <w:trPr>
          <w:trHeight w:val="142"/>
        </w:trPr>
        <w:tc>
          <w:tcPr>
            <w:tcW w:w="50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color w:val="auto"/>
              </w:rPr>
              <w:t>2012</w:t>
            </w: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0"/>
              <w:spacing w:after="0" w:line="142" w:lineRule="exact"/>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r>
      <w:tr>
        <w:trPr>
          <w:trHeight w:val="131"/>
        </w:trPr>
        <w:tc>
          <w:tcPr>
            <w:tcW w:w="5040" w:type="dxa"/>
            <w:vAlign w:val="bottom"/>
          </w:tcPr>
          <w:p>
            <w:pPr>
              <w:spacing w:after="0"/>
              <w:rPr>
                <w:sz w:val="11"/>
                <w:szCs w:val="11"/>
                <w:color w:val="auto"/>
              </w:rPr>
            </w:pPr>
          </w:p>
        </w:tc>
        <w:tc>
          <w:tcPr>
            <w:tcW w:w="1420" w:type="dxa"/>
            <w:vAlign w:val="bottom"/>
            <w:gridSpan w:val="2"/>
          </w:tcPr>
          <w:p>
            <w:pPr>
              <w:jc w:val="center"/>
              <w:ind w:left="104"/>
              <w:spacing w:after="0" w:line="131" w:lineRule="exact"/>
              <w:rPr>
                <w:sz w:val="20"/>
                <w:szCs w:val="20"/>
                <w:color w:val="auto"/>
              </w:rPr>
            </w:pPr>
            <w:r>
              <w:rPr>
                <w:rFonts w:ascii="Arial" w:cs="Arial" w:eastAsia="Arial" w:hAnsi="Arial"/>
                <w:sz w:val="14"/>
                <w:szCs w:val="14"/>
                <w:color w:val="auto"/>
                <w:w w:val="89"/>
              </w:rPr>
              <w:t>Net Income</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9"/>
              </w:rPr>
              <w:t>Net Income</w:t>
            </w: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49"/>
        </w:trPr>
        <w:tc>
          <w:tcPr>
            <w:tcW w:w="5040" w:type="dxa"/>
            <w:vAlign w:val="bottom"/>
          </w:tcPr>
          <w:p>
            <w:pPr>
              <w:spacing w:after="0"/>
              <w:rPr>
                <w:sz w:val="12"/>
                <w:szCs w:val="12"/>
                <w:color w:val="auto"/>
              </w:rPr>
            </w:pPr>
          </w:p>
        </w:tc>
        <w:tc>
          <w:tcPr>
            <w:tcW w:w="1420" w:type="dxa"/>
            <w:vAlign w:val="bottom"/>
            <w:gridSpan w:val="2"/>
          </w:tcPr>
          <w:p>
            <w:pPr>
              <w:jc w:val="center"/>
              <w:ind w:left="104"/>
              <w:spacing w:after="0" w:line="149" w:lineRule="exact"/>
              <w:rPr>
                <w:sz w:val="20"/>
                <w:szCs w:val="20"/>
                <w:color w:val="auto"/>
              </w:rPr>
            </w:pPr>
            <w:r>
              <w:rPr>
                <w:rFonts w:ascii="Arial" w:cs="Arial" w:eastAsia="Arial" w:hAnsi="Arial"/>
                <w:sz w:val="14"/>
                <w:szCs w:val="14"/>
                <w:color w:val="auto"/>
                <w:w w:val="92"/>
              </w:rPr>
              <w:t>Attributable to</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Attributable to</w:t>
            </w: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49"/>
        </w:trPr>
        <w:tc>
          <w:tcPr>
            <w:tcW w:w="5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center"/>
              <w:ind w:right="258"/>
              <w:spacing w:after="0" w:line="149" w:lineRule="exact"/>
              <w:rPr>
                <w:sz w:val="20"/>
                <w:szCs w:val="20"/>
                <w:color w:val="auto"/>
              </w:rPr>
            </w:pPr>
            <w:r>
              <w:rPr>
                <w:rFonts w:ascii="Arial" w:cs="Arial" w:eastAsia="Arial" w:hAnsi="Arial"/>
                <w:sz w:val="14"/>
                <w:szCs w:val="14"/>
                <w:color w:val="auto"/>
                <w:w w:val="86"/>
              </w:rPr>
              <w:t>Comcast</w:t>
            </w:r>
          </w:p>
        </w:tc>
        <w:tc>
          <w:tcPr>
            <w:tcW w:w="840" w:type="dxa"/>
            <w:vAlign w:val="bottom"/>
          </w:tcPr>
          <w:p>
            <w:pPr>
              <w:spacing w:after="0"/>
              <w:rPr>
                <w:sz w:val="12"/>
                <w:szCs w:val="12"/>
                <w:color w:val="auto"/>
              </w:rPr>
            </w:pPr>
          </w:p>
        </w:tc>
        <w:tc>
          <w:tcPr>
            <w:tcW w:w="11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Per Share</w:t>
            </w:r>
          </w:p>
        </w:tc>
        <w:tc>
          <w:tcPr>
            <w:tcW w:w="360" w:type="dxa"/>
            <w:vAlign w:val="bottom"/>
          </w:tcPr>
          <w:p>
            <w:pPr>
              <w:spacing w:after="0"/>
              <w:rPr>
                <w:sz w:val="12"/>
                <w:szCs w:val="12"/>
                <w:color w:val="auto"/>
              </w:rPr>
            </w:pPr>
          </w:p>
        </w:tc>
        <w:tc>
          <w:tcPr>
            <w:tcW w:w="900" w:type="dxa"/>
            <w:vAlign w:val="bottom"/>
          </w:tcPr>
          <w:p>
            <w:pPr>
              <w:jc w:val="center"/>
              <w:ind w:right="259"/>
              <w:spacing w:after="0" w:line="149" w:lineRule="exact"/>
              <w:rPr>
                <w:sz w:val="20"/>
                <w:szCs w:val="20"/>
                <w:color w:val="auto"/>
              </w:rPr>
            </w:pPr>
            <w:r>
              <w:rPr>
                <w:rFonts w:ascii="Arial" w:cs="Arial" w:eastAsia="Arial" w:hAnsi="Arial"/>
                <w:sz w:val="14"/>
                <w:szCs w:val="14"/>
                <w:color w:val="auto"/>
                <w:w w:val="86"/>
              </w:rPr>
              <w:t>Comcast</w:t>
            </w:r>
          </w:p>
        </w:tc>
        <w:tc>
          <w:tcPr>
            <w:tcW w:w="940" w:type="dxa"/>
            <w:vAlign w:val="bottom"/>
          </w:tcPr>
          <w:p>
            <w:pPr>
              <w:spacing w:after="0"/>
              <w:rPr>
                <w:sz w:val="12"/>
                <w:szCs w:val="12"/>
                <w:color w:val="auto"/>
              </w:rPr>
            </w:pPr>
          </w:p>
        </w:tc>
        <w:tc>
          <w:tcPr>
            <w:tcW w:w="8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88"/>
              </w:rPr>
              <w:t>Per Share</w:t>
            </w:r>
          </w:p>
        </w:tc>
      </w:tr>
      <w:tr>
        <w:trPr>
          <w:trHeight w:val="159"/>
        </w:trPr>
        <w:tc>
          <w:tcPr>
            <w:tcW w:w="50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420" w:type="dxa"/>
            <w:vAlign w:val="bottom"/>
            <w:tcBorders>
              <w:bottom w:val="single" w:sz="8" w:color="auto"/>
            </w:tcBorders>
            <w:gridSpan w:val="2"/>
          </w:tcPr>
          <w:p>
            <w:pPr>
              <w:jc w:val="center"/>
              <w:ind w:left="84"/>
              <w:spacing w:after="0" w:line="159" w:lineRule="exact"/>
              <w:rPr>
                <w:sz w:val="20"/>
                <w:szCs w:val="20"/>
                <w:color w:val="auto"/>
              </w:rPr>
            </w:pPr>
            <w:r>
              <w:rPr>
                <w:rFonts w:ascii="Arial" w:cs="Arial" w:eastAsia="Arial" w:hAnsi="Arial"/>
                <w:sz w:val="14"/>
                <w:szCs w:val="14"/>
                <w:color w:val="auto"/>
                <w:w w:val="90"/>
              </w:rPr>
              <w:t>Corporation</w:t>
            </w:r>
          </w:p>
        </w:tc>
        <w:tc>
          <w:tcPr>
            <w:tcW w:w="840" w:type="dxa"/>
            <w:vAlign w:val="bottom"/>
            <w:tcBorders>
              <w:bottom w:val="single" w:sz="8" w:color="auto"/>
            </w:tcBorders>
          </w:tcPr>
          <w:p>
            <w:pPr>
              <w:jc w:val="right"/>
              <w:ind w:right="100"/>
              <w:spacing w:after="0" w:line="159" w:lineRule="exact"/>
              <w:rPr>
                <w:sz w:val="20"/>
                <w:szCs w:val="20"/>
                <w:color w:val="auto"/>
              </w:rPr>
            </w:pPr>
            <w:r>
              <w:rPr>
                <w:rFonts w:ascii="Arial" w:cs="Arial" w:eastAsia="Arial" w:hAnsi="Arial"/>
                <w:sz w:val="14"/>
                <w:szCs w:val="14"/>
                <w:color w:val="auto"/>
              </w:rPr>
              <w:t>Shares</w:t>
            </w:r>
          </w:p>
        </w:tc>
        <w:tc>
          <w:tcPr>
            <w:tcW w:w="1100" w:type="dxa"/>
            <w:vAlign w:val="bottom"/>
            <w:tcBorders>
              <w:bottom w:val="single" w:sz="8" w:color="auto"/>
            </w:tcBorders>
            <w:gridSpan w:val="2"/>
          </w:tcPr>
          <w:p>
            <w:pPr>
              <w:ind w:left="380"/>
              <w:spacing w:after="0" w:line="159" w:lineRule="exact"/>
              <w:rPr>
                <w:sz w:val="20"/>
                <w:szCs w:val="20"/>
                <w:color w:val="auto"/>
              </w:rPr>
            </w:pPr>
            <w:r>
              <w:rPr>
                <w:rFonts w:ascii="Arial" w:cs="Arial" w:eastAsia="Arial" w:hAnsi="Arial"/>
                <w:sz w:val="14"/>
                <w:szCs w:val="14"/>
                <w:color w:val="auto"/>
              </w:rPr>
              <w:t>Amount</w:t>
            </w:r>
          </w:p>
        </w:tc>
        <w:tc>
          <w:tcPr>
            <w:tcW w:w="126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7"/>
              </w:rPr>
              <w:t>Corporation</w:t>
            </w:r>
          </w:p>
        </w:tc>
        <w:tc>
          <w:tcPr>
            <w:tcW w:w="940" w:type="dxa"/>
            <w:vAlign w:val="bottom"/>
            <w:tcBorders>
              <w:bottom w:val="single" w:sz="8" w:color="auto"/>
            </w:tcBorders>
          </w:tcPr>
          <w:p>
            <w:pPr>
              <w:jc w:val="right"/>
              <w:ind w:right="200"/>
              <w:spacing w:after="0" w:line="159" w:lineRule="exact"/>
              <w:rPr>
                <w:sz w:val="20"/>
                <w:szCs w:val="20"/>
                <w:color w:val="auto"/>
              </w:rPr>
            </w:pPr>
            <w:r>
              <w:rPr>
                <w:rFonts w:ascii="Arial" w:cs="Arial" w:eastAsia="Arial" w:hAnsi="Arial"/>
                <w:sz w:val="14"/>
                <w:szCs w:val="14"/>
                <w:color w:val="auto"/>
              </w:rPr>
              <w:t>Shares</w:t>
            </w:r>
          </w:p>
        </w:tc>
        <w:tc>
          <w:tcPr>
            <w:tcW w:w="820" w:type="dxa"/>
            <w:vAlign w:val="bottom"/>
            <w:tcBorders>
              <w:bottom w:val="single" w:sz="8" w:color="auto"/>
            </w:tcBorders>
            <w:gridSpan w:val="2"/>
          </w:tcPr>
          <w:p>
            <w:pPr>
              <w:ind w:left="280"/>
              <w:spacing w:after="0" w:line="159" w:lineRule="exact"/>
              <w:rPr>
                <w:sz w:val="20"/>
                <w:szCs w:val="20"/>
                <w:color w:val="auto"/>
              </w:rPr>
            </w:pPr>
            <w:r>
              <w:rPr>
                <w:rFonts w:ascii="Arial" w:cs="Arial" w:eastAsia="Arial" w:hAnsi="Arial"/>
                <w:sz w:val="14"/>
                <w:szCs w:val="14"/>
                <w:color w:val="auto"/>
              </w:rPr>
              <w:t>Amount</w:t>
            </w:r>
          </w:p>
        </w:tc>
      </w:tr>
      <w:tr>
        <w:trPr>
          <w:trHeight w:val="210"/>
        </w:trPr>
        <w:tc>
          <w:tcPr>
            <w:tcW w:w="5040" w:type="dxa"/>
            <w:vAlign w:val="bottom"/>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2,113</w:t>
            </w:r>
          </w:p>
        </w:tc>
        <w:tc>
          <w:tcPr>
            <w:tcW w:w="840" w:type="dxa"/>
            <w:vAlign w:val="bottom"/>
            <w:shd w:val="clear" w:color="auto" w:fill="E5E5E5"/>
          </w:tcPr>
          <w:p>
            <w:pPr>
              <w:jc w:val="right"/>
              <w:ind w:right="60"/>
              <w:spacing w:after="0"/>
              <w:rPr>
                <w:sz w:val="20"/>
                <w:szCs w:val="20"/>
                <w:color w:val="auto"/>
              </w:rPr>
            </w:pPr>
            <w:r>
              <w:rPr>
                <w:rFonts w:ascii="Arial" w:cs="Arial" w:eastAsia="Arial" w:hAnsi="Arial"/>
                <w:sz w:val="18"/>
                <w:szCs w:val="18"/>
                <w:color w:val="auto"/>
              </w:rPr>
              <w:t>2,668</w:t>
            </w:r>
          </w:p>
        </w:tc>
        <w:tc>
          <w:tcPr>
            <w:tcW w:w="50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96"/>
              </w:rPr>
              <w:t>0.79</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139"/>
              <w:spacing w:after="0"/>
              <w:rPr>
                <w:sz w:val="20"/>
                <w:szCs w:val="20"/>
                <w:color w:val="auto"/>
              </w:rPr>
            </w:pPr>
            <w:r>
              <w:rPr>
                <w:rFonts w:ascii="Arial" w:cs="Arial" w:eastAsia="Arial" w:hAnsi="Arial"/>
                <w:sz w:val="18"/>
                <w:szCs w:val="18"/>
                <w:color w:val="auto"/>
              </w:rPr>
              <w:t>908</w:t>
            </w:r>
          </w:p>
        </w:tc>
        <w:tc>
          <w:tcPr>
            <w:tcW w:w="940" w:type="dxa"/>
            <w:vAlign w:val="bottom"/>
            <w:shd w:val="clear" w:color="auto" w:fill="E5E5E5"/>
          </w:tcPr>
          <w:p>
            <w:pPr>
              <w:jc w:val="right"/>
              <w:ind w:right="160"/>
              <w:spacing w:after="0"/>
              <w:rPr>
                <w:sz w:val="20"/>
                <w:szCs w:val="20"/>
                <w:color w:val="auto"/>
              </w:rPr>
            </w:pPr>
            <w:r>
              <w:rPr>
                <w:rFonts w:ascii="Arial" w:cs="Arial" w:eastAsia="Arial" w:hAnsi="Arial"/>
                <w:sz w:val="18"/>
                <w:szCs w:val="18"/>
                <w:color w:val="auto"/>
              </w:rPr>
              <w:t>2,739</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6"/>
              </w:rPr>
              <w:t>0.33</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50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w w:val="91"/>
              </w:rPr>
              <w:t>Assumed exercise or issuance of shares relating to stock plans</w:t>
            </w:r>
          </w:p>
        </w:tc>
        <w:tc>
          <w:tcPr>
            <w:tcW w:w="5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60"/>
              <w:spacing w:after="0"/>
              <w:rPr>
                <w:sz w:val="20"/>
                <w:szCs w:val="20"/>
                <w:color w:val="auto"/>
              </w:rPr>
            </w:pPr>
            <w:r>
              <w:rPr>
                <w:rFonts w:ascii="Arial" w:cs="Arial" w:eastAsia="Arial" w:hAnsi="Arial"/>
                <w:sz w:val="18"/>
                <w:szCs w:val="18"/>
                <w:color w:val="auto"/>
              </w:rPr>
              <w:t>35</w:t>
            </w:r>
          </w:p>
        </w:tc>
        <w:tc>
          <w:tcPr>
            <w:tcW w:w="5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color w:val="auto"/>
              </w:rPr>
              <w:t>22</w:t>
            </w:r>
          </w:p>
        </w:tc>
        <w:tc>
          <w:tcPr>
            <w:tcW w:w="40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r>
      <w:tr>
        <w:trPr>
          <w:trHeight w:val="217"/>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Diluted EPS attributable to Comcast Corporation shareholders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b w:val="1"/>
                <w:bCs w:val="1"/>
                <w:color w:val="auto"/>
              </w:rPr>
              <w:t>2,113</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b w:val="1"/>
                <w:bCs w:val="1"/>
                <w:color w:val="auto"/>
              </w:rPr>
              <w:t>2,703</w:t>
            </w: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6"/>
              </w:rPr>
              <w:t>0.78</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b w:val="1"/>
                <w:bCs w:val="1"/>
                <w:color w:val="auto"/>
              </w:rPr>
              <w:t>908</w:t>
            </w:r>
          </w:p>
        </w:tc>
        <w:tc>
          <w:tcPr>
            <w:tcW w:w="94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b w:val="1"/>
                <w:bCs w:val="1"/>
                <w:color w:val="auto"/>
              </w:rPr>
              <w:t>2,761</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0.33</w:t>
            </w:r>
          </w:p>
        </w:tc>
      </w:tr>
      <w:tr>
        <w:trPr>
          <w:trHeight w:val="297"/>
        </w:trPr>
        <w:tc>
          <w:tcPr>
            <w:tcW w:w="50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color w:val="auto"/>
              </w:rPr>
              <w:t>Nine Months Ended September 30</w:t>
            </w:r>
          </w:p>
        </w:tc>
        <w:tc>
          <w:tcPr>
            <w:tcW w:w="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r>
        <w:trPr>
          <w:trHeight w:val="142"/>
        </w:trPr>
        <w:tc>
          <w:tcPr>
            <w:tcW w:w="50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color w:val="auto"/>
              </w:rPr>
              <w:t>2012</w:t>
            </w: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0"/>
              <w:spacing w:after="0" w:line="142" w:lineRule="exact"/>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r>
      <w:tr>
        <w:trPr>
          <w:trHeight w:val="131"/>
        </w:trPr>
        <w:tc>
          <w:tcPr>
            <w:tcW w:w="5040" w:type="dxa"/>
            <w:vAlign w:val="bottom"/>
          </w:tcPr>
          <w:p>
            <w:pPr>
              <w:spacing w:after="0"/>
              <w:rPr>
                <w:sz w:val="11"/>
                <w:szCs w:val="11"/>
                <w:color w:val="auto"/>
              </w:rPr>
            </w:pPr>
          </w:p>
        </w:tc>
        <w:tc>
          <w:tcPr>
            <w:tcW w:w="1420" w:type="dxa"/>
            <w:vAlign w:val="bottom"/>
            <w:gridSpan w:val="2"/>
          </w:tcPr>
          <w:p>
            <w:pPr>
              <w:jc w:val="center"/>
              <w:ind w:left="104"/>
              <w:spacing w:after="0" w:line="131" w:lineRule="exact"/>
              <w:rPr>
                <w:sz w:val="20"/>
                <w:szCs w:val="20"/>
                <w:color w:val="auto"/>
              </w:rPr>
            </w:pPr>
            <w:r>
              <w:rPr>
                <w:rFonts w:ascii="Arial" w:cs="Arial" w:eastAsia="Arial" w:hAnsi="Arial"/>
                <w:sz w:val="14"/>
                <w:szCs w:val="14"/>
                <w:color w:val="auto"/>
                <w:w w:val="89"/>
              </w:rPr>
              <w:t>Net Income</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9"/>
              </w:rPr>
              <w:t>Net Income</w:t>
            </w: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49"/>
        </w:trPr>
        <w:tc>
          <w:tcPr>
            <w:tcW w:w="5040" w:type="dxa"/>
            <w:vAlign w:val="bottom"/>
          </w:tcPr>
          <w:p>
            <w:pPr>
              <w:spacing w:after="0"/>
              <w:rPr>
                <w:sz w:val="12"/>
                <w:szCs w:val="12"/>
                <w:color w:val="auto"/>
              </w:rPr>
            </w:pPr>
          </w:p>
        </w:tc>
        <w:tc>
          <w:tcPr>
            <w:tcW w:w="1420" w:type="dxa"/>
            <w:vAlign w:val="bottom"/>
            <w:gridSpan w:val="2"/>
          </w:tcPr>
          <w:p>
            <w:pPr>
              <w:jc w:val="center"/>
              <w:ind w:left="104"/>
              <w:spacing w:after="0" w:line="149" w:lineRule="exact"/>
              <w:rPr>
                <w:sz w:val="20"/>
                <w:szCs w:val="20"/>
                <w:color w:val="auto"/>
              </w:rPr>
            </w:pPr>
            <w:r>
              <w:rPr>
                <w:rFonts w:ascii="Arial" w:cs="Arial" w:eastAsia="Arial" w:hAnsi="Arial"/>
                <w:sz w:val="14"/>
                <w:szCs w:val="14"/>
                <w:color w:val="auto"/>
                <w:w w:val="92"/>
              </w:rPr>
              <w:t>Attributable to</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Attributable to</w:t>
            </w: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49"/>
        </w:trPr>
        <w:tc>
          <w:tcPr>
            <w:tcW w:w="5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center"/>
              <w:ind w:right="258"/>
              <w:spacing w:after="0" w:line="149" w:lineRule="exact"/>
              <w:rPr>
                <w:sz w:val="20"/>
                <w:szCs w:val="20"/>
                <w:color w:val="auto"/>
              </w:rPr>
            </w:pPr>
            <w:r>
              <w:rPr>
                <w:rFonts w:ascii="Arial" w:cs="Arial" w:eastAsia="Arial" w:hAnsi="Arial"/>
                <w:sz w:val="14"/>
                <w:szCs w:val="14"/>
                <w:color w:val="auto"/>
                <w:w w:val="86"/>
              </w:rPr>
              <w:t>Comcast</w:t>
            </w:r>
          </w:p>
        </w:tc>
        <w:tc>
          <w:tcPr>
            <w:tcW w:w="840" w:type="dxa"/>
            <w:vAlign w:val="bottom"/>
          </w:tcPr>
          <w:p>
            <w:pPr>
              <w:spacing w:after="0"/>
              <w:rPr>
                <w:sz w:val="12"/>
                <w:szCs w:val="12"/>
                <w:color w:val="auto"/>
              </w:rPr>
            </w:pPr>
          </w:p>
        </w:tc>
        <w:tc>
          <w:tcPr>
            <w:tcW w:w="11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Per Share</w:t>
            </w:r>
          </w:p>
        </w:tc>
        <w:tc>
          <w:tcPr>
            <w:tcW w:w="360" w:type="dxa"/>
            <w:vAlign w:val="bottom"/>
          </w:tcPr>
          <w:p>
            <w:pPr>
              <w:spacing w:after="0"/>
              <w:rPr>
                <w:sz w:val="12"/>
                <w:szCs w:val="12"/>
                <w:color w:val="auto"/>
              </w:rPr>
            </w:pPr>
          </w:p>
        </w:tc>
        <w:tc>
          <w:tcPr>
            <w:tcW w:w="900" w:type="dxa"/>
            <w:vAlign w:val="bottom"/>
          </w:tcPr>
          <w:p>
            <w:pPr>
              <w:jc w:val="center"/>
              <w:ind w:right="259"/>
              <w:spacing w:after="0" w:line="149" w:lineRule="exact"/>
              <w:rPr>
                <w:sz w:val="20"/>
                <w:szCs w:val="20"/>
                <w:color w:val="auto"/>
              </w:rPr>
            </w:pPr>
            <w:r>
              <w:rPr>
                <w:rFonts w:ascii="Arial" w:cs="Arial" w:eastAsia="Arial" w:hAnsi="Arial"/>
                <w:sz w:val="14"/>
                <w:szCs w:val="14"/>
                <w:color w:val="auto"/>
                <w:w w:val="86"/>
              </w:rPr>
              <w:t>Comcast</w:t>
            </w:r>
          </w:p>
        </w:tc>
        <w:tc>
          <w:tcPr>
            <w:tcW w:w="940" w:type="dxa"/>
            <w:vAlign w:val="bottom"/>
          </w:tcPr>
          <w:p>
            <w:pPr>
              <w:spacing w:after="0"/>
              <w:rPr>
                <w:sz w:val="12"/>
                <w:szCs w:val="12"/>
                <w:color w:val="auto"/>
              </w:rPr>
            </w:pPr>
          </w:p>
        </w:tc>
        <w:tc>
          <w:tcPr>
            <w:tcW w:w="8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88"/>
              </w:rPr>
              <w:t>Per Share</w:t>
            </w:r>
          </w:p>
        </w:tc>
      </w:tr>
      <w:tr>
        <w:trPr>
          <w:trHeight w:val="159"/>
        </w:trPr>
        <w:tc>
          <w:tcPr>
            <w:tcW w:w="50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420" w:type="dxa"/>
            <w:vAlign w:val="bottom"/>
            <w:tcBorders>
              <w:bottom w:val="single" w:sz="8" w:color="auto"/>
            </w:tcBorders>
            <w:gridSpan w:val="2"/>
          </w:tcPr>
          <w:p>
            <w:pPr>
              <w:jc w:val="center"/>
              <w:ind w:left="84"/>
              <w:spacing w:after="0" w:line="159" w:lineRule="exact"/>
              <w:rPr>
                <w:sz w:val="20"/>
                <w:szCs w:val="20"/>
                <w:color w:val="auto"/>
              </w:rPr>
            </w:pPr>
            <w:r>
              <w:rPr>
                <w:rFonts w:ascii="Arial" w:cs="Arial" w:eastAsia="Arial" w:hAnsi="Arial"/>
                <w:sz w:val="14"/>
                <w:szCs w:val="14"/>
                <w:color w:val="auto"/>
                <w:w w:val="90"/>
              </w:rPr>
              <w:t>Corporation</w:t>
            </w:r>
          </w:p>
        </w:tc>
        <w:tc>
          <w:tcPr>
            <w:tcW w:w="840" w:type="dxa"/>
            <w:vAlign w:val="bottom"/>
            <w:tcBorders>
              <w:bottom w:val="single" w:sz="8" w:color="auto"/>
            </w:tcBorders>
          </w:tcPr>
          <w:p>
            <w:pPr>
              <w:jc w:val="right"/>
              <w:ind w:right="100"/>
              <w:spacing w:after="0" w:line="159" w:lineRule="exact"/>
              <w:rPr>
                <w:sz w:val="20"/>
                <w:szCs w:val="20"/>
                <w:color w:val="auto"/>
              </w:rPr>
            </w:pPr>
            <w:r>
              <w:rPr>
                <w:rFonts w:ascii="Arial" w:cs="Arial" w:eastAsia="Arial" w:hAnsi="Arial"/>
                <w:sz w:val="14"/>
                <w:szCs w:val="14"/>
                <w:color w:val="auto"/>
              </w:rPr>
              <w:t>Shares</w:t>
            </w:r>
          </w:p>
        </w:tc>
        <w:tc>
          <w:tcPr>
            <w:tcW w:w="1100" w:type="dxa"/>
            <w:vAlign w:val="bottom"/>
            <w:tcBorders>
              <w:bottom w:val="single" w:sz="8" w:color="auto"/>
            </w:tcBorders>
            <w:gridSpan w:val="2"/>
          </w:tcPr>
          <w:p>
            <w:pPr>
              <w:ind w:left="380"/>
              <w:spacing w:after="0" w:line="159" w:lineRule="exact"/>
              <w:rPr>
                <w:sz w:val="20"/>
                <w:szCs w:val="20"/>
                <w:color w:val="auto"/>
              </w:rPr>
            </w:pPr>
            <w:r>
              <w:rPr>
                <w:rFonts w:ascii="Arial" w:cs="Arial" w:eastAsia="Arial" w:hAnsi="Arial"/>
                <w:sz w:val="14"/>
                <w:szCs w:val="14"/>
                <w:color w:val="auto"/>
              </w:rPr>
              <w:t>Amount</w:t>
            </w:r>
          </w:p>
        </w:tc>
        <w:tc>
          <w:tcPr>
            <w:tcW w:w="126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7"/>
              </w:rPr>
              <w:t>Corporation</w:t>
            </w:r>
          </w:p>
        </w:tc>
        <w:tc>
          <w:tcPr>
            <w:tcW w:w="940" w:type="dxa"/>
            <w:vAlign w:val="bottom"/>
            <w:tcBorders>
              <w:bottom w:val="single" w:sz="8" w:color="auto"/>
            </w:tcBorders>
          </w:tcPr>
          <w:p>
            <w:pPr>
              <w:jc w:val="right"/>
              <w:ind w:right="200"/>
              <w:spacing w:after="0" w:line="159" w:lineRule="exact"/>
              <w:rPr>
                <w:sz w:val="20"/>
                <w:szCs w:val="20"/>
                <w:color w:val="auto"/>
              </w:rPr>
            </w:pPr>
            <w:r>
              <w:rPr>
                <w:rFonts w:ascii="Arial" w:cs="Arial" w:eastAsia="Arial" w:hAnsi="Arial"/>
                <w:sz w:val="14"/>
                <w:szCs w:val="14"/>
                <w:color w:val="auto"/>
              </w:rPr>
              <w:t>Shares</w:t>
            </w:r>
          </w:p>
        </w:tc>
        <w:tc>
          <w:tcPr>
            <w:tcW w:w="820" w:type="dxa"/>
            <w:vAlign w:val="bottom"/>
            <w:tcBorders>
              <w:bottom w:val="single" w:sz="8" w:color="auto"/>
            </w:tcBorders>
            <w:gridSpan w:val="2"/>
          </w:tcPr>
          <w:p>
            <w:pPr>
              <w:ind w:left="280"/>
              <w:spacing w:after="0" w:line="159" w:lineRule="exact"/>
              <w:rPr>
                <w:sz w:val="20"/>
                <w:szCs w:val="20"/>
                <w:color w:val="auto"/>
              </w:rPr>
            </w:pPr>
            <w:r>
              <w:rPr>
                <w:rFonts w:ascii="Arial" w:cs="Arial" w:eastAsia="Arial" w:hAnsi="Arial"/>
                <w:sz w:val="14"/>
                <w:szCs w:val="14"/>
                <w:color w:val="auto"/>
              </w:rPr>
              <w:t>Amount</w:t>
            </w:r>
          </w:p>
        </w:tc>
      </w:tr>
      <w:tr>
        <w:trPr>
          <w:trHeight w:val="210"/>
        </w:trPr>
        <w:tc>
          <w:tcPr>
            <w:tcW w:w="5040" w:type="dxa"/>
            <w:vAlign w:val="bottom"/>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4,685</w:t>
            </w:r>
          </w:p>
        </w:tc>
        <w:tc>
          <w:tcPr>
            <w:tcW w:w="840" w:type="dxa"/>
            <w:vAlign w:val="bottom"/>
            <w:shd w:val="clear" w:color="auto" w:fill="E5E5E5"/>
          </w:tcPr>
          <w:p>
            <w:pPr>
              <w:jc w:val="right"/>
              <w:ind w:right="60"/>
              <w:spacing w:after="0"/>
              <w:rPr>
                <w:sz w:val="20"/>
                <w:szCs w:val="20"/>
                <w:color w:val="auto"/>
              </w:rPr>
            </w:pPr>
            <w:r>
              <w:rPr>
                <w:rFonts w:ascii="Arial" w:cs="Arial" w:eastAsia="Arial" w:hAnsi="Arial"/>
                <w:sz w:val="18"/>
                <w:szCs w:val="18"/>
                <w:color w:val="auto"/>
              </w:rPr>
              <w:t>2,687</w:t>
            </w:r>
          </w:p>
        </w:tc>
        <w:tc>
          <w:tcPr>
            <w:tcW w:w="50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96"/>
              </w:rPr>
              <w:t>1.74</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139"/>
              <w:spacing w:after="0"/>
              <w:rPr>
                <w:sz w:val="20"/>
                <w:szCs w:val="20"/>
                <w:color w:val="auto"/>
              </w:rPr>
            </w:pPr>
            <w:r>
              <w:rPr>
                <w:rFonts w:ascii="Arial" w:cs="Arial" w:eastAsia="Arial" w:hAnsi="Arial"/>
                <w:sz w:val="18"/>
                <w:szCs w:val="18"/>
                <w:color w:val="auto"/>
              </w:rPr>
              <w:t>2,873</w:t>
            </w:r>
          </w:p>
        </w:tc>
        <w:tc>
          <w:tcPr>
            <w:tcW w:w="940" w:type="dxa"/>
            <w:vAlign w:val="bottom"/>
            <w:shd w:val="clear" w:color="auto" w:fill="E5E5E5"/>
          </w:tcPr>
          <w:p>
            <w:pPr>
              <w:jc w:val="right"/>
              <w:ind w:right="160"/>
              <w:spacing w:after="0"/>
              <w:rPr>
                <w:sz w:val="20"/>
                <w:szCs w:val="20"/>
                <w:color w:val="auto"/>
              </w:rPr>
            </w:pPr>
            <w:r>
              <w:rPr>
                <w:rFonts w:ascii="Arial" w:cs="Arial" w:eastAsia="Arial" w:hAnsi="Arial"/>
                <w:sz w:val="18"/>
                <w:szCs w:val="18"/>
                <w:color w:val="auto"/>
              </w:rPr>
              <w:t>2,757</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6"/>
              </w:rPr>
              <w:t>1.04</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50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w w:val="91"/>
              </w:rPr>
              <w:t>Assumed exercise or issuance of shares relating to stock plans</w:t>
            </w:r>
          </w:p>
        </w:tc>
        <w:tc>
          <w:tcPr>
            <w:tcW w:w="5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60"/>
              <w:spacing w:after="0"/>
              <w:rPr>
                <w:sz w:val="20"/>
                <w:szCs w:val="20"/>
                <w:color w:val="auto"/>
              </w:rPr>
            </w:pPr>
            <w:r>
              <w:rPr>
                <w:rFonts w:ascii="Arial" w:cs="Arial" w:eastAsia="Arial" w:hAnsi="Arial"/>
                <w:sz w:val="18"/>
                <w:szCs w:val="18"/>
                <w:color w:val="auto"/>
              </w:rPr>
              <w:t>37</w:t>
            </w:r>
          </w:p>
        </w:tc>
        <w:tc>
          <w:tcPr>
            <w:tcW w:w="5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color w:val="auto"/>
              </w:rPr>
              <w:t>32</w:t>
            </w:r>
          </w:p>
        </w:tc>
        <w:tc>
          <w:tcPr>
            <w:tcW w:w="40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r>
      <w:tr>
        <w:trPr>
          <w:trHeight w:val="217"/>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Diluted EPS attributable to Comcast Corporation shareholders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b w:val="1"/>
                <w:bCs w:val="1"/>
                <w:color w:val="auto"/>
              </w:rPr>
              <w:t>4,685</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b w:val="1"/>
                <w:bCs w:val="1"/>
                <w:color w:val="auto"/>
              </w:rPr>
              <w:t>2,724</w:t>
            </w: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6"/>
              </w:rPr>
              <w:t>1.72</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b w:val="1"/>
                <w:bCs w:val="1"/>
                <w:color w:val="auto"/>
              </w:rPr>
              <w:t>2,873</w:t>
            </w:r>
          </w:p>
        </w:tc>
        <w:tc>
          <w:tcPr>
            <w:tcW w:w="94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b w:val="1"/>
                <w:bCs w:val="1"/>
                <w:color w:val="auto"/>
              </w:rPr>
              <w:t>2,789</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1.03</w:t>
            </w:r>
          </w:p>
        </w:tc>
      </w:tr>
      <w:tr>
        <w:trPr>
          <w:trHeight w:val="363"/>
        </w:trPr>
        <w:tc>
          <w:tcPr>
            <w:tcW w:w="5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jc w:val="right"/>
              <w:ind w:right="618"/>
              <w:spacing w:after="0"/>
              <w:rPr>
                <w:sz w:val="20"/>
                <w:szCs w:val="20"/>
                <w:color w:val="auto"/>
              </w:rPr>
            </w:pPr>
            <w:r>
              <w:rPr>
                <w:rFonts w:ascii="Arial" w:cs="Arial" w:eastAsia="Arial" w:hAnsi="Arial"/>
                <w:sz w:val="18"/>
                <w:szCs w:val="18"/>
                <w:color w:val="auto"/>
              </w:rPr>
              <w:t>6</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Diluted earnings per common share attributable to Comcast Corporation shareholders (“diluted EPS”) for the three and nine months ended September 30, 2012 excludes 21 million and 37 million, respectively, of potential common shares related to our share-based compensation plans, because the inclusion of the potential common shares would have had an antidilutive effect. For the three and nine months ended September 30, 2011, diluted EPS excluded 54 million and 45 million, respectively, of potential common shares.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Film and Television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4120" w:type="dxa"/>
            <w:vAlign w:val="bottom"/>
            <w:gridSpan w:val="2"/>
          </w:tcPr>
          <w:p>
            <w:pPr>
              <w:ind w:left="2940"/>
              <w:spacing w:after="0"/>
              <w:rPr>
                <w:sz w:val="20"/>
                <w:szCs w:val="20"/>
                <w:color w:val="auto"/>
              </w:rPr>
            </w:pPr>
            <w:r>
              <w:rPr>
                <w:rFonts w:ascii="Arial" w:cs="Arial" w:eastAsia="Arial" w:hAnsi="Arial"/>
                <w:sz w:val="14"/>
                <w:szCs w:val="14"/>
                <w:color w:val="auto"/>
              </w:rPr>
              <w:t>September 30,</w:t>
            </w:r>
          </w:p>
        </w:tc>
        <w:tc>
          <w:tcPr>
            <w:tcW w:w="1220" w:type="dxa"/>
            <w:vAlign w:val="bottom"/>
            <w:gridSpan w:val="2"/>
          </w:tcPr>
          <w:p>
            <w:pPr>
              <w:ind w:left="400"/>
              <w:spacing w:after="0"/>
              <w:rPr>
                <w:sz w:val="20"/>
                <w:szCs w:val="20"/>
                <w:color w:val="auto"/>
              </w:rPr>
            </w:pPr>
            <w:r>
              <w:rPr>
                <w:rFonts w:ascii="Arial" w:cs="Arial" w:eastAsia="Arial" w:hAnsi="Arial"/>
                <w:sz w:val="14"/>
                <w:szCs w:val="14"/>
                <w:color w:val="auto"/>
                <w:w w:val="90"/>
              </w:rPr>
              <w:t>December 31,</w:t>
            </w:r>
          </w:p>
        </w:tc>
      </w:tr>
      <w:tr>
        <w:trPr>
          <w:trHeight w:val="159"/>
        </w:trPr>
        <w:tc>
          <w:tcPr>
            <w:tcW w:w="60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4"/>
              <w:spacing w:after="0" w:line="159" w:lineRule="exact"/>
              <w:rPr>
                <w:sz w:val="20"/>
                <w:szCs w:val="20"/>
                <w:color w:val="auto"/>
              </w:rPr>
            </w:pPr>
            <w:r>
              <w:rPr>
                <w:rFonts w:ascii="Arial" w:cs="Arial" w:eastAsia="Arial" w:hAnsi="Arial"/>
                <w:sz w:val="14"/>
                <w:szCs w:val="14"/>
                <w:color w:val="auto"/>
              </w:rPr>
              <w:t>2012</w:t>
            </w:r>
          </w:p>
        </w:tc>
        <w:tc>
          <w:tcPr>
            <w:tcW w:w="5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4"/>
              <w:spacing w:after="0" w:line="159" w:lineRule="exact"/>
              <w:rPr>
                <w:sz w:val="20"/>
                <w:szCs w:val="20"/>
                <w:color w:val="auto"/>
              </w:rPr>
            </w:pPr>
            <w:r>
              <w:rPr>
                <w:rFonts w:ascii="Arial" w:cs="Arial" w:eastAsia="Arial" w:hAnsi="Arial"/>
                <w:sz w:val="14"/>
                <w:szCs w:val="14"/>
                <w:color w:val="auto"/>
              </w:rPr>
              <w:t>2011</w:t>
            </w:r>
          </w:p>
        </w:tc>
      </w:tr>
      <w:tr>
        <w:trPr>
          <w:trHeight w:val="210"/>
        </w:trPr>
        <w:tc>
          <w:tcPr>
            <w:tcW w:w="60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Film Costs:</w:t>
            </w:r>
          </w:p>
        </w:tc>
        <w:tc>
          <w:tcPr>
            <w:tcW w:w="310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r>
      <w:tr>
        <w:trPr>
          <w:trHeight w:val="216"/>
        </w:trPr>
        <w:tc>
          <w:tcPr>
            <w:tcW w:w="608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3100" w:type="dxa"/>
            <w:vAlign w:val="bottom"/>
          </w:tcPr>
          <w:p>
            <w:pPr>
              <w:ind w:left="29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1,518</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1,428</w:t>
            </w:r>
          </w:p>
        </w:tc>
      </w:tr>
      <w:tr>
        <w:trPr>
          <w:trHeight w:val="216"/>
        </w:trPr>
        <w:tc>
          <w:tcPr>
            <w:tcW w:w="60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31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137</w:t>
            </w:r>
          </w:p>
        </w:tc>
        <w:tc>
          <w:tcPr>
            <w:tcW w:w="5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60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1,020</w:t>
            </w:r>
          </w:p>
        </w:tc>
        <w:tc>
          <w:tcPr>
            <w:tcW w:w="5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r>
      <w:tr>
        <w:trPr>
          <w:trHeight w:val="210"/>
        </w:trPr>
        <w:tc>
          <w:tcPr>
            <w:tcW w:w="6080" w:type="dxa"/>
            <w:vAlign w:val="bottom"/>
            <w:shd w:val="clear" w:color="auto" w:fill="E5E5E5"/>
          </w:tcPr>
          <w:p>
            <w:pPr>
              <w:spacing w:after="0"/>
              <w:rPr>
                <w:sz w:val="18"/>
                <w:szCs w:val="18"/>
                <w:color w:val="auto"/>
              </w:rPr>
            </w:pPr>
          </w:p>
        </w:tc>
        <w:tc>
          <w:tcPr>
            <w:tcW w:w="31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2,675</w:t>
            </w:r>
          </w:p>
        </w:tc>
        <w:tc>
          <w:tcPr>
            <w:tcW w:w="5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2,950</w:t>
            </w: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Television Costs:</w:t>
            </w:r>
          </w:p>
        </w:tc>
        <w:tc>
          <w:tcPr>
            <w:tcW w:w="3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0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31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1,013</w:t>
            </w:r>
          </w:p>
        </w:tc>
        <w:tc>
          <w:tcPr>
            <w:tcW w:w="5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1,002</w:t>
            </w:r>
          </w:p>
        </w:tc>
      </w:tr>
      <w:tr>
        <w:trPr>
          <w:trHeight w:val="216"/>
        </w:trPr>
        <w:tc>
          <w:tcPr>
            <w:tcW w:w="60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203</w:t>
            </w:r>
          </w:p>
        </w:tc>
        <w:tc>
          <w:tcPr>
            <w:tcW w:w="5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r>
      <w:tr>
        <w:trPr>
          <w:trHeight w:val="210"/>
        </w:trPr>
        <w:tc>
          <w:tcPr>
            <w:tcW w:w="6080" w:type="dxa"/>
            <w:vAlign w:val="bottom"/>
            <w:shd w:val="clear" w:color="auto" w:fill="E5E5E5"/>
          </w:tcPr>
          <w:p>
            <w:pPr>
              <w:spacing w:after="0"/>
              <w:rPr>
                <w:sz w:val="18"/>
                <w:szCs w:val="18"/>
                <w:color w:val="auto"/>
              </w:rPr>
            </w:pPr>
          </w:p>
        </w:tc>
        <w:tc>
          <w:tcPr>
            <w:tcW w:w="31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1,216</w:t>
            </w:r>
          </w:p>
        </w:tc>
        <w:tc>
          <w:tcPr>
            <w:tcW w:w="5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1,203</w:t>
            </w:r>
          </w:p>
        </w:tc>
      </w:tr>
      <w:tr>
        <w:trPr>
          <w:trHeight w:val="216"/>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3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2,092</w:t>
            </w:r>
          </w:p>
        </w:tc>
        <w:tc>
          <w:tcPr>
            <w:tcW w:w="5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w:t>
            </w:r>
          </w:p>
        </w:tc>
      </w:tr>
      <w:tr>
        <w:trPr>
          <w:trHeight w:val="210"/>
        </w:trPr>
        <w:tc>
          <w:tcPr>
            <w:tcW w:w="6080" w:type="dxa"/>
            <w:vAlign w:val="bottom"/>
            <w:shd w:val="clear" w:color="auto" w:fill="E5E5E5"/>
          </w:tcPr>
          <w:p>
            <w:pPr>
              <w:spacing w:after="0"/>
              <w:rPr>
                <w:sz w:val="18"/>
                <w:szCs w:val="18"/>
                <w:color w:val="auto"/>
              </w:rPr>
            </w:pPr>
          </w:p>
        </w:tc>
        <w:tc>
          <w:tcPr>
            <w:tcW w:w="31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5,983</w:t>
            </w:r>
          </w:p>
        </w:tc>
        <w:tc>
          <w:tcPr>
            <w:tcW w:w="5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6,214</w:t>
            </w:r>
          </w:p>
        </w:tc>
      </w:tr>
      <w:tr>
        <w:trPr>
          <w:trHeight w:val="216"/>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3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1,037</w:t>
            </w:r>
          </w:p>
        </w:tc>
        <w:tc>
          <w:tcPr>
            <w:tcW w:w="5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r>
      <w:tr>
        <w:trPr>
          <w:trHeight w:val="217"/>
        </w:trPr>
        <w:tc>
          <w:tcPr>
            <w:tcW w:w="6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3100" w:type="dxa"/>
            <w:vAlign w:val="bottom"/>
            <w:tcBorders>
              <w:bottom w:val="single" w:sz="8" w:color="auto"/>
            </w:tcBorders>
            <w:shd w:val="clear" w:color="auto" w:fill="E5E5E5"/>
          </w:tcPr>
          <w:p>
            <w:pPr>
              <w:ind w:left="294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E5E5E5"/>
          </w:tcPr>
          <w:p>
            <w:pPr>
              <w:jc w:val="right"/>
              <w:ind w:right="314"/>
              <w:spacing w:after="0"/>
              <w:rPr>
                <w:sz w:val="20"/>
                <w:szCs w:val="20"/>
                <w:color w:val="auto"/>
              </w:rPr>
            </w:pPr>
            <w:r>
              <w:rPr>
                <w:rFonts w:ascii="Arial" w:cs="Arial" w:eastAsia="Arial" w:hAnsi="Arial"/>
                <w:sz w:val="18"/>
                <w:szCs w:val="18"/>
                <w:b w:val="1"/>
                <w:bCs w:val="1"/>
                <w:color w:val="auto"/>
              </w:rPr>
              <w:t>4,946</w:t>
            </w:r>
          </w:p>
        </w:tc>
        <w:tc>
          <w:tcPr>
            <w:tcW w:w="56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5,227</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4540" w:type="dxa"/>
            <w:vAlign w:val="bottom"/>
          </w:tcPr>
          <w:p>
            <w:pPr>
              <w:jc w:val="right"/>
              <w:ind w:right="335"/>
              <w:spacing w:after="0"/>
              <w:rPr>
                <w:sz w:val="20"/>
                <w:szCs w:val="20"/>
                <w:color w:val="auto"/>
              </w:rPr>
            </w:pPr>
            <w:r>
              <w:rPr>
                <w:rFonts w:ascii="Arial" w:cs="Arial" w:eastAsia="Arial" w:hAnsi="Arial"/>
                <w:sz w:val="14"/>
                <w:szCs w:val="14"/>
                <w:color w:val="auto"/>
              </w:rPr>
              <w:t>September 30,</w:t>
            </w:r>
          </w:p>
        </w:tc>
        <w:tc>
          <w:tcPr>
            <w:tcW w:w="1240" w:type="dxa"/>
            <w:vAlign w:val="bottom"/>
            <w:gridSpan w:val="2"/>
          </w:tcPr>
          <w:p>
            <w:pPr>
              <w:ind w:left="420"/>
              <w:spacing w:after="0"/>
              <w:rPr>
                <w:sz w:val="20"/>
                <w:szCs w:val="20"/>
                <w:color w:val="auto"/>
              </w:rPr>
            </w:pPr>
            <w:r>
              <w:rPr>
                <w:rFonts w:ascii="Arial" w:cs="Arial" w:eastAsia="Arial" w:hAnsi="Arial"/>
                <w:sz w:val="14"/>
                <w:szCs w:val="14"/>
                <w:color w:val="auto"/>
                <w:w w:val="90"/>
              </w:rPr>
              <w:t>December 31,</w:t>
            </w:r>
          </w:p>
        </w:tc>
      </w:tr>
      <w:tr>
        <w:trPr>
          <w:trHeight w:val="159"/>
        </w:trPr>
        <w:tc>
          <w:tcPr>
            <w:tcW w:w="56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540" w:type="dxa"/>
            <w:vAlign w:val="bottom"/>
            <w:tcBorders>
              <w:bottom w:val="single" w:sz="8" w:color="auto"/>
            </w:tcBorders>
          </w:tcPr>
          <w:p>
            <w:pPr>
              <w:jc w:val="right"/>
              <w:ind w:right="595"/>
              <w:spacing w:after="0" w:line="159" w:lineRule="exact"/>
              <w:rPr>
                <w:sz w:val="20"/>
                <w:szCs w:val="20"/>
                <w:color w:val="auto"/>
              </w:rPr>
            </w:pPr>
            <w:r>
              <w:rPr>
                <w:rFonts w:ascii="Arial" w:cs="Arial" w:eastAsia="Arial" w:hAnsi="Arial"/>
                <w:sz w:val="14"/>
                <w:szCs w:val="14"/>
                <w:color w:val="auto"/>
              </w:rPr>
              <w:t>2012</w:t>
            </w:r>
          </w:p>
        </w:tc>
        <w:tc>
          <w:tcPr>
            <w:tcW w:w="5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4"/>
              <w:spacing w:after="0" w:line="159" w:lineRule="exact"/>
              <w:rPr>
                <w:sz w:val="20"/>
                <w:szCs w:val="20"/>
                <w:color w:val="auto"/>
              </w:rPr>
            </w:pPr>
            <w:r>
              <w:rPr>
                <w:rFonts w:ascii="Arial" w:cs="Arial" w:eastAsia="Arial" w:hAnsi="Arial"/>
                <w:sz w:val="14"/>
                <w:szCs w:val="14"/>
                <w:color w:val="auto"/>
              </w:rPr>
              <w:t>2011</w:t>
            </w:r>
          </w:p>
        </w:tc>
      </w:tr>
      <w:tr>
        <w:trPr>
          <w:trHeight w:val="210"/>
        </w:trPr>
        <w:tc>
          <w:tcPr>
            <w:tcW w:w="5640" w:type="dxa"/>
            <w:vAlign w:val="bottom"/>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454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$4,144</w:t>
            </w:r>
          </w:p>
        </w:tc>
        <w:tc>
          <w:tcPr>
            <w:tcW w:w="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3,028</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Equity Method:</w:t>
            </w:r>
          </w:p>
        </w:tc>
        <w:tc>
          <w:tcPr>
            <w:tcW w:w="4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6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A&amp;E Television Networks</w:t>
            </w:r>
          </w:p>
        </w:tc>
        <w:tc>
          <w:tcPr>
            <w:tcW w:w="454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2,021</w:t>
            </w:r>
          </w:p>
        </w:tc>
      </w:tr>
      <w:tr>
        <w:trPr>
          <w:trHeight w:val="216"/>
        </w:trPr>
        <w:tc>
          <w:tcPr>
            <w:tcW w:w="5640" w:type="dxa"/>
            <w:vAlign w:val="bottom"/>
          </w:tcPr>
          <w:p>
            <w:pPr>
              <w:ind w:left="440"/>
              <w:spacing w:after="0"/>
              <w:rPr>
                <w:sz w:val="20"/>
                <w:szCs w:val="20"/>
                <w:color w:val="auto"/>
              </w:rPr>
            </w:pPr>
            <w:r>
              <w:rPr>
                <w:rFonts w:ascii="Arial" w:cs="Arial" w:eastAsia="Arial" w:hAnsi="Arial"/>
                <w:sz w:val="18"/>
                <w:szCs w:val="18"/>
                <w:color w:val="auto"/>
              </w:rPr>
              <w:t>SpectrumCo</w:t>
            </w:r>
          </w:p>
        </w:tc>
        <w:tc>
          <w:tcPr>
            <w:tcW w:w="4540" w:type="dxa"/>
            <w:vAlign w:val="bottom"/>
          </w:tcPr>
          <w:p>
            <w:pPr>
              <w:jc w:val="right"/>
              <w:ind w:right="335"/>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1,417</w:t>
            </w:r>
          </w:p>
        </w:tc>
      </w:tr>
      <w:tr>
        <w:trPr>
          <w:trHeight w:val="216"/>
        </w:trPr>
        <w:tc>
          <w:tcPr>
            <w:tcW w:w="56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 Weather Channel</w:t>
            </w:r>
          </w:p>
        </w:tc>
        <w:tc>
          <w:tcPr>
            <w:tcW w:w="454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469</w:t>
            </w:r>
          </w:p>
        </w:tc>
        <w:tc>
          <w:tcPr>
            <w:tcW w:w="58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463</w:t>
            </w:r>
          </w:p>
        </w:tc>
      </w:tr>
      <w:tr>
        <w:trPr>
          <w:trHeight w:val="216"/>
        </w:trPr>
        <w:tc>
          <w:tcPr>
            <w:tcW w:w="5640" w:type="dxa"/>
            <w:vAlign w:val="bottom"/>
          </w:tcPr>
          <w:p>
            <w:pPr>
              <w:ind w:left="440"/>
              <w:spacing w:after="0"/>
              <w:rPr>
                <w:sz w:val="20"/>
                <w:szCs w:val="20"/>
                <w:color w:val="auto"/>
              </w:rPr>
            </w:pPr>
            <w:r>
              <w:rPr>
                <w:rFonts w:ascii="Arial" w:cs="Arial" w:eastAsia="Arial" w:hAnsi="Arial"/>
                <w:sz w:val="18"/>
                <w:szCs w:val="18"/>
                <w:color w:val="auto"/>
              </w:rPr>
              <w:t>MSNBC.com</w:t>
            </w:r>
          </w:p>
        </w:tc>
        <w:tc>
          <w:tcPr>
            <w:tcW w:w="4540" w:type="dxa"/>
            <w:vAlign w:val="bottom"/>
          </w:tcPr>
          <w:p>
            <w:pPr>
              <w:jc w:val="right"/>
              <w:ind w:right="335"/>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56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Clearwire LLC</w:t>
            </w:r>
          </w:p>
        </w:tc>
        <w:tc>
          <w:tcPr>
            <w:tcW w:w="454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56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454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655</w:t>
            </w:r>
          </w:p>
        </w:tc>
        <w:tc>
          <w:tcPr>
            <w:tcW w:w="5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r>
      <w:tr>
        <w:trPr>
          <w:trHeight w:val="210"/>
        </w:trPr>
        <w:tc>
          <w:tcPr>
            <w:tcW w:w="5640" w:type="dxa"/>
            <w:vAlign w:val="bottom"/>
            <w:shd w:val="clear" w:color="auto" w:fill="E5E5E5"/>
          </w:tcPr>
          <w:p>
            <w:pPr>
              <w:spacing w:after="0"/>
              <w:rPr>
                <w:sz w:val="18"/>
                <w:szCs w:val="18"/>
                <w:color w:val="auto"/>
              </w:rPr>
            </w:pPr>
          </w:p>
        </w:tc>
        <w:tc>
          <w:tcPr>
            <w:tcW w:w="454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1,135</w:t>
            </w:r>
          </w:p>
        </w:tc>
        <w:tc>
          <w:tcPr>
            <w:tcW w:w="58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4,880</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Cost Method:</w:t>
            </w:r>
          </w:p>
        </w:tc>
        <w:tc>
          <w:tcPr>
            <w:tcW w:w="4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6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AirTouch</w:t>
            </w:r>
          </w:p>
        </w:tc>
        <w:tc>
          <w:tcPr>
            <w:tcW w:w="454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1,534</w:t>
            </w:r>
          </w:p>
        </w:tc>
        <w:tc>
          <w:tcPr>
            <w:tcW w:w="58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1,523</w:t>
            </w:r>
          </w:p>
        </w:tc>
      </w:tr>
      <w:tr>
        <w:trPr>
          <w:trHeight w:val="216"/>
        </w:trPr>
        <w:tc>
          <w:tcPr>
            <w:tcW w:w="56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454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539</w:t>
            </w:r>
          </w:p>
        </w:tc>
        <w:tc>
          <w:tcPr>
            <w:tcW w:w="5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r>
      <w:tr>
        <w:trPr>
          <w:trHeight w:val="210"/>
        </w:trPr>
        <w:tc>
          <w:tcPr>
            <w:tcW w:w="5640" w:type="dxa"/>
            <w:vAlign w:val="bottom"/>
            <w:shd w:val="clear" w:color="auto" w:fill="E5E5E5"/>
          </w:tcPr>
          <w:p>
            <w:pPr>
              <w:spacing w:after="0"/>
              <w:rPr>
                <w:sz w:val="18"/>
                <w:szCs w:val="18"/>
                <w:color w:val="auto"/>
              </w:rPr>
            </w:pPr>
          </w:p>
        </w:tc>
        <w:tc>
          <w:tcPr>
            <w:tcW w:w="454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2,073</w:t>
            </w:r>
          </w:p>
        </w:tc>
        <w:tc>
          <w:tcPr>
            <w:tcW w:w="58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Total investments</w:t>
            </w:r>
          </w:p>
        </w:tc>
        <w:tc>
          <w:tcPr>
            <w:tcW w:w="4540" w:type="dxa"/>
            <w:vAlign w:val="bottom"/>
          </w:tcPr>
          <w:p>
            <w:pPr>
              <w:jc w:val="right"/>
              <w:ind w:right="335"/>
              <w:spacing w:after="0"/>
              <w:rPr>
                <w:sz w:val="20"/>
                <w:szCs w:val="20"/>
                <w:color w:val="auto"/>
              </w:rPr>
            </w:pPr>
            <w:r>
              <w:rPr>
                <w:rFonts w:ascii="Arial" w:cs="Arial" w:eastAsia="Arial" w:hAnsi="Arial"/>
                <w:sz w:val="18"/>
                <w:szCs w:val="18"/>
                <w:color w:val="auto"/>
              </w:rPr>
              <w:t>7,352</w:t>
            </w:r>
          </w:p>
        </w:tc>
        <w:tc>
          <w:tcPr>
            <w:tcW w:w="5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9,908</w:t>
            </w:r>
          </w:p>
        </w:tc>
      </w:tr>
      <w:tr>
        <w:trPr>
          <w:trHeight w:val="216"/>
        </w:trPr>
        <w:tc>
          <w:tcPr>
            <w:tcW w:w="5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Current investments</w:t>
            </w:r>
          </w:p>
        </w:tc>
        <w:tc>
          <w:tcPr>
            <w:tcW w:w="454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1,401</w:t>
            </w:r>
          </w:p>
        </w:tc>
        <w:tc>
          <w:tcPr>
            <w:tcW w:w="5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54</w:t>
            </w:r>
          </w:p>
        </w:tc>
      </w:tr>
      <w:tr>
        <w:trPr>
          <w:trHeight w:val="217"/>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Noncurrent investments</w:t>
            </w:r>
          </w:p>
        </w:tc>
        <w:tc>
          <w:tcPr>
            <w:tcW w:w="454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$5,951</w:t>
            </w:r>
          </w:p>
        </w:tc>
        <w:tc>
          <w:tcPr>
            <w:tcW w:w="58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9,854</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2012, we held as collateral $4 billion of fair value method equity securities related to our obligations under prepaid forward sale agreements. As of September 30, 2012, our prepaid forward sale obligations were recorded at $3.4 billion within other current and noncurrent liabilities in our condensed consolidated balance sheet and had an estimated fair value of approximately $3.5 billion. The estimated fair values are based on Level 2 inputs using pricing models whose inputs are derived primarily from or corroborated by observable market data through correlation or other means for substantially the full term of the financial instrument.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Clearwire</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September 2012, we exchanged our ownership units in Clearwire Communications LLC (“Clearwire LLC”) and our voting Class B stock for 89 million Class A shares of Clearwire Corporation. Following this exchange, we now account for our investment as an available-for-sale security under the fair value method. As of September 30, 2012, the carrying value of our investment in Clearwire Corporation was $119 million.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A&amp;E Television Networks</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March 2012, NBCUniversal exercised an option that required A&amp;E Television Networks LLC (“A&amp;E Television Networks”) to redeem a substantial portion of NBCUniversal’s equity interest in A&amp;E Television Networks. In July 2012, NBCUniversal entered into a redemption agreement with A&amp;E Television Networks whereby A&amp;E Television Networks agreed to redeem NBCUniversal’s entire 15.8% equity interest for $3 billion.</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2012, NBCUniversal closed this transaction, received cash proceeds of $3 billion and recognized a pretax gain of $1 billion, which is included in other income (expense), net. The net income attributable to noncontrolling interests and our consolidated income tax expense associated with this transaction were $495 million and $196 million,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SpectrumCo</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2012, SpectrumCo, LLC (“SpectrumCo”) closed its agreement to sell its advanced wireless services (“AWS”) spectrum licenses to Verizon Wireless for $3.6 billion. Our portion of SpectrumCo’s gain on sale of its AWS spectrum licenses was $876 million for the three and nine months ended September 30, 2012, which is included in equity in net income (losses) of investees, net in our condensed consolidated statement of income. Following the close of the transaction, SpectrumCo distributed to us $2.3 billion, which represents our portion of the sale proceeds. These proceeds are reflected as a return of capital from investees in our condensed consolidated statement of cash flows.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MSNBC.com</w:t>
      </w:r>
    </w:p>
    <w:p>
      <w:pPr>
        <w:spacing w:after="0" w:line="72"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July 2012, NBCUniversal acquired the remaining 50% equity interest in MSNBC Interactive News, LLC and other related entities (“MSNBC.com”) that it did not already own. The total purchase price was $195 million, which was net of $100 million of cash and cash equivalents held at MSNBC.com that were acquired in the transaction, which were not previously attributable to NBCUniversal. MSNBC.com is now a wholly owned consolidated subsidiary of NBCUniversal.</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hold two series of preferred stock of AirTouch Communications, Inc. (“AirTouch”), a subsidiary of Vodafone, which are redeemable in April 2020. As of September 30, 2012, the estimated fair value of the AirTouch preferred stock and the associated liability related to redeemable preferred shares issued by one of our consolidated subsidiaries was approximately $1.9 billion. The estimated fair values are primarily based on Level 2 inputs using pricing models whose inputs are derived from or corroborated by observable market data through correlation or other means for substantially the full term of the financial instrument.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Investment Income (Loss), Net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20" w:type="dxa"/>
            <w:vAlign w:val="bottom"/>
            <w:gridSpan w:val="3"/>
          </w:tcPr>
          <w:p>
            <w:pPr>
              <w:jc w:val="right"/>
              <w:ind w:right="595"/>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1760" w:type="dxa"/>
            <w:vAlign w:val="bottom"/>
            <w:gridSpan w:val="3"/>
          </w:tcPr>
          <w:p>
            <w:pPr>
              <w:jc w:val="right"/>
              <w:ind w:right="355"/>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65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8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54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18"/>
              <w:spacing w:after="0" w:line="142" w:lineRule="exact"/>
              <w:rPr>
                <w:sz w:val="20"/>
                <w:szCs w:val="20"/>
                <w:color w:val="auto"/>
              </w:rPr>
            </w:pPr>
            <w:r>
              <w:rPr>
                <w:rFonts w:ascii="Arial" w:cs="Arial" w:eastAsia="Arial" w:hAnsi="Arial"/>
                <w:sz w:val="14"/>
                <w:szCs w:val="14"/>
                <w:color w:val="auto"/>
                <w:w w:val="89"/>
              </w:rPr>
              <w:t>2012</w:t>
            </w:r>
          </w:p>
        </w:tc>
        <w:tc>
          <w:tcPr>
            <w:tcW w:w="4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color w:val="auto"/>
                <w:w w:val="89"/>
              </w:rPr>
              <w:t>2011</w:t>
            </w: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38"/>
              <w:spacing w:after="0" w:line="142" w:lineRule="exact"/>
              <w:rPr>
                <w:sz w:val="20"/>
                <w:szCs w:val="20"/>
                <w:color w:val="auto"/>
              </w:rPr>
            </w:pPr>
            <w:r>
              <w:rPr>
                <w:rFonts w:ascii="Arial" w:cs="Arial" w:eastAsia="Arial" w:hAnsi="Arial"/>
                <w:sz w:val="14"/>
                <w:szCs w:val="14"/>
                <w:color w:val="auto"/>
                <w:w w:val="83"/>
              </w:rPr>
              <w:t>2012</w:t>
            </w:r>
          </w:p>
        </w:tc>
        <w:tc>
          <w:tcPr>
            <w:tcW w:w="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w w:val="89"/>
              </w:rPr>
              <w:t>2011</w:t>
            </w:r>
          </w:p>
        </w:tc>
        <w:tc>
          <w:tcPr>
            <w:tcW w:w="0" w:type="dxa"/>
            <w:vAlign w:val="bottom"/>
          </w:tcPr>
          <w:p>
            <w:pPr>
              <w:spacing w:after="0"/>
              <w:rPr>
                <w:sz w:val="1"/>
                <w:szCs w:val="1"/>
                <w:color w:val="auto"/>
              </w:rPr>
            </w:pPr>
          </w:p>
        </w:tc>
      </w:tr>
      <w:tr>
        <w:trPr>
          <w:trHeight w:val="210"/>
        </w:trPr>
        <w:tc>
          <w:tcPr>
            <w:tcW w:w="6540" w:type="dxa"/>
            <w:vAlign w:val="bottom"/>
            <w:shd w:val="clear" w:color="auto" w:fill="E5E5E5"/>
          </w:tcPr>
          <w:p>
            <w:pPr>
              <w:spacing w:after="0"/>
              <w:rPr>
                <w:sz w:val="20"/>
                <w:szCs w:val="20"/>
                <w:color w:val="auto"/>
              </w:rPr>
            </w:pPr>
            <w:r>
              <w:rPr>
                <w:rFonts w:ascii="Arial" w:cs="Arial" w:eastAsia="Arial" w:hAnsi="Arial"/>
                <w:sz w:val="18"/>
                <w:szCs w:val="18"/>
                <w:color w:val="auto"/>
              </w:rPr>
              <w:t>Gains on sales and exchanges of investments, net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278"/>
              <w:spacing w:after="0"/>
              <w:rPr>
                <w:sz w:val="20"/>
                <w:szCs w:val="20"/>
                <w:color w:val="auto"/>
              </w:rPr>
            </w:pPr>
            <w:r>
              <w:rPr>
                <w:rFonts w:ascii="Arial" w:cs="Arial" w:eastAsia="Arial" w:hAnsi="Arial"/>
                <w:sz w:val="18"/>
                <w:szCs w:val="18"/>
                <w:color w:val="auto"/>
              </w:rPr>
              <w:t>1</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6</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298"/>
              <w:spacing w:after="0"/>
              <w:rPr>
                <w:sz w:val="20"/>
                <w:szCs w:val="20"/>
                <w:color w:val="auto"/>
              </w:rPr>
            </w:pPr>
            <w:r>
              <w:rPr>
                <w:rFonts w:ascii="Arial" w:cs="Arial" w:eastAsia="Arial" w:hAnsi="Arial"/>
                <w:sz w:val="18"/>
                <w:szCs w:val="18"/>
                <w:color w:val="auto"/>
              </w:rPr>
              <w:t>28</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Investment impairment losses</w:t>
            </w:r>
          </w:p>
        </w:tc>
        <w:tc>
          <w:tcPr>
            <w:tcW w:w="660" w:type="dxa"/>
            <w:vAlign w:val="bottom"/>
          </w:tcPr>
          <w:p>
            <w:pPr>
              <w:spacing w:after="0"/>
              <w:rPr>
                <w:sz w:val="18"/>
                <w:szCs w:val="18"/>
                <w:color w:val="auto"/>
              </w:rPr>
            </w:pPr>
          </w:p>
        </w:tc>
        <w:tc>
          <w:tcPr>
            <w:tcW w:w="800" w:type="dxa"/>
            <w:vAlign w:val="bottom"/>
          </w:tcPr>
          <w:p>
            <w:pPr>
              <w:jc w:val="right"/>
              <w:ind w:right="218"/>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80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0" w:type="dxa"/>
            <w:vAlign w:val="bottom"/>
          </w:tcPr>
          <w:p>
            <w:pPr>
              <w:jc w:val="right"/>
              <w:ind w:right="238"/>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540" w:type="dxa"/>
            <w:vAlign w:val="bottom"/>
            <w:shd w:val="clear" w:color="auto" w:fill="E5E5E5"/>
          </w:tcPr>
          <w:p>
            <w:pPr>
              <w:spacing w:after="0"/>
              <w:rPr>
                <w:sz w:val="20"/>
                <w:szCs w:val="20"/>
                <w:color w:val="auto"/>
              </w:rPr>
            </w:pPr>
            <w:r>
              <w:rPr>
                <w:rFonts w:ascii="Arial" w:cs="Arial" w:eastAsia="Arial" w:hAnsi="Arial"/>
                <w:sz w:val="18"/>
                <w:szCs w:val="18"/>
                <w:color w:val="auto"/>
                <w:w w:val="98"/>
              </w:rPr>
              <w:t>Unrealized gains (losses) on securities underlying prepaid forward sale agreements</w:t>
            </w:r>
          </w:p>
        </w:tc>
        <w:tc>
          <w:tcPr>
            <w:tcW w:w="6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78"/>
              <w:spacing w:after="0"/>
              <w:rPr>
                <w:sz w:val="20"/>
                <w:szCs w:val="20"/>
                <w:color w:val="auto"/>
              </w:rPr>
            </w:pPr>
            <w:r>
              <w:rPr>
                <w:rFonts w:ascii="Arial" w:cs="Arial" w:eastAsia="Arial" w:hAnsi="Arial"/>
                <w:sz w:val="18"/>
                <w:szCs w:val="18"/>
                <w:color w:val="auto"/>
              </w:rPr>
              <w:t>500</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(576)</w:t>
            </w:r>
          </w:p>
        </w:tc>
        <w:tc>
          <w:tcPr>
            <w:tcW w:w="4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98"/>
              <w:spacing w:after="0"/>
              <w:rPr>
                <w:sz w:val="20"/>
                <w:szCs w:val="20"/>
                <w:color w:val="auto"/>
              </w:rPr>
            </w:pPr>
            <w:r>
              <w:rPr>
                <w:rFonts w:ascii="Arial" w:cs="Arial" w:eastAsia="Arial" w:hAnsi="Arial"/>
                <w:sz w:val="18"/>
                <w:szCs w:val="18"/>
                <w:color w:val="auto"/>
              </w:rPr>
              <w:t>988</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8"/>
        </w:trPr>
        <w:tc>
          <w:tcPr>
            <w:tcW w:w="6540" w:type="dxa"/>
            <w:vAlign w:val="bottom"/>
          </w:tcPr>
          <w:p>
            <w:pPr>
              <w:spacing w:after="0"/>
              <w:rPr>
                <w:sz w:val="20"/>
                <w:szCs w:val="20"/>
                <w:color w:val="auto"/>
              </w:rPr>
            </w:pPr>
            <w:r>
              <w:rPr>
                <w:rFonts w:ascii="Arial" w:cs="Arial" w:eastAsia="Arial" w:hAnsi="Arial"/>
                <w:sz w:val="18"/>
                <w:szCs w:val="18"/>
                <w:color w:val="auto"/>
                <w:w w:val="91"/>
              </w:rPr>
              <w:t>Mark to market adjustments on derivative component of prepaid forward sale agreements</w:t>
            </w: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40" w:type="dxa"/>
            <w:vAlign w:val="bottom"/>
          </w:tcPr>
          <w:p>
            <w:pPr>
              <w:ind w:left="220"/>
              <w:spacing w:after="0"/>
              <w:rPr>
                <w:sz w:val="20"/>
                <w:szCs w:val="20"/>
                <w:color w:val="auto"/>
              </w:rPr>
            </w:pPr>
            <w:r>
              <w:rPr>
                <w:rFonts w:ascii="Arial" w:cs="Arial" w:eastAsia="Arial" w:hAnsi="Arial"/>
                <w:sz w:val="18"/>
                <w:szCs w:val="18"/>
                <w:color w:val="auto"/>
              </w:rPr>
              <w:t>and indexed debt instruments</w:t>
            </w:r>
          </w:p>
        </w:tc>
        <w:tc>
          <w:tcPr>
            <w:tcW w:w="660" w:type="dxa"/>
            <w:vAlign w:val="bottom"/>
          </w:tcPr>
          <w:p>
            <w:pPr>
              <w:spacing w:after="0"/>
              <w:rPr>
                <w:sz w:val="19"/>
                <w:szCs w:val="19"/>
                <w:color w:val="auto"/>
              </w:rPr>
            </w:pPr>
          </w:p>
        </w:tc>
        <w:tc>
          <w:tcPr>
            <w:tcW w:w="800" w:type="dxa"/>
            <w:vAlign w:val="bottom"/>
          </w:tcPr>
          <w:p>
            <w:pPr>
              <w:jc w:val="right"/>
              <w:ind w:right="218"/>
              <w:spacing w:after="0"/>
              <w:rPr>
                <w:sz w:val="20"/>
                <w:szCs w:val="20"/>
                <w:color w:val="auto"/>
              </w:rPr>
            </w:pPr>
            <w:r>
              <w:rPr>
                <w:rFonts w:ascii="Arial" w:cs="Arial" w:eastAsia="Arial" w:hAnsi="Arial"/>
                <w:sz w:val="18"/>
                <w:szCs w:val="18"/>
                <w:color w:val="auto"/>
              </w:rPr>
              <w:t>(470)</w:t>
            </w:r>
          </w:p>
        </w:tc>
        <w:tc>
          <w:tcPr>
            <w:tcW w:w="420" w:type="dxa"/>
            <w:vAlign w:val="bottom"/>
          </w:tcPr>
          <w:p>
            <w:pPr>
              <w:spacing w:after="0"/>
              <w:rPr>
                <w:sz w:val="19"/>
                <w:szCs w:val="19"/>
                <w:color w:val="auto"/>
              </w:rPr>
            </w:pPr>
          </w:p>
        </w:tc>
        <w:tc>
          <w:tcPr>
            <w:tcW w:w="800" w:type="dxa"/>
            <w:vAlign w:val="bottom"/>
          </w:tcPr>
          <w:p>
            <w:pPr>
              <w:jc w:val="right"/>
              <w:ind w:right="275"/>
              <w:spacing w:after="0"/>
              <w:rPr>
                <w:sz w:val="20"/>
                <w:szCs w:val="20"/>
                <w:color w:val="auto"/>
              </w:rPr>
            </w:pPr>
            <w:r>
              <w:rPr>
                <w:rFonts w:ascii="Arial" w:cs="Arial" w:eastAsia="Arial" w:hAnsi="Arial"/>
                <w:sz w:val="18"/>
                <w:szCs w:val="18"/>
                <w:color w:val="auto"/>
              </w:rPr>
              <w:t>454</w:t>
            </w:r>
          </w:p>
        </w:tc>
        <w:tc>
          <w:tcPr>
            <w:tcW w:w="440" w:type="dxa"/>
            <w:vAlign w:val="bottom"/>
          </w:tcPr>
          <w:p>
            <w:pPr>
              <w:spacing w:after="0"/>
              <w:rPr>
                <w:sz w:val="19"/>
                <w:szCs w:val="19"/>
                <w:color w:val="auto"/>
              </w:rPr>
            </w:pPr>
          </w:p>
        </w:tc>
        <w:tc>
          <w:tcPr>
            <w:tcW w:w="800" w:type="dxa"/>
            <w:vAlign w:val="bottom"/>
          </w:tcPr>
          <w:p>
            <w:pPr>
              <w:jc w:val="right"/>
              <w:ind w:right="238"/>
              <w:spacing w:after="0"/>
              <w:rPr>
                <w:sz w:val="20"/>
                <w:szCs w:val="20"/>
                <w:color w:val="auto"/>
              </w:rPr>
            </w:pPr>
            <w:r>
              <w:rPr>
                <w:rFonts w:ascii="Arial" w:cs="Arial" w:eastAsia="Arial" w:hAnsi="Arial"/>
                <w:sz w:val="18"/>
                <w:szCs w:val="18"/>
                <w:color w:val="auto"/>
              </w:rPr>
              <w:t>(920)</w:t>
            </w:r>
          </w:p>
        </w:tc>
        <w:tc>
          <w:tcPr>
            <w:tcW w:w="420" w:type="dxa"/>
            <w:vAlign w:val="bottom"/>
          </w:tcPr>
          <w:p>
            <w:pPr>
              <w:spacing w:after="0"/>
              <w:rPr>
                <w:sz w:val="19"/>
                <w:szCs w:val="19"/>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8"/>
        </w:trPr>
        <w:tc>
          <w:tcPr>
            <w:tcW w:w="6540" w:type="dxa"/>
            <w:vAlign w:val="bottom"/>
            <w:shd w:val="clear" w:color="auto" w:fill="E5E5E5"/>
          </w:tcPr>
          <w:p>
            <w:pPr>
              <w:spacing w:after="0"/>
              <w:rPr>
                <w:sz w:val="20"/>
                <w:szCs w:val="20"/>
                <w:color w:val="auto"/>
              </w:rPr>
            </w:pPr>
            <w:r>
              <w:rPr>
                <w:rFonts w:ascii="Arial" w:cs="Arial" w:eastAsia="Arial" w:hAnsi="Arial"/>
                <w:sz w:val="18"/>
                <w:szCs w:val="18"/>
                <w:color w:val="auto"/>
              </w:rPr>
              <w:t>Interest and dividend income</w:t>
            </w:r>
          </w:p>
        </w:tc>
        <w:tc>
          <w:tcPr>
            <w:tcW w:w="6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78"/>
              <w:spacing w:after="0"/>
              <w:rPr>
                <w:sz w:val="20"/>
                <w:szCs w:val="20"/>
                <w:color w:val="auto"/>
              </w:rPr>
            </w:pPr>
            <w:r>
              <w:rPr>
                <w:rFonts w:ascii="Arial" w:cs="Arial" w:eastAsia="Arial" w:hAnsi="Arial"/>
                <w:sz w:val="18"/>
                <w:szCs w:val="18"/>
                <w:color w:val="auto"/>
              </w:rPr>
              <w:t>32</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28</w:t>
            </w:r>
          </w:p>
        </w:tc>
        <w:tc>
          <w:tcPr>
            <w:tcW w:w="4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98"/>
              <w:spacing w:after="0"/>
              <w:rPr>
                <w:sz w:val="20"/>
                <w:szCs w:val="20"/>
                <w:color w:val="auto"/>
              </w:rPr>
            </w:pPr>
            <w:r>
              <w:rPr>
                <w:rFonts w:ascii="Arial" w:cs="Arial" w:eastAsia="Arial" w:hAnsi="Arial"/>
                <w:sz w:val="18"/>
                <w:szCs w:val="18"/>
                <w:color w:val="auto"/>
              </w:rPr>
              <w:t>89</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(59)</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8"/>
                <w:szCs w:val="18"/>
                <w:color w:val="auto"/>
              </w:rPr>
              <w:t>7</w:t>
            </w: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7"/>
        </w:trPr>
        <w:tc>
          <w:tcPr>
            <w:tcW w:w="6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Investment income (loss), net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278"/>
              <w:spacing w:after="0"/>
              <w:rPr>
                <w:sz w:val="20"/>
                <w:szCs w:val="20"/>
                <w:color w:val="auto"/>
              </w:rPr>
            </w:pPr>
            <w:r>
              <w:rPr>
                <w:rFonts w:ascii="Arial" w:cs="Arial" w:eastAsia="Arial" w:hAnsi="Arial"/>
                <w:sz w:val="18"/>
                <w:szCs w:val="18"/>
                <w:b w:val="1"/>
                <w:bCs w:val="1"/>
                <w:color w:val="auto"/>
              </w:rPr>
              <w:t>70</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b w:val="1"/>
                <w:bCs w:val="1"/>
                <w:color w:val="auto"/>
              </w:rPr>
              <w:t>(147)</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298"/>
              <w:spacing w:after="0"/>
              <w:rPr>
                <w:sz w:val="20"/>
                <w:szCs w:val="20"/>
                <w:color w:val="auto"/>
              </w:rPr>
            </w:pPr>
            <w:r>
              <w:rPr>
                <w:rFonts w:ascii="Arial" w:cs="Arial" w:eastAsia="Arial" w:hAnsi="Arial"/>
                <w:sz w:val="18"/>
                <w:szCs w:val="18"/>
                <w:b w:val="1"/>
                <w:bCs w:val="1"/>
                <w:color w:val="auto"/>
              </w:rPr>
              <w:t>170</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363"/>
        </w:trPr>
        <w:tc>
          <w:tcPr>
            <w:tcW w:w="6540" w:type="dxa"/>
            <w:vAlign w:val="bottom"/>
          </w:tcPr>
          <w:p>
            <w:pPr>
              <w:ind w:left="5660"/>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Goodwill</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vMerge w:val="restart"/>
          </w:tcPr>
          <w:p>
            <w:pPr>
              <w:jc w:val="right"/>
              <w:ind w:right="676"/>
              <w:spacing w:after="0"/>
              <w:rPr>
                <w:sz w:val="20"/>
                <w:szCs w:val="20"/>
                <w:color w:val="auto"/>
              </w:rPr>
            </w:pPr>
            <w:r>
              <w:rPr>
                <w:rFonts w:ascii="Arial" w:cs="Arial" w:eastAsia="Arial" w:hAnsi="Arial"/>
                <w:sz w:val="14"/>
                <w:szCs w:val="14"/>
                <w:color w:val="auto"/>
              </w:rPr>
              <w:t>Cable</w:t>
            </w:r>
          </w:p>
        </w:tc>
        <w:tc>
          <w:tcPr>
            <w:tcW w:w="1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w w:val="88"/>
              </w:rPr>
              <w:t>NBCUniversal</w:t>
            </w:r>
          </w:p>
        </w:tc>
        <w:tc>
          <w:tcPr>
            <w:tcW w:w="8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40" w:type="dxa"/>
            <w:vAlign w:val="bottom"/>
            <w:gridSpan w:val="2"/>
            <w:vMerge w:val="restart"/>
          </w:tcPr>
          <w:p>
            <w:pPr>
              <w:ind w:left="440"/>
              <w:spacing w:after="0"/>
              <w:rPr>
                <w:sz w:val="20"/>
                <w:szCs w:val="20"/>
                <w:color w:val="auto"/>
              </w:rPr>
            </w:pPr>
            <w:r>
              <w:rPr>
                <w:rFonts w:ascii="Arial" w:cs="Arial" w:eastAsia="Arial" w:hAnsi="Arial"/>
                <w:sz w:val="14"/>
                <w:szCs w:val="14"/>
                <w:color w:val="auto"/>
              </w:rPr>
              <w:t>Corporate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320" w:type="dxa"/>
            <w:vAlign w:val="bottom"/>
          </w:tcPr>
          <w:p>
            <w:pPr>
              <w:jc w:val="right"/>
              <w:ind w:right="358"/>
              <w:spacing w:after="0" w:line="131" w:lineRule="exact"/>
              <w:rPr>
                <w:sz w:val="20"/>
                <w:szCs w:val="20"/>
                <w:color w:val="auto"/>
              </w:rPr>
            </w:pPr>
            <w:r>
              <w:rPr>
                <w:rFonts w:ascii="Arial" w:cs="Arial" w:eastAsia="Arial" w:hAnsi="Arial"/>
                <w:sz w:val="14"/>
                <w:szCs w:val="14"/>
                <w:color w:val="auto"/>
              </w:rPr>
              <w:t>Cable</w:t>
            </w:r>
          </w:p>
        </w:tc>
        <w:tc>
          <w:tcPr>
            <w:tcW w:w="1100" w:type="dxa"/>
            <w:vAlign w:val="bottom"/>
            <w:gridSpan w:val="2"/>
          </w:tcPr>
          <w:p>
            <w:pPr>
              <w:ind w:left="240"/>
              <w:spacing w:after="0" w:line="131" w:lineRule="exact"/>
              <w:rPr>
                <w:sz w:val="20"/>
                <w:szCs w:val="20"/>
                <w:color w:val="auto"/>
              </w:rPr>
            </w:pPr>
            <w:r>
              <w:rPr>
                <w:rFonts w:ascii="Arial" w:cs="Arial" w:eastAsia="Arial" w:hAnsi="Arial"/>
                <w:sz w:val="14"/>
                <w:szCs w:val="14"/>
                <w:color w:val="auto"/>
              </w:rPr>
              <w:t>Broadcast</w:t>
            </w:r>
          </w:p>
        </w:tc>
        <w:tc>
          <w:tcPr>
            <w:tcW w:w="440" w:type="dxa"/>
            <w:vAlign w:val="bottom"/>
          </w:tcPr>
          <w:p>
            <w:pPr>
              <w:spacing w:after="0"/>
              <w:rPr>
                <w:sz w:val="11"/>
                <w:szCs w:val="11"/>
                <w:color w:val="auto"/>
              </w:rPr>
            </w:pPr>
          </w:p>
        </w:tc>
        <w:tc>
          <w:tcPr>
            <w:tcW w:w="840" w:type="dxa"/>
            <w:vAlign w:val="bottom"/>
          </w:tcPr>
          <w:p>
            <w:pPr>
              <w:jc w:val="right"/>
              <w:ind w:right="376"/>
              <w:spacing w:after="0" w:line="131" w:lineRule="exact"/>
              <w:rPr>
                <w:sz w:val="20"/>
                <w:szCs w:val="20"/>
                <w:color w:val="auto"/>
              </w:rPr>
            </w:pPr>
            <w:r>
              <w:rPr>
                <w:rFonts w:ascii="Arial" w:cs="Arial" w:eastAsia="Arial" w:hAnsi="Arial"/>
                <w:sz w:val="14"/>
                <w:szCs w:val="14"/>
                <w:color w:val="auto"/>
                <w:w w:val="85"/>
              </w:rPr>
              <w:t>Filmed</w:t>
            </w:r>
          </w:p>
        </w:tc>
        <w:tc>
          <w:tcPr>
            <w:tcW w:w="880" w:type="dxa"/>
            <w:vAlign w:val="bottom"/>
          </w:tcPr>
          <w:p>
            <w:pPr>
              <w:jc w:val="right"/>
              <w:ind w:right="98"/>
              <w:spacing w:after="0" w:line="131" w:lineRule="exact"/>
              <w:rPr>
                <w:sz w:val="20"/>
                <w:szCs w:val="20"/>
                <w:color w:val="auto"/>
              </w:rPr>
            </w:pPr>
            <w:r>
              <w:rPr>
                <w:rFonts w:ascii="Arial" w:cs="Arial" w:eastAsia="Arial" w:hAnsi="Arial"/>
                <w:sz w:val="14"/>
                <w:szCs w:val="14"/>
                <w:color w:val="auto"/>
              </w:rPr>
              <w:t>Theme</w:t>
            </w:r>
          </w:p>
        </w:tc>
        <w:tc>
          <w:tcPr>
            <w:tcW w:w="1240" w:type="dxa"/>
            <w:vAlign w:val="bottom"/>
            <w:gridSpan w:val="2"/>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7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940" w:type="dxa"/>
            <w:vAlign w:val="bottom"/>
            <w:tcBorders>
              <w:bottom w:val="single" w:sz="8" w:color="auto"/>
            </w:tcBorders>
            <w:gridSpan w:val="2"/>
          </w:tcPr>
          <w:p>
            <w:pPr>
              <w:ind w:left="560"/>
              <w:spacing w:after="0" w:line="159" w:lineRule="exact"/>
              <w:rPr>
                <w:sz w:val="20"/>
                <w:szCs w:val="20"/>
                <w:color w:val="auto"/>
              </w:rPr>
            </w:pPr>
            <w:r>
              <w:rPr>
                <w:rFonts w:ascii="Arial" w:cs="Arial" w:eastAsia="Arial" w:hAnsi="Arial"/>
                <w:sz w:val="14"/>
                <w:szCs w:val="14"/>
                <w:color w:val="auto"/>
              </w:rPr>
              <w:t>Communications</w:t>
            </w:r>
          </w:p>
        </w:tc>
        <w:tc>
          <w:tcPr>
            <w:tcW w:w="1320" w:type="dxa"/>
            <w:vAlign w:val="bottom"/>
            <w:tcBorders>
              <w:bottom w:val="single" w:sz="8" w:color="auto"/>
            </w:tcBorders>
          </w:tcPr>
          <w:p>
            <w:pPr>
              <w:jc w:val="right"/>
              <w:ind w:right="258"/>
              <w:spacing w:after="0" w:line="159" w:lineRule="exact"/>
              <w:rPr>
                <w:sz w:val="20"/>
                <w:szCs w:val="20"/>
                <w:color w:val="auto"/>
              </w:rPr>
            </w:pPr>
            <w:r>
              <w:rPr>
                <w:rFonts w:ascii="Arial" w:cs="Arial" w:eastAsia="Arial" w:hAnsi="Arial"/>
                <w:sz w:val="14"/>
                <w:szCs w:val="14"/>
                <w:color w:val="auto"/>
              </w:rPr>
              <w:t>Networks</w:t>
            </w:r>
          </w:p>
        </w:tc>
        <w:tc>
          <w:tcPr>
            <w:tcW w:w="110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Television</w:t>
            </w:r>
          </w:p>
        </w:tc>
        <w:tc>
          <w:tcPr>
            <w:tcW w:w="128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Entertainment</w:t>
            </w:r>
          </w:p>
        </w:tc>
        <w:tc>
          <w:tcPr>
            <w:tcW w:w="880" w:type="dxa"/>
            <w:vAlign w:val="bottom"/>
            <w:tcBorders>
              <w:bottom w:val="single" w:sz="8" w:color="auto"/>
            </w:tcBorders>
          </w:tcPr>
          <w:p>
            <w:pPr>
              <w:jc w:val="right"/>
              <w:ind w:right="118"/>
              <w:spacing w:after="0" w:line="159" w:lineRule="exact"/>
              <w:rPr>
                <w:sz w:val="20"/>
                <w:szCs w:val="20"/>
                <w:color w:val="auto"/>
              </w:rPr>
            </w:pPr>
            <w:r>
              <w:rPr>
                <w:rFonts w:ascii="Arial" w:cs="Arial" w:eastAsia="Arial" w:hAnsi="Arial"/>
                <w:sz w:val="14"/>
                <w:szCs w:val="14"/>
                <w:color w:val="auto"/>
              </w:rPr>
              <w:t>Parks</w:t>
            </w:r>
          </w:p>
        </w:tc>
        <w:tc>
          <w:tcPr>
            <w:tcW w:w="1240" w:type="dxa"/>
            <w:vAlign w:val="bottom"/>
            <w:tcBorders>
              <w:bottom w:val="single" w:sz="8" w:color="auto"/>
            </w:tcBorders>
            <w:gridSpan w:val="2"/>
          </w:tcPr>
          <w:p>
            <w:pPr>
              <w:ind w:left="440"/>
              <w:spacing w:after="0" w:line="159" w:lineRule="exact"/>
              <w:rPr>
                <w:sz w:val="20"/>
                <w:szCs w:val="20"/>
                <w:color w:val="auto"/>
              </w:rPr>
            </w:pPr>
            <w:r>
              <w:rPr>
                <w:rFonts w:ascii="Arial" w:cs="Arial" w:eastAsia="Arial" w:hAnsi="Arial"/>
                <w:sz w:val="14"/>
                <w:szCs w:val="14"/>
                <w:color w:val="auto"/>
              </w:rPr>
              <w:t>and Other</w:t>
            </w:r>
          </w:p>
        </w:tc>
        <w:tc>
          <w:tcPr>
            <w:tcW w:w="960" w:type="dxa"/>
            <w:vAlign w:val="bottom"/>
            <w:tcBorders>
              <w:bottom w:val="single" w:sz="8" w:color="auto"/>
            </w:tcBorders>
          </w:tcPr>
          <w:p>
            <w:pPr>
              <w:jc w:val="right"/>
              <w:ind w:right="176"/>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70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2011</w:t>
            </w:r>
          </w:p>
        </w:tc>
        <w:tc>
          <w:tcPr>
            <w:tcW w:w="740" w:type="dxa"/>
            <w:vAlign w:val="bottom"/>
            <w:shd w:val="clear" w:color="auto" w:fill="E5E5E5"/>
          </w:tcPr>
          <w:p>
            <w:pPr>
              <w:ind w:left="5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E5E5"/>
          </w:tcPr>
          <w:p>
            <w:pPr>
              <w:jc w:val="right"/>
              <w:ind w:right="376"/>
              <w:spacing w:after="0"/>
              <w:rPr>
                <w:sz w:val="20"/>
                <w:szCs w:val="20"/>
                <w:color w:val="auto"/>
              </w:rPr>
            </w:pPr>
            <w:r>
              <w:rPr>
                <w:rFonts w:ascii="Arial" w:cs="Arial" w:eastAsia="Arial" w:hAnsi="Arial"/>
                <w:sz w:val="18"/>
                <w:szCs w:val="18"/>
                <w:color w:val="auto"/>
              </w:rPr>
              <w:t>12,208</w:t>
            </w:r>
          </w:p>
        </w:tc>
        <w:tc>
          <w:tcPr>
            <w:tcW w:w="1320" w:type="dxa"/>
            <w:vAlign w:val="bottom"/>
            <w:shd w:val="clear" w:color="auto" w:fill="E5E5E5"/>
          </w:tcPr>
          <w:p>
            <w:pPr>
              <w:jc w:val="right"/>
              <w:ind w:right="218"/>
              <w:spacing w:after="0"/>
              <w:rPr>
                <w:sz w:val="20"/>
                <w:szCs w:val="20"/>
                <w:color w:val="auto"/>
              </w:rPr>
            </w:pPr>
            <w:r>
              <w:rPr>
                <w:rFonts w:ascii="Arial" w:cs="Arial" w:eastAsia="Arial" w:hAnsi="Arial"/>
                <w:sz w:val="18"/>
                <w:szCs w:val="18"/>
                <w:color w:val="auto"/>
              </w:rPr>
              <w:t>$12,744</w:t>
            </w:r>
          </w:p>
        </w:tc>
        <w:tc>
          <w:tcPr>
            <w:tcW w:w="4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772</w:t>
            </w:r>
          </w:p>
        </w:tc>
        <w:tc>
          <w:tcPr>
            <w:tcW w:w="44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1</w:t>
            </w:r>
          </w:p>
        </w:tc>
        <w:tc>
          <w:tcPr>
            <w:tcW w:w="880" w:type="dxa"/>
            <w:vAlign w:val="bottom"/>
            <w:shd w:val="clear" w:color="auto" w:fill="E5E5E5"/>
          </w:tcPr>
          <w:p>
            <w:pPr>
              <w:jc w:val="right"/>
              <w:ind w:right="18"/>
              <w:spacing w:after="0"/>
              <w:rPr>
                <w:sz w:val="20"/>
                <w:szCs w:val="20"/>
                <w:color w:val="auto"/>
              </w:rPr>
            </w:pPr>
            <w:r>
              <w:rPr>
                <w:rFonts w:ascii="Arial" w:cs="Arial" w:eastAsia="Arial" w:hAnsi="Arial"/>
                <w:sz w:val="18"/>
                <w:szCs w:val="18"/>
                <w:color w:val="auto"/>
              </w:rPr>
              <w:t>$1,140</w:t>
            </w:r>
          </w:p>
        </w:tc>
        <w:tc>
          <w:tcPr>
            <w:tcW w:w="6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9</w:t>
            </w:r>
          </w:p>
        </w:tc>
        <w:tc>
          <w:tcPr>
            <w:tcW w:w="9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$26,874</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Acquisitions</w:t>
            </w:r>
          </w:p>
        </w:tc>
        <w:tc>
          <w:tcPr>
            <w:tcW w:w="740" w:type="dxa"/>
            <w:vAlign w:val="bottom"/>
          </w:tcPr>
          <w:p>
            <w:pPr>
              <w:spacing w:after="0"/>
              <w:rPr>
                <w:sz w:val="18"/>
                <w:szCs w:val="18"/>
                <w:color w:val="auto"/>
              </w:rPr>
            </w:pPr>
          </w:p>
        </w:tc>
        <w:tc>
          <w:tcPr>
            <w:tcW w:w="1200" w:type="dxa"/>
            <w:vAlign w:val="bottom"/>
          </w:tcPr>
          <w:p>
            <w:pPr>
              <w:jc w:val="right"/>
              <w:ind w:right="376"/>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8"/>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18"/>
                <w:szCs w:val="18"/>
                <w:color w:val="auto"/>
              </w:rPr>
            </w:pPr>
          </w:p>
        </w:tc>
        <w:tc>
          <w:tcPr>
            <w:tcW w:w="68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700" w:type="dxa"/>
            <w:vAlign w:val="bottom"/>
            <w:shd w:val="clear" w:color="auto" w:fill="E5E5E5"/>
          </w:tcPr>
          <w:p>
            <w:pPr>
              <w:spacing w:after="0"/>
              <w:rPr>
                <w:sz w:val="20"/>
                <w:szCs w:val="20"/>
                <w:color w:val="auto"/>
              </w:rPr>
            </w:pPr>
            <w:r>
              <w:rPr>
                <w:rFonts w:ascii="Arial" w:cs="Arial" w:eastAsia="Arial" w:hAnsi="Arial"/>
                <w:sz w:val="18"/>
                <w:szCs w:val="18"/>
                <w:color w:val="auto"/>
              </w:rPr>
              <w:t>Dispositions</w:t>
            </w:r>
          </w:p>
        </w:tc>
        <w:tc>
          <w:tcPr>
            <w:tcW w:w="74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16"/>
              <w:spacing w:after="0"/>
              <w:rPr>
                <w:sz w:val="20"/>
                <w:szCs w:val="20"/>
                <w:color w:val="auto"/>
              </w:rPr>
            </w:pPr>
            <w:r>
              <w:rPr>
                <w:rFonts w:ascii="Arial" w:cs="Arial" w:eastAsia="Arial" w:hAnsi="Arial"/>
                <w:sz w:val="18"/>
                <w:szCs w:val="18"/>
                <w:color w:val="auto"/>
              </w:rPr>
              <w:t>(1)</w:t>
            </w:r>
          </w:p>
        </w:tc>
        <w:tc>
          <w:tcPr>
            <w:tcW w:w="1320" w:type="dxa"/>
            <w:vAlign w:val="bottom"/>
            <w:shd w:val="clear" w:color="auto" w:fill="E5E5E5"/>
          </w:tcPr>
          <w:p>
            <w:pPr>
              <w:jc w:val="right"/>
              <w:ind w:right="218"/>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18"/>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Adjustments</w:t>
            </w:r>
          </w:p>
        </w:tc>
        <w:tc>
          <w:tcPr>
            <w:tcW w:w="7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(24)</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(11)</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6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7"/>
        </w:trPr>
        <w:tc>
          <w:tcPr>
            <w:tcW w:w="2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September 30, 2012</w:t>
            </w:r>
          </w:p>
        </w:tc>
        <w:tc>
          <w:tcPr>
            <w:tcW w:w="740" w:type="dxa"/>
            <w:vAlign w:val="bottom"/>
            <w:tcBorders>
              <w:bottom w:val="single" w:sz="8" w:color="auto"/>
            </w:tcBorders>
            <w:shd w:val="clear" w:color="auto" w:fill="E5E5E5"/>
          </w:tcPr>
          <w:p>
            <w:pPr>
              <w:ind w:left="54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E5E5E5"/>
          </w:tcPr>
          <w:p>
            <w:pPr>
              <w:jc w:val="right"/>
              <w:ind w:right="376"/>
              <w:spacing w:after="0"/>
              <w:rPr>
                <w:sz w:val="20"/>
                <w:szCs w:val="20"/>
                <w:color w:val="auto"/>
              </w:rPr>
            </w:pPr>
            <w:r>
              <w:rPr>
                <w:rFonts w:ascii="Arial" w:cs="Arial" w:eastAsia="Arial" w:hAnsi="Arial"/>
                <w:sz w:val="18"/>
                <w:szCs w:val="18"/>
                <w:b w:val="1"/>
                <w:bCs w:val="1"/>
                <w:color w:val="auto"/>
              </w:rPr>
              <w:t>12,207</w:t>
            </w:r>
          </w:p>
        </w:tc>
        <w:tc>
          <w:tcPr>
            <w:tcW w:w="1320" w:type="dxa"/>
            <w:vAlign w:val="bottom"/>
            <w:tcBorders>
              <w:bottom w:val="single" w:sz="8" w:color="auto"/>
            </w:tcBorders>
            <w:shd w:val="clear" w:color="auto" w:fill="E5E5E5"/>
          </w:tcPr>
          <w:p>
            <w:pPr>
              <w:jc w:val="right"/>
              <w:ind w:right="218"/>
              <w:spacing w:after="0"/>
              <w:rPr>
                <w:sz w:val="20"/>
                <w:szCs w:val="20"/>
                <w:color w:val="auto"/>
              </w:rPr>
            </w:pPr>
            <w:r>
              <w:rPr>
                <w:rFonts w:ascii="Arial" w:cs="Arial" w:eastAsia="Arial" w:hAnsi="Arial"/>
                <w:sz w:val="18"/>
                <w:szCs w:val="18"/>
                <w:b w:val="1"/>
                <w:bCs w:val="1"/>
                <w:color w:val="auto"/>
              </w:rPr>
              <w:t>$13,031</w:t>
            </w:r>
          </w:p>
        </w:tc>
        <w:tc>
          <w:tcPr>
            <w:tcW w:w="4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216"/>
              <w:spacing w:after="0"/>
              <w:rPr>
                <w:sz w:val="20"/>
                <w:szCs w:val="20"/>
                <w:color w:val="auto"/>
              </w:rPr>
            </w:pPr>
            <w:r>
              <w:rPr>
                <w:rFonts w:ascii="Arial" w:cs="Arial" w:eastAsia="Arial" w:hAnsi="Arial"/>
                <w:sz w:val="18"/>
                <w:szCs w:val="18"/>
                <w:b w:val="1"/>
                <w:bCs w:val="1"/>
                <w:color w:val="auto"/>
              </w:rPr>
              <w:t>761</w:t>
            </w:r>
          </w:p>
        </w:tc>
        <w:tc>
          <w:tcPr>
            <w:tcW w:w="44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b w:val="1"/>
                <w:bCs w:val="1"/>
                <w:color w:val="auto"/>
              </w:rPr>
              <w:t>1</w:t>
            </w:r>
          </w:p>
        </w:tc>
        <w:tc>
          <w:tcPr>
            <w:tcW w:w="880" w:type="dxa"/>
            <w:vAlign w:val="bottom"/>
            <w:tcBorders>
              <w:bottom w:val="single" w:sz="8" w:color="auto"/>
            </w:tcBorders>
            <w:shd w:val="clear" w:color="auto" w:fill="E5E5E5"/>
          </w:tcPr>
          <w:p>
            <w:pPr>
              <w:jc w:val="right"/>
              <w:ind w:right="18"/>
              <w:spacing w:after="0"/>
              <w:rPr>
                <w:sz w:val="20"/>
                <w:szCs w:val="20"/>
                <w:color w:val="auto"/>
              </w:rPr>
            </w:pPr>
            <w:r>
              <w:rPr>
                <w:rFonts w:ascii="Arial" w:cs="Arial" w:eastAsia="Arial" w:hAnsi="Arial"/>
                <w:sz w:val="18"/>
                <w:szCs w:val="18"/>
                <w:b w:val="1"/>
                <w:bCs w:val="1"/>
                <w:color w:val="auto"/>
              </w:rPr>
              <w:t>$1,079</w:t>
            </w:r>
          </w:p>
        </w:tc>
        <w:tc>
          <w:tcPr>
            <w:tcW w:w="66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9</w:t>
            </w:r>
          </w:p>
        </w:tc>
        <w:tc>
          <w:tcPr>
            <w:tcW w:w="96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$27,088</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increase in goodwill in our Cable Networks segment primarily relates to $232 million of goodwill associated with the acquisition of MSNBC.com and $71 million of goodwill associated with the acquisition of a controlling interest in a previously held equity method investment based in Brazil. The preliminary allocation of purchase price for these acquisitions, including the changes in goodwill, are not yet final and are subject to change. We will finalize the amounts recognized as we obtain the information necessary to complete the analyses, but no later than July 2013 and May 2013,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Long-Term Debt</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2012, our debt had an estimated fair value of $46.1 billion.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4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July 2012, we issued $1 billion aggregate principal amount of 3.125% senior notes due 2022 and $1.25 billion aggregate principal amount of 4.650% senior notes due 2042. A portion of the proceeds from this offering was used to fund the repayment in July 2012 of $202 million aggregate principal amount of our 10.625% senior subordinated debentures and the redemption of $575 million aggregate principal amount of our 6.625% senior notes.</w:t>
      </w:r>
    </w:p>
    <w:p>
      <w:pPr>
        <w:spacing w:after="0" w:line="1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October 2012, NBCUniversal issued $1 billion aggregate principal amount of 2.875% senior notes due 2023 and $1 billion aggregate principal amount of 4.450% senior notes due 2043. A portion of the proceeds from this issuance will be used to redeem in November 2012 the $260 million aggregate principal amount outstanding of Universal Orlando’s 8.875% senior notes due 2015 and the $146 million aggregate principal amount outstanding of Universal Orlando’s 10.875% senior subordinated notes due 2016. The carrying amount of these senior notes and senior subordinated notes was recorded in the current portion of long-term debt in our condensed consolidated balance sheet as of September 30, 2012.</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6520" w:type="dxa"/>
            <w:vAlign w:val="bottom"/>
          </w:tcPr>
          <w:p>
            <w:pPr>
              <w:ind w:left="340"/>
              <w:spacing w:after="0"/>
              <w:rPr>
                <w:sz w:val="20"/>
                <w:szCs w:val="20"/>
                <w:color w:val="auto"/>
              </w:rPr>
            </w:pPr>
            <w:r>
              <w:rPr>
                <w:rFonts w:ascii="Arial" w:cs="Arial" w:eastAsia="Arial" w:hAnsi="Arial"/>
                <w:sz w:val="18"/>
                <w:szCs w:val="18"/>
                <w:b w:val="1"/>
                <w:bCs w:val="1"/>
                <w:color w:val="auto"/>
              </w:rPr>
              <w:t>Debt Repayments and Redemptions</w:t>
            </w:r>
          </w:p>
        </w:tc>
        <w:tc>
          <w:tcPr>
            <w:tcW w:w="1020" w:type="dxa"/>
            <w:vAlign w:val="bottom"/>
          </w:tcPr>
          <w:p>
            <w:pPr>
              <w:spacing w:after="0"/>
              <w:rPr>
                <w:sz w:val="20"/>
                <w:szCs w:val="20"/>
                <w:color w:val="auto"/>
              </w:rPr>
            </w:pPr>
          </w:p>
        </w:tc>
      </w:tr>
      <w:tr>
        <w:trPr>
          <w:trHeight w:val="261"/>
        </w:trPr>
        <w:tc>
          <w:tcPr>
            <w:tcW w:w="2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7540" w:type="dxa"/>
            <w:vAlign w:val="bottom"/>
            <w:gridSpan w:val="2"/>
          </w:tcPr>
          <w:p>
            <w:pPr>
              <w:ind w:left="6400"/>
              <w:spacing w:after="0"/>
              <w:rPr>
                <w:sz w:val="20"/>
                <w:szCs w:val="20"/>
                <w:color w:val="auto"/>
              </w:rPr>
            </w:pPr>
            <w:r>
              <w:rPr>
                <w:rFonts w:ascii="Arial" w:cs="Arial" w:eastAsia="Arial" w:hAnsi="Arial"/>
                <w:sz w:val="14"/>
                <w:szCs w:val="14"/>
                <w:color w:val="auto"/>
                <w:w w:val="91"/>
              </w:rPr>
              <w:t>Nine Months Ended</w:t>
            </w: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020" w:type="dxa"/>
            <w:vAlign w:val="bottom"/>
          </w:tcPr>
          <w:p>
            <w:pPr>
              <w:jc w:val="right"/>
              <w:ind w:right="137"/>
              <w:spacing w:after="0" w:line="149" w:lineRule="exact"/>
              <w:rPr>
                <w:sz w:val="20"/>
                <w:szCs w:val="20"/>
                <w:color w:val="auto"/>
              </w:rPr>
            </w:pPr>
            <w:r>
              <w:rPr>
                <w:rFonts w:ascii="Arial" w:cs="Arial" w:eastAsia="Arial" w:hAnsi="Arial"/>
                <w:sz w:val="14"/>
                <w:szCs w:val="14"/>
                <w:color w:val="auto"/>
                <w:w w:val="84"/>
              </w:rPr>
              <w:t>September 30,</w:t>
            </w:r>
          </w:p>
        </w:tc>
      </w:tr>
      <w:tr>
        <w:trPr>
          <w:trHeight w:val="173"/>
        </w:trPr>
        <w:tc>
          <w:tcPr>
            <w:tcW w:w="38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520" w:type="dxa"/>
            <w:vAlign w:val="bottom"/>
          </w:tcPr>
          <w:p>
            <w:pPr>
              <w:spacing w:after="0"/>
              <w:rPr>
                <w:sz w:val="15"/>
                <w:szCs w:val="15"/>
                <w:color w:val="auto"/>
              </w:rPr>
            </w:pPr>
          </w:p>
        </w:tc>
        <w:tc>
          <w:tcPr>
            <w:tcW w:w="1020" w:type="dxa"/>
            <w:vAlign w:val="bottom"/>
          </w:tcPr>
          <w:p>
            <w:pPr>
              <w:jc w:val="right"/>
              <w:ind w:right="377"/>
              <w:spacing w:after="0"/>
              <w:rPr>
                <w:sz w:val="20"/>
                <w:szCs w:val="20"/>
                <w:color w:val="auto"/>
              </w:rPr>
            </w:pPr>
            <w:r>
              <w:rPr>
                <w:rFonts w:ascii="Arial" w:cs="Arial" w:eastAsia="Arial" w:hAnsi="Arial"/>
                <w:sz w:val="14"/>
                <w:szCs w:val="14"/>
                <w:color w:val="auto"/>
              </w:rPr>
              <w:t>2012</w:t>
            </w:r>
          </w:p>
        </w:tc>
      </w:tr>
      <w:tr>
        <w:trPr>
          <w:trHeight w:val="210"/>
        </w:trPr>
        <w:tc>
          <w:tcPr>
            <w:tcW w:w="20" w:type="dxa"/>
            <w:vAlign w:val="bottom"/>
          </w:tcPr>
          <w:p>
            <w:pPr>
              <w:spacing w:after="0"/>
              <w:rPr>
                <w:sz w:val="18"/>
                <w:szCs w:val="18"/>
                <w:color w:val="auto"/>
              </w:rPr>
            </w:pPr>
          </w:p>
        </w:tc>
        <w:tc>
          <w:tcPr>
            <w:tcW w:w="38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7% senior notes due 2055</w:t>
            </w:r>
          </w:p>
        </w:tc>
        <w:tc>
          <w:tcPr>
            <w:tcW w:w="6520" w:type="dxa"/>
            <w:vAlign w:val="bottom"/>
            <w:tcBorders>
              <w:top w:val="single" w:sz="8" w:color="auto"/>
            </w:tcBorders>
            <w:shd w:val="clear" w:color="auto" w:fill="E5E5E5"/>
          </w:tcPr>
          <w:p>
            <w:pPr>
              <w:ind w:left="640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1,125</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6.625% senior notes due 2056</w:t>
            </w:r>
          </w:p>
        </w:tc>
        <w:tc>
          <w:tcPr>
            <w:tcW w:w="6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16"/>
        </w:trPr>
        <w:tc>
          <w:tcPr>
            <w:tcW w:w="20" w:type="dxa"/>
            <w:vAlign w:val="bottom"/>
          </w:tcPr>
          <w:p>
            <w:pPr>
              <w:spacing w:after="0"/>
              <w:rPr>
                <w:sz w:val="18"/>
                <w:szCs w:val="18"/>
                <w:color w:val="auto"/>
              </w:rPr>
            </w:pPr>
          </w:p>
        </w:tc>
        <w:tc>
          <w:tcPr>
            <w:tcW w:w="3860" w:type="dxa"/>
            <w:vAlign w:val="bottom"/>
            <w:shd w:val="clear" w:color="auto" w:fill="E5E5E5"/>
          </w:tcPr>
          <w:p>
            <w:pPr>
              <w:spacing w:after="0"/>
              <w:rPr>
                <w:sz w:val="20"/>
                <w:szCs w:val="20"/>
                <w:color w:val="auto"/>
              </w:rPr>
            </w:pPr>
            <w:r>
              <w:rPr>
                <w:rFonts w:ascii="Arial" w:cs="Arial" w:eastAsia="Arial" w:hAnsi="Arial"/>
                <w:sz w:val="18"/>
                <w:szCs w:val="18"/>
                <w:color w:val="auto"/>
              </w:rPr>
              <w:t>9.8% senior notes due 2012</w:t>
            </w:r>
          </w:p>
        </w:tc>
        <w:tc>
          <w:tcPr>
            <w:tcW w:w="6520" w:type="dxa"/>
            <w:vAlign w:val="bottom"/>
            <w:shd w:val="clear" w:color="auto" w:fill="E5E5E5"/>
          </w:tcPr>
          <w:p>
            <w:pPr>
              <w:spacing w:after="0"/>
              <w:rPr>
                <w:sz w:val="18"/>
                <w:szCs w:val="18"/>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553</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93"/>
              </w:rPr>
              <w:t>10.625% senior subordinated debentures due 2012</w:t>
            </w:r>
          </w:p>
        </w:tc>
        <w:tc>
          <w:tcPr>
            <w:tcW w:w="6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652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50</w:t>
            </w:r>
          </w:p>
        </w:tc>
      </w:tr>
      <w:tr>
        <w:trPr>
          <w:trHeight w:val="217"/>
        </w:trPr>
        <w:tc>
          <w:tcPr>
            <w:tcW w:w="2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6520" w:type="dxa"/>
            <w:vAlign w:val="bottom"/>
            <w:tcBorders>
              <w:bottom w:val="single" w:sz="8" w:color="auto"/>
            </w:tcBorders>
          </w:tcPr>
          <w:p>
            <w:pPr>
              <w:ind w:left="640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2012, net repayments of commercial paper by NBCUniversal were $550 million.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2012, Comcast and Comcast Cable Communications, LLC entered into a new $6.25 billion revolving credit facility due June 2017 with a syndicate of banks, which may be used for general corporate purposes. The new revolving credit facility replaces our prior $6.8 billion revolving credit facility, which was terminated in connection with the execution of the new revolving credit facility. The interest rate on the new facility consists of a base rate plus a borrowing margin that is determined based on Comcast’s credit rating. As of September 30, 2012, the borrowing margin for borrowings based on the London Interbank Offered Rate (“LIBOR”) was 1.125%. The terms of the new revolving credit facility’s financial covenants and guarantees are substantially the same as those under the prior revolving credit facility. As of September 30, 2012, amounts available under the new facility totaled $5.8 billion.</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Derivative Financial Instruments</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We use derivative financial instruments to manage our exposure to the risks associated with fluctuations in interest rates, foreign exchange rates and equity prices.</w:t>
      </w:r>
    </w:p>
    <w:p>
      <w:pPr>
        <w:spacing w:after="0" w:line="11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manage our exposure to fluctuations in interest rates by using derivative financial instruments such as interest rate exchange agreements (“swaps”), interest rate lock agreements (“rate locks”) and interest rate collars (“collars”). We sometimes enter into rate locks or collars to hedge the risk that the cash flows related to the interest payments on an anticipated issuance or assumption of fixed-rate debt may be adversely affected by interest rate fluctuations.</w:t>
      </w:r>
    </w:p>
    <w:p>
      <w:pPr>
        <w:spacing w:after="0" w:line="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manage our exposure to fluctuations in foreign exchange rates by using foreign exchange contracts such as forward contracts and currency options, as well as cross-currency swaps for our foreign currency denominated borrowings.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our exposure to and benefits from price fluctuations in the common stock of some of our investments by using equity derivative financial instruments embedded in other contracts, such as prepaid forward sale agreements, whose values, in part, are derived from the market value of certain publicly traded common stock.</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manage the credit risks associated with our derivative financial instruments through diversification and the evaluation and monitoring of the creditworthiness of counterparties. Although we may be exposed to losses in the event of nonperformance by the counterparties, we do not expect such losses, if any, to be significant. We have agreements with certain counterparties that include collateral provisions. These provisions require a party with an aggregate unrealized loss position in excess of certain thresholds to post cash collateral for the amount in excess of the threshold. The threshold levels in our collateral agreements are based on our and the counterparties’ credit ratings. As of September 30, 2012, neither we nor any of our counterparties were required to post collateral under the terms of the agreements.</w:t>
      </w:r>
    </w:p>
    <w:p>
      <w:pPr>
        <w:spacing w:after="0" w:line="5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the three and nine months ended September 30, 2012, there were no significant changes in the composition of any of our derivative financial instruments or their classification in our condensed consolidated balance sheet. In addition, the impact of our derivative financial instruments on our condensed consolidated financial statements was not material for the three and nine months ended September 30, 2012 and 2011.</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See Note 8 for additional information on the fair value of our derivative financial instruments as of September 30, 2012 and December 31, 2011.</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Level 1 consists of financial instruments whose values are based on quoted market prices for identical financial instruments in an active market. Level 2 consists of financial instruments that are valued using models or other valuation methodologies. These models use inputs that are observable either directly or indirectly. Level 3 consists of financial instruments whose values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are determined using pricing models that use significant inputs that are primarily unobservable, discounted cash flow methodologies or similar techniques, as well as instruments for which the determination of fair value requires significant management judgment or estimation. Our financial instruments that are accounted for at fair value on a recurring basis are presented in the table below.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color w:val="auto"/>
              </w:rPr>
              <w:t>Fair Value as of</w:t>
            </w: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gridSpan w:val="2"/>
          </w:tcPr>
          <w:p>
            <w:pPr>
              <w:ind w:left="240"/>
              <w:spacing w:after="0" w:line="131"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59"/>
        </w:trPr>
        <w:tc>
          <w:tcPr>
            <w:tcW w:w="60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572"/>
              <w:spacing w:after="0" w:line="159" w:lineRule="exact"/>
              <w:rPr>
                <w:sz w:val="20"/>
                <w:szCs w:val="20"/>
                <w:color w:val="auto"/>
              </w:rPr>
            </w:pPr>
            <w:r>
              <w:rPr>
                <w:rFonts w:ascii="Arial" w:cs="Arial" w:eastAsia="Arial" w:hAnsi="Arial"/>
                <w:sz w:val="14"/>
                <w:szCs w:val="14"/>
                <w:color w:val="auto"/>
                <w:w w:val="91"/>
              </w:rPr>
              <w:t>September 30, 2012</w:t>
            </w:r>
          </w:p>
        </w:tc>
        <w:tc>
          <w:tcPr>
            <w:tcW w:w="8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5"/>
              <w:spacing w:after="0" w:line="159"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42"/>
        </w:trPr>
        <w:tc>
          <w:tcPr>
            <w:tcW w:w="6080" w:type="dxa"/>
            <w:vAlign w:val="bottom"/>
            <w:gridSpan w:val="2"/>
            <w:vMerge w:val="continue"/>
          </w:tcPr>
          <w:p>
            <w:pPr>
              <w:spacing w:after="0"/>
              <w:rPr>
                <w:sz w:val="12"/>
                <w:szCs w:val="12"/>
                <w:color w:val="auto"/>
              </w:rPr>
            </w:pPr>
          </w:p>
        </w:tc>
        <w:tc>
          <w:tcPr>
            <w:tcW w:w="1200" w:type="dxa"/>
            <w:vAlign w:val="bottom"/>
            <w:gridSpan w:val="2"/>
          </w:tcPr>
          <w:p>
            <w:pPr>
              <w:jc w:val="right"/>
              <w:ind w:right="232"/>
              <w:spacing w:after="0" w:line="142" w:lineRule="exact"/>
              <w:rPr>
                <w:sz w:val="20"/>
                <w:szCs w:val="20"/>
                <w:color w:val="auto"/>
              </w:rPr>
            </w:pPr>
            <w:r>
              <w:rPr>
                <w:rFonts w:ascii="Arial" w:cs="Arial" w:eastAsia="Arial" w:hAnsi="Arial"/>
                <w:sz w:val="14"/>
                <w:szCs w:val="14"/>
                <w:color w:val="auto"/>
              </w:rPr>
              <w:t>Level 1</w:t>
            </w:r>
          </w:p>
        </w:tc>
        <w:tc>
          <w:tcPr>
            <w:tcW w:w="1020" w:type="dxa"/>
            <w:vAlign w:val="bottom"/>
            <w:gridSpan w:val="2"/>
          </w:tcPr>
          <w:p>
            <w:pPr>
              <w:jc w:val="right"/>
              <w:ind w:right="194"/>
              <w:spacing w:after="0" w:line="142" w:lineRule="exact"/>
              <w:rPr>
                <w:sz w:val="20"/>
                <w:szCs w:val="20"/>
                <w:color w:val="auto"/>
              </w:rPr>
            </w:pPr>
            <w:r>
              <w:rPr>
                <w:rFonts w:ascii="Arial" w:cs="Arial" w:eastAsia="Arial" w:hAnsi="Arial"/>
                <w:sz w:val="14"/>
                <w:szCs w:val="14"/>
                <w:color w:val="auto"/>
              </w:rPr>
              <w:t>Level 2</w:t>
            </w:r>
          </w:p>
        </w:tc>
        <w:tc>
          <w:tcPr>
            <w:tcW w:w="1200" w:type="dxa"/>
            <w:vAlign w:val="bottom"/>
            <w:gridSpan w:val="2"/>
          </w:tcPr>
          <w:p>
            <w:pPr>
              <w:jc w:val="right"/>
              <w:ind w:right="352"/>
              <w:spacing w:after="0" w:line="142" w:lineRule="exact"/>
              <w:rPr>
                <w:sz w:val="20"/>
                <w:szCs w:val="20"/>
                <w:color w:val="auto"/>
              </w:rPr>
            </w:pPr>
            <w:r>
              <w:rPr>
                <w:rFonts w:ascii="Arial" w:cs="Arial" w:eastAsia="Arial" w:hAnsi="Arial"/>
                <w:sz w:val="14"/>
                <w:szCs w:val="14"/>
                <w:color w:val="auto"/>
              </w:rPr>
              <w:t>Level 3</w:t>
            </w:r>
          </w:p>
        </w:tc>
        <w:tc>
          <w:tcPr>
            <w:tcW w:w="860" w:type="dxa"/>
            <w:vAlign w:val="bottom"/>
          </w:tcPr>
          <w:p>
            <w:pPr>
              <w:jc w:val="right"/>
              <w:ind w:right="254"/>
              <w:spacing w:after="0" w:line="142" w:lineRule="exact"/>
              <w:rPr>
                <w:sz w:val="20"/>
                <w:szCs w:val="20"/>
                <w:color w:val="auto"/>
              </w:rPr>
            </w:pPr>
            <w:r>
              <w:rPr>
                <w:rFonts w:ascii="Arial" w:cs="Arial" w:eastAsia="Arial" w:hAnsi="Arial"/>
                <w:sz w:val="14"/>
                <w:szCs w:val="14"/>
                <w:color w:val="auto"/>
              </w:rPr>
              <w:t>Total</w:t>
            </w:r>
          </w:p>
        </w:tc>
        <w:tc>
          <w:tcPr>
            <w:tcW w:w="400" w:type="dxa"/>
            <w:vAlign w:val="bottom"/>
          </w:tcPr>
          <w:p>
            <w:pPr>
              <w:spacing w:after="0"/>
              <w:rPr>
                <w:sz w:val="12"/>
                <w:szCs w:val="12"/>
                <w:color w:val="auto"/>
              </w:rPr>
            </w:pPr>
          </w:p>
        </w:tc>
        <w:tc>
          <w:tcPr>
            <w:tcW w:w="660" w:type="dxa"/>
            <w:vAlign w:val="bottom"/>
          </w:tcPr>
          <w:p>
            <w:pPr>
              <w:jc w:val="right"/>
              <w:ind w:right="215"/>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52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Trading securities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color w:val="auto"/>
                <w:w w:val="93"/>
              </w:rPr>
              <w:t>3,866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4"/>
              <w:spacing w:after="0"/>
              <w:rPr>
                <w:sz w:val="20"/>
                <w:szCs w:val="20"/>
                <w:color w:val="auto"/>
              </w:rPr>
            </w:pPr>
            <w:r>
              <w:rPr>
                <w:rFonts w:ascii="Arial" w:cs="Arial" w:eastAsia="Arial" w:hAnsi="Arial"/>
                <w:sz w:val="18"/>
                <w:szCs w:val="18"/>
                <w:color w:val="auto"/>
              </w:rPr>
              <w:t>$3,866</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226</w:t>
            </w:r>
          </w:p>
        </w:tc>
        <w:tc>
          <w:tcPr>
            <w:tcW w:w="3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29</w:t>
            </w:r>
          </w:p>
        </w:tc>
        <w:tc>
          <w:tcPr>
            <w:tcW w:w="4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21</w:t>
            </w:r>
          </w:p>
        </w:tc>
        <w:tc>
          <w:tcPr>
            <w:tcW w:w="8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276</w:t>
            </w:r>
          </w:p>
        </w:tc>
        <w:tc>
          <w:tcPr>
            <w:tcW w:w="40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520" w:type="dxa"/>
            <w:vAlign w:val="bottom"/>
          </w:tcPr>
          <w:p>
            <w:pPr>
              <w:spacing w:after="0"/>
              <w:rPr>
                <w:sz w:val="18"/>
                <w:szCs w:val="18"/>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40" w:type="dxa"/>
            <w:vAlign w:val="bottom"/>
          </w:tcPr>
          <w:p>
            <w:pPr>
              <w:jc w:val="right"/>
              <w:ind w:right="134"/>
              <w:spacing w:after="0"/>
              <w:rPr>
                <w:sz w:val="20"/>
                <w:szCs w:val="20"/>
                <w:color w:val="auto"/>
              </w:rPr>
            </w:pPr>
            <w:r>
              <w:rPr>
                <w:rFonts w:ascii="Arial" w:cs="Arial" w:eastAsia="Arial" w:hAnsi="Arial"/>
                <w:sz w:val="18"/>
                <w:szCs w:val="18"/>
                <w:color w:val="auto"/>
              </w:rPr>
              <w:t>234</w:t>
            </w:r>
          </w:p>
        </w:tc>
        <w:tc>
          <w:tcPr>
            <w:tcW w:w="40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4"/>
              <w:spacing w:after="0"/>
              <w:rPr>
                <w:sz w:val="20"/>
                <w:szCs w:val="20"/>
                <w:color w:val="auto"/>
              </w:rPr>
            </w:pPr>
            <w:r>
              <w:rPr>
                <w:rFonts w:ascii="Arial" w:cs="Arial" w:eastAsia="Arial" w:hAnsi="Arial"/>
                <w:sz w:val="18"/>
                <w:szCs w:val="18"/>
                <w:color w:val="auto"/>
              </w:rPr>
              <w:t>234</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5E5E5"/>
          </w:tcPr>
          <w:p>
            <w:pPr>
              <w:spacing w:after="0"/>
              <w:rPr>
                <w:sz w:val="20"/>
                <w:szCs w:val="20"/>
                <w:color w:val="auto"/>
              </w:rPr>
            </w:pPr>
            <w:r>
              <w:rPr>
                <w:rFonts w:ascii="Arial" w:cs="Arial" w:eastAsia="Arial" w:hAnsi="Arial"/>
                <w:sz w:val="18"/>
                <w:szCs w:val="18"/>
                <w:color w:val="auto"/>
              </w:rPr>
              <w:t>Foreign exchange contracts</w:t>
            </w: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10</w:t>
            </w:r>
          </w:p>
        </w:tc>
        <w:tc>
          <w:tcPr>
            <w:tcW w:w="4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10</w:t>
            </w:r>
          </w:p>
        </w:tc>
        <w:tc>
          <w:tcPr>
            <w:tcW w:w="40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warrants</w:t>
            </w: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w:t>
            </w: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w w:val="93"/>
              </w:rPr>
              <w:t>4,092</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273</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5E5"/>
          </w:tcPr>
          <w:p>
            <w:pPr>
              <w:jc w:val="right"/>
              <w:ind w:right="272"/>
              <w:spacing w:after="0"/>
              <w:rPr>
                <w:sz w:val="20"/>
                <w:szCs w:val="20"/>
                <w:color w:val="auto"/>
              </w:rPr>
            </w:pPr>
            <w:r>
              <w:rPr>
                <w:rFonts w:ascii="Arial" w:cs="Arial" w:eastAsia="Arial" w:hAnsi="Arial"/>
                <w:sz w:val="18"/>
                <w:szCs w:val="18"/>
                <w:color w:val="auto"/>
              </w:rPr>
              <w:t>23</w:t>
            </w:r>
          </w:p>
        </w:tc>
        <w:tc>
          <w:tcPr>
            <w:tcW w:w="8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$4,388</w:t>
            </w:r>
          </w:p>
        </w:tc>
        <w:tc>
          <w:tcPr>
            <w:tcW w:w="4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309"/>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E5E5E5"/>
          </w:tcPr>
          <w:p>
            <w:pPr>
              <w:spacing w:after="0"/>
              <w:rPr>
                <w:sz w:val="20"/>
                <w:szCs w:val="20"/>
                <w:color w:val="auto"/>
              </w:rPr>
            </w:pPr>
            <w:r>
              <w:rPr>
                <w:rFonts w:ascii="Arial" w:cs="Arial" w:eastAsia="Arial" w:hAnsi="Arial"/>
                <w:sz w:val="18"/>
                <w:szCs w:val="18"/>
                <w:color w:val="auto"/>
                <w:w w:val="99"/>
              </w:rPr>
              <w:t>Derivative component of prepaid forward sale agreements and indexed debt</w:t>
            </w: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instruments</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88"/>
              </w:rPr>
              <w:t>2,153</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$2,153</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Contractual obligations</w:t>
            </w:r>
          </w:p>
        </w:tc>
        <w:tc>
          <w:tcPr>
            <w:tcW w:w="520" w:type="dxa"/>
            <w:vAlign w:val="bottom"/>
          </w:tcPr>
          <w:p>
            <w:pPr>
              <w:spacing w:after="0"/>
              <w:rPr>
                <w:sz w:val="18"/>
                <w:szCs w:val="18"/>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984</w:t>
            </w:r>
          </w:p>
        </w:tc>
        <w:tc>
          <w:tcPr>
            <w:tcW w:w="860" w:type="dxa"/>
            <w:vAlign w:val="bottom"/>
          </w:tcPr>
          <w:p>
            <w:pPr>
              <w:jc w:val="right"/>
              <w:ind w:right="134"/>
              <w:spacing w:after="0"/>
              <w:rPr>
                <w:sz w:val="20"/>
                <w:szCs w:val="20"/>
                <w:color w:val="auto"/>
              </w:rPr>
            </w:pPr>
            <w:r>
              <w:rPr>
                <w:rFonts w:ascii="Arial" w:cs="Arial" w:eastAsia="Arial" w:hAnsi="Arial"/>
                <w:sz w:val="18"/>
                <w:szCs w:val="18"/>
                <w:color w:val="auto"/>
              </w:rPr>
              <w:t>984</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5E5E5"/>
          </w:tcPr>
          <w:p>
            <w:pPr>
              <w:spacing w:after="0"/>
              <w:rPr>
                <w:sz w:val="20"/>
                <w:szCs w:val="20"/>
                <w:color w:val="auto"/>
              </w:rPr>
            </w:pPr>
            <w:r>
              <w:rPr>
                <w:rFonts w:ascii="Arial" w:cs="Arial" w:eastAsia="Arial" w:hAnsi="Arial"/>
                <w:sz w:val="18"/>
                <w:szCs w:val="18"/>
                <w:color w:val="auto"/>
              </w:rPr>
              <w:t>Contingent consideration</w:t>
            </w: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650</w:t>
            </w:r>
          </w:p>
        </w:tc>
        <w:tc>
          <w:tcPr>
            <w:tcW w:w="8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650</w:t>
            </w:r>
          </w:p>
        </w:tc>
        <w:tc>
          <w:tcPr>
            <w:tcW w:w="40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Cross-currency swap agreements</w:t>
            </w:r>
          </w:p>
        </w:tc>
        <w:tc>
          <w:tcPr>
            <w:tcW w:w="520" w:type="dxa"/>
            <w:vAlign w:val="bottom"/>
          </w:tcPr>
          <w:p>
            <w:pPr>
              <w:spacing w:after="0"/>
              <w:rPr>
                <w:sz w:val="18"/>
                <w:szCs w:val="18"/>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40" w:type="dxa"/>
            <w:vAlign w:val="bottom"/>
          </w:tcPr>
          <w:p>
            <w:pPr>
              <w:jc w:val="right"/>
              <w:ind w:right="134"/>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4"/>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Foreign exchange contracts</w:t>
            </w:r>
          </w:p>
        </w:tc>
        <w:tc>
          <w:tcPr>
            <w:tcW w:w="5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15</w:t>
            </w:r>
          </w:p>
        </w:tc>
        <w:tc>
          <w:tcPr>
            <w:tcW w:w="4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7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15</w:t>
            </w:r>
          </w:p>
        </w:tc>
        <w:tc>
          <w:tcPr>
            <w:tcW w:w="4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88"/>
              </w:rPr>
              <w:t>2,176</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93"/>
              </w:rPr>
              <w:t>1,634</w:t>
            </w: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$3,810</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fair values of the contractual obligations and contingent consideration in the table above are primarily based on certain expected future discounted cash flows, the determination of which involves the use of significant unobservable inputs. The most significant unobservable inputs we use are our estimates of the future revenue we expect to generate from certain NBCUniversal entities, which are related to our contractual obligations, and the future net tax benefits that will affect the payments to GE, which are related to contingent consideration. The discount rates used in the measurements of fair value were between 5.6% and 13% and are based on the underlying risk associated with our estimate of future revenue, as well as the terms of the respective contracts, and the uncertainty in the timing of our payments to GE. The fair value adjustments to these financial liabilities are recorded in other income (expense), net in our condensed consolidated statement of income.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Contractual Obligations and Contingent Consideration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4360" w:type="dxa"/>
            <w:vAlign w:val="bottom"/>
            <w:gridSpan w:val="2"/>
          </w:tcPr>
          <w:p>
            <w:pPr>
              <w:ind w:left="3280"/>
              <w:spacing w:after="0"/>
              <w:rPr>
                <w:sz w:val="20"/>
                <w:szCs w:val="20"/>
                <w:color w:val="auto"/>
              </w:rPr>
            </w:pPr>
            <w:r>
              <w:rPr>
                <w:rFonts w:ascii="Arial" w:cs="Arial" w:eastAsia="Arial" w:hAnsi="Arial"/>
                <w:sz w:val="14"/>
                <w:szCs w:val="14"/>
                <w:color w:val="auto"/>
              </w:rPr>
              <w:t>Contractual</w:t>
            </w:r>
          </w:p>
        </w:tc>
        <w:tc>
          <w:tcPr>
            <w:tcW w:w="1260" w:type="dxa"/>
            <w:vAlign w:val="bottom"/>
            <w:gridSpan w:val="2"/>
          </w:tcPr>
          <w:p>
            <w:pPr>
              <w:jc w:val="right"/>
              <w:ind w:right="112"/>
              <w:spacing w:after="0"/>
              <w:rPr>
                <w:sz w:val="20"/>
                <w:szCs w:val="20"/>
                <w:color w:val="auto"/>
              </w:rPr>
            </w:pPr>
            <w:r>
              <w:rPr>
                <w:rFonts w:ascii="Arial" w:cs="Arial" w:eastAsia="Arial" w:hAnsi="Arial"/>
                <w:sz w:val="14"/>
                <w:szCs w:val="14"/>
                <w:color w:val="auto"/>
              </w:rPr>
              <w:t>Contingent</w:t>
            </w:r>
          </w:p>
        </w:tc>
      </w:tr>
      <w:tr>
        <w:trPr>
          <w:trHeight w:val="159"/>
        </w:trPr>
        <w:tc>
          <w:tcPr>
            <w:tcW w:w="58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360" w:type="dxa"/>
            <w:vAlign w:val="bottom"/>
            <w:tcBorders>
              <w:bottom w:val="single" w:sz="8" w:color="auto"/>
            </w:tcBorders>
            <w:gridSpan w:val="2"/>
          </w:tcPr>
          <w:p>
            <w:pPr>
              <w:ind w:left="3280"/>
              <w:spacing w:after="0" w:line="159" w:lineRule="exact"/>
              <w:rPr>
                <w:sz w:val="20"/>
                <w:szCs w:val="20"/>
                <w:color w:val="auto"/>
              </w:rPr>
            </w:pPr>
            <w:r>
              <w:rPr>
                <w:rFonts w:ascii="Arial" w:cs="Arial" w:eastAsia="Arial" w:hAnsi="Arial"/>
                <w:sz w:val="14"/>
                <w:szCs w:val="14"/>
                <w:color w:val="auto"/>
              </w:rPr>
              <w:t>Obligations</w:t>
            </w:r>
          </w:p>
        </w:tc>
        <w:tc>
          <w:tcPr>
            <w:tcW w:w="1260" w:type="dxa"/>
            <w:vAlign w:val="bottom"/>
            <w:tcBorders>
              <w:bottom w:val="single" w:sz="8" w:color="auto"/>
            </w:tcBorders>
            <w:gridSpan w:val="2"/>
          </w:tcPr>
          <w:p>
            <w:pPr>
              <w:ind w:left="380"/>
              <w:spacing w:after="0" w:line="159" w:lineRule="exact"/>
              <w:rPr>
                <w:sz w:val="20"/>
                <w:szCs w:val="20"/>
                <w:color w:val="auto"/>
              </w:rPr>
            </w:pPr>
            <w:r>
              <w:rPr>
                <w:rFonts w:ascii="Arial" w:cs="Arial" w:eastAsia="Arial" w:hAnsi="Arial"/>
                <w:sz w:val="14"/>
                <w:szCs w:val="14"/>
                <w:color w:val="auto"/>
                <w:w w:val="99"/>
              </w:rPr>
              <w:t>Consideration</w:t>
            </w:r>
          </w:p>
        </w:tc>
      </w:tr>
      <w:tr>
        <w:trPr>
          <w:trHeight w:val="210"/>
        </w:trPr>
        <w:tc>
          <w:tcPr>
            <w:tcW w:w="580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2011</w:t>
            </w:r>
          </w:p>
        </w:tc>
        <w:tc>
          <w:tcPr>
            <w:tcW w:w="3440" w:type="dxa"/>
            <w:vAlign w:val="bottom"/>
            <w:shd w:val="clear" w:color="auto" w:fill="E5E5E5"/>
          </w:tcPr>
          <w:p>
            <w:pPr>
              <w:ind w:left="3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372"/>
              <w:spacing w:after="0"/>
              <w:rPr>
                <w:sz w:val="20"/>
                <w:szCs w:val="20"/>
                <w:color w:val="auto"/>
              </w:rPr>
            </w:pPr>
            <w:r>
              <w:rPr>
                <w:rFonts w:ascii="Arial" w:cs="Arial" w:eastAsia="Arial" w:hAnsi="Arial"/>
                <w:sz w:val="18"/>
                <w:szCs w:val="18"/>
                <w:color w:val="auto"/>
                <w:w w:val="97"/>
              </w:rPr>
              <w:t>1,004</w:t>
            </w:r>
          </w:p>
        </w:tc>
        <w:tc>
          <w:tcPr>
            <w:tcW w:w="68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583</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Acquisition accounting adjustments</w:t>
            </w:r>
          </w:p>
        </w:tc>
        <w:tc>
          <w:tcPr>
            <w:tcW w:w="3440" w:type="dxa"/>
            <w:vAlign w:val="bottom"/>
          </w:tcPr>
          <w:p>
            <w:pPr>
              <w:spacing w:after="0"/>
              <w:rPr>
                <w:sz w:val="18"/>
                <w:szCs w:val="18"/>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E5E5E5"/>
          </w:tcPr>
          <w:p>
            <w:pPr>
              <w:spacing w:after="0"/>
              <w:rPr>
                <w:sz w:val="20"/>
                <w:szCs w:val="20"/>
                <w:color w:val="auto"/>
              </w:rPr>
            </w:pPr>
            <w:r>
              <w:rPr>
                <w:rFonts w:ascii="Arial" w:cs="Arial" w:eastAsia="Arial" w:hAnsi="Arial"/>
                <w:sz w:val="18"/>
                <w:szCs w:val="18"/>
                <w:color w:val="auto"/>
              </w:rPr>
              <w:t>Fair value adjustments</w:t>
            </w:r>
          </w:p>
        </w:tc>
        <w:tc>
          <w:tcPr>
            <w:tcW w:w="34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72"/>
              <w:spacing w:after="0"/>
              <w:rPr>
                <w:sz w:val="20"/>
                <w:szCs w:val="20"/>
                <w:color w:val="auto"/>
              </w:rPr>
            </w:pPr>
            <w:r>
              <w:rPr>
                <w:rFonts w:ascii="Arial" w:cs="Arial" w:eastAsia="Arial" w:hAnsi="Arial"/>
                <w:sz w:val="18"/>
                <w:szCs w:val="18"/>
                <w:color w:val="auto"/>
              </w:rPr>
              <w:t>65</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106</w:t>
            </w:r>
          </w:p>
        </w:tc>
      </w:tr>
      <w:tr>
        <w:trPr>
          <w:trHeight w:val="216"/>
        </w:trPr>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Payments</w:t>
            </w:r>
          </w:p>
        </w:tc>
        <w:tc>
          <w:tcPr>
            <w:tcW w:w="3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(65)</w:t>
            </w:r>
          </w:p>
        </w:tc>
        <w:tc>
          <w:tcPr>
            <w:tcW w:w="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17"/>
        </w:trPr>
        <w:tc>
          <w:tcPr>
            <w:tcW w:w="58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September 30, 2012</w:t>
            </w:r>
          </w:p>
        </w:tc>
        <w:tc>
          <w:tcPr>
            <w:tcW w:w="3440" w:type="dxa"/>
            <w:vAlign w:val="bottom"/>
            <w:tcBorders>
              <w:bottom w:val="single" w:sz="8" w:color="auto"/>
            </w:tcBorders>
            <w:shd w:val="clear" w:color="auto" w:fill="E5E5E5"/>
          </w:tcPr>
          <w:p>
            <w:pPr>
              <w:ind w:left="32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ind w:right="372"/>
              <w:spacing w:after="0"/>
              <w:rPr>
                <w:sz w:val="20"/>
                <w:szCs w:val="20"/>
                <w:color w:val="auto"/>
              </w:rPr>
            </w:pPr>
            <w:r>
              <w:rPr>
                <w:rFonts w:ascii="Arial" w:cs="Arial" w:eastAsia="Arial" w:hAnsi="Arial"/>
                <w:sz w:val="18"/>
                <w:szCs w:val="18"/>
                <w:b w:val="1"/>
                <w:bCs w:val="1"/>
                <w:color w:val="auto"/>
              </w:rPr>
              <w:t>984</w:t>
            </w:r>
          </w:p>
        </w:tc>
        <w:tc>
          <w:tcPr>
            <w:tcW w:w="68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650</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have assets and liabilities required to be recorded at fair value on a nonrecurring basis when certain circumstances occur. In the case of film or stage play production costs, upon the occurrence of an event or change in circumstance that may indicate that the fair value of a production is less than its unamortized costs, we determine the fair value of the production and record an adjustment for the amount by which the unamortized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capitalized costs exceed the production’s fair value. The estimate of fair value of a production is determined using Level 3 inputs, primarily an analysis of future expected cash flows. Fair value adjustments of $155 million were recorded during the nine months ended September 30, 2012.</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Noncontrolling Interests</w:t>
      </w:r>
    </w:p>
    <w:p>
      <w:pPr>
        <w:spacing w:after="0" w:line="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of the subsidiaries that we consolidate are not wholly owned. Some of the agreements with the minority partners of these subsidiaries contain redemption features whereby interests held by the minority partners, including GE’s 49% interest in NBCUniversal, are redeemable either (i) at the option of the holder or</w:t>
      </w:r>
    </w:p>
    <w:p>
      <w:pPr>
        <w:jc w:val="both"/>
        <w:ind w:firstLine="8"/>
        <w:spacing w:after="0" w:line="302"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upon the occurrence of an event that is not solely within our control. If interests were to be redeemed under these agreements, we would generally be required to purchase the interest at fair value on the date of redemption. These interests are presented on the balance sheet outside of equity under the caption “Redeemable noncontrolling interests.” Noncontrolling interests that do not contain such redemption features are presented in equity.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changes in equity resulting from net income attributable to Comcast Corporation and transfers to or from noncontrolling interests.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140" w:type="dxa"/>
            <w:vAlign w:val="bottom"/>
            <w:gridSpan w:val="2"/>
          </w:tcPr>
          <w:p>
            <w:pPr>
              <w:jc w:val="right"/>
              <w:ind w:right="276"/>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92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140" w:type="dxa"/>
            <w:vAlign w:val="bottom"/>
            <w:tcBorders>
              <w:bottom w:val="single" w:sz="8" w:color="auto"/>
            </w:tcBorders>
            <w:gridSpan w:val="2"/>
          </w:tcPr>
          <w:p>
            <w:pPr>
              <w:jc w:val="right"/>
              <w:ind w:right="436"/>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9280" w:type="dxa"/>
            <w:vAlign w:val="bottom"/>
            <w:tcBorders>
              <w:bottom w:val="single" w:sz="8" w:color="auto"/>
            </w:tcBorders>
            <w:vMerge w:val="continue"/>
          </w:tcPr>
          <w:p>
            <w:pPr>
              <w:spacing w:after="0"/>
              <w:rPr>
                <w:sz w:val="12"/>
                <w:szCs w:val="12"/>
                <w:color w:val="auto"/>
              </w:rPr>
            </w:pPr>
          </w:p>
        </w:tc>
        <w:tc>
          <w:tcPr>
            <w:tcW w:w="1240" w:type="dxa"/>
            <w:vAlign w:val="bottom"/>
            <w:tcBorders>
              <w:bottom w:val="single" w:sz="8" w:color="auto"/>
            </w:tcBorders>
          </w:tcPr>
          <w:p>
            <w:pPr>
              <w:jc w:val="right"/>
              <w:ind w:right="321"/>
              <w:spacing w:after="0" w:line="142" w:lineRule="exact"/>
              <w:rPr>
                <w:sz w:val="20"/>
                <w:szCs w:val="20"/>
                <w:color w:val="auto"/>
              </w:rPr>
            </w:pPr>
            <w:r>
              <w:rPr>
                <w:rFonts w:ascii="Arial" w:cs="Arial" w:eastAsia="Arial" w:hAnsi="Arial"/>
                <w:sz w:val="14"/>
                <w:szCs w:val="14"/>
                <w:color w:val="auto"/>
              </w:rPr>
              <w:t>2012</w:t>
            </w:r>
          </w:p>
        </w:tc>
        <w:tc>
          <w:tcPr>
            <w:tcW w:w="9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9280" w:type="dxa"/>
            <w:vAlign w:val="bottom"/>
            <w:shd w:val="clear" w:color="auto" w:fill="E5E5E5"/>
          </w:tcPr>
          <w:p>
            <w:pPr>
              <w:spacing w:after="0"/>
              <w:rPr>
                <w:sz w:val="20"/>
                <w:szCs w:val="20"/>
                <w:color w:val="auto"/>
              </w:rPr>
            </w:pPr>
            <w:r>
              <w:rPr>
                <w:rFonts w:ascii="Arial" w:cs="Arial" w:eastAsia="Arial" w:hAnsi="Arial"/>
                <w:sz w:val="18"/>
                <w:szCs w:val="18"/>
                <w:color w:val="auto"/>
              </w:rPr>
              <w:t>Net income attributable to Comcast Corporation</w:t>
            </w:r>
          </w:p>
        </w:tc>
        <w:tc>
          <w:tcPr>
            <w:tcW w:w="1240" w:type="dxa"/>
            <w:vAlign w:val="bottom"/>
            <w:shd w:val="clear" w:color="auto" w:fill="E5E5E5"/>
          </w:tcPr>
          <w:p>
            <w:pPr>
              <w:jc w:val="right"/>
              <w:ind w:right="181"/>
              <w:spacing w:after="0"/>
              <w:rPr>
                <w:sz w:val="20"/>
                <w:szCs w:val="20"/>
                <w:color w:val="auto"/>
              </w:rPr>
            </w:pPr>
            <w:r>
              <w:rPr>
                <w:rFonts w:ascii="Arial" w:cs="Arial" w:eastAsia="Arial" w:hAnsi="Arial"/>
                <w:sz w:val="18"/>
                <w:szCs w:val="18"/>
                <w:color w:val="auto"/>
              </w:rPr>
              <w:t>$ 4,685</w:t>
            </w:r>
          </w:p>
        </w:tc>
        <w:tc>
          <w:tcPr>
            <w:tcW w:w="9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$ 2,873</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Transfers from (to) noncontrolling interests:</w:t>
            </w: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4"/>
              </w:rPr>
              <w:t>Increase in Comcast Corporation additional paid-in capital resulting from the issuance of noncontrolling equity interest</w:t>
            </w:r>
          </w:p>
        </w:tc>
        <w:tc>
          <w:tcPr>
            <w:tcW w:w="1240" w:type="dxa"/>
            <w:vAlign w:val="bottom"/>
            <w:shd w:val="clear" w:color="auto" w:fill="E5E5E5"/>
          </w:tcPr>
          <w:p>
            <w:pPr>
              <w:jc w:val="right"/>
              <w:ind w:right="181"/>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16"/>
        </w:trPr>
        <w:tc>
          <w:tcPr>
            <w:tcW w:w="92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9"/>
              </w:rPr>
              <w:t>Increase in Comcast Corporation additional paid-in capital resulting from the purchase of noncontrolling interest</w:t>
            </w:r>
          </w:p>
        </w:tc>
        <w:tc>
          <w:tcPr>
            <w:tcW w:w="124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color w:val="auto"/>
              </w:rPr>
              <w:t>2</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9280" w:type="dxa"/>
            <w:vAlign w:val="bottom"/>
            <w:shd w:val="clear" w:color="auto" w:fill="E5E5E5"/>
          </w:tcPr>
          <w:p>
            <w:pPr>
              <w:spacing w:after="0" w:line="195" w:lineRule="exact"/>
              <w:rPr>
                <w:sz w:val="20"/>
                <w:szCs w:val="20"/>
                <w:color w:val="auto"/>
              </w:rPr>
            </w:pPr>
            <w:r>
              <w:rPr>
                <w:rFonts w:ascii="Arial" w:cs="Arial" w:eastAsia="Arial" w:hAnsi="Arial"/>
                <w:sz w:val="18"/>
                <w:szCs w:val="18"/>
                <w:b w:val="1"/>
                <w:bCs w:val="1"/>
                <w:color w:val="auto"/>
                <w:w w:val="90"/>
              </w:rPr>
              <w:t>Changes in equity resulting from net income attributable to Comcast Corporation and transfers from (to) noncontrolling</w:t>
            </w:r>
          </w:p>
        </w:tc>
        <w:tc>
          <w:tcPr>
            <w:tcW w:w="124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928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interests</w:t>
            </w:r>
          </w:p>
        </w:tc>
        <w:tc>
          <w:tcPr>
            <w:tcW w:w="1240" w:type="dxa"/>
            <w:vAlign w:val="bottom"/>
            <w:tcBorders>
              <w:bottom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b w:val="1"/>
                <w:bCs w:val="1"/>
                <w:color w:val="auto"/>
              </w:rPr>
              <w:t>$ 4,687</w:t>
            </w:r>
          </w:p>
        </w:tc>
        <w:tc>
          <w:tcPr>
            <w:tcW w:w="9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$ 4,530</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Pension Plans and Postretirement Benefits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the components of net periodic benefit expense related to our active pension plans and postretirement benefit plans.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color w:val="auto"/>
                <w:w w:val="88"/>
              </w:rPr>
              <w:t>Three Months Ended September 30</w:t>
            </w:r>
          </w:p>
        </w:tc>
        <w:tc>
          <w:tcPr>
            <w:tcW w:w="6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color w:val="auto"/>
              </w:rPr>
              <w:t>2012</w:t>
            </w:r>
          </w:p>
        </w:tc>
        <w:tc>
          <w:tcPr>
            <w:tcW w:w="10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color w:val="auto"/>
              </w:rPr>
              <w:t>2011</w:t>
            </w:r>
          </w:p>
        </w:tc>
        <w:tc>
          <w:tcPr>
            <w:tcW w:w="780" w:type="dxa"/>
            <w:vAlign w:val="bottom"/>
            <w:tcBorders>
              <w:bottom w:val="single" w:sz="8" w:color="auto"/>
            </w:tcBorders>
          </w:tcPr>
          <w:p>
            <w:pPr>
              <w:spacing w:after="0"/>
              <w:rPr>
                <w:sz w:val="12"/>
                <w:szCs w:val="12"/>
                <w:color w:val="auto"/>
              </w:rPr>
            </w:pPr>
          </w:p>
        </w:tc>
      </w:tr>
      <w:tr>
        <w:trPr>
          <w:trHeight w:val="131"/>
        </w:trPr>
        <w:tc>
          <w:tcPr>
            <w:tcW w:w="5740" w:type="dxa"/>
            <w:vAlign w:val="bottom"/>
          </w:tcPr>
          <w:p>
            <w:pPr>
              <w:spacing w:after="0"/>
              <w:rPr>
                <w:sz w:val="11"/>
                <w:szCs w:val="11"/>
                <w:color w:val="auto"/>
              </w:rPr>
            </w:pPr>
          </w:p>
        </w:tc>
        <w:tc>
          <w:tcPr>
            <w:tcW w:w="1520" w:type="dxa"/>
            <w:vAlign w:val="bottom"/>
            <w:gridSpan w:val="2"/>
          </w:tcPr>
          <w:p>
            <w:pPr>
              <w:ind w:left="840"/>
              <w:spacing w:after="0" w:line="131" w:lineRule="exact"/>
              <w:rPr>
                <w:sz w:val="20"/>
                <w:szCs w:val="20"/>
                <w:color w:val="auto"/>
              </w:rPr>
            </w:pPr>
            <w:r>
              <w:rPr>
                <w:rFonts w:ascii="Arial" w:cs="Arial" w:eastAsia="Arial" w:hAnsi="Arial"/>
                <w:sz w:val="14"/>
                <w:szCs w:val="14"/>
                <w:color w:val="auto"/>
              </w:rPr>
              <w:t>Pension</w:t>
            </w:r>
          </w:p>
        </w:tc>
        <w:tc>
          <w:tcPr>
            <w:tcW w:w="1680" w:type="dxa"/>
            <w:vAlign w:val="bottom"/>
            <w:gridSpan w:val="2"/>
          </w:tcPr>
          <w:p>
            <w:pPr>
              <w:ind w:left="520"/>
              <w:spacing w:after="0" w:line="131" w:lineRule="exact"/>
              <w:rPr>
                <w:sz w:val="20"/>
                <w:szCs w:val="20"/>
                <w:color w:val="auto"/>
              </w:rPr>
            </w:pPr>
            <w:r>
              <w:rPr>
                <w:rFonts w:ascii="Arial" w:cs="Arial" w:eastAsia="Arial" w:hAnsi="Arial"/>
                <w:sz w:val="14"/>
                <w:szCs w:val="14"/>
                <w:color w:val="auto"/>
              </w:rPr>
              <w:t>Postretirement</w:t>
            </w:r>
          </w:p>
        </w:tc>
        <w:tc>
          <w:tcPr>
            <w:tcW w:w="1100" w:type="dxa"/>
            <w:vAlign w:val="bottom"/>
            <w:gridSpan w:val="2"/>
          </w:tcPr>
          <w:p>
            <w:pPr>
              <w:ind w:left="380"/>
              <w:spacing w:after="0" w:line="131" w:lineRule="exact"/>
              <w:rPr>
                <w:sz w:val="20"/>
                <w:szCs w:val="20"/>
                <w:color w:val="auto"/>
              </w:rPr>
            </w:pPr>
            <w:r>
              <w:rPr>
                <w:rFonts w:ascii="Arial" w:cs="Arial" w:eastAsia="Arial" w:hAnsi="Arial"/>
                <w:sz w:val="14"/>
                <w:szCs w:val="14"/>
                <w:color w:val="auto"/>
              </w:rPr>
              <w:t>Pension</w:t>
            </w:r>
          </w:p>
        </w:tc>
        <w:tc>
          <w:tcPr>
            <w:tcW w:w="1380" w:type="dxa"/>
            <w:vAlign w:val="bottom"/>
            <w:gridSpan w:val="2"/>
          </w:tcPr>
          <w:p>
            <w:pPr>
              <w:ind w:left="480"/>
              <w:spacing w:after="0" w:line="131" w:lineRule="exact"/>
              <w:rPr>
                <w:sz w:val="20"/>
                <w:szCs w:val="20"/>
                <w:color w:val="auto"/>
              </w:rPr>
            </w:pPr>
            <w:r>
              <w:rPr>
                <w:rFonts w:ascii="Arial" w:cs="Arial" w:eastAsia="Arial" w:hAnsi="Arial"/>
                <w:sz w:val="14"/>
                <w:szCs w:val="14"/>
                <w:color w:val="auto"/>
                <w:w w:val="96"/>
              </w:rPr>
              <w:t>Postretirement</w:t>
            </w:r>
          </w:p>
        </w:tc>
      </w:tr>
      <w:tr>
        <w:trPr>
          <w:trHeight w:val="159"/>
        </w:trPr>
        <w:tc>
          <w:tcPr>
            <w:tcW w:w="57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520" w:type="dxa"/>
            <w:vAlign w:val="bottom"/>
            <w:tcBorders>
              <w:bottom w:val="single" w:sz="8" w:color="auto"/>
            </w:tcBorders>
            <w:gridSpan w:val="2"/>
          </w:tcPr>
          <w:p>
            <w:pPr>
              <w:ind w:left="820"/>
              <w:spacing w:after="0" w:line="159" w:lineRule="exact"/>
              <w:rPr>
                <w:sz w:val="20"/>
                <w:szCs w:val="20"/>
                <w:color w:val="auto"/>
              </w:rPr>
            </w:pPr>
            <w:r>
              <w:rPr>
                <w:rFonts w:ascii="Arial" w:cs="Arial" w:eastAsia="Arial" w:hAnsi="Arial"/>
                <w:sz w:val="14"/>
                <w:szCs w:val="14"/>
                <w:color w:val="auto"/>
              </w:rPr>
              <w:t>Benefits</w:t>
            </w:r>
          </w:p>
        </w:tc>
        <w:tc>
          <w:tcPr>
            <w:tcW w:w="6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9" w:lineRule="exact"/>
              <w:rPr>
                <w:sz w:val="20"/>
                <w:szCs w:val="20"/>
                <w:color w:val="auto"/>
              </w:rPr>
            </w:pPr>
            <w:r>
              <w:rPr>
                <w:rFonts w:ascii="Arial" w:cs="Arial" w:eastAsia="Arial" w:hAnsi="Arial"/>
                <w:sz w:val="14"/>
                <w:szCs w:val="14"/>
                <w:color w:val="auto"/>
                <w:w w:val="94"/>
              </w:rPr>
              <w:t>Benefits</w:t>
            </w:r>
          </w:p>
        </w:tc>
        <w:tc>
          <w:tcPr>
            <w:tcW w:w="1100" w:type="dxa"/>
            <w:vAlign w:val="bottom"/>
            <w:tcBorders>
              <w:bottom w:val="single" w:sz="8" w:color="auto"/>
            </w:tcBorders>
            <w:gridSpan w:val="2"/>
          </w:tcPr>
          <w:p>
            <w:pPr>
              <w:ind w:left="380"/>
              <w:spacing w:after="0" w:line="159" w:lineRule="exact"/>
              <w:rPr>
                <w:sz w:val="20"/>
                <w:szCs w:val="20"/>
                <w:color w:val="auto"/>
              </w:rPr>
            </w:pPr>
            <w:r>
              <w:rPr>
                <w:rFonts w:ascii="Arial" w:cs="Arial" w:eastAsia="Arial" w:hAnsi="Arial"/>
                <w:sz w:val="14"/>
                <w:szCs w:val="14"/>
                <w:color w:val="auto"/>
              </w:rPr>
              <w:t>Benefits</w:t>
            </w:r>
          </w:p>
        </w:tc>
        <w:tc>
          <w:tcPr>
            <w:tcW w:w="6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6"/>
              <w:spacing w:after="0" w:line="159" w:lineRule="exact"/>
              <w:rPr>
                <w:sz w:val="20"/>
                <w:szCs w:val="20"/>
                <w:color w:val="auto"/>
              </w:rPr>
            </w:pPr>
            <w:r>
              <w:rPr>
                <w:rFonts w:ascii="Arial" w:cs="Arial" w:eastAsia="Arial" w:hAnsi="Arial"/>
                <w:sz w:val="14"/>
                <w:szCs w:val="14"/>
                <w:color w:val="auto"/>
                <w:w w:val="94"/>
              </w:rPr>
              <w:t>Benefits</w:t>
            </w:r>
          </w:p>
        </w:tc>
      </w:tr>
      <w:tr>
        <w:trPr>
          <w:trHeight w:val="210"/>
        </w:trPr>
        <w:tc>
          <w:tcPr>
            <w:tcW w:w="5740" w:type="dxa"/>
            <w:vAlign w:val="bottom"/>
            <w:shd w:val="clear" w:color="auto" w:fill="E5E5E5"/>
          </w:tcPr>
          <w:p>
            <w:pPr>
              <w:spacing w:after="0"/>
              <w:rPr>
                <w:sz w:val="20"/>
                <w:szCs w:val="20"/>
                <w:color w:val="auto"/>
              </w:rPr>
            </w:pPr>
            <w:r>
              <w:rPr>
                <w:rFonts w:ascii="Arial" w:cs="Arial" w:eastAsia="Arial" w:hAnsi="Arial"/>
                <w:sz w:val="18"/>
                <w:szCs w:val="18"/>
                <w:color w:val="auto"/>
              </w:rPr>
              <w:t>Service cost</w:t>
            </w:r>
          </w:p>
        </w:tc>
        <w:tc>
          <w:tcPr>
            <w:tcW w:w="960" w:type="dxa"/>
            <w:vAlign w:val="bottom"/>
            <w:shd w:val="clear" w:color="auto" w:fill="E5E5E5"/>
          </w:tcPr>
          <w:p>
            <w:pPr>
              <w:ind w:left="8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32</w:t>
            </w:r>
          </w:p>
        </w:tc>
        <w:tc>
          <w:tcPr>
            <w:tcW w:w="640" w:type="dxa"/>
            <w:vAlign w:val="bottom"/>
            <w:shd w:val="clear" w:color="auto" w:fill="E5E5E5"/>
          </w:tcPr>
          <w:p>
            <w:pPr>
              <w:ind w:left="5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5E5E5"/>
          </w:tcPr>
          <w:p>
            <w:pPr>
              <w:jc w:val="right"/>
              <w:ind w:right="279"/>
              <w:spacing w:after="0"/>
              <w:rPr>
                <w:sz w:val="20"/>
                <w:szCs w:val="20"/>
                <w:color w:val="auto"/>
              </w:rPr>
            </w:pPr>
            <w:r>
              <w:rPr>
                <w:rFonts w:ascii="Arial" w:cs="Arial" w:eastAsia="Arial" w:hAnsi="Arial"/>
                <w:sz w:val="18"/>
                <w:szCs w:val="18"/>
                <w:color w:val="auto"/>
              </w:rPr>
              <w:t>7</w:t>
            </w:r>
          </w:p>
        </w:tc>
        <w:tc>
          <w:tcPr>
            <w:tcW w:w="56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27</w:t>
            </w:r>
          </w:p>
        </w:tc>
        <w:tc>
          <w:tcPr>
            <w:tcW w:w="600" w:type="dxa"/>
            <w:vAlign w:val="bottom"/>
            <w:shd w:val="clear" w:color="auto" w:fill="E5E5E5"/>
          </w:tcPr>
          <w:p>
            <w:pPr>
              <w:ind w:left="48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8</w:t>
            </w:r>
          </w:p>
        </w:tc>
      </w:tr>
      <w:tr>
        <w:trPr>
          <w:trHeight w:val="216"/>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cost</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8"/>
                <w:szCs w:val="18"/>
                <w:color w:val="auto"/>
              </w:rPr>
              <w:t>7</w:t>
            </w:r>
          </w:p>
        </w:tc>
        <w:tc>
          <w:tcPr>
            <w:tcW w:w="5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w:t>
            </w: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7</w:t>
            </w:r>
          </w:p>
        </w:tc>
      </w:tr>
      <w:tr>
        <w:trPr>
          <w:trHeight w:val="217"/>
        </w:trPr>
        <w:tc>
          <w:tcPr>
            <w:tcW w:w="57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benefits expense</w:t>
            </w:r>
          </w:p>
        </w:tc>
        <w:tc>
          <w:tcPr>
            <w:tcW w:w="960" w:type="dxa"/>
            <w:vAlign w:val="bottom"/>
            <w:tcBorders>
              <w:bottom w:val="single" w:sz="8" w:color="auto"/>
            </w:tcBorders>
            <w:shd w:val="clear" w:color="auto" w:fill="E5E5E5"/>
          </w:tcPr>
          <w:p>
            <w:pPr>
              <w:ind w:left="82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36</w:t>
            </w:r>
          </w:p>
        </w:tc>
        <w:tc>
          <w:tcPr>
            <w:tcW w:w="640" w:type="dxa"/>
            <w:vAlign w:val="bottom"/>
            <w:tcBorders>
              <w:bottom w:val="single" w:sz="8" w:color="auto"/>
            </w:tcBorders>
            <w:shd w:val="clear" w:color="auto" w:fill="E5E5E5"/>
          </w:tcPr>
          <w:p>
            <w:pPr>
              <w:ind w:left="52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E5E5E5"/>
          </w:tcPr>
          <w:p>
            <w:pPr>
              <w:jc w:val="right"/>
              <w:ind w:right="279"/>
              <w:spacing w:after="0"/>
              <w:rPr>
                <w:sz w:val="20"/>
                <w:szCs w:val="20"/>
                <w:color w:val="auto"/>
              </w:rPr>
            </w:pPr>
            <w:r>
              <w:rPr>
                <w:rFonts w:ascii="Arial" w:cs="Arial" w:eastAsia="Arial" w:hAnsi="Arial"/>
                <w:sz w:val="18"/>
                <w:szCs w:val="18"/>
                <w:b w:val="1"/>
                <w:bCs w:val="1"/>
                <w:color w:val="auto"/>
              </w:rPr>
              <w:t>14</w:t>
            </w:r>
          </w:p>
        </w:tc>
        <w:tc>
          <w:tcPr>
            <w:tcW w:w="56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30</w:t>
            </w:r>
          </w:p>
        </w:tc>
        <w:tc>
          <w:tcPr>
            <w:tcW w:w="600" w:type="dxa"/>
            <w:vAlign w:val="bottom"/>
            <w:tcBorders>
              <w:bottom w:val="single" w:sz="8" w:color="auto"/>
            </w:tcBorders>
            <w:shd w:val="clear" w:color="auto" w:fill="E5E5E5"/>
          </w:tcPr>
          <w:p>
            <w:pPr>
              <w:ind w:left="48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15</w:t>
            </w:r>
          </w:p>
        </w:tc>
      </w:tr>
      <w:tr>
        <w:trPr>
          <w:trHeight w:val="243"/>
        </w:trPr>
        <w:tc>
          <w:tcPr>
            <w:tcW w:w="574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color w:val="auto"/>
                <w:w w:val="90"/>
              </w:rPr>
              <w:t>Nine Months Ended September 30</w:t>
            </w:r>
          </w:p>
        </w:tc>
        <w:tc>
          <w:tcPr>
            <w:tcW w:w="6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r>
      <w:tr>
        <w:trPr>
          <w:trHeight w:val="142"/>
        </w:trPr>
        <w:tc>
          <w:tcPr>
            <w:tcW w:w="574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color w:val="auto"/>
              </w:rPr>
              <w:t>2012</w:t>
            </w:r>
          </w:p>
        </w:tc>
        <w:tc>
          <w:tcPr>
            <w:tcW w:w="10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color w:val="auto"/>
              </w:rPr>
              <w:t>2011</w:t>
            </w:r>
          </w:p>
        </w:tc>
        <w:tc>
          <w:tcPr>
            <w:tcW w:w="780" w:type="dxa"/>
            <w:vAlign w:val="bottom"/>
            <w:tcBorders>
              <w:bottom w:val="single" w:sz="8" w:color="auto"/>
            </w:tcBorders>
          </w:tcPr>
          <w:p>
            <w:pPr>
              <w:spacing w:after="0"/>
              <w:rPr>
                <w:sz w:val="12"/>
                <w:szCs w:val="12"/>
                <w:color w:val="auto"/>
              </w:rPr>
            </w:pPr>
          </w:p>
        </w:tc>
      </w:tr>
      <w:tr>
        <w:trPr>
          <w:trHeight w:val="131"/>
        </w:trPr>
        <w:tc>
          <w:tcPr>
            <w:tcW w:w="5740" w:type="dxa"/>
            <w:vAlign w:val="bottom"/>
          </w:tcPr>
          <w:p>
            <w:pPr>
              <w:spacing w:after="0"/>
              <w:rPr>
                <w:sz w:val="11"/>
                <w:szCs w:val="11"/>
                <w:color w:val="auto"/>
              </w:rPr>
            </w:pPr>
          </w:p>
        </w:tc>
        <w:tc>
          <w:tcPr>
            <w:tcW w:w="1520" w:type="dxa"/>
            <w:vAlign w:val="bottom"/>
            <w:gridSpan w:val="2"/>
          </w:tcPr>
          <w:p>
            <w:pPr>
              <w:ind w:left="840"/>
              <w:spacing w:after="0" w:line="131" w:lineRule="exact"/>
              <w:rPr>
                <w:sz w:val="20"/>
                <w:szCs w:val="20"/>
                <w:color w:val="auto"/>
              </w:rPr>
            </w:pPr>
            <w:r>
              <w:rPr>
                <w:rFonts w:ascii="Arial" w:cs="Arial" w:eastAsia="Arial" w:hAnsi="Arial"/>
                <w:sz w:val="14"/>
                <w:szCs w:val="14"/>
                <w:color w:val="auto"/>
              </w:rPr>
              <w:t>Pension</w:t>
            </w:r>
          </w:p>
        </w:tc>
        <w:tc>
          <w:tcPr>
            <w:tcW w:w="1680" w:type="dxa"/>
            <w:vAlign w:val="bottom"/>
            <w:gridSpan w:val="2"/>
          </w:tcPr>
          <w:p>
            <w:pPr>
              <w:ind w:left="520"/>
              <w:spacing w:after="0" w:line="131" w:lineRule="exact"/>
              <w:rPr>
                <w:sz w:val="20"/>
                <w:szCs w:val="20"/>
                <w:color w:val="auto"/>
              </w:rPr>
            </w:pPr>
            <w:r>
              <w:rPr>
                <w:rFonts w:ascii="Arial" w:cs="Arial" w:eastAsia="Arial" w:hAnsi="Arial"/>
                <w:sz w:val="14"/>
                <w:szCs w:val="14"/>
                <w:color w:val="auto"/>
              </w:rPr>
              <w:t>Postretirement</w:t>
            </w:r>
          </w:p>
        </w:tc>
        <w:tc>
          <w:tcPr>
            <w:tcW w:w="1100" w:type="dxa"/>
            <w:vAlign w:val="bottom"/>
            <w:gridSpan w:val="2"/>
          </w:tcPr>
          <w:p>
            <w:pPr>
              <w:ind w:left="380"/>
              <w:spacing w:after="0" w:line="131" w:lineRule="exact"/>
              <w:rPr>
                <w:sz w:val="20"/>
                <w:szCs w:val="20"/>
                <w:color w:val="auto"/>
              </w:rPr>
            </w:pPr>
            <w:r>
              <w:rPr>
                <w:rFonts w:ascii="Arial" w:cs="Arial" w:eastAsia="Arial" w:hAnsi="Arial"/>
                <w:sz w:val="14"/>
                <w:szCs w:val="14"/>
                <w:color w:val="auto"/>
              </w:rPr>
              <w:t>Pension</w:t>
            </w:r>
          </w:p>
        </w:tc>
        <w:tc>
          <w:tcPr>
            <w:tcW w:w="1380" w:type="dxa"/>
            <w:vAlign w:val="bottom"/>
            <w:gridSpan w:val="2"/>
          </w:tcPr>
          <w:p>
            <w:pPr>
              <w:ind w:left="480"/>
              <w:spacing w:after="0" w:line="131" w:lineRule="exact"/>
              <w:rPr>
                <w:sz w:val="20"/>
                <w:szCs w:val="20"/>
                <w:color w:val="auto"/>
              </w:rPr>
            </w:pPr>
            <w:r>
              <w:rPr>
                <w:rFonts w:ascii="Arial" w:cs="Arial" w:eastAsia="Arial" w:hAnsi="Arial"/>
                <w:sz w:val="14"/>
                <w:szCs w:val="14"/>
                <w:color w:val="auto"/>
                <w:w w:val="96"/>
              </w:rPr>
              <w:t>Postretirement</w:t>
            </w:r>
          </w:p>
        </w:tc>
      </w:tr>
      <w:tr>
        <w:trPr>
          <w:trHeight w:val="159"/>
        </w:trPr>
        <w:tc>
          <w:tcPr>
            <w:tcW w:w="57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520" w:type="dxa"/>
            <w:vAlign w:val="bottom"/>
            <w:tcBorders>
              <w:bottom w:val="single" w:sz="8" w:color="auto"/>
            </w:tcBorders>
            <w:gridSpan w:val="2"/>
          </w:tcPr>
          <w:p>
            <w:pPr>
              <w:ind w:left="820"/>
              <w:spacing w:after="0" w:line="159" w:lineRule="exact"/>
              <w:rPr>
                <w:sz w:val="20"/>
                <w:szCs w:val="20"/>
                <w:color w:val="auto"/>
              </w:rPr>
            </w:pPr>
            <w:r>
              <w:rPr>
                <w:rFonts w:ascii="Arial" w:cs="Arial" w:eastAsia="Arial" w:hAnsi="Arial"/>
                <w:sz w:val="14"/>
                <w:szCs w:val="14"/>
                <w:color w:val="auto"/>
              </w:rPr>
              <w:t>Benefits</w:t>
            </w:r>
          </w:p>
        </w:tc>
        <w:tc>
          <w:tcPr>
            <w:tcW w:w="6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9" w:lineRule="exact"/>
              <w:rPr>
                <w:sz w:val="20"/>
                <w:szCs w:val="20"/>
                <w:color w:val="auto"/>
              </w:rPr>
            </w:pPr>
            <w:r>
              <w:rPr>
                <w:rFonts w:ascii="Arial" w:cs="Arial" w:eastAsia="Arial" w:hAnsi="Arial"/>
                <w:sz w:val="14"/>
                <w:szCs w:val="14"/>
                <w:color w:val="auto"/>
                <w:w w:val="94"/>
              </w:rPr>
              <w:t>Benefits</w:t>
            </w:r>
          </w:p>
        </w:tc>
        <w:tc>
          <w:tcPr>
            <w:tcW w:w="1100" w:type="dxa"/>
            <w:vAlign w:val="bottom"/>
            <w:tcBorders>
              <w:bottom w:val="single" w:sz="8" w:color="auto"/>
            </w:tcBorders>
            <w:gridSpan w:val="2"/>
          </w:tcPr>
          <w:p>
            <w:pPr>
              <w:ind w:left="380"/>
              <w:spacing w:after="0" w:line="159" w:lineRule="exact"/>
              <w:rPr>
                <w:sz w:val="20"/>
                <w:szCs w:val="20"/>
                <w:color w:val="auto"/>
              </w:rPr>
            </w:pPr>
            <w:r>
              <w:rPr>
                <w:rFonts w:ascii="Arial" w:cs="Arial" w:eastAsia="Arial" w:hAnsi="Arial"/>
                <w:sz w:val="14"/>
                <w:szCs w:val="14"/>
                <w:color w:val="auto"/>
              </w:rPr>
              <w:t>Benefits</w:t>
            </w:r>
          </w:p>
        </w:tc>
        <w:tc>
          <w:tcPr>
            <w:tcW w:w="6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6"/>
              <w:spacing w:after="0" w:line="159" w:lineRule="exact"/>
              <w:rPr>
                <w:sz w:val="20"/>
                <w:szCs w:val="20"/>
                <w:color w:val="auto"/>
              </w:rPr>
            </w:pPr>
            <w:r>
              <w:rPr>
                <w:rFonts w:ascii="Arial" w:cs="Arial" w:eastAsia="Arial" w:hAnsi="Arial"/>
                <w:sz w:val="14"/>
                <w:szCs w:val="14"/>
                <w:color w:val="auto"/>
                <w:w w:val="94"/>
              </w:rPr>
              <w:t>Benefits</w:t>
            </w:r>
          </w:p>
        </w:tc>
      </w:tr>
      <w:tr>
        <w:trPr>
          <w:trHeight w:val="210"/>
        </w:trPr>
        <w:tc>
          <w:tcPr>
            <w:tcW w:w="5740" w:type="dxa"/>
            <w:vAlign w:val="bottom"/>
            <w:shd w:val="clear" w:color="auto" w:fill="E5E5E5"/>
          </w:tcPr>
          <w:p>
            <w:pPr>
              <w:spacing w:after="0"/>
              <w:rPr>
                <w:sz w:val="20"/>
                <w:szCs w:val="20"/>
                <w:color w:val="auto"/>
              </w:rPr>
            </w:pPr>
            <w:r>
              <w:rPr>
                <w:rFonts w:ascii="Arial" w:cs="Arial" w:eastAsia="Arial" w:hAnsi="Arial"/>
                <w:sz w:val="18"/>
                <w:szCs w:val="18"/>
                <w:color w:val="auto"/>
              </w:rPr>
              <w:t>Service cost</w:t>
            </w:r>
          </w:p>
        </w:tc>
        <w:tc>
          <w:tcPr>
            <w:tcW w:w="960" w:type="dxa"/>
            <w:vAlign w:val="bottom"/>
            <w:shd w:val="clear" w:color="auto" w:fill="E5E5E5"/>
          </w:tcPr>
          <w:p>
            <w:pPr>
              <w:ind w:left="8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95</w:t>
            </w:r>
          </w:p>
        </w:tc>
        <w:tc>
          <w:tcPr>
            <w:tcW w:w="640" w:type="dxa"/>
            <w:vAlign w:val="bottom"/>
            <w:shd w:val="clear" w:color="auto" w:fill="E5E5E5"/>
          </w:tcPr>
          <w:p>
            <w:pPr>
              <w:ind w:left="5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5E5E5"/>
          </w:tcPr>
          <w:p>
            <w:pPr>
              <w:jc w:val="right"/>
              <w:ind w:right="279"/>
              <w:spacing w:after="0"/>
              <w:rPr>
                <w:sz w:val="20"/>
                <w:szCs w:val="20"/>
                <w:color w:val="auto"/>
              </w:rPr>
            </w:pPr>
            <w:r>
              <w:rPr>
                <w:rFonts w:ascii="Arial" w:cs="Arial" w:eastAsia="Arial" w:hAnsi="Arial"/>
                <w:sz w:val="18"/>
                <w:szCs w:val="18"/>
                <w:color w:val="auto"/>
              </w:rPr>
              <w:t>23</w:t>
            </w:r>
          </w:p>
        </w:tc>
        <w:tc>
          <w:tcPr>
            <w:tcW w:w="56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72</w:t>
            </w:r>
          </w:p>
        </w:tc>
        <w:tc>
          <w:tcPr>
            <w:tcW w:w="600" w:type="dxa"/>
            <w:vAlign w:val="bottom"/>
            <w:shd w:val="clear" w:color="auto" w:fill="E5E5E5"/>
          </w:tcPr>
          <w:p>
            <w:pPr>
              <w:ind w:left="48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23</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13</w:t>
            </w:r>
          </w:p>
        </w:tc>
        <w:tc>
          <w:tcPr>
            <w:tcW w:w="64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18"/>
                <w:szCs w:val="18"/>
                <w:color w:val="auto"/>
              </w:rPr>
            </w:pPr>
          </w:p>
        </w:tc>
        <w:tc>
          <w:tcPr>
            <w:tcW w:w="540" w:type="dxa"/>
            <w:vAlign w:val="bottom"/>
          </w:tcPr>
          <w:p>
            <w:pPr>
              <w:jc w:val="right"/>
              <w:ind w:right="172"/>
              <w:spacing w:after="0"/>
              <w:rPr>
                <w:sz w:val="20"/>
                <w:szCs w:val="20"/>
                <w:color w:val="auto"/>
              </w:rPr>
            </w:pPr>
            <w:r>
              <w:rPr>
                <w:rFonts w:ascii="Arial" w:cs="Arial" w:eastAsia="Arial" w:hAnsi="Arial"/>
                <w:sz w:val="18"/>
                <w:szCs w:val="18"/>
                <w:color w:val="auto"/>
              </w:rPr>
              <w:t>9</w:t>
            </w:r>
          </w:p>
        </w:tc>
        <w:tc>
          <w:tcPr>
            <w:tcW w:w="600" w:type="dxa"/>
            <w:vAlign w:val="bottom"/>
          </w:tcPr>
          <w:p>
            <w:pPr>
              <w:spacing w:after="0"/>
              <w:rPr>
                <w:sz w:val="18"/>
                <w:szCs w:val="18"/>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22</w:t>
            </w:r>
          </w:p>
        </w:tc>
      </w:tr>
      <w:tr>
        <w:trPr>
          <w:trHeight w:val="216"/>
        </w:trPr>
        <w:tc>
          <w:tcPr>
            <w:tcW w:w="5740" w:type="dxa"/>
            <w:vAlign w:val="bottom"/>
            <w:shd w:val="clear" w:color="auto" w:fill="E5E5E5"/>
          </w:tcPr>
          <w:p>
            <w:pPr>
              <w:spacing w:after="0"/>
              <w:rPr>
                <w:sz w:val="20"/>
                <w:szCs w:val="20"/>
                <w:color w:val="auto"/>
              </w:rPr>
            </w:pPr>
            <w:r>
              <w:rPr>
                <w:rFonts w:ascii="Arial" w:cs="Arial" w:eastAsia="Arial" w:hAnsi="Arial"/>
                <w:sz w:val="18"/>
                <w:szCs w:val="18"/>
                <w:color w:val="auto"/>
              </w:rPr>
              <w:t>Prior service cost</w:t>
            </w:r>
          </w:p>
        </w:tc>
        <w:tc>
          <w:tcPr>
            <w:tcW w:w="9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279"/>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spacing w:after="0"/>
              <w:rPr>
                <w:sz w:val="18"/>
                <w:szCs w:val="18"/>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r>
      <w:tr>
        <w:trPr>
          <w:trHeight w:val="217"/>
        </w:trPr>
        <w:tc>
          <w:tcPr>
            <w:tcW w:w="57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benefits expense</w:t>
            </w:r>
          </w:p>
        </w:tc>
        <w:tc>
          <w:tcPr>
            <w:tcW w:w="960" w:type="dxa"/>
            <w:vAlign w:val="bottom"/>
            <w:tcBorders>
              <w:bottom w:val="single" w:sz="8" w:color="auto"/>
            </w:tcBorders>
            <w:shd w:val="clear" w:color="auto" w:fill="E5E5E5"/>
          </w:tcPr>
          <w:p>
            <w:pPr>
              <w:ind w:left="82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w w:val="99"/>
              </w:rPr>
              <w:t>106</w:t>
            </w:r>
          </w:p>
        </w:tc>
        <w:tc>
          <w:tcPr>
            <w:tcW w:w="640" w:type="dxa"/>
            <w:vAlign w:val="bottom"/>
            <w:tcBorders>
              <w:bottom w:val="single" w:sz="8" w:color="auto"/>
            </w:tcBorders>
            <w:shd w:val="clear" w:color="auto" w:fill="E5E5E5"/>
          </w:tcPr>
          <w:p>
            <w:pPr>
              <w:ind w:left="52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E5E5E5"/>
          </w:tcPr>
          <w:p>
            <w:pPr>
              <w:jc w:val="right"/>
              <w:ind w:right="279"/>
              <w:spacing w:after="0"/>
              <w:rPr>
                <w:sz w:val="20"/>
                <w:szCs w:val="20"/>
                <w:color w:val="auto"/>
              </w:rPr>
            </w:pPr>
            <w:r>
              <w:rPr>
                <w:rFonts w:ascii="Arial" w:cs="Arial" w:eastAsia="Arial" w:hAnsi="Arial"/>
                <w:sz w:val="18"/>
                <w:szCs w:val="18"/>
                <w:b w:val="1"/>
                <w:bCs w:val="1"/>
                <w:color w:val="auto"/>
              </w:rPr>
              <w:t>45</w:t>
            </w:r>
          </w:p>
        </w:tc>
        <w:tc>
          <w:tcPr>
            <w:tcW w:w="56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81</w:t>
            </w:r>
          </w:p>
        </w:tc>
        <w:tc>
          <w:tcPr>
            <w:tcW w:w="600" w:type="dxa"/>
            <w:vAlign w:val="bottom"/>
            <w:tcBorders>
              <w:bottom w:val="single" w:sz="8" w:color="auto"/>
            </w:tcBorders>
            <w:shd w:val="clear" w:color="auto" w:fill="E5E5E5"/>
          </w:tcPr>
          <w:p>
            <w:pPr>
              <w:ind w:left="48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32</w:t>
            </w: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In April 2012, NBCUniversal provided funding to its qualified defined benefit plan of $76 million. The expected return on the plan assets is 5%.</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2012, NBCUniversal provided notice to its plan participants of an amendment to both the qualified and nonqualified NBCUniversal defined benefit plans that will freeze future benefits effective December 31, 2012. In addition, effective January 1, 2013, NBCUniversal will provide additional benefits to eligible employees through its other retirement benefit plans.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Share-Based Compensation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approach to long-term incentive compensation includes awarding stock options and restricted share units (“RSUs”) to certain employees and directors. We grant these awards under various plans. Additionally, through our employee stock purchase plans, employees are able to purchase shares of Comcast Class A common stock at a discount through payroll deductions.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2012, we granted 21.8 million stock options and 5.7 million RSUs related to our annual management grant program. The weighted-average fair values associated with these grants were $7.38 per stock option and $27.43 per RSU.</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60" w:type="dxa"/>
            <w:vAlign w:val="bottom"/>
            <w:gridSpan w:val="3"/>
          </w:tcPr>
          <w:p>
            <w:pPr>
              <w:jc w:val="right"/>
              <w:ind w:right="556"/>
              <w:spacing w:after="0"/>
              <w:rPr>
                <w:sz w:val="20"/>
                <w:szCs w:val="20"/>
                <w:color w:val="auto"/>
              </w:rPr>
            </w:pPr>
            <w:r>
              <w:rPr>
                <w:rFonts w:ascii="Arial" w:cs="Arial" w:eastAsia="Arial" w:hAnsi="Arial"/>
                <w:sz w:val="14"/>
                <w:szCs w:val="14"/>
                <w:color w:val="auto"/>
                <w:w w:val="99"/>
              </w:rPr>
              <w:t>Three Months Ended</w:t>
            </w:r>
          </w:p>
        </w:tc>
        <w:tc>
          <w:tcPr>
            <w:tcW w:w="440" w:type="dxa"/>
            <w:vAlign w:val="bottom"/>
          </w:tcPr>
          <w:p>
            <w:pPr>
              <w:spacing w:after="0"/>
              <w:rPr>
                <w:sz w:val="14"/>
                <w:szCs w:val="14"/>
                <w:color w:val="auto"/>
              </w:rPr>
            </w:pPr>
          </w:p>
        </w:tc>
        <w:tc>
          <w:tcPr>
            <w:tcW w:w="1680" w:type="dxa"/>
            <w:vAlign w:val="bottom"/>
            <w:gridSpan w:val="3"/>
          </w:tcPr>
          <w:p>
            <w:pPr>
              <w:jc w:val="right"/>
              <w:ind w:right="296"/>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66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7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4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81"/>
              <w:spacing w:after="0" w:line="142" w:lineRule="exact"/>
              <w:rPr>
                <w:sz w:val="20"/>
                <w:szCs w:val="20"/>
                <w:color w:val="auto"/>
              </w:rPr>
            </w:pPr>
            <w:r>
              <w:rPr>
                <w:rFonts w:ascii="Arial" w:cs="Arial" w:eastAsia="Arial" w:hAnsi="Arial"/>
                <w:sz w:val="14"/>
                <w:szCs w:val="14"/>
                <w:color w:val="auto"/>
                <w:w w:val="89"/>
              </w:rPr>
              <w:t>2012</w:t>
            </w:r>
          </w:p>
        </w:tc>
        <w:tc>
          <w:tcPr>
            <w:tcW w:w="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96"/>
              <w:spacing w:after="0" w:line="142" w:lineRule="exact"/>
              <w:rPr>
                <w:sz w:val="20"/>
                <w:szCs w:val="20"/>
                <w:color w:val="auto"/>
              </w:rPr>
            </w:pPr>
            <w:r>
              <w:rPr>
                <w:rFonts w:ascii="Arial" w:cs="Arial" w:eastAsia="Arial" w:hAnsi="Arial"/>
                <w:sz w:val="14"/>
                <w:szCs w:val="14"/>
                <w:color w:val="auto"/>
                <w:w w:val="83"/>
              </w:rPr>
              <w:t>2011</w:t>
            </w:r>
          </w:p>
        </w:tc>
        <w:tc>
          <w:tcPr>
            <w:tcW w:w="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01"/>
              <w:spacing w:after="0" w:line="142" w:lineRule="exact"/>
              <w:rPr>
                <w:sz w:val="20"/>
                <w:szCs w:val="20"/>
                <w:color w:val="auto"/>
              </w:rPr>
            </w:pPr>
            <w:r>
              <w:rPr>
                <w:rFonts w:ascii="Arial" w:cs="Arial" w:eastAsia="Arial" w:hAnsi="Arial"/>
                <w:sz w:val="14"/>
                <w:szCs w:val="14"/>
                <w:color w:val="auto"/>
                <w:w w:val="83"/>
              </w:rPr>
              <w:t>2012</w:t>
            </w:r>
          </w:p>
        </w:tc>
        <w:tc>
          <w:tcPr>
            <w:tcW w:w="4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w w:val="83"/>
              </w:rPr>
              <w:t>2011</w:t>
            </w:r>
          </w:p>
        </w:tc>
        <w:tc>
          <w:tcPr>
            <w:tcW w:w="0" w:type="dxa"/>
            <w:vAlign w:val="bottom"/>
          </w:tcPr>
          <w:p>
            <w:pPr>
              <w:spacing w:after="0"/>
              <w:rPr>
                <w:sz w:val="1"/>
                <w:szCs w:val="1"/>
                <w:color w:val="auto"/>
              </w:rPr>
            </w:pPr>
          </w:p>
        </w:tc>
      </w:tr>
      <w:tr>
        <w:trPr>
          <w:trHeight w:val="210"/>
        </w:trPr>
        <w:tc>
          <w:tcPr>
            <w:tcW w:w="6640" w:type="dxa"/>
            <w:vAlign w:val="bottom"/>
            <w:shd w:val="clear" w:color="auto" w:fill="E5E5E5"/>
          </w:tcPr>
          <w:p>
            <w:pPr>
              <w:spacing w:after="0"/>
              <w:rPr>
                <w:sz w:val="20"/>
                <w:szCs w:val="20"/>
                <w:color w:val="auto"/>
              </w:rPr>
            </w:pPr>
            <w:r>
              <w:rPr>
                <w:rFonts w:ascii="Arial" w:cs="Arial" w:eastAsia="Arial" w:hAnsi="Arial"/>
                <w:sz w:val="18"/>
                <w:szCs w:val="18"/>
                <w:color w:val="auto"/>
              </w:rPr>
              <w:t>Stock options</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241"/>
              <w:spacing w:after="0"/>
              <w:rPr>
                <w:sz w:val="20"/>
                <w:szCs w:val="20"/>
                <w:color w:val="auto"/>
              </w:rPr>
            </w:pPr>
            <w:r>
              <w:rPr>
                <w:rFonts w:ascii="Arial" w:cs="Arial" w:eastAsia="Arial" w:hAnsi="Arial"/>
                <w:sz w:val="18"/>
                <w:szCs w:val="18"/>
                <w:color w:val="auto"/>
              </w:rPr>
              <w:t>32</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30</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261"/>
              <w:spacing w:after="0"/>
              <w:rPr>
                <w:sz w:val="20"/>
                <w:szCs w:val="20"/>
                <w:color w:val="auto"/>
              </w:rPr>
            </w:pPr>
            <w:r>
              <w:rPr>
                <w:rFonts w:ascii="Arial" w:cs="Arial" w:eastAsia="Arial" w:hAnsi="Arial"/>
                <w:sz w:val="18"/>
                <w:szCs w:val="18"/>
                <w:color w:val="auto"/>
              </w:rPr>
              <w:t>99</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Restricted share units</w:t>
            </w:r>
          </w:p>
        </w:tc>
        <w:tc>
          <w:tcPr>
            <w:tcW w:w="700" w:type="dxa"/>
            <w:vAlign w:val="bottom"/>
          </w:tcPr>
          <w:p>
            <w:pPr>
              <w:spacing w:after="0"/>
              <w:rPr>
                <w:sz w:val="18"/>
                <w:szCs w:val="18"/>
                <w:color w:val="auto"/>
              </w:rPr>
            </w:pPr>
          </w:p>
        </w:tc>
        <w:tc>
          <w:tcPr>
            <w:tcW w:w="760" w:type="dxa"/>
            <w:vAlign w:val="bottom"/>
          </w:tcPr>
          <w:p>
            <w:pPr>
              <w:jc w:val="right"/>
              <w:ind w:right="241"/>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8"/>
                <w:szCs w:val="18"/>
                <w:color w:val="auto"/>
              </w:rPr>
            </w:pPr>
          </w:p>
        </w:tc>
        <w:tc>
          <w:tcPr>
            <w:tcW w:w="760" w:type="dxa"/>
            <w:vAlign w:val="bottom"/>
          </w:tcPr>
          <w:p>
            <w:pPr>
              <w:jc w:val="right"/>
              <w:ind w:right="256"/>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18"/>
                <w:szCs w:val="18"/>
                <w:color w:val="auto"/>
              </w:rPr>
            </w:pPr>
          </w:p>
        </w:tc>
        <w:tc>
          <w:tcPr>
            <w:tcW w:w="760" w:type="dxa"/>
            <w:vAlign w:val="bottom"/>
          </w:tcPr>
          <w:p>
            <w:pPr>
              <w:jc w:val="right"/>
              <w:ind w:right="261"/>
              <w:spacing w:after="0"/>
              <w:rPr>
                <w:sz w:val="20"/>
                <w:szCs w:val="20"/>
                <w:color w:val="auto"/>
              </w:rPr>
            </w:pPr>
            <w:r>
              <w:rPr>
                <w:rFonts w:ascii="Arial" w:cs="Arial" w:eastAsia="Arial" w:hAnsi="Arial"/>
                <w:sz w:val="18"/>
                <w:szCs w:val="18"/>
                <w:color w:val="auto"/>
              </w:rPr>
              <w:t>114</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plans</w:t>
            </w:r>
          </w:p>
        </w:tc>
        <w:tc>
          <w:tcPr>
            <w:tcW w:w="7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41"/>
              <w:spacing w:after="0"/>
              <w:rPr>
                <w:sz w:val="20"/>
                <w:szCs w:val="20"/>
                <w:color w:val="auto"/>
              </w:rPr>
            </w:pPr>
            <w:r>
              <w:rPr>
                <w:rFonts w:ascii="Arial" w:cs="Arial" w:eastAsia="Arial" w:hAnsi="Arial"/>
                <w:sz w:val="18"/>
                <w:szCs w:val="18"/>
                <w:color w:val="auto"/>
              </w:rPr>
              <w:t>4</w:t>
            </w:r>
          </w:p>
        </w:tc>
        <w:tc>
          <w:tcPr>
            <w:tcW w:w="4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rPr>
              <w:t>4</w:t>
            </w:r>
          </w:p>
        </w:tc>
        <w:tc>
          <w:tcPr>
            <w:tcW w:w="4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61"/>
              <w:spacing w:after="0"/>
              <w:rPr>
                <w:sz w:val="20"/>
                <w:szCs w:val="20"/>
                <w:color w:val="auto"/>
              </w:rPr>
            </w:pPr>
            <w:r>
              <w:rPr>
                <w:rFonts w:ascii="Arial" w:cs="Arial" w:eastAsia="Arial" w:hAnsi="Arial"/>
                <w:sz w:val="18"/>
                <w:szCs w:val="18"/>
                <w:color w:val="auto"/>
              </w:rPr>
              <w:t>12</w:t>
            </w:r>
          </w:p>
        </w:tc>
        <w:tc>
          <w:tcPr>
            <w:tcW w:w="4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8"/>
                <w:szCs w:val="18"/>
                <w:b w:val="1"/>
                <w:bCs w:val="1"/>
                <w:color w:val="auto"/>
              </w:rPr>
              <w:t>74</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rPr>
              <w:t>69</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8"/>
                <w:szCs w:val="18"/>
                <w:b w:val="1"/>
                <w:bCs w:val="1"/>
                <w:color w:val="auto"/>
              </w:rPr>
              <w:t>225</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2012, we had unrecognized pretax compensation expense related to nonvested stock options and nonvested RSUs of $353 million and $384 million, respectively.</w:t>
      </w:r>
    </w:p>
    <w:p>
      <w:pPr>
        <w:spacing w:after="0" w:line="3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For the three and nine months ended September 30, 2012, the employee cost associated with participation in our employee stock purchase plans was satisfied with payroll deductions of $14 million and $50 million, respectively. For the three and nine months ended September 30, 2011, the employee cost associated with participation in our employee stock purchase plans was satisfied with payroll deductions of $16 million and $44 million,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Supplemental Financial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September 30,</w:t>
            </w:r>
          </w:p>
        </w:tc>
        <w:tc>
          <w:tcPr>
            <w:tcW w:w="1620" w:type="dxa"/>
            <w:vAlign w:val="bottom"/>
            <w:gridSpan w:val="2"/>
          </w:tcPr>
          <w:p>
            <w:pPr>
              <w:ind w:left="800"/>
              <w:spacing w:after="0"/>
              <w:rPr>
                <w:sz w:val="20"/>
                <w:szCs w:val="20"/>
                <w:color w:val="auto"/>
              </w:rPr>
            </w:pPr>
            <w:r>
              <w:rPr>
                <w:rFonts w:ascii="Arial" w:cs="Arial" w:eastAsia="Arial" w:hAnsi="Arial"/>
                <w:sz w:val="14"/>
                <w:szCs w:val="14"/>
                <w:color w:val="auto"/>
                <w:w w:val="90"/>
              </w:rPr>
              <w:t>December 31,</w:t>
            </w:r>
          </w:p>
        </w:tc>
      </w:tr>
      <w:tr>
        <w:trPr>
          <w:trHeight w:val="159"/>
        </w:trPr>
        <w:tc>
          <w:tcPr>
            <w:tcW w:w="786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0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4"/>
              <w:spacing w:after="0" w:line="159" w:lineRule="exact"/>
              <w:rPr>
                <w:sz w:val="20"/>
                <w:szCs w:val="20"/>
                <w:color w:val="auto"/>
              </w:rPr>
            </w:pPr>
            <w:r>
              <w:rPr>
                <w:rFonts w:ascii="Arial" w:cs="Arial" w:eastAsia="Arial" w:hAnsi="Arial"/>
                <w:sz w:val="14"/>
                <w:szCs w:val="14"/>
                <w:color w:val="auto"/>
              </w:rPr>
              <w:t>2012</w:t>
            </w:r>
          </w:p>
        </w:tc>
        <w:tc>
          <w:tcPr>
            <w:tcW w:w="9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6"/>
              <w:spacing w:after="0" w:line="159" w:lineRule="exact"/>
              <w:rPr>
                <w:sz w:val="20"/>
                <w:szCs w:val="20"/>
                <w:color w:val="auto"/>
              </w:rPr>
            </w:pPr>
            <w:r>
              <w:rPr>
                <w:rFonts w:ascii="Arial" w:cs="Arial" w:eastAsia="Arial" w:hAnsi="Arial"/>
                <w:sz w:val="14"/>
                <w:szCs w:val="14"/>
                <w:color w:val="auto"/>
              </w:rPr>
              <w:t>2011</w:t>
            </w:r>
          </w:p>
        </w:tc>
      </w:tr>
      <w:tr>
        <w:trPr>
          <w:trHeight w:val="210"/>
        </w:trPr>
        <w:tc>
          <w:tcPr>
            <w:tcW w:w="78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1000" w:type="dxa"/>
            <w:vAlign w:val="bottom"/>
            <w:shd w:val="clear" w:color="auto" w:fill="E5E5E5"/>
          </w:tcPr>
          <w:p>
            <w:pPr>
              <w:spacing w:after="0"/>
              <w:rPr>
                <w:sz w:val="18"/>
                <w:szCs w:val="18"/>
                <w:color w:val="auto"/>
              </w:rPr>
            </w:pPr>
          </w:p>
        </w:tc>
        <w:tc>
          <w:tcPr>
            <w:tcW w:w="280" w:type="dxa"/>
            <w:vAlign w:val="bottom"/>
            <w:shd w:val="clear" w:color="auto" w:fill="E5E5E5"/>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5,569</w:t>
            </w:r>
          </w:p>
        </w:tc>
        <w:tc>
          <w:tcPr>
            <w:tcW w:w="940" w:type="dxa"/>
            <w:vAlign w:val="bottom"/>
            <w:shd w:val="clear" w:color="auto" w:fill="E5E5E5"/>
          </w:tcPr>
          <w:p>
            <w:pPr>
              <w:ind w:left="8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4,978</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Less: Allowance for returns and customer incentives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251</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16"/>
        </w:trPr>
        <w:tc>
          <w:tcPr>
            <w:tcW w:w="786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100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195</w:t>
            </w:r>
          </w:p>
        </w:tc>
        <w:tc>
          <w:tcPr>
            <w:tcW w:w="9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202</w:t>
            </w:r>
          </w:p>
        </w:tc>
      </w:tr>
      <w:tr>
        <w:trPr>
          <w:trHeight w:val="217"/>
        </w:trPr>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Receivables, net</w:t>
            </w: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5,123</w:t>
            </w:r>
          </w:p>
        </w:tc>
        <w:tc>
          <w:tcPr>
            <w:tcW w:w="94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4,351</w:t>
            </w:r>
          </w:p>
        </w:tc>
      </w:tr>
      <w:tr>
        <w:trPr>
          <w:trHeight w:val="403"/>
        </w:trPr>
        <w:tc>
          <w:tcPr>
            <w:tcW w:w="7860" w:type="dxa"/>
            <w:vAlign w:val="bottom"/>
            <w:gridSpan w:val="2"/>
          </w:tcPr>
          <w:p>
            <w:pPr>
              <w:jc w:val="center"/>
              <w:ind w:left="3475"/>
              <w:spacing w:after="0"/>
              <w:rPr>
                <w:sz w:val="20"/>
                <w:szCs w:val="20"/>
                <w:color w:val="auto"/>
              </w:rPr>
            </w:pPr>
            <w:r>
              <w:rPr>
                <w:rFonts w:ascii="Arial" w:cs="Arial" w:eastAsia="Arial" w:hAnsi="Arial"/>
                <w:sz w:val="18"/>
                <w:szCs w:val="18"/>
                <w:b w:val="1"/>
                <w:bCs w:val="1"/>
                <w:color w:val="auto"/>
                <w:w w:val="97"/>
              </w:rPr>
              <w:t>Accumulated Other Comprehensive Income (Loss)</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4"/>
        </w:trPr>
        <w:tc>
          <w:tcPr>
            <w:tcW w:w="7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gridSpan w:val="3"/>
          </w:tcPr>
          <w:p>
            <w:pPr>
              <w:ind w:left="880"/>
              <w:spacing w:after="0"/>
              <w:rPr>
                <w:sz w:val="20"/>
                <w:szCs w:val="20"/>
                <w:color w:val="auto"/>
              </w:rPr>
            </w:pPr>
            <w:r>
              <w:rPr>
                <w:rFonts w:ascii="Arial" w:cs="Arial" w:eastAsia="Arial" w:hAnsi="Arial"/>
                <w:sz w:val="14"/>
                <w:szCs w:val="14"/>
                <w:color w:val="auto"/>
              </w:rPr>
              <w:t>September 30,</w:t>
            </w:r>
          </w:p>
        </w:tc>
        <w:tc>
          <w:tcPr>
            <w:tcW w:w="1620" w:type="dxa"/>
            <w:vAlign w:val="bottom"/>
            <w:gridSpan w:val="2"/>
          </w:tcPr>
          <w:p>
            <w:pPr>
              <w:jc w:val="right"/>
              <w:ind w:right="16"/>
              <w:spacing w:after="0"/>
              <w:rPr>
                <w:sz w:val="20"/>
                <w:szCs w:val="20"/>
                <w:color w:val="auto"/>
              </w:rPr>
            </w:pPr>
            <w:r>
              <w:rPr>
                <w:rFonts w:ascii="Arial" w:cs="Arial" w:eastAsia="Arial" w:hAnsi="Arial"/>
                <w:sz w:val="14"/>
                <w:szCs w:val="14"/>
                <w:color w:val="auto"/>
              </w:rPr>
              <w:t>September 30,</w:t>
            </w:r>
          </w:p>
        </w:tc>
      </w:tr>
      <w:tr>
        <w:trPr>
          <w:trHeight w:val="159"/>
        </w:trPr>
        <w:tc>
          <w:tcPr>
            <w:tcW w:w="786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0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454"/>
              <w:spacing w:after="0" w:line="159" w:lineRule="exact"/>
              <w:rPr>
                <w:sz w:val="20"/>
                <w:szCs w:val="20"/>
                <w:color w:val="auto"/>
              </w:rPr>
            </w:pPr>
            <w:r>
              <w:rPr>
                <w:rFonts w:ascii="Arial" w:cs="Arial" w:eastAsia="Arial" w:hAnsi="Arial"/>
                <w:sz w:val="14"/>
                <w:szCs w:val="14"/>
                <w:color w:val="auto"/>
              </w:rPr>
              <w:t>2012</w:t>
            </w:r>
          </w:p>
        </w:tc>
        <w:tc>
          <w:tcPr>
            <w:tcW w:w="9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76"/>
              <w:spacing w:after="0" w:line="159" w:lineRule="exact"/>
              <w:rPr>
                <w:sz w:val="20"/>
                <w:szCs w:val="20"/>
                <w:color w:val="auto"/>
              </w:rPr>
            </w:pPr>
            <w:r>
              <w:rPr>
                <w:rFonts w:ascii="Arial" w:cs="Arial" w:eastAsia="Arial" w:hAnsi="Arial"/>
                <w:sz w:val="14"/>
                <w:szCs w:val="14"/>
                <w:color w:val="auto"/>
                <w:w w:val="96"/>
              </w:rPr>
              <w:t>2011</w:t>
            </w:r>
          </w:p>
        </w:tc>
      </w:tr>
      <w:tr>
        <w:trPr>
          <w:trHeight w:val="210"/>
        </w:trPr>
        <w:tc>
          <w:tcPr>
            <w:tcW w:w="78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Unrealized gains (losses) on marketable securities</w:t>
            </w:r>
          </w:p>
        </w:tc>
        <w:tc>
          <w:tcPr>
            <w:tcW w:w="1000" w:type="dxa"/>
            <w:vAlign w:val="bottom"/>
            <w:shd w:val="clear" w:color="auto" w:fill="E5E5E5"/>
          </w:tcPr>
          <w:p>
            <w:pPr>
              <w:ind w:left="88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97</w:t>
            </w:r>
          </w:p>
        </w:tc>
        <w:tc>
          <w:tcPr>
            <w:tcW w:w="940" w:type="dxa"/>
            <w:vAlign w:val="bottom"/>
            <w:shd w:val="clear" w:color="auto" w:fill="E5E5E5"/>
          </w:tcPr>
          <w:p>
            <w:pPr>
              <w:jc w:val="center"/>
              <w:ind w:left="519"/>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22</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Deferred gains (losses) on cash flow hedges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134"/>
              <w:spacing w:after="0"/>
              <w:rPr>
                <w:sz w:val="20"/>
                <w:szCs w:val="20"/>
                <w:color w:val="auto"/>
              </w:rPr>
            </w:pPr>
            <w:r>
              <w:rPr>
                <w:rFonts w:ascii="Arial" w:cs="Arial" w:eastAsia="Arial" w:hAnsi="Arial"/>
                <w:sz w:val="18"/>
                <w:szCs w:val="18"/>
                <w:color w:val="auto"/>
              </w:rPr>
              <w:t>(90)</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78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10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(54)</w:t>
            </w:r>
          </w:p>
        </w:tc>
        <w:tc>
          <w:tcPr>
            <w:tcW w:w="9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Cumulative translation adjustments</w:t>
            </w: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7"/>
        </w:trPr>
        <w:tc>
          <w:tcPr>
            <w:tcW w:w="786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1000" w:type="dxa"/>
            <w:vAlign w:val="bottom"/>
            <w:tcBorders>
              <w:bottom w:val="single" w:sz="8" w:color="auto"/>
            </w:tcBorders>
            <w:shd w:val="clear" w:color="auto" w:fill="E5E5E5"/>
          </w:tcPr>
          <w:p>
            <w:pPr>
              <w:ind w:left="88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(48)</w:t>
            </w:r>
          </w:p>
        </w:tc>
        <w:tc>
          <w:tcPr>
            <w:tcW w:w="940" w:type="dxa"/>
            <w:vAlign w:val="bottom"/>
            <w:tcBorders>
              <w:bottom w:val="single" w:sz="8" w:color="auto"/>
            </w:tcBorders>
            <w:shd w:val="clear" w:color="auto" w:fill="E5E5E5"/>
          </w:tcPr>
          <w:p>
            <w:pPr>
              <w:jc w:val="center"/>
              <w:ind w:left="519"/>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(147)</w:t>
            </w:r>
          </w:p>
        </w:tc>
      </w:tr>
      <w:tr>
        <w:trPr>
          <w:trHeight w:val="403"/>
        </w:trPr>
        <w:tc>
          <w:tcPr>
            <w:tcW w:w="7860" w:type="dxa"/>
            <w:vAlign w:val="bottom"/>
            <w:gridSpan w:val="2"/>
          </w:tcPr>
          <w:p>
            <w:pPr>
              <w:jc w:val="center"/>
              <w:ind w:left="3495"/>
              <w:spacing w:after="0"/>
              <w:rPr>
                <w:sz w:val="20"/>
                <w:szCs w:val="20"/>
                <w:color w:val="auto"/>
              </w:rPr>
            </w:pPr>
            <w:r>
              <w:rPr>
                <w:rFonts w:ascii="Arial" w:cs="Arial" w:eastAsia="Arial" w:hAnsi="Arial"/>
                <w:sz w:val="18"/>
                <w:szCs w:val="18"/>
                <w:b w:val="1"/>
                <w:bCs w:val="1"/>
                <w:color w:val="auto"/>
                <w:w w:val="97"/>
              </w:rPr>
              <w:t>Operating Costs and Expenses</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4"/>
        </w:trPr>
        <w:tc>
          <w:tcPr>
            <w:tcW w:w="7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gridSpan w:val="3"/>
          </w:tcPr>
          <w:p>
            <w:pPr>
              <w:jc w:val="center"/>
              <w:ind w:right="234"/>
              <w:spacing w:after="0"/>
              <w:rPr>
                <w:sz w:val="20"/>
                <w:szCs w:val="20"/>
                <w:color w:val="auto"/>
              </w:rPr>
            </w:pPr>
            <w:r>
              <w:rPr>
                <w:rFonts w:ascii="Arial" w:cs="Arial" w:eastAsia="Arial" w:hAnsi="Arial"/>
                <w:sz w:val="14"/>
                <w:szCs w:val="14"/>
                <w:color w:val="auto"/>
                <w:w w:val="87"/>
              </w:rPr>
              <w:t>Three Months Ended</w:t>
            </w:r>
          </w:p>
        </w:tc>
        <w:tc>
          <w:tcPr>
            <w:tcW w:w="1620" w:type="dxa"/>
            <w:vAlign w:val="bottom"/>
            <w:gridSpan w:val="2"/>
          </w:tcPr>
          <w:p>
            <w:pPr>
              <w:jc w:val="center"/>
              <w:spacing w:after="0"/>
              <w:rPr>
                <w:sz w:val="20"/>
                <w:szCs w:val="20"/>
                <w:color w:val="auto"/>
              </w:rPr>
            </w:pPr>
            <w:r>
              <w:rPr>
                <w:rFonts w:ascii="Arial" w:cs="Arial" w:eastAsia="Arial" w:hAnsi="Arial"/>
                <w:sz w:val="14"/>
                <w:szCs w:val="14"/>
                <w:color w:val="auto"/>
                <w:w w:val="89"/>
              </w:rPr>
              <w:t>Nine Months Ended</w:t>
            </w:r>
          </w:p>
        </w:tc>
      </w:tr>
      <w:tr>
        <w:trPr>
          <w:trHeight w:val="159"/>
        </w:trPr>
        <w:tc>
          <w:tcPr>
            <w:tcW w:w="75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left="259"/>
              <w:spacing w:after="0" w:line="159" w:lineRule="exact"/>
              <w:rPr>
                <w:sz w:val="20"/>
                <w:szCs w:val="20"/>
                <w:color w:val="auto"/>
              </w:rPr>
            </w:pPr>
            <w:r>
              <w:rPr>
                <w:rFonts w:ascii="Arial" w:cs="Arial" w:eastAsia="Arial" w:hAnsi="Arial"/>
                <w:sz w:val="14"/>
                <w:szCs w:val="14"/>
                <w:color w:val="auto"/>
                <w:w w:val="84"/>
              </w:rPr>
              <w:t>September 30</w:t>
            </w:r>
          </w:p>
        </w:tc>
        <w:tc>
          <w:tcPr>
            <w:tcW w:w="6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4"/>
              </w:rPr>
              <w:t>September 30</w:t>
            </w:r>
          </w:p>
        </w:tc>
      </w:tr>
      <w:tr>
        <w:trPr>
          <w:trHeight w:val="142"/>
        </w:trPr>
        <w:tc>
          <w:tcPr>
            <w:tcW w:w="75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9"/>
              <w:spacing w:after="0" w:line="142" w:lineRule="exact"/>
              <w:rPr>
                <w:sz w:val="20"/>
                <w:szCs w:val="20"/>
                <w:color w:val="auto"/>
              </w:rPr>
            </w:pPr>
            <w:r>
              <w:rPr>
                <w:rFonts w:ascii="Arial" w:cs="Arial" w:eastAsia="Arial" w:hAnsi="Arial"/>
                <w:sz w:val="14"/>
                <w:szCs w:val="14"/>
                <w:color w:val="auto"/>
              </w:rPr>
              <w:t>2012</w:t>
            </w:r>
          </w:p>
        </w:tc>
        <w:tc>
          <w:tcPr>
            <w:tcW w:w="940" w:type="dxa"/>
            <w:vAlign w:val="bottom"/>
            <w:tcBorders>
              <w:bottom w:val="single" w:sz="8" w:color="auto"/>
            </w:tcBorders>
            <w:gridSpan w:val="2"/>
          </w:tcPr>
          <w:p>
            <w:pPr>
              <w:ind w:left="160"/>
              <w:spacing w:after="0" w:line="142" w:lineRule="exact"/>
              <w:rPr>
                <w:sz w:val="20"/>
                <w:szCs w:val="20"/>
                <w:color w:val="auto"/>
              </w:rPr>
            </w:pPr>
            <w:r>
              <w:rPr>
                <w:rFonts w:ascii="Arial" w:cs="Arial" w:eastAsia="Arial" w:hAnsi="Arial"/>
                <w:sz w:val="14"/>
                <w:szCs w:val="14"/>
                <w:color w:val="auto"/>
              </w:rPr>
              <w:t>2011</w:t>
            </w:r>
          </w:p>
        </w:tc>
        <w:tc>
          <w:tcPr>
            <w:tcW w:w="940" w:type="dxa"/>
            <w:vAlign w:val="bottom"/>
            <w:tcBorders>
              <w:bottom w:val="single" w:sz="8" w:color="auto"/>
            </w:tcBorders>
          </w:tcPr>
          <w:p>
            <w:pPr>
              <w:jc w:val="right"/>
              <w:ind w:right="419"/>
              <w:spacing w:after="0" w:line="142" w:lineRule="exact"/>
              <w:rPr>
                <w:sz w:val="20"/>
                <w:szCs w:val="20"/>
                <w:color w:val="auto"/>
              </w:rPr>
            </w:pPr>
            <w:r>
              <w:rPr>
                <w:rFonts w:ascii="Arial" w:cs="Arial" w:eastAsia="Arial" w:hAnsi="Arial"/>
                <w:sz w:val="14"/>
                <w:szCs w:val="14"/>
                <w:color w:val="auto"/>
              </w:rPr>
              <w:t>2012</w:t>
            </w:r>
          </w:p>
        </w:tc>
        <w:tc>
          <w:tcPr>
            <w:tcW w:w="6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2011</w:t>
            </w:r>
          </w:p>
        </w:tc>
      </w:tr>
      <w:tr>
        <w:trPr>
          <w:trHeight w:val="210"/>
        </w:trPr>
        <w:tc>
          <w:tcPr>
            <w:tcW w:w="78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Programming and production</w:t>
            </w:r>
          </w:p>
        </w:tc>
        <w:tc>
          <w:tcPr>
            <w:tcW w:w="1000" w:type="dxa"/>
            <w:vAlign w:val="bottom"/>
            <w:shd w:val="clear" w:color="auto" w:fill="E5E5E5"/>
          </w:tcPr>
          <w:p>
            <w:pPr>
              <w:jc w:val="right"/>
              <w:ind w:right="299"/>
              <w:spacing w:after="0"/>
              <w:rPr>
                <w:sz w:val="20"/>
                <w:szCs w:val="20"/>
                <w:color w:val="auto"/>
              </w:rPr>
            </w:pPr>
            <w:r>
              <w:rPr>
                <w:rFonts w:ascii="Arial" w:cs="Arial" w:eastAsia="Arial" w:hAnsi="Arial"/>
                <w:sz w:val="18"/>
                <w:szCs w:val="18"/>
                <w:color w:val="auto"/>
                <w:w w:val="99"/>
              </w:rPr>
              <w:t>$ 5,726</w:t>
            </w:r>
          </w:p>
        </w:tc>
        <w:tc>
          <w:tcPr>
            <w:tcW w:w="940" w:type="dxa"/>
            <w:vAlign w:val="bottom"/>
            <w:gridSpan w:val="2"/>
            <w:shd w:val="clear" w:color="auto" w:fill="E5E5E5"/>
          </w:tcPr>
          <w:p>
            <w:pPr>
              <w:jc w:val="right"/>
              <w:ind w:right="294"/>
              <w:spacing w:after="0"/>
              <w:rPr>
                <w:sz w:val="20"/>
                <w:szCs w:val="20"/>
                <w:color w:val="auto"/>
              </w:rPr>
            </w:pPr>
            <w:r>
              <w:rPr>
                <w:rFonts w:ascii="Arial" w:cs="Arial" w:eastAsia="Arial" w:hAnsi="Arial"/>
                <w:sz w:val="18"/>
                <w:szCs w:val="18"/>
                <w:color w:val="auto"/>
                <w:w w:val="89"/>
              </w:rPr>
              <w:t>$ 4,338</w:t>
            </w:r>
          </w:p>
        </w:tc>
        <w:tc>
          <w:tcPr>
            <w:tcW w:w="940" w:type="dxa"/>
            <w:vAlign w:val="bottom"/>
            <w:shd w:val="clear" w:color="auto" w:fill="E5E5E5"/>
          </w:tcPr>
          <w:p>
            <w:pPr>
              <w:jc w:val="right"/>
              <w:ind w:right="259"/>
              <w:spacing w:after="0"/>
              <w:rPr>
                <w:sz w:val="20"/>
                <w:szCs w:val="20"/>
                <w:color w:val="auto"/>
              </w:rPr>
            </w:pPr>
            <w:r>
              <w:rPr>
                <w:rFonts w:ascii="Arial" w:cs="Arial" w:eastAsia="Arial" w:hAnsi="Arial"/>
                <w:sz w:val="18"/>
                <w:szCs w:val="18"/>
                <w:color w:val="auto"/>
                <w:w w:val="89"/>
              </w:rPr>
              <w:t>$15,017</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2"/>
              </w:rPr>
              <w:t>$11,932</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Cable Communications technical labor</w:t>
            </w:r>
          </w:p>
        </w:tc>
        <w:tc>
          <w:tcPr>
            <w:tcW w:w="1000" w:type="dxa"/>
            <w:vAlign w:val="bottom"/>
          </w:tcPr>
          <w:p>
            <w:pPr>
              <w:jc w:val="right"/>
              <w:ind w:right="299"/>
              <w:spacing w:after="0"/>
              <w:rPr>
                <w:sz w:val="20"/>
                <w:szCs w:val="20"/>
                <w:color w:val="auto"/>
              </w:rPr>
            </w:pPr>
            <w:r>
              <w:rPr>
                <w:rFonts w:ascii="Arial" w:cs="Arial" w:eastAsia="Arial" w:hAnsi="Arial"/>
                <w:sz w:val="18"/>
                <w:szCs w:val="18"/>
                <w:color w:val="auto"/>
              </w:rPr>
              <w:t>590</w:t>
            </w:r>
          </w:p>
        </w:tc>
        <w:tc>
          <w:tcPr>
            <w:tcW w:w="280" w:type="dxa"/>
            <w:vAlign w:val="bottom"/>
          </w:tcPr>
          <w:p>
            <w:pPr>
              <w:spacing w:after="0"/>
              <w:rPr>
                <w:sz w:val="18"/>
                <w:szCs w:val="18"/>
                <w:color w:val="auto"/>
              </w:rPr>
            </w:pPr>
          </w:p>
        </w:tc>
        <w:tc>
          <w:tcPr>
            <w:tcW w:w="660" w:type="dxa"/>
            <w:vAlign w:val="bottom"/>
          </w:tcPr>
          <w:p>
            <w:pPr>
              <w:jc w:val="right"/>
              <w:ind w:right="294"/>
              <w:spacing w:after="0"/>
              <w:rPr>
                <w:sz w:val="20"/>
                <w:szCs w:val="20"/>
                <w:color w:val="auto"/>
              </w:rPr>
            </w:pPr>
            <w:r>
              <w:rPr>
                <w:rFonts w:ascii="Arial" w:cs="Arial" w:eastAsia="Arial" w:hAnsi="Arial"/>
                <w:sz w:val="18"/>
                <w:szCs w:val="18"/>
                <w:color w:val="auto"/>
                <w:w w:val="86"/>
              </w:rPr>
              <w:t>597</w:t>
            </w:r>
          </w:p>
        </w:tc>
        <w:tc>
          <w:tcPr>
            <w:tcW w:w="940" w:type="dxa"/>
            <w:vAlign w:val="bottom"/>
          </w:tcPr>
          <w:p>
            <w:pPr>
              <w:jc w:val="right"/>
              <w:ind w:right="259"/>
              <w:spacing w:after="0"/>
              <w:rPr>
                <w:sz w:val="20"/>
                <w:szCs w:val="20"/>
                <w:color w:val="auto"/>
              </w:rPr>
            </w:pPr>
            <w:r>
              <w:rPr>
                <w:rFonts w:ascii="Arial" w:cs="Arial" w:eastAsia="Arial" w:hAnsi="Arial"/>
                <w:sz w:val="18"/>
                <w:szCs w:val="18"/>
                <w:color w:val="auto"/>
              </w:rPr>
              <w:t>1,757</w:t>
            </w:r>
          </w:p>
        </w:tc>
        <w:tc>
          <w:tcPr>
            <w:tcW w:w="680" w:type="dxa"/>
            <w:vAlign w:val="bottom"/>
          </w:tcPr>
          <w:p>
            <w:pPr>
              <w:jc w:val="right"/>
              <w:spacing w:after="0"/>
              <w:rPr>
                <w:sz w:val="20"/>
                <w:szCs w:val="20"/>
                <w:color w:val="auto"/>
              </w:rPr>
            </w:pPr>
            <w:r>
              <w:rPr>
                <w:rFonts w:ascii="Arial" w:cs="Arial" w:eastAsia="Arial" w:hAnsi="Arial"/>
                <w:sz w:val="18"/>
                <w:szCs w:val="18"/>
                <w:color w:val="auto"/>
              </w:rPr>
              <w:t>1,758</w:t>
            </w:r>
          </w:p>
        </w:tc>
      </w:tr>
      <w:tr>
        <w:trPr>
          <w:trHeight w:val="216"/>
        </w:trPr>
        <w:tc>
          <w:tcPr>
            <w:tcW w:w="78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Cable Communications customer service</w:t>
            </w:r>
          </w:p>
        </w:tc>
        <w:tc>
          <w:tcPr>
            <w:tcW w:w="1000" w:type="dxa"/>
            <w:vAlign w:val="bottom"/>
            <w:shd w:val="clear" w:color="auto" w:fill="E5E5E5"/>
          </w:tcPr>
          <w:p>
            <w:pPr>
              <w:jc w:val="right"/>
              <w:ind w:right="299"/>
              <w:spacing w:after="0"/>
              <w:rPr>
                <w:sz w:val="20"/>
                <w:szCs w:val="20"/>
                <w:color w:val="auto"/>
              </w:rPr>
            </w:pPr>
            <w:r>
              <w:rPr>
                <w:rFonts w:ascii="Arial" w:cs="Arial" w:eastAsia="Arial" w:hAnsi="Arial"/>
                <w:sz w:val="18"/>
                <w:szCs w:val="18"/>
                <w:color w:val="auto"/>
              </w:rPr>
              <w:t>485</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w w:val="86"/>
              </w:rPr>
              <w:t>474</w:t>
            </w:r>
          </w:p>
        </w:tc>
        <w:tc>
          <w:tcPr>
            <w:tcW w:w="940" w:type="dxa"/>
            <w:vAlign w:val="bottom"/>
            <w:shd w:val="clear" w:color="auto" w:fill="E5E5E5"/>
          </w:tcPr>
          <w:p>
            <w:pPr>
              <w:jc w:val="right"/>
              <w:ind w:right="259"/>
              <w:spacing w:after="0"/>
              <w:rPr>
                <w:sz w:val="20"/>
                <w:szCs w:val="20"/>
                <w:color w:val="auto"/>
              </w:rPr>
            </w:pPr>
            <w:r>
              <w:rPr>
                <w:rFonts w:ascii="Arial" w:cs="Arial" w:eastAsia="Arial" w:hAnsi="Arial"/>
                <w:sz w:val="18"/>
                <w:szCs w:val="18"/>
                <w:color w:val="auto"/>
              </w:rPr>
              <w:t>1,460</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1,403</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Advertising, marketing and promotion</w:t>
            </w:r>
          </w:p>
        </w:tc>
        <w:tc>
          <w:tcPr>
            <w:tcW w:w="1000" w:type="dxa"/>
            <w:vAlign w:val="bottom"/>
          </w:tcPr>
          <w:p>
            <w:pPr>
              <w:jc w:val="right"/>
              <w:ind w:right="299"/>
              <w:spacing w:after="0"/>
              <w:rPr>
                <w:sz w:val="20"/>
                <w:szCs w:val="20"/>
                <w:color w:val="auto"/>
              </w:rPr>
            </w:pPr>
            <w:r>
              <w:rPr>
                <w:rFonts w:ascii="Arial" w:cs="Arial" w:eastAsia="Arial" w:hAnsi="Arial"/>
                <w:sz w:val="18"/>
                <w:szCs w:val="18"/>
                <w:color w:val="auto"/>
              </w:rPr>
              <w:t>1,223</w:t>
            </w:r>
          </w:p>
        </w:tc>
        <w:tc>
          <w:tcPr>
            <w:tcW w:w="940" w:type="dxa"/>
            <w:vAlign w:val="bottom"/>
            <w:gridSpan w:val="2"/>
          </w:tcPr>
          <w:p>
            <w:pPr>
              <w:jc w:val="right"/>
              <w:ind w:right="294"/>
              <w:spacing w:after="0"/>
              <w:rPr>
                <w:sz w:val="20"/>
                <w:szCs w:val="20"/>
                <w:color w:val="auto"/>
              </w:rPr>
            </w:pPr>
            <w:r>
              <w:rPr>
                <w:rFonts w:ascii="Arial" w:cs="Arial" w:eastAsia="Arial" w:hAnsi="Arial"/>
                <w:sz w:val="18"/>
                <w:szCs w:val="18"/>
                <w:color w:val="auto"/>
              </w:rPr>
              <w:t>1,101</w:t>
            </w:r>
          </w:p>
        </w:tc>
        <w:tc>
          <w:tcPr>
            <w:tcW w:w="940" w:type="dxa"/>
            <w:vAlign w:val="bottom"/>
          </w:tcPr>
          <w:p>
            <w:pPr>
              <w:jc w:val="right"/>
              <w:ind w:right="259"/>
              <w:spacing w:after="0"/>
              <w:rPr>
                <w:sz w:val="20"/>
                <w:szCs w:val="20"/>
                <w:color w:val="auto"/>
              </w:rPr>
            </w:pPr>
            <w:r>
              <w:rPr>
                <w:rFonts w:ascii="Arial" w:cs="Arial" w:eastAsia="Arial" w:hAnsi="Arial"/>
                <w:sz w:val="18"/>
                <w:szCs w:val="18"/>
                <w:color w:val="auto"/>
              </w:rPr>
              <w:t>3,713</w:t>
            </w:r>
          </w:p>
        </w:tc>
        <w:tc>
          <w:tcPr>
            <w:tcW w:w="680" w:type="dxa"/>
            <w:vAlign w:val="bottom"/>
          </w:tcPr>
          <w:p>
            <w:pPr>
              <w:jc w:val="right"/>
              <w:spacing w:after="0"/>
              <w:rPr>
                <w:sz w:val="20"/>
                <w:szCs w:val="20"/>
                <w:color w:val="auto"/>
              </w:rPr>
            </w:pPr>
            <w:r>
              <w:rPr>
                <w:rFonts w:ascii="Arial" w:cs="Arial" w:eastAsia="Arial" w:hAnsi="Arial"/>
                <w:sz w:val="18"/>
                <w:szCs w:val="18"/>
                <w:color w:val="auto"/>
              </w:rPr>
              <w:t>3,186</w:t>
            </w:r>
          </w:p>
        </w:tc>
      </w:tr>
      <w:tr>
        <w:trPr>
          <w:trHeight w:val="216"/>
        </w:trPr>
        <w:tc>
          <w:tcPr>
            <w:tcW w:w="786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E5E5E5"/>
          </w:tcPr>
          <w:p>
            <w:pPr>
              <w:jc w:val="right"/>
              <w:ind w:right="299"/>
              <w:spacing w:after="0"/>
              <w:rPr>
                <w:sz w:val="20"/>
                <w:szCs w:val="20"/>
                <w:color w:val="auto"/>
              </w:rPr>
            </w:pPr>
            <w:r>
              <w:rPr>
                <w:rFonts w:ascii="Arial" w:cs="Arial" w:eastAsia="Arial" w:hAnsi="Arial"/>
                <w:sz w:val="18"/>
                <w:szCs w:val="18"/>
                <w:color w:val="auto"/>
              </w:rPr>
              <w:t>3,512</w:t>
            </w:r>
          </w:p>
        </w:tc>
        <w:tc>
          <w:tcPr>
            <w:tcW w:w="940" w:type="dxa"/>
            <w:vAlign w:val="bottom"/>
            <w:tcBorders>
              <w:bottom w:val="single" w:sz="8" w:color="auto"/>
            </w:tcBorders>
            <w:gridSpan w:val="2"/>
            <w:shd w:val="clear" w:color="auto" w:fill="E5E5E5"/>
          </w:tcPr>
          <w:p>
            <w:pPr>
              <w:jc w:val="right"/>
              <w:ind w:right="294"/>
              <w:spacing w:after="0"/>
              <w:rPr>
                <w:sz w:val="20"/>
                <w:szCs w:val="20"/>
                <w:color w:val="auto"/>
              </w:rPr>
            </w:pPr>
            <w:r>
              <w:rPr>
                <w:rFonts w:ascii="Arial" w:cs="Arial" w:eastAsia="Arial" w:hAnsi="Arial"/>
                <w:sz w:val="18"/>
                <w:szCs w:val="18"/>
                <w:color w:val="auto"/>
              </w:rPr>
              <w:t>3,255</w:t>
            </w:r>
          </w:p>
        </w:tc>
        <w:tc>
          <w:tcPr>
            <w:tcW w:w="940" w:type="dxa"/>
            <w:vAlign w:val="bottom"/>
            <w:tcBorders>
              <w:bottom w:val="single" w:sz="8" w:color="auto"/>
            </w:tcBorders>
            <w:shd w:val="clear" w:color="auto" w:fill="E5E5E5"/>
          </w:tcPr>
          <w:p>
            <w:pPr>
              <w:jc w:val="right"/>
              <w:ind w:right="259"/>
              <w:spacing w:after="0"/>
              <w:rPr>
                <w:sz w:val="20"/>
                <w:szCs w:val="20"/>
                <w:color w:val="auto"/>
              </w:rPr>
            </w:pPr>
            <w:r>
              <w:rPr>
                <w:rFonts w:ascii="Arial" w:cs="Arial" w:eastAsia="Arial" w:hAnsi="Arial"/>
                <w:sz w:val="18"/>
                <w:szCs w:val="18"/>
                <w:color w:val="auto"/>
              </w:rPr>
              <w:t>9,986</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9,080</w:t>
            </w:r>
          </w:p>
        </w:tc>
      </w:tr>
      <w:tr>
        <w:trPr>
          <w:trHeight w:val="195"/>
        </w:trPr>
        <w:tc>
          <w:tcPr>
            <w:tcW w:w="786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Operating costs and expenses (excluding depreciation and</w:t>
            </w: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51"/>
        </w:trPr>
        <w:tc>
          <w:tcPr>
            <w:tcW w:w="786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amortization)</w:t>
            </w: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b w:val="1"/>
                <w:bCs w:val="1"/>
                <w:color w:val="auto"/>
                <w:w w:val="85"/>
              </w:rPr>
              <w:t>$ 11,536</w:t>
            </w:r>
          </w:p>
        </w:tc>
        <w:tc>
          <w:tcPr>
            <w:tcW w:w="940" w:type="dxa"/>
            <w:vAlign w:val="bottom"/>
            <w:tcBorders>
              <w:bottom w:val="single" w:sz="8" w:color="auto"/>
            </w:tcBorders>
            <w:gridSpan w:val="2"/>
          </w:tcPr>
          <w:p>
            <w:pPr>
              <w:jc w:val="right"/>
              <w:ind w:right="294"/>
              <w:spacing w:after="0"/>
              <w:rPr>
                <w:sz w:val="20"/>
                <w:szCs w:val="20"/>
                <w:color w:val="auto"/>
              </w:rPr>
            </w:pPr>
            <w:r>
              <w:rPr>
                <w:rFonts w:ascii="Arial" w:cs="Arial" w:eastAsia="Arial" w:hAnsi="Arial"/>
                <w:sz w:val="18"/>
                <w:szCs w:val="18"/>
                <w:b w:val="1"/>
                <w:bCs w:val="1"/>
                <w:color w:val="auto"/>
                <w:w w:val="89"/>
              </w:rPr>
              <w:t>$ 9,765</w:t>
            </w: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8"/>
                <w:szCs w:val="18"/>
                <w:b w:val="1"/>
                <w:bCs w:val="1"/>
                <w:color w:val="auto"/>
                <w:w w:val="89"/>
              </w:rPr>
              <w:t>$31,933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$27,359</w:t>
            </w:r>
          </w:p>
        </w:tc>
      </w:tr>
      <w:tr>
        <w:trPr>
          <w:trHeight w:val="363"/>
        </w:trPr>
        <w:tc>
          <w:tcPr>
            <w:tcW w:w="7580" w:type="dxa"/>
            <w:vAlign w:val="bottom"/>
          </w:tcPr>
          <w:p>
            <w:pPr>
              <w:jc w:val="center"/>
              <w:ind w:left="3775"/>
              <w:spacing w:after="0"/>
              <w:rPr>
                <w:sz w:val="20"/>
                <w:szCs w:val="20"/>
                <w:color w:val="auto"/>
              </w:rPr>
            </w:pPr>
            <w:r>
              <w:rPr>
                <w:rFonts w:ascii="Arial" w:cs="Arial" w:eastAsia="Arial" w:hAnsi="Arial"/>
                <w:sz w:val="18"/>
                <w:szCs w:val="18"/>
                <w:color w:val="auto"/>
                <w:w w:val="99"/>
              </w:rPr>
              <w:t>13</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20" w:type="dxa"/>
            <w:vAlign w:val="bottom"/>
            <w:gridSpan w:val="3"/>
          </w:tcPr>
          <w:p>
            <w:pPr>
              <w:jc w:val="center"/>
              <w:spacing w:after="0"/>
              <w:rPr>
                <w:sz w:val="20"/>
                <w:szCs w:val="20"/>
                <w:color w:val="auto"/>
              </w:rPr>
            </w:pPr>
            <w:r>
              <w:rPr>
                <w:rFonts w:ascii="Arial" w:cs="Arial" w:eastAsia="Arial" w:hAnsi="Arial"/>
                <w:sz w:val="14"/>
                <w:szCs w:val="14"/>
                <w:color w:val="auto"/>
                <w:w w:val="89"/>
              </w:rPr>
              <w:t>Nine Months Ended</w:t>
            </w:r>
          </w:p>
        </w:tc>
        <w:tc>
          <w:tcPr>
            <w:tcW w:w="0" w:type="dxa"/>
            <w:vAlign w:val="bottom"/>
          </w:tcPr>
          <w:p>
            <w:pPr>
              <w:spacing w:after="0"/>
              <w:rPr>
                <w:sz w:val="1"/>
                <w:szCs w:val="1"/>
                <w:color w:val="auto"/>
              </w:rPr>
            </w:pPr>
          </w:p>
        </w:tc>
      </w:tr>
      <w:tr>
        <w:trPr>
          <w:trHeight w:val="159"/>
        </w:trPr>
        <w:tc>
          <w:tcPr>
            <w:tcW w:w="69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4"/>
              </w:rPr>
              <w:t>September 30</w:t>
            </w: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94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2012</w:t>
            </w:r>
          </w:p>
        </w:tc>
        <w:tc>
          <w:tcPr>
            <w:tcW w:w="8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color w:val="auto"/>
                <w:w w:val="96"/>
              </w:rPr>
              <w:t>2011</w:t>
            </w:r>
          </w:p>
        </w:tc>
        <w:tc>
          <w:tcPr>
            <w:tcW w:w="0" w:type="dxa"/>
            <w:vAlign w:val="bottom"/>
          </w:tcPr>
          <w:p>
            <w:pPr>
              <w:spacing w:after="0"/>
              <w:rPr>
                <w:sz w:val="1"/>
                <w:szCs w:val="1"/>
                <w:color w:val="auto"/>
              </w:rPr>
            </w:pPr>
          </w:p>
        </w:tc>
      </w:tr>
      <w:tr>
        <w:trPr>
          <w:trHeight w:val="210"/>
        </w:trPr>
        <w:tc>
          <w:tcPr>
            <w:tcW w:w="694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6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$ 6,058</w:t>
            </w:r>
          </w:p>
        </w:tc>
        <w:tc>
          <w:tcPr>
            <w:tcW w:w="800" w:type="dxa"/>
            <w:vAlign w:val="bottom"/>
            <w:shd w:val="clear" w:color="auto" w:fill="E5E5E5"/>
          </w:tcPr>
          <w:p>
            <w:pPr>
              <w:jc w:val="center"/>
              <w:ind w:left="364"/>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3,572</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6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5,815</w:t>
            </w:r>
          </w:p>
        </w:tc>
        <w:tc>
          <w:tcPr>
            <w:tcW w:w="8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Amortization of film and television costs</w:t>
            </w: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7,295</w:t>
            </w:r>
          </w:p>
        </w:tc>
        <w:tc>
          <w:tcPr>
            <w:tcW w:w="80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16"/>
        </w:trPr>
        <w:tc>
          <w:tcPr>
            <w:tcW w:w="69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Share-based compensation</w:t>
            </w:r>
          </w:p>
        </w:tc>
        <w:tc>
          <w:tcPr>
            <w:tcW w:w="6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278</w:t>
            </w:r>
          </w:p>
        </w:tc>
        <w:tc>
          <w:tcPr>
            <w:tcW w:w="8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Noncash interest expense (income), net</w:t>
            </w: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w:t>
            </w:r>
          </w:p>
        </w:tc>
        <w:tc>
          <w:tcPr>
            <w:tcW w:w="80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69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Equity in net (income) losses of investees, net</w:t>
            </w:r>
          </w:p>
        </w:tc>
        <w:tc>
          <w:tcPr>
            <w:tcW w:w="6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(943)</w:t>
            </w:r>
          </w:p>
        </w:tc>
        <w:tc>
          <w:tcPr>
            <w:tcW w:w="8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Cash received from investees</w:t>
            </w: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w:t>
            </w:r>
          </w:p>
        </w:tc>
        <w:tc>
          <w:tcPr>
            <w:tcW w:w="80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69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6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(1,071)</w:t>
            </w:r>
          </w:p>
        </w:tc>
        <w:tc>
          <w:tcPr>
            <w:tcW w:w="8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321</w:t>
            </w:r>
          </w:p>
        </w:tc>
        <w:tc>
          <w:tcPr>
            <w:tcW w:w="80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6940" w:type="dxa"/>
            <w:vAlign w:val="bottom"/>
            <w:shd w:val="clear" w:color="auto" w:fill="E5E5E5"/>
          </w:tcPr>
          <w:p>
            <w:pPr>
              <w:spacing w:after="0"/>
              <w:rPr>
                <w:sz w:val="20"/>
                <w:szCs w:val="20"/>
                <w:color w:val="auto"/>
              </w:rPr>
            </w:pPr>
            <w:r>
              <w:rPr>
                <w:rFonts w:ascii="Arial" w:cs="Arial" w:eastAsia="Arial" w:hAnsi="Arial"/>
                <w:sz w:val="18"/>
                <w:szCs w:val="18"/>
                <w:color w:val="auto"/>
                <w:w w:val="98"/>
              </w:rPr>
              <w:t>Changes in operating assets and liabilities, net of effects of acquisitions and divestitures:</w:t>
            </w:r>
          </w:p>
        </w:tc>
        <w:tc>
          <w:tcPr>
            <w:tcW w:w="6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Change in receivables, net</w:t>
            </w: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(763)</w:t>
            </w:r>
          </w:p>
        </w:tc>
        <w:tc>
          <w:tcPr>
            <w:tcW w:w="80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69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Change in film and television costs</w:t>
            </w:r>
          </w:p>
        </w:tc>
        <w:tc>
          <w:tcPr>
            <w:tcW w:w="6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(7,290)</w:t>
            </w:r>
          </w:p>
        </w:tc>
        <w:tc>
          <w:tcPr>
            <w:tcW w:w="80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(5,342)</w:t>
            </w: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424</w:t>
            </w:r>
          </w:p>
        </w:tc>
        <w:tc>
          <w:tcPr>
            <w:tcW w:w="8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Change in other operating assets and liabilities</w:t>
            </w:r>
          </w:p>
        </w:tc>
        <w:tc>
          <w:tcPr>
            <w:tcW w:w="6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779</w:t>
            </w:r>
          </w:p>
        </w:tc>
        <w:tc>
          <w:tcPr>
            <w:tcW w:w="8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7"/>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$ 11,239</w:t>
            </w:r>
          </w:p>
        </w:tc>
        <w:tc>
          <w:tcPr>
            <w:tcW w:w="800" w:type="dxa"/>
            <w:vAlign w:val="bottom"/>
            <w:tcBorders>
              <w:bottom w:val="single" w:sz="8" w:color="auto"/>
            </w:tcBorders>
          </w:tcPr>
          <w:p>
            <w:pPr>
              <w:jc w:val="center"/>
              <w:ind w:left="364"/>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10,206</w:t>
            </w:r>
          </w:p>
        </w:tc>
        <w:tc>
          <w:tcPr>
            <w:tcW w:w="0" w:type="dxa"/>
            <w:vAlign w:val="bottom"/>
          </w:tcPr>
          <w:p>
            <w:pPr>
              <w:spacing w:after="0"/>
              <w:rPr>
                <w:sz w:val="1"/>
                <w:szCs w:val="1"/>
                <w:color w:val="auto"/>
              </w:rPr>
            </w:pPr>
          </w:p>
        </w:tc>
      </w:tr>
      <w:tr>
        <w:trPr>
          <w:trHeight w:val="403"/>
        </w:trPr>
        <w:tc>
          <w:tcPr>
            <w:tcW w:w="8300" w:type="dxa"/>
            <w:vAlign w:val="bottom"/>
            <w:gridSpan w:val="3"/>
          </w:tcPr>
          <w:p>
            <w:pPr>
              <w:ind w:left="3800"/>
              <w:spacing w:after="0"/>
              <w:rPr>
                <w:sz w:val="20"/>
                <w:szCs w:val="20"/>
                <w:color w:val="auto"/>
              </w:rPr>
            </w:pPr>
            <w:r>
              <w:rPr>
                <w:rFonts w:ascii="Arial" w:cs="Arial" w:eastAsia="Arial" w:hAnsi="Arial"/>
                <w:sz w:val="18"/>
                <w:szCs w:val="18"/>
                <w:b w:val="1"/>
                <w:bCs w:val="1"/>
                <w:color w:val="auto"/>
              </w:rPr>
              <w:t>Cash Payments for Interest and Income Taxes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9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20" w:type="dxa"/>
            <w:vAlign w:val="bottom"/>
            <w:gridSpan w:val="4"/>
          </w:tcPr>
          <w:p>
            <w:pPr>
              <w:ind w:left="140"/>
              <w:spacing w:after="0"/>
              <w:rPr>
                <w:sz w:val="20"/>
                <w:szCs w:val="20"/>
                <w:color w:val="auto"/>
              </w:rPr>
            </w:pPr>
            <w:r>
              <w:rPr>
                <w:rFonts w:ascii="Arial" w:cs="Arial" w:eastAsia="Arial" w:hAnsi="Arial"/>
                <w:sz w:val="14"/>
                <w:szCs w:val="14"/>
                <w:color w:val="auto"/>
              </w:rPr>
              <w:t>Three Months Ended</w:t>
            </w:r>
          </w:p>
        </w:tc>
        <w:tc>
          <w:tcPr>
            <w:tcW w:w="720" w:type="dxa"/>
            <w:vAlign w:val="bottom"/>
          </w:tcPr>
          <w:p>
            <w:pPr>
              <w:spacing w:after="0"/>
              <w:rPr>
                <w:sz w:val="22"/>
                <w:szCs w:val="22"/>
                <w:color w:val="auto"/>
              </w:rPr>
            </w:pPr>
          </w:p>
        </w:tc>
        <w:tc>
          <w:tcPr>
            <w:tcW w:w="1500" w:type="dxa"/>
            <w:vAlign w:val="bottom"/>
            <w:gridSpan w:val="2"/>
          </w:tcPr>
          <w:p>
            <w:pPr>
              <w:jc w:val="center"/>
              <w:ind w:right="174"/>
              <w:spacing w:after="0"/>
              <w:rPr>
                <w:sz w:val="20"/>
                <w:szCs w:val="20"/>
                <w:color w:val="auto"/>
              </w:rPr>
            </w:pPr>
            <w:r>
              <w:rPr>
                <w:rFonts w:ascii="Arial" w:cs="Arial" w:eastAsia="Arial" w:hAnsi="Arial"/>
                <w:sz w:val="14"/>
                <w:szCs w:val="14"/>
                <w:color w:val="auto"/>
                <w:w w:val="87"/>
              </w:rPr>
              <w:t>Nine Months Ended</w:t>
            </w:r>
          </w:p>
        </w:tc>
        <w:tc>
          <w:tcPr>
            <w:tcW w:w="0" w:type="dxa"/>
            <w:vAlign w:val="bottom"/>
          </w:tcPr>
          <w:p>
            <w:pPr>
              <w:spacing w:after="0"/>
              <w:rPr>
                <w:sz w:val="1"/>
                <w:szCs w:val="1"/>
                <w:color w:val="auto"/>
              </w:rPr>
            </w:pPr>
          </w:p>
        </w:tc>
      </w:tr>
      <w:tr>
        <w:trPr>
          <w:trHeight w:val="159"/>
        </w:trPr>
        <w:tc>
          <w:tcPr>
            <w:tcW w:w="69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ind w:right="194"/>
              <w:spacing w:after="0" w:line="159" w:lineRule="exact"/>
              <w:rPr>
                <w:sz w:val="20"/>
                <w:szCs w:val="20"/>
                <w:color w:val="auto"/>
              </w:rPr>
            </w:pPr>
            <w:r>
              <w:rPr>
                <w:rFonts w:ascii="Arial" w:cs="Arial" w:eastAsia="Arial" w:hAnsi="Arial"/>
                <w:sz w:val="14"/>
                <w:szCs w:val="14"/>
                <w:color w:val="auto"/>
                <w:w w:val="84"/>
              </w:rPr>
              <w:t>September 30</w:t>
            </w:r>
          </w:p>
        </w:tc>
        <w:tc>
          <w:tcPr>
            <w:tcW w:w="0" w:type="dxa"/>
            <w:vAlign w:val="bottom"/>
          </w:tcPr>
          <w:p>
            <w:pPr>
              <w:spacing w:after="0"/>
              <w:rPr>
                <w:sz w:val="1"/>
                <w:szCs w:val="1"/>
                <w:color w:val="auto"/>
              </w:rPr>
            </w:pPr>
          </w:p>
        </w:tc>
      </w:tr>
      <w:tr>
        <w:trPr>
          <w:trHeight w:val="142"/>
        </w:trPr>
        <w:tc>
          <w:tcPr>
            <w:tcW w:w="694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64"/>
              <w:spacing w:after="0" w:line="142" w:lineRule="exact"/>
              <w:rPr>
                <w:sz w:val="20"/>
                <w:szCs w:val="20"/>
                <w:color w:val="auto"/>
              </w:rPr>
            </w:pPr>
            <w:r>
              <w:rPr>
                <w:rFonts w:ascii="Arial" w:cs="Arial" w:eastAsia="Arial" w:hAnsi="Arial"/>
                <w:sz w:val="14"/>
                <w:szCs w:val="14"/>
                <w:color w:val="auto"/>
                <w:w w:val="83"/>
              </w:rPr>
              <w:t>2012</w:t>
            </w:r>
          </w:p>
        </w:tc>
        <w:tc>
          <w:tcPr>
            <w:tcW w:w="4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color w:val="auto"/>
                <w:w w:val="83"/>
              </w:rPr>
              <w:t>2011</w:t>
            </w:r>
          </w:p>
        </w:tc>
        <w:tc>
          <w:tcPr>
            <w:tcW w:w="152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89"/>
              </w:rPr>
              <w:t>2012</w:t>
            </w: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3"/>
              </w:rPr>
              <w:t>2011</w:t>
            </w:r>
          </w:p>
        </w:tc>
        <w:tc>
          <w:tcPr>
            <w:tcW w:w="0" w:type="dxa"/>
            <w:vAlign w:val="bottom"/>
          </w:tcPr>
          <w:p>
            <w:pPr>
              <w:spacing w:after="0"/>
              <w:rPr>
                <w:sz w:val="1"/>
                <w:szCs w:val="1"/>
                <w:color w:val="auto"/>
              </w:rPr>
            </w:pPr>
          </w:p>
        </w:tc>
      </w:tr>
      <w:tr>
        <w:trPr>
          <w:trHeight w:val="210"/>
        </w:trPr>
        <w:tc>
          <w:tcPr>
            <w:tcW w:w="6940" w:type="dxa"/>
            <w:vAlign w:val="bottom"/>
            <w:shd w:val="clear" w:color="auto" w:fill="E5E5E5"/>
          </w:tcPr>
          <w:p>
            <w:pPr>
              <w:spacing w:after="0"/>
              <w:rPr>
                <w:sz w:val="20"/>
                <w:szCs w:val="20"/>
                <w:color w:val="auto"/>
              </w:rPr>
            </w:pPr>
            <w:r>
              <w:rPr>
                <w:rFonts w:ascii="Arial" w:cs="Arial" w:eastAsia="Arial" w:hAnsi="Arial"/>
                <w:sz w:val="18"/>
                <w:szCs w:val="18"/>
                <w:color w:val="auto"/>
              </w:rPr>
              <w:t>Interest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ind w:left="160"/>
              <w:spacing w:after="0"/>
              <w:rPr>
                <w:sz w:val="20"/>
                <w:szCs w:val="20"/>
                <w:color w:val="auto"/>
              </w:rPr>
            </w:pPr>
            <w:r>
              <w:rPr>
                <w:rFonts w:ascii="Arial" w:cs="Arial" w:eastAsia="Arial" w:hAnsi="Arial"/>
                <w:sz w:val="18"/>
                <w:szCs w:val="18"/>
                <w:color w:val="auto"/>
              </w:rPr>
              <w:t>567</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612</w:t>
            </w:r>
          </w:p>
        </w:tc>
        <w:tc>
          <w:tcPr>
            <w:tcW w:w="1520" w:type="dxa"/>
            <w:vAlign w:val="bottom"/>
            <w:gridSpan w:val="2"/>
            <w:shd w:val="clear" w:color="auto" w:fill="E5E5E5"/>
          </w:tcPr>
          <w:p>
            <w:pPr>
              <w:jc w:val="center"/>
              <w:spacing w:after="0"/>
              <w:rPr>
                <w:sz w:val="20"/>
                <w:szCs w:val="20"/>
                <w:color w:val="auto"/>
              </w:rPr>
            </w:pPr>
            <w:r>
              <w:rPr>
                <w:rFonts w:ascii="Arial" w:cs="Arial" w:eastAsia="Arial" w:hAnsi="Arial"/>
                <w:sz w:val="18"/>
                <w:szCs w:val="18"/>
                <w:color w:val="auto"/>
                <w:w w:val="89"/>
              </w:rPr>
              <w:t>$ 1,725</w:t>
            </w:r>
          </w:p>
        </w:tc>
        <w:tc>
          <w:tcPr>
            <w:tcW w:w="7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$ 1,809</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833</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596</w:t>
            </w: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$ 1,855</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$ 1,166</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2012:</w:t>
      </w:r>
    </w:p>
    <w:p>
      <w:pPr>
        <w:spacing w:after="0" w:line="77" w:lineRule="exact"/>
        <w:rPr>
          <w:sz w:val="20"/>
          <w:szCs w:val="20"/>
          <w:color w:val="auto"/>
        </w:rPr>
      </w:pPr>
    </w:p>
    <w:p>
      <w:pPr>
        <w:ind w:left="1020" w:right="1260" w:hanging="215"/>
        <w:spacing w:after="0" w:line="26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acquired $602 million of property and equipment and intangible assets that were accrued but unpaid, which is a noncash investing activity</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a liability of $432 million for a quarterly cash dividend of $0.1625 per common share paid in October 2012, which is a noncash financing activity</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NBCUniversal acquired controlling interests in MSNBC.com and a previously held equity method investment based in Brazil</w:t>
      </w:r>
    </w:p>
    <w:p>
      <w:pPr>
        <w:spacing w:after="0" w:line="76"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NBCUniversal entered into a capital lease transaction that resulted in an increase in property and equipment and debt of $85 million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Receivables Monetization</w:t>
      </w:r>
    </w:p>
    <w:p>
      <w:pPr>
        <w:spacing w:after="0" w:line="8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NBCUniversal monetizes certain of its accounts receivable under programs with a syndicate of banks. We account for receivables monetized through these programs as sales in accordance with the appropriate accounting guidance. We receive deferred consideration from the assets sold in the form of a receivable, which is funded by residual cash flows after the senior interests have been fully paid. The deferred consideration is recorded in receivables, net at its initial fair value, which reflects the net cash flows we expect to receive related to these interests. The accounts receivable we sold that underlie the deferred consideration are generally short-term in nature and, therefore, the fair value of the deferred consideration approximated its carrying value as of September 30, 2012.</w:t>
      </w:r>
    </w:p>
    <w:p>
      <w:pPr>
        <w:spacing w:after="0" w:line="2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NBCUniversal is responsible for servicing the receivables and remitting collections to the purchasers under the monetization programs. NBCUniversal performs this service for a fee that is equal to the prevailing market rate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such services. As a result, no servicing asset or liability has been recorded in our condensed consolidated balance sheet as of September 30, 2012. The servicing fees are a component of net (loss) gain on sale, which is presented in the table below.</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 on Income from Receivables Monetization and Cash Flows on Transfers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20" w:type="dxa"/>
            <w:vAlign w:val="bottom"/>
            <w:gridSpan w:val="3"/>
          </w:tcPr>
          <w:p>
            <w:pPr>
              <w:jc w:val="right"/>
              <w:ind w:right="597"/>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1760" w:type="dxa"/>
            <w:vAlign w:val="bottom"/>
            <w:gridSpan w:val="3"/>
          </w:tcPr>
          <w:p>
            <w:pPr>
              <w:jc w:val="right"/>
              <w:ind w:right="357"/>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65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8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50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22"/>
              <w:spacing w:after="0" w:line="142" w:lineRule="exact"/>
              <w:rPr>
                <w:sz w:val="20"/>
                <w:szCs w:val="20"/>
                <w:color w:val="auto"/>
              </w:rPr>
            </w:pPr>
            <w:r>
              <w:rPr>
                <w:rFonts w:ascii="Arial" w:cs="Arial" w:eastAsia="Arial" w:hAnsi="Arial"/>
                <w:sz w:val="14"/>
                <w:szCs w:val="14"/>
                <w:color w:val="auto"/>
                <w:w w:val="89"/>
              </w:rPr>
              <w:t>2012</w:t>
            </w:r>
          </w:p>
        </w:tc>
        <w:tc>
          <w:tcPr>
            <w:tcW w:w="4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17"/>
              <w:spacing w:after="0" w:line="142" w:lineRule="exact"/>
              <w:rPr>
                <w:sz w:val="20"/>
                <w:szCs w:val="20"/>
                <w:color w:val="auto"/>
              </w:rPr>
            </w:pPr>
            <w:r>
              <w:rPr>
                <w:rFonts w:ascii="Arial" w:cs="Arial" w:eastAsia="Arial" w:hAnsi="Arial"/>
                <w:sz w:val="14"/>
                <w:szCs w:val="14"/>
                <w:color w:val="auto"/>
                <w:w w:val="89"/>
              </w:rPr>
              <w:t>2011</w:t>
            </w: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42"/>
              <w:spacing w:after="0" w:line="142" w:lineRule="exact"/>
              <w:rPr>
                <w:sz w:val="20"/>
                <w:szCs w:val="20"/>
                <w:color w:val="auto"/>
              </w:rPr>
            </w:pPr>
            <w:r>
              <w:rPr>
                <w:rFonts w:ascii="Arial" w:cs="Arial" w:eastAsia="Arial" w:hAnsi="Arial"/>
                <w:sz w:val="14"/>
                <w:szCs w:val="14"/>
                <w:color w:val="auto"/>
                <w:w w:val="83"/>
              </w:rPr>
              <w:t>2012</w:t>
            </w:r>
          </w:p>
        </w:tc>
        <w:tc>
          <w:tcPr>
            <w:tcW w:w="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color w:val="auto"/>
                <w:w w:val="89"/>
              </w:rPr>
              <w:t>2011</w:t>
            </w:r>
          </w:p>
        </w:tc>
        <w:tc>
          <w:tcPr>
            <w:tcW w:w="0" w:type="dxa"/>
            <w:vAlign w:val="bottom"/>
          </w:tcPr>
          <w:p>
            <w:pPr>
              <w:spacing w:after="0"/>
              <w:rPr>
                <w:sz w:val="1"/>
                <w:szCs w:val="1"/>
                <w:color w:val="auto"/>
              </w:rPr>
            </w:pPr>
          </w:p>
        </w:tc>
      </w:tr>
      <w:tr>
        <w:trPr>
          <w:trHeight w:val="210"/>
        </w:trPr>
        <w:tc>
          <w:tcPr>
            <w:tcW w:w="6500" w:type="dxa"/>
            <w:vAlign w:val="bottom"/>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242"/>
              <w:spacing w:after="0"/>
              <w:rPr>
                <w:sz w:val="20"/>
                <w:szCs w:val="20"/>
                <w:color w:val="auto"/>
              </w:rPr>
            </w:pPr>
            <w:r>
              <w:rPr>
                <w:rFonts w:ascii="Arial" w:cs="Arial" w:eastAsia="Arial" w:hAnsi="Arial"/>
                <w:sz w:val="18"/>
                <w:szCs w:val="18"/>
                <w:color w:val="auto"/>
              </w:rPr>
              <w:t>(3)</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242"/>
              <w:spacing w:after="0"/>
              <w:rPr>
                <w:sz w:val="20"/>
                <w:szCs w:val="20"/>
                <w:color w:val="auto"/>
              </w:rPr>
            </w:pPr>
            <w:r>
              <w:rPr>
                <w:rFonts w:ascii="Arial" w:cs="Arial" w:eastAsia="Arial" w:hAnsi="Arial"/>
                <w:sz w:val="18"/>
                <w:szCs w:val="18"/>
                <w:color w:val="auto"/>
              </w:rPr>
              <w:t>(9)</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(loss) gain on sale</w:t>
            </w:r>
            <w:r>
              <w:rPr>
                <w:rFonts w:ascii="Arial" w:cs="Arial" w:eastAsia="Arial" w:hAnsi="Arial"/>
                <w:sz w:val="11"/>
                <w:szCs w:val="11"/>
                <w:color w:val="auto"/>
              </w:rPr>
              <w:t>(a)</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7"/>
              <w:spacing w:after="0"/>
              <w:rPr>
                <w:sz w:val="20"/>
                <w:szCs w:val="20"/>
                <w:color w:val="auto"/>
              </w:rPr>
            </w:pPr>
            <w:r>
              <w:rPr>
                <w:rFonts w:ascii="Arial" w:cs="Arial" w:eastAsia="Arial" w:hAnsi="Arial"/>
                <w:sz w:val="18"/>
                <w:szCs w:val="18"/>
                <w:color w:val="auto"/>
              </w:rPr>
              <w:t>(7)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42"/>
              <w:spacing w:after="0"/>
              <w:rPr>
                <w:sz w:val="20"/>
                <w:szCs w:val="20"/>
                <w:color w:val="auto"/>
              </w:rPr>
            </w:pPr>
            <w:r>
              <w:rPr>
                <w:rFonts w:ascii="Arial" w:cs="Arial" w:eastAsia="Arial" w:hAnsi="Arial"/>
                <w:sz w:val="18"/>
                <w:szCs w:val="18"/>
                <w:color w:val="auto"/>
              </w:rPr>
              <w:t>(1)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proceeds (payments) on transfers</w:t>
            </w:r>
            <w:r>
              <w:rPr>
                <w:rFonts w:ascii="Arial" w:cs="Arial" w:eastAsia="Arial" w:hAnsi="Arial"/>
                <w:sz w:val="11"/>
                <w:szCs w:val="11"/>
                <w:color w:val="auto"/>
              </w:rPr>
              <w:t>(b)</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5E5"/>
          </w:tcPr>
          <w:p>
            <w:pPr>
              <w:jc w:val="right"/>
              <w:ind w:right="302"/>
              <w:spacing w:after="0"/>
              <w:rPr>
                <w:sz w:val="20"/>
                <w:szCs w:val="20"/>
                <w:color w:val="auto"/>
              </w:rPr>
            </w:pPr>
            <w:r>
              <w:rPr>
                <w:rFonts w:ascii="Arial" w:cs="Arial" w:eastAsia="Arial" w:hAnsi="Arial"/>
                <w:sz w:val="18"/>
                <w:szCs w:val="18"/>
                <w:color w:val="auto"/>
              </w:rPr>
              <w:t>293</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5E5"/>
          </w:tcPr>
          <w:p>
            <w:pPr>
              <w:jc w:val="right"/>
              <w:ind w:right="217"/>
              <w:spacing w:after="0"/>
              <w:rPr>
                <w:sz w:val="20"/>
                <w:szCs w:val="20"/>
                <w:color w:val="auto"/>
              </w:rPr>
            </w:pPr>
            <w:r>
              <w:rPr>
                <w:rFonts w:ascii="Arial" w:cs="Arial" w:eastAsia="Arial" w:hAnsi="Arial"/>
                <w:sz w:val="18"/>
                <w:szCs w:val="18"/>
                <w:color w:val="auto"/>
              </w:rPr>
              <w:t>(168)</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5E5"/>
          </w:tcPr>
          <w:p>
            <w:pPr>
              <w:jc w:val="right"/>
              <w:ind w:right="302"/>
              <w:spacing w:after="0"/>
              <w:rPr>
                <w:sz w:val="20"/>
                <w:szCs w:val="20"/>
                <w:color w:val="auto"/>
              </w:rPr>
            </w:pPr>
            <w:r>
              <w:rPr>
                <w:rFonts w:ascii="Arial" w:cs="Arial" w:eastAsia="Arial" w:hAnsi="Arial"/>
                <w:sz w:val="18"/>
                <w:szCs w:val="18"/>
                <w:color w:val="auto"/>
              </w:rPr>
              <w:t>70</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(loss) gain on sale is included in other income (expense), net in our condensed consolidated statement of income.</w:t>
      </w: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cash proceeds (payments) on transfers are included within net cash provided by operating activities in our condensed consolidated statement of cash flows.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 Monetized and Deferred Consideration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4720" w:type="dxa"/>
            <w:vAlign w:val="bottom"/>
            <w:gridSpan w:val="2"/>
          </w:tcPr>
          <w:p>
            <w:pPr>
              <w:ind w:left="3500"/>
              <w:spacing w:after="0"/>
              <w:rPr>
                <w:sz w:val="20"/>
                <w:szCs w:val="20"/>
                <w:color w:val="auto"/>
              </w:rPr>
            </w:pPr>
            <w:r>
              <w:rPr>
                <w:rFonts w:ascii="Arial" w:cs="Arial" w:eastAsia="Arial" w:hAnsi="Arial"/>
                <w:sz w:val="14"/>
                <w:szCs w:val="14"/>
                <w:color w:val="auto"/>
              </w:rPr>
              <w:t>September 30,</w:t>
            </w:r>
          </w:p>
        </w:tc>
        <w:tc>
          <w:tcPr>
            <w:tcW w:w="1260" w:type="dxa"/>
            <w:vAlign w:val="bottom"/>
            <w:gridSpan w:val="2"/>
          </w:tcPr>
          <w:p>
            <w:pPr>
              <w:ind w:left="440"/>
              <w:spacing w:after="0"/>
              <w:rPr>
                <w:sz w:val="20"/>
                <w:szCs w:val="20"/>
                <w:color w:val="auto"/>
              </w:rPr>
            </w:pPr>
            <w:r>
              <w:rPr>
                <w:rFonts w:ascii="Arial" w:cs="Arial" w:eastAsia="Arial" w:hAnsi="Arial"/>
                <w:sz w:val="14"/>
                <w:szCs w:val="14"/>
                <w:color w:val="auto"/>
                <w:w w:val="90"/>
              </w:rPr>
              <w:t>December 31,</w:t>
            </w:r>
          </w:p>
        </w:tc>
      </w:tr>
      <w:tr>
        <w:trPr>
          <w:trHeight w:val="159"/>
        </w:trPr>
        <w:tc>
          <w:tcPr>
            <w:tcW w:w="54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6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19"/>
              <w:spacing w:after="0" w:line="159" w:lineRule="exact"/>
              <w:rPr>
                <w:sz w:val="20"/>
                <w:szCs w:val="20"/>
                <w:color w:val="auto"/>
              </w:rPr>
            </w:pPr>
            <w:r>
              <w:rPr>
                <w:rFonts w:ascii="Arial" w:cs="Arial" w:eastAsia="Arial" w:hAnsi="Arial"/>
                <w:sz w:val="14"/>
                <w:szCs w:val="14"/>
                <w:color w:val="auto"/>
              </w:rPr>
              <w:t>2012</w:t>
            </w:r>
          </w:p>
        </w:tc>
        <w:tc>
          <w:tcPr>
            <w:tcW w:w="6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9"/>
              <w:spacing w:after="0" w:line="159" w:lineRule="exact"/>
              <w:rPr>
                <w:sz w:val="20"/>
                <w:szCs w:val="20"/>
                <w:color w:val="auto"/>
              </w:rPr>
            </w:pPr>
            <w:r>
              <w:rPr>
                <w:rFonts w:ascii="Arial" w:cs="Arial" w:eastAsia="Arial" w:hAnsi="Arial"/>
                <w:sz w:val="14"/>
                <w:szCs w:val="14"/>
                <w:color w:val="auto"/>
              </w:rPr>
              <w:t>2011</w:t>
            </w:r>
          </w:p>
        </w:tc>
      </w:tr>
      <w:tr>
        <w:trPr>
          <w:trHeight w:val="210"/>
        </w:trPr>
        <w:tc>
          <w:tcPr>
            <w:tcW w:w="5440" w:type="dxa"/>
            <w:vAlign w:val="bottom"/>
            <w:shd w:val="clear" w:color="auto" w:fill="E5E5E5"/>
          </w:tcPr>
          <w:p>
            <w:pPr>
              <w:spacing w:after="0"/>
              <w:rPr>
                <w:sz w:val="20"/>
                <w:szCs w:val="20"/>
                <w:color w:val="auto"/>
              </w:rPr>
            </w:pPr>
            <w:r>
              <w:rPr>
                <w:rFonts w:ascii="Arial" w:cs="Arial" w:eastAsia="Arial" w:hAnsi="Arial"/>
                <w:sz w:val="18"/>
                <w:szCs w:val="18"/>
                <w:color w:val="auto"/>
              </w:rPr>
              <w:t>Monetized receivables sold</w:t>
            </w:r>
          </w:p>
        </w:tc>
        <w:tc>
          <w:tcPr>
            <w:tcW w:w="3660" w:type="dxa"/>
            <w:vAlign w:val="bottom"/>
            <w:shd w:val="clear" w:color="auto" w:fill="E5E5E5"/>
          </w:tcPr>
          <w:p>
            <w:pPr>
              <w:ind w:left="35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359"/>
              <w:spacing w:after="0"/>
              <w:rPr>
                <w:sz w:val="20"/>
                <w:szCs w:val="20"/>
                <w:color w:val="auto"/>
              </w:rPr>
            </w:pPr>
            <w:r>
              <w:rPr>
                <w:rFonts w:ascii="Arial" w:cs="Arial" w:eastAsia="Arial" w:hAnsi="Arial"/>
                <w:sz w:val="18"/>
                <w:szCs w:val="18"/>
                <w:color w:val="auto"/>
              </w:rPr>
              <w:t>896</w:t>
            </w:r>
          </w:p>
        </w:tc>
        <w:tc>
          <w:tcPr>
            <w:tcW w:w="6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961</w:t>
            </w:r>
          </w:p>
        </w:tc>
      </w:tr>
      <w:tr>
        <w:trPr>
          <w:trHeight w:val="216"/>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consideration</w:t>
            </w:r>
          </w:p>
        </w:tc>
        <w:tc>
          <w:tcPr>
            <w:tcW w:w="3660" w:type="dxa"/>
            <w:vAlign w:val="bottom"/>
            <w:tcBorders>
              <w:bottom w:val="single" w:sz="8" w:color="auto"/>
            </w:tcBorders>
          </w:tcPr>
          <w:p>
            <w:pPr>
              <w:ind w:left="35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8"/>
                <w:szCs w:val="18"/>
                <w:color w:val="auto"/>
              </w:rPr>
              <w:t>372</w:t>
            </w:r>
          </w:p>
        </w:tc>
        <w:tc>
          <w:tcPr>
            <w:tcW w:w="6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r>
    </w:tbl>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amounts presented above, we had $1 billion and $781 million payable to our monetization programs as of September 30, 2012 and December 31, 2011, respectively. These amounts represent cash receipts that have not yet been remitted to the monetization programs as of the balance sheet date and are recorded to accounts payable and accrued expenses related to trade creditors.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Cases</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defendants in two purported class actions originally filed in December 2003 in the United States District Courts for the District of Massachusetts and the Eastern District of Pennsylvania. The potential class in the Massachusetts case, which has been transferred to the Eastern District of Pennsylvania, is our customer base in the “Boston Cluster” area, and the potential class in the Pennsylvania case is our customer base in the “Philadelphia and Chicago Clusters,” as those terms are defined in the complaints. In each case, the plaintiffs allege that certain customer exchange transactions with other cable providers resulted in unlawful horizontal market restraints in those areas and seek damages under antitrust statutes, including treble damages.</w:t>
      </w:r>
    </w:p>
    <w:p>
      <w:pPr>
        <w:spacing w:after="0" w:line="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Classes of Chicago Cluster and Philadelphia Cluster customers were certified in October 2007 and January 2010, respectively. We appealed the class certification in the Philadelphia Cluster case to the Third Circuit Court of Appeals, which affirmed the class certification in August 2011 and denied our petition for a rehearing en banc in September 2011. In March 2010, we moved for summary judgment dismissing all of the plaintiffs’ claims in the Philadelphia Cluster. In April 2012, the District Court issued a decision dismissing some of the plaintiffs’ claims, but allowing two claims to proceed to trial. The plaintiffs’ claims concerning the other two clusters are stayed pending determination of the Philadelphia Cluster claims. In June 2012, the U.S. Supreme Court granted our petition to review the Third Circuit Court of Appeals’ ruling, and has scheduled oral argument for November 2012. In September 2012, the trial court stayed all trial and pretrial proceedings pending resolution of the Supreme Court appeal.</w:t>
      </w:r>
    </w:p>
    <w:p>
      <w:pPr>
        <w:spacing w:after="0" w:line="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are among the defendants in a purported class action filed in the United States District Court for the Central District of California in September 2007. The potential class is comprised of all persons residing in the United States who have subscribed to an expanded basic level of video service provided by one of the defendants. The plaintiffs allege that the defendants who produce video programming have entered into agreements with the defendants who distribute video programming via cable and satellite (including us), which preclude the distributor defendants from reselling channels to customers on an “unbundled” basis in violation of federal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antitrust laws. The plaintiffs seek treble damages and injunctive relief requiring each distributor defendant to resell certain channels to its customers on an “unbundled” basis. In October 2009, the Central District of California issued an order dismissing the plaintiffs’ complaint with prejudice. In March 2012, a panel of the Ninth Circuit Court of Appeals affirmed the District Court’s order. In April 2012, the plaintiffs filed a petition for a rehearing, which the Ninth Circuit denied in May 2012. In August 2012, the plaintiffs filed a petition for writ of certiorari with the U.S. Supreme Court, and in October 2012, we filed a brief in opposition to the petition.</w:t>
      </w:r>
    </w:p>
    <w:p>
      <w:pPr>
        <w:spacing w:after="0" w:line="4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we are the defendant in 22 purported class actions filed in federal district courts throughout the country. All of these actions have been consolidated by the Judicial Panel on Multidistrict Litigation in the United States District Court for the Eastern District of Pennsylvania for pre-trial proceedings. In a consolidated complaint filed in November 2009 on behalf of all plaintiffs in the multidistrict litigation, the plaintiffs allege that we improperly “tie” the rental of set-top boxes to the provision of premium cable services in violation of Section 1 of the Sherman Antitrust Act, various state antitrust laws and unfair/deceptive trade practices acts in California, Illinois and Alabama. The plaintiffs also allege a claim for unjust enrichment and seek relief on behalf of a nationwide class of our premium cable customers and on behalf of subclasses consisting of premium cable customers from California, Alabama, Illinois, Pennsylvania and Washington. In January 2010, we moved to compel arbitration of the plaintiffs’ claims for unjust enrichment and violations of the unfair/deceptive trade practices acts of Illinois and Alabama. In September 2010, the plaintiffs filed an amended complaint alleging violations of additional state antitrust laws and unfair/deceptive trade practices acts on behalf of new subclasses in Connecticut, Florida, Minnesota, Missouri, New Jersey, New Mexico and West Virginia. In the amended complaint, plaintiffs omitted their unjust enrichment claim, as well as their state law claims on behalf of the Alabama, Illinois and Pennsylvania subclasses. In June 2011, the plaintiffs filed another amended complaint alleging only violations of Section 1 of the Sherman Antitrust Act, antitrust law in Washington and unfair/deceptive trade practices acts in California and Washington. The plaintiffs seek relief on behalf of a nationwide class of our premium cable customers and on behalf of subclasses consisting of premium cable customers from California and Washington. In July 2011, we moved to compel arbitration of certain claims and to stay the remaining claims pending arbitration.</w:t>
      </w:r>
    </w:p>
    <w:p>
      <w:pPr>
        <w:spacing w:after="0" w:line="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West Virginia Attorney General also filed a complaint in West Virginia state court in July 2009 alleging that we improperly “tie” the rental of set-top boxes to the provision of digital cable services in violation of the West Virginia Antitrust Act and the West Virginia Consumer Credit and Protection Act. The Attorney General also alleges a claim for unjust enrichment/restitution. We removed the case to the United States District Court for West Virginia, and it was subsequently transferred to the United States District Court for the Eastern District of Pennsylvania and consolidated with the multidistrict litigation described above. In March 2010, the Eastern District of Pennsylvania denied the Attorney General’s motion to remand the case back to West Virginia state court. In June 2010, the Attorney General moved to sever and remand the portion of the claims seeking civil penalties and injunctive relief back to West Virginia state court. We filed a brief in opposition to the motion in July 2010.</w:t>
      </w:r>
    </w:p>
    <w:p>
      <w:pPr>
        <w:spacing w:after="0" w:line="5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believe the claims in each of the pending actions described above in this item are without merit and intend to defend the actions vigorously. We cannot predict the outcome of any of the actions described above, including a range of possible loss, or how the final resolution of any such actions would impact our results of operations or cash flows for any one period or our consolidated financial position. In addition, as any action nears a trial, there is an increased possibility that the action may be settled by the parties. Nevertheless, the final disposition of any of the above actions is not expected to have a material adverse effect on our consolidated financial position, but could possibly be material to our consolidated results of operations or cash flows for any one period.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We are also subject to other legal proceedings and claims that arise in the ordinary course of our business. While the amount of ultimate liability with respect to such actions is not expected to materially affect our financial position, results of operations or cash flows, any litigation resulting from any such legal proceedings or claims could be time consuming, costly and injure our reputation.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Financial Data by Business Segment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five reportable business segments:</w:t>
      </w:r>
    </w:p>
    <w:p>
      <w:pPr>
        <w:spacing w:after="0" w:line="71" w:lineRule="exact"/>
        <w:rPr>
          <w:sz w:val="20"/>
          <w:szCs w:val="20"/>
          <w:color w:val="auto"/>
        </w:rPr>
      </w:pPr>
    </w:p>
    <w:p>
      <w:pPr>
        <w:ind w:left="1020" w:right="1240" w:hanging="215"/>
        <w:spacing w:after="0" w:line="27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Cable Communications</w:t>
      </w:r>
      <w:r>
        <w:rPr>
          <w:rFonts w:ascii="Arial" w:cs="Arial" w:eastAsia="Arial" w:hAnsi="Arial"/>
          <w:sz w:val="18"/>
          <w:szCs w:val="18"/>
          <w:color w:val="auto"/>
        </w:rPr>
        <w:t>: Consists primarily of video, high-speed Internet and voice services (“cable services”) for residential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and business customers in the United States.</w:t>
      </w:r>
    </w:p>
    <w:p>
      <w:pPr>
        <w:spacing w:after="0" w:line="25" w:lineRule="exact"/>
        <w:rPr>
          <w:rFonts w:ascii="Arial" w:cs="Arial" w:eastAsia="Arial" w:hAnsi="Arial"/>
          <w:sz w:val="18"/>
          <w:szCs w:val="18"/>
          <w:color w:val="auto"/>
        </w:rPr>
      </w:pPr>
    </w:p>
    <w:p>
      <w:pPr>
        <w:ind w:left="1020" w:right="1240" w:hanging="215"/>
        <w:spacing w:after="0" w:line="325"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Cable Networks</w:t>
      </w:r>
      <w:r>
        <w:rPr>
          <w:rFonts w:ascii="Arial" w:cs="Arial" w:eastAsia="Arial" w:hAnsi="Arial"/>
          <w:sz w:val="16"/>
          <w:szCs w:val="16"/>
          <w:color w:val="auto"/>
        </w:rPr>
        <w:t>: Consists primarily of our national cable television networks, our regional sports and news networks, our</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cable networks, our cable television production studio, and our related digital media properties.</w:t>
      </w:r>
    </w:p>
    <w:p>
      <w:pPr>
        <w:spacing w:after="0" w:line="1" w:lineRule="exact"/>
        <w:rPr>
          <w:rFonts w:ascii="Arial" w:cs="Arial" w:eastAsia="Arial" w:hAnsi="Arial"/>
          <w:sz w:val="16"/>
          <w:szCs w:val="16"/>
          <w:color w:val="auto"/>
        </w:rPr>
      </w:pPr>
    </w:p>
    <w:p>
      <w:pPr>
        <w:ind w:left="1020" w:right="1240" w:hanging="215"/>
        <w:spacing w:after="0" w:line="325"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Broadcast Television</w:t>
      </w:r>
      <w:r>
        <w:rPr>
          <w:rFonts w:ascii="Arial" w:cs="Arial" w:eastAsia="Arial" w:hAnsi="Arial"/>
          <w:sz w:val="16"/>
          <w:szCs w:val="16"/>
          <w:color w:val="auto"/>
        </w:rPr>
        <w:t>: Consists primarily of the NBC and Telemundo broadcast networks, our NBC and Telemundo owned local</w:t>
      </w:r>
      <w:r>
        <w:rPr>
          <w:rFonts w:ascii="Arial" w:cs="Arial" w:eastAsia="Arial" w:hAnsi="Arial"/>
          <w:sz w:val="16"/>
          <w:szCs w:val="16"/>
          <w:b w:val="1"/>
          <w:bCs w:val="1"/>
          <w:color w:val="auto"/>
        </w:rPr>
        <w:t xml:space="preserve"> </w:t>
      </w:r>
      <w:r>
        <w:rPr>
          <w:rFonts w:ascii="Arial" w:cs="Arial" w:eastAsia="Arial" w:hAnsi="Arial"/>
          <w:sz w:val="16"/>
          <w:szCs w:val="16"/>
          <w:color w:val="auto"/>
        </w:rPr>
        <w:t>television stations, our broadcast television production operations, and our related digital media properties.</w:t>
      </w:r>
    </w:p>
    <w:p>
      <w:pPr>
        <w:spacing w:after="0" w:line="1" w:lineRule="exact"/>
        <w:rPr>
          <w:rFonts w:ascii="Arial" w:cs="Arial" w:eastAsia="Arial" w:hAnsi="Arial"/>
          <w:sz w:val="16"/>
          <w:szCs w:val="16"/>
          <w:color w:val="auto"/>
        </w:rPr>
      </w:pPr>
    </w:p>
    <w:p>
      <w:pPr>
        <w:ind w:left="1020" w:right="1240" w:hanging="215"/>
        <w:spacing w:after="0" w:line="27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of the operations of Universal Pictures, which primarily produces, acquires, markets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filmed entertainment worldwide.</w:t>
      </w:r>
    </w:p>
    <w:p>
      <w:pPr>
        <w:spacing w:after="0" w:line="25" w:lineRule="exact"/>
        <w:rPr>
          <w:rFonts w:ascii="Arial" w:cs="Arial" w:eastAsia="Arial" w:hAnsi="Arial"/>
          <w:sz w:val="18"/>
          <w:szCs w:val="18"/>
          <w:color w:val="auto"/>
        </w:rPr>
      </w:pPr>
    </w:p>
    <w:p>
      <w:pPr>
        <w:ind w:left="1020" w:hanging="21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and Hollywood.</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color w:val="auto"/>
              </w:rPr>
              <w:t>Three Months Ended September 30, 2012</w:t>
            </w: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120" w:type="dxa"/>
            <w:vAlign w:val="bottom"/>
            <w:gridSpan w:val="2"/>
          </w:tcPr>
          <w:p>
            <w:pPr>
              <w:ind w:left="360"/>
              <w:spacing w:after="0" w:line="131" w:lineRule="exact"/>
              <w:rPr>
                <w:sz w:val="20"/>
                <w:szCs w:val="20"/>
                <w:color w:val="auto"/>
              </w:rPr>
            </w:pPr>
            <w:r>
              <w:rPr>
                <w:rFonts w:ascii="Arial" w:cs="Arial" w:eastAsia="Arial" w:hAnsi="Arial"/>
                <w:sz w:val="14"/>
                <w:szCs w:val="14"/>
                <w:color w:val="auto"/>
              </w:rPr>
              <w:t>Operating Income (Loss)</w:t>
            </w:r>
          </w:p>
        </w:tc>
        <w:tc>
          <w:tcPr>
            <w:tcW w:w="4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660" w:type="dxa"/>
            <w:vAlign w:val="bottom"/>
            <w:gridSpan w:val="2"/>
            <w:vMerge w:val="restart"/>
          </w:tcPr>
          <w:p>
            <w:pPr>
              <w:ind w:left="66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(g)</w:t>
            </w:r>
          </w:p>
        </w:tc>
        <w:tc>
          <w:tcPr>
            <w:tcW w:w="2120" w:type="dxa"/>
            <w:vAlign w:val="bottom"/>
            <w:gridSpan w:val="2"/>
          </w:tcPr>
          <w:p>
            <w:pPr>
              <w:ind w:left="380"/>
              <w:spacing w:after="0" w:line="133" w:lineRule="exact"/>
              <w:rPr>
                <w:sz w:val="20"/>
                <w:szCs w:val="20"/>
                <w:color w:val="auto"/>
              </w:rPr>
            </w:pPr>
            <w:r>
              <w:rPr>
                <w:rFonts w:ascii="Arial" w:cs="Arial" w:eastAsia="Arial" w:hAnsi="Arial"/>
                <w:sz w:val="14"/>
                <w:szCs w:val="14"/>
                <w:color w:val="auto"/>
              </w:rPr>
              <w:t>Before Depreciation and</w:t>
            </w:r>
          </w:p>
        </w:tc>
        <w:tc>
          <w:tcPr>
            <w:tcW w:w="1940" w:type="dxa"/>
            <w:vAlign w:val="bottom"/>
            <w:gridSpan w:val="2"/>
          </w:tcPr>
          <w:p>
            <w:pPr>
              <w:ind w:left="360"/>
              <w:spacing w:after="0" w:line="133" w:lineRule="exact"/>
              <w:rPr>
                <w:sz w:val="20"/>
                <w:szCs w:val="20"/>
                <w:color w:val="auto"/>
              </w:rPr>
            </w:pPr>
            <w:r>
              <w:rPr>
                <w:rFonts w:ascii="Arial" w:cs="Arial" w:eastAsia="Arial" w:hAnsi="Arial"/>
                <w:sz w:val="14"/>
                <w:szCs w:val="14"/>
                <w:color w:val="auto"/>
              </w:rPr>
              <w:t>Depreciation and</w:t>
            </w:r>
          </w:p>
        </w:tc>
        <w:tc>
          <w:tcPr>
            <w:tcW w:w="1520" w:type="dxa"/>
            <w:vAlign w:val="bottom"/>
            <w:gridSpan w:val="2"/>
          </w:tcPr>
          <w:p>
            <w:pPr>
              <w:ind w:left="120"/>
              <w:spacing w:after="0" w:line="133" w:lineRule="exact"/>
              <w:rPr>
                <w:sz w:val="20"/>
                <w:szCs w:val="20"/>
                <w:color w:val="auto"/>
              </w:rPr>
            </w:pPr>
            <w:r>
              <w:rPr>
                <w:rFonts w:ascii="Arial" w:cs="Arial" w:eastAsia="Arial" w:hAnsi="Arial"/>
                <w:sz w:val="14"/>
                <w:szCs w:val="14"/>
                <w:color w:val="auto"/>
              </w:rPr>
              <w:t>Operating Income</w:t>
            </w:r>
          </w:p>
        </w:tc>
        <w:tc>
          <w:tcPr>
            <w:tcW w:w="48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0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6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tcPr>
          <w:p>
            <w:pPr>
              <w:jc w:val="center"/>
              <w:ind w:right="496"/>
              <w:spacing w:after="0" w:line="176" w:lineRule="exact"/>
              <w:rPr>
                <w:sz w:val="20"/>
                <w:szCs w:val="20"/>
                <w:color w:val="auto"/>
              </w:rPr>
            </w:pPr>
            <w:r>
              <w:rPr>
                <w:rFonts w:ascii="Arial" w:cs="Arial" w:eastAsia="Arial" w:hAnsi="Arial"/>
                <w:sz w:val="13"/>
                <w:szCs w:val="13"/>
                <w:color w:val="auto"/>
                <w:w w:val="97"/>
              </w:rPr>
              <w:t>Amortization</w:t>
            </w:r>
            <w:r>
              <w:rPr>
                <w:rFonts w:ascii="Arial" w:cs="Arial" w:eastAsia="Arial" w:hAnsi="Arial"/>
                <w:sz w:val="20"/>
                <w:szCs w:val="20"/>
                <w:color w:val="auto"/>
                <w:w w:val="97"/>
                <w:vertAlign w:val="superscript"/>
              </w:rPr>
              <w:t>(h)</w:t>
            </w:r>
          </w:p>
        </w:tc>
        <w:tc>
          <w:tcPr>
            <w:tcW w:w="460" w:type="dxa"/>
            <w:vAlign w:val="bottom"/>
          </w:tcPr>
          <w:p>
            <w:pPr>
              <w:spacing w:after="0"/>
              <w:rPr>
                <w:sz w:val="15"/>
                <w:szCs w:val="15"/>
                <w:color w:val="auto"/>
              </w:rPr>
            </w:pPr>
          </w:p>
        </w:tc>
        <w:tc>
          <w:tcPr>
            <w:tcW w:w="1480" w:type="dxa"/>
            <w:vAlign w:val="bottom"/>
          </w:tcPr>
          <w:p>
            <w:pPr>
              <w:jc w:val="right"/>
              <w:ind w:right="654"/>
              <w:spacing w:after="0"/>
              <w:rPr>
                <w:sz w:val="20"/>
                <w:szCs w:val="20"/>
                <w:color w:val="auto"/>
              </w:rPr>
            </w:pPr>
            <w:r>
              <w:rPr>
                <w:rFonts w:ascii="Arial" w:cs="Arial" w:eastAsia="Arial" w:hAnsi="Arial"/>
                <w:sz w:val="14"/>
                <w:szCs w:val="14"/>
                <w:color w:val="auto"/>
                <w:w w:val="92"/>
              </w:rPr>
              <w:t>Amortization</w:t>
            </w:r>
          </w:p>
        </w:tc>
        <w:tc>
          <w:tcPr>
            <w:tcW w:w="320" w:type="dxa"/>
            <w:vAlign w:val="bottom"/>
          </w:tcPr>
          <w:p>
            <w:pPr>
              <w:spacing w:after="0"/>
              <w:rPr>
                <w:sz w:val="15"/>
                <w:szCs w:val="15"/>
                <w:color w:val="auto"/>
              </w:rPr>
            </w:pPr>
          </w:p>
        </w:tc>
        <w:tc>
          <w:tcPr>
            <w:tcW w:w="1200" w:type="dxa"/>
            <w:vAlign w:val="bottom"/>
          </w:tcPr>
          <w:p>
            <w:pPr>
              <w:jc w:val="right"/>
              <w:ind w:right="654"/>
              <w:spacing w:after="0"/>
              <w:rPr>
                <w:sz w:val="20"/>
                <w:szCs w:val="20"/>
                <w:color w:val="auto"/>
              </w:rPr>
            </w:pPr>
            <w:r>
              <w:rPr>
                <w:rFonts w:ascii="Arial" w:cs="Arial" w:eastAsia="Arial" w:hAnsi="Arial"/>
                <w:sz w:val="14"/>
                <w:szCs w:val="14"/>
                <w:color w:val="auto"/>
              </w:rPr>
              <w:t>(Loss)</w:t>
            </w:r>
          </w:p>
        </w:tc>
        <w:tc>
          <w:tcPr>
            <w:tcW w:w="1160" w:type="dxa"/>
            <w:vAlign w:val="bottom"/>
            <w:gridSpan w:val="2"/>
          </w:tcPr>
          <w:p>
            <w:pPr>
              <w:ind w:left="36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800" w:type="dxa"/>
            <w:vAlign w:val="bottom"/>
            <w:tcBorders>
              <w:top w:val="single" w:sz="8" w:color="auto"/>
            </w:tcBorders>
            <w:shd w:val="clear" w:color="auto" w:fill="E5E5E5"/>
          </w:tcPr>
          <w:p>
            <w:pPr>
              <w:ind w:left="6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E5E5E5"/>
          </w:tcPr>
          <w:p>
            <w:pPr>
              <w:jc w:val="right"/>
              <w:ind w:right="312"/>
              <w:spacing w:after="0"/>
              <w:rPr>
                <w:sz w:val="20"/>
                <w:szCs w:val="20"/>
                <w:color w:val="auto"/>
              </w:rPr>
            </w:pPr>
            <w:r>
              <w:rPr>
                <w:rFonts w:ascii="Arial" w:cs="Arial" w:eastAsia="Arial" w:hAnsi="Arial"/>
                <w:sz w:val="18"/>
                <w:szCs w:val="18"/>
                <w:color w:val="auto"/>
                <w:w w:val="97"/>
              </w:rPr>
              <w:t>9,976</w:t>
            </w:r>
          </w:p>
        </w:tc>
        <w:tc>
          <w:tcPr>
            <w:tcW w:w="520" w:type="dxa"/>
            <w:vAlign w:val="bottom"/>
            <w:tcBorders>
              <w:top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shd w:val="clear" w:color="auto" w:fill="E5E5E5"/>
          </w:tcPr>
          <w:p>
            <w:pPr>
              <w:jc w:val="right"/>
              <w:ind w:right="316"/>
              <w:spacing w:after="0"/>
              <w:rPr>
                <w:sz w:val="20"/>
                <w:szCs w:val="20"/>
                <w:color w:val="auto"/>
              </w:rPr>
            </w:pPr>
            <w:r>
              <w:rPr>
                <w:rFonts w:ascii="Arial" w:cs="Arial" w:eastAsia="Arial" w:hAnsi="Arial"/>
                <w:sz w:val="18"/>
                <w:szCs w:val="18"/>
                <w:color w:val="auto"/>
              </w:rPr>
              <w:t>3,998</w:t>
            </w:r>
          </w:p>
        </w:tc>
        <w:tc>
          <w:tcPr>
            <w:tcW w:w="460" w:type="dxa"/>
            <w:vAlign w:val="bottom"/>
            <w:tcBorders>
              <w:top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E5E5E5"/>
          </w:tcPr>
          <w:p>
            <w:pPr>
              <w:jc w:val="right"/>
              <w:ind w:right="554"/>
              <w:spacing w:after="0"/>
              <w:rPr>
                <w:sz w:val="20"/>
                <w:szCs w:val="20"/>
                <w:color w:val="auto"/>
              </w:rPr>
            </w:pPr>
            <w:r>
              <w:rPr>
                <w:rFonts w:ascii="Arial" w:cs="Arial" w:eastAsia="Arial" w:hAnsi="Arial"/>
                <w:sz w:val="18"/>
                <w:szCs w:val="18"/>
                <w:color w:val="auto"/>
              </w:rPr>
              <w:t>1,607</w:t>
            </w:r>
          </w:p>
        </w:tc>
        <w:tc>
          <w:tcPr>
            <w:tcW w:w="320" w:type="dxa"/>
            <w:vAlign w:val="bottom"/>
            <w:tcBorders>
              <w:top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E5E5E5"/>
          </w:tcPr>
          <w:p>
            <w:pPr>
              <w:jc w:val="right"/>
              <w:ind w:right="334"/>
              <w:spacing w:after="0"/>
              <w:rPr>
                <w:sz w:val="20"/>
                <w:szCs w:val="20"/>
                <w:color w:val="auto"/>
              </w:rPr>
            </w:pPr>
            <w:r>
              <w:rPr>
                <w:rFonts w:ascii="Arial" w:cs="Arial" w:eastAsia="Arial" w:hAnsi="Arial"/>
                <w:sz w:val="18"/>
                <w:szCs w:val="18"/>
                <w:color w:val="auto"/>
              </w:rPr>
              <w:t>2,391</w:t>
            </w:r>
          </w:p>
        </w:tc>
        <w:tc>
          <w:tcPr>
            <w:tcW w:w="480" w:type="dxa"/>
            <w:vAlign w:val="bottom"/>
            <w:tcBorders>
              <w:top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NBCUniversal</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Cable Networks</w:t>
            </w:r>
          </w:p>
        </w:tc>
        <w:tc>
          <w:tcPr>
            <w:tcW w:w="8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w w:val="97"/>
              </w:rPr>
              <w:t>2,165</w:t>
            </w:r>
          </w:p>
        </w:tc>
        <w:tc>
          <w:tcPr>
            <w:tcW w:w="52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316"/>
              <w:spacing w:after="0"/>
              <w:rPr>
                <w:sz w:val="20"/>
                <w:szCs w:val="20"/>
                <w:color w:val="auto"/>
              </w:rPr>
            </w:pPr>
            <w:r>
              <w:rPr>
                <w:rFonts w:ascii="Arial" w:cs="Arial" w:eastAsia="Arial" w:hAnsi="Arial"/>
                <w:sz w:val="18"/>
                <w:szCs w:val="18"/>
                <w:color w:val="auto"/>
              </w:rPr>
              <w:t>809</w:t>
            </w:r>
          </w:p>
        </w:tc>
        <w:tc>
          <w:tcPr>
            <w:tcW w:w="46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54"/>
              <w:spacing w:after="0"/>
              <w:rPr>
                <w:sz w:val="20"/>
                <w:szCs w:val="20"/>
                <w:color w:val="auto"/>
              </w:rPr>
            </w:pPr>
            <w:r>
              <w:rPr>
                <w:rFonts w:ascii="Arial" w:cs="Arial" w:eastAsia="Arial" w:hAnsi="Arial"/>
                <w:sz w:val="18"/>
                <w:szCs w:val="18"/>
                <w:color w:val="auto"/>
              </w:rPr>
              <w:t>192</w:t>
            </w:r>
          </w:p>
        </w:tc>
        <w:tc>
          <w:tcPr>
            <w:tcW w:w="32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34"/>
              <w:spacing w:after="0"/>
              <w:rPr>
                <w:sz w:val="20"/>
                <w:szCs w:val="20"/>
                <w:color w:val="auto"/>
              </w:rPr>
            </w:pPr>
            <w:r>
              <w:rPr>
                <w:rFonts w:ascii="Arial" w:cs="Arial" w:eastAsia="Arial" w:hAnsi="Arial"/>
                <w:sz w:val="18"/>
                <w:szCs w:val="18"/>
                <w:color w:val="auto"/>
              </w:rPr>
              <w:t>617</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Broadcast Television</w:t>
            </w:r>
            <w:r>
              <w:rPr>
                <w:rFonts w:ascii="Arial" w:cs="Arial" w:eastAsia="Arial" w:hAnsi="Arial"/>
                <w:sz w:val="11"/>
                <w:szCs w:val="11"/>
                <w:color w:val="auto"/>
              </w:rPr>
              <w:t>(c)</w:t>
            </w:r>
          </w:p>
        </w:tc>
        <w:tc>
          <w:tcPr>
            <w:tcW w:w="80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color w:val="auto"/>
                <w:w w:val="97"/>
              </w:rPr>
              <w:t>2,777</w:t>
            </w:r>
          </w:p>
        </w:tc>
        <w:tc>
          <w:tcPr>
            <w:tcW w:w="520" w:type="dxa"/>
            <w:vAlign w:val="bottom"/>
          </w:tcPr>
          <w:p>
            <w:pPr>
              <w:spacing w:after="0"/>
              <w:rPr>
                <w:sz w:val="18"/>
                <w:szCs w:val="18"/>
                <w:color w:val="auto"/>
              </w:rPr>
            </w:pPr>
          </w:p>
        </w:tc>
        <w:tc>
          <w:tcPr>
            <w:tcW w:w="1600" w:type="dxa"/>
            <w:vAlign w:val="bottom"/>
          </w:tcPr>
          <w:p>
            <w:pPr>
              <w:jc w:val="right"/>
              <w:ind w:right="316"/>
              <w:spacing w:after="0"/>
              <w:rPr>
                <w:sz w:val="20"/>
                <w:szCs w:val="20"/>
                <w:color w:val="auto"/>
              </w:rPr>
            </w:pPr>
            <w:r>
              <w:rPr>
                <w:rFonts w:ascii="Arial" w:cs="Arial" w:eastAsia="Arial" w:hAnsi="Arial"/>
                <w:sz w:val="18"/>
                <w:szCs w:val="18"/>
                <w:color w:val="auto"/>
              </w:rPr>
              <w:t>88</w:t>
            </w:r>
          </w:p>
        </w:tc>
        <w:tc>
          <w:tcPr>
            <w:tcW w:w="460" w:type="dxa"/>
            <w:vAlign w:val="bottom"/>
          </w:tcPr>
          <w:p>
            <w:pPr>
              <w:spacing w:after="0"/>
              <w:rPr>
                <w:sz w:val="18"/>
                <w:szCs w:val="18"/>
                <w:color w:val="auto"/>
              </w:rPr>
            </w:pPr>
          </w:p>
        </w:tc>
        <w:tc>
          <w:tcPr>
            <w:tcW w:w="1480" w:type="dxa"/>
            <w:vAlign w:val="bottom"/>
          </w:tcPr>
          <w:p>
            <w:pPr>
              <w:jc w:val="right"/>
              <w:ind w:right="554"/>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1200" w:type="dxa"/>
            <w:vAlign w:val="bottom"/>
          </w:tcPr>
          <w:p>
            <w:pPr>
              <w:jc w:val="right"/>
              <w:ind w:right="334"/>
              <w:spacing w:after="0"/>
              <w:rPr>
                <w:sz w:val="20"/>
                <w:szCs w:val="20"/>
                <w:color w:val="auto"/>
              </w:rPr>
            </w:pPr>
            <w:r>
              <w:rPr>
                <w:rFonts w:ascii="Arial" w:cs="Arial" w:eastAsia="Arial" w:hAnsi="Arial"/>
                <w:sz w:val="18"/>
                <w:szCs w:val="18"/>
                <w:color w:val="auto"/>
              </w:rPr>
              <w:t>66</w:t>
            </w:r>
          </w:p>
        </w:tc>
        <w:tc>
          <w:tcPr>
            <w:tcW w:w="4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Filmed Entertainment</w:t>
            </w:r>
          </w:p>
        </w:tc>
        <w:tc>
          <w:tcPr>
            <w:tcW w:w="8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w w:val="97"/>
              </w:rPr>
              <w:t>1,355</w:t>
            </w:r>
          </w:p>
        </w:tc>
        <w:tc>
          <w:tcPr>
            <w:tcW w:w="52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316"/>
              <w:spacing w:after="0"/>
              <w:rPr>
                <w:sz w:val="20"/>
                <w:szCs w:val="20"/>
                <w:color w:val="auto"/>
              </w:rPr>
            </w:pPr>
            <w:r>
              <w:rPr>
                <w:rFonts w:ascii="Arial" w:cs="Arial" w:eastAsia="Arial" w:hAnsi="Arial"/>
                <w:sz w:val="18"/>
                <w:szCs w:val="18"/>
                <w:color w:val="auto"/>
              </w:rPr>
              <w:t>72</w:t>
            </w:r>
          </w:p>
        </w:tc>
        <w:tc>
          <w:tcPr>
            <w:tcW w:w="46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54"/>
              <w:spacing w:after="0"/>
              <w:rPr>
                <w:sz w:val="20"/>
                <w:szCs w:val="20"/>
                <w:color w:val="auto"/>
              </w:rPr>
            </w:pPr>
            <w:r>
              <w:rPr>
                <w:rFonts w:ascii="Arial" w:cs="Arial" w:eastAsia="Arial" w:hAnsi="Arial"/>
                <w:sz w:val="18"/>
                <w:szCs w:val="18"/>
                <w:color w:val="auto"/>
              </w:rPr>
              <w:t>4</w:t>
            </w:r>
          </w:p>
        </w:tc>
        <w:tc>
          <w:tcPr>
            <w:tcW w:w="32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34"/>
              <w:spacing w:after="0"/>
              <w:rPr>
                <w:sz w:val="20"/>
                <w:szCs w:val="20"/>
                <w:color w:val="auto"/>
              </w:rPr>
            </w:pPr>
            <w:r>
              <w:rPr>
                <w:rFonts w:ascii="Arial" w:cs="Arial" w:eastAsia="Arial" w:hAnsi="Arial"/>
                <w:sz w:val="18"/>
                <w:szCs w:val="18"/>
                <w:color w:val="auto"/>
              </w:rPr>
              <w:t>68</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Theme Parks</w:t>
            </w:r>
          </w:p>
        </w:tc>
        <w:tc>
          <w:tcPr>
            <w:tcW w:w="80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color w:val="auto"/>
              </w:rPr>
              <w:t>614</w:t>
            </w:r>
          </w:p>
        </w:tc>
        <w:tc>
          <w:tcPr>
            <w:tcW w:w="520" w:type="dxa"/>
            <w:vAlign w:val="bottom"/>
          </w:tcPr>
          <w:p>
            <w:pPr>
              <w:spacing w:after="0"/>
              <w:rPr>
                <w:sz w:val="18"/>
                <w:szCs w:val="18"/>
                <w:color w:val="auto"/>
              </w:rPr>
            </w:pPr>
          </w:p>
        </w:tc>
        <w:tc>
          <w:tcPr>
            <w:tcW w:w="1600" w:type="dxa"/>
            <w:vAlign w:val="bottom"/>
          </w:tcPr>
          <w:p>
            <w:pPr>
              <w:jc w:val="right"/>
              <w:ind w:right="316"/>
              <w:spacing w:after="0"/>
              <w:rPr>
                <w:sz w:val="20"/>
                <w:szCs w:val="20"/>
                <w:color w:val="auto"/>
              </w:rPr>
            </w:pPr>
            <w:r>
              <w:rPr>
                <w:rFonts w:ascii="Arial" w:cs="Arial" w:eastAsia="Arial" w:hAnsi="Arial"/>
                <w:sz w:val="18"/>
                <w:szCs w:val="18"/>
                <w:color w:val="auto"/>
              </w:rPr>
              <w:t>316</w:t>
            </w:r>
          </w:p>
        </w:tc>
        <w:tc>
          <w:tcPr>
            <w:tcW w:w="460" w:type="dxa"/>
            <w:vAlign w:val="bottom"/>
          </w:tcPr>
          <w:p>
            <w:pPr>
              <w:spacing w:after="0"/>
              <w:rPr>
                <w:sz w:val="18"/>
                <w:szCs w:val="18"/>
                <w:color w:val="auto"/>
              </w:rPr>
            </w:pPr>
          </w:p>
        </w:tc>
        <w:tc>
          <w:tcPr>
            <w:tcW w:w="1480" w:type="dxa"/>
            <w:vAlign w:val="bottom"/>
          </w:tcPr>
          <w:p>
            <w:pPr>
              <w:jc w:val="right"/>
              <w:ind w:right="554"/>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8"/>
                <w:szCs w:val="18"/>
                <w:color w:val="auto"/>
              </w:rPr>
            </w:pPr>
          </w:p>
        </w:tc>
        <w:tc>
          <w:tcPr>
            <w:tcW w:w="1200" w:type="dxa"/>
            <w:vAlign w:val="bottom"/>
          </w:tcPr>
          <w:p>
            <w:pPr>
              <w:jc w:val="right"/>
              <w:ind w:right="334"/>
              <w:spacing w:after="0"/>
              <w:rPr>
                <w:sz w:val="20"/>
                <w:szCs w:val="20"/>
                <w:color w:val="auto"/>
              </w:rPr>
            </w:pPr>
            <w:r>
              <w:rPr>
                <w:rFonts w:ascii="Arial" w:cs="Arial" w:eastAsia="Arial" w:hAnsi="Arial"/>
                <w:sz w:val="18"/>
                <w:szCs w:val="18"/>
                <w:color w:val="auto"/>
              </w:rPr>
              <w:t>251</w:t>
            </w:r>
          </w:p>
        </w:tc>
        <w:tc>
          <w:tcPr>
            <w:tcW w:w="4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(e)</w:t>
            </w:r>
          </w:p>
        </w:tc>
        <w:tc>
          <w:tcPr>
            <w:tcW w:w="8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rPr>
              <w:t>8</w:t>
            </w:r>
          </w:p>
        </w:tc>
        <w:tc>
          <w:tcPr>
            <w:tcW w:w="52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(143)</w:t>
            </w:r>
          </w:p>
        </w:tc>
        <w:tc>
          <w:tcPr>
            <w:tcW w:w="46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54"/>
              <w:spacing w:after="0"/>
              <w:rPr>
                <w:sz w:val="20"/>
                <w:szCs w:val="20"/>
                <w:color w:val="auto"/>
              </w:rPr>
            </w:pPr>
            <w:r>
              <w:rPr>
                <w:rFonts w:ascii="Arial" w:cs="Arial" w:eastAsia="Arial" w:hAnsi="Arial"/>
                <w:sz w:val="18"/>
                <w:szCs w:val="18"/>
                <w:color w:val="auto"/>
              </w:rPr>
              <w:t>54</w:t>
            </w:r>
          </w:p>
        </w:tc>
        <w:tc>
          <w:tcPr>
            <w:tcW w:w="32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(197)</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(f)</w:t>
            </w:r>
          </w:p>
        </w:tc>
        <w:tc>
          <w:tcPr>
            <w:tcW w:w="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(97)</w:t>
            </w:r>
          </w:p>
        </w:tc>
        <w:tc>
          <w:tcPr>
            <w:tcW w:w="5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(2)</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8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w w:val="97"/>
              </w:rPr>
              <w:t>6,822</w:t>
            </w:r>
          </w:p>
        </w:tc>
        <w:tc>
          <w:tcPr>
            <w:tcW w:w="52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316"/>
              <w:spacing w:after="0"/>
              <w:rPr>
                <w:sz w:val="20"/>
                <w:szCs w:val="20"/>
                <w:color w:val="auto"/>
              </w:rPr>
            </w:pPr>
            <w:r>
              <w:rPr>
                <w:rFonts w:ascii="Arial" w:cs="Arial" w:eastAsia="Arial" w:hAnsi="Arial"/>
                <w:sz w:val="18"/>
                <w:szCs w:val="18"/>
                <w:color w:val="auto"/>
              </w:rPr>
              <w:t>1,140</w:t>
            </w:r>
          </w:p>
        </w:tc>
        <w:tc>
          <w:tcPr>
            <w:tcW w:w="46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54"/>
              <w:spacing w:after="0"/>
              <w:rPr>
                <w:sz w:val="20"/>
                <w:szCs w:val="20"/>
                <w:color w:val="auto"/>
              </w:rPr>
            </w:pPr>
            <w:r>
              <w:rPr>
                <w:rFonts w:ascii="Arial" w:cs="Arial" w:eastAsia="Arial" w:hAnsi="Arial"/>
                <w:sz w:val="18"/>
                <w:szCs w:val="18"/>
                <w:color w:val="auto"/>
              </w:rPr>
              <w:t>337</w:t>
            </w:r>
          </w:p>
        </w:tc>
        <w:tc>
          <w:tcPr>
            <w:tcW w:w="32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34"/>
              <w:spacing w:after="0"/>
              <w:rPr>
                <w:sz w:val="20"/>
                <w:szCs w:val="20"/>
                <w:color w:val="auto"/>
              </w:rPr>
            </w:pPr>
            <w:r>
              <w:rPr>
                <w:rFonts w:ascii="Arial" w:cs="Arial" w:eastAsia="Arial" w:hAnsi="Arial"/>
                <w:sz w:val="18"/>
                <w:szCs w:val="18"/>
                <w:color w:val="auto"/>
              </w:rPr>
              <w:t>803</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Corporate and Other</w:t>
            </w:r>
          </w:p>
        </w:tc>
        <w:tc>
          <w:tcPr>
            <w:tcW w:w="80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color w:val="auto"/>
              </w:rPr>
              <w:t>112</w:t>
            </w:r>
          </w:p>
        </w:tc>
        <w:tc>
          <w:tcPr>
            <w:tcW w:w="520" w:type="dxa"/>
            <w:vAlign w:val="bottom"/>
          </w:tcPr>
          <w:p>
            <w:pPr>
              <w:spacing w:after="0"/>
              <w:rPr>
                <w:sz w:val="18"/>
                <w:szCs w:val="18"/>
                <w:color w:val="auto"/>
              </w:rPr>
            </w:pPr>
          </w:p>
        </w:tc>
        <w:tc>
          <w:tcPr>
            <w:tcW w:w="1600" w:type="dxa"/>
            <w:vAlign w:val="bottom"/>
          </w:tcPr>
          <w:p>
            <w:pPr>
              <w:jc w:val="right"/>
              <w:ind w:right="256"/>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18"/>
                <w:szCs w:val="18"/>
                <w:color w:val="auto"/>
              </w:rPr>
            </w:pPr>
          </w:p>
        </w:tc>
        <w:tc>
          <w:tcPr>
            <w:tcW w:w="1480" w:type="dxa"/>
            <w:vAlign w:val="bottom"/>
          </w:tcPr>
          <w:p>
            <w:pPr>
              <w:jc w:val="right"/>
              <w:ind w:right="554"/>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1200" w:type="dxa"/>
            <w:vAlign w:val="bottom"/>
          </w:tcPr>
          <w:p>
            <w:pPr>
              <w:jc w:val="right"/>
              <w:ind w:right="274"/>
              <w:spacing w:after="0"/>
              <w:rPr>
                <w:sz w:val="20"/>
                <w:szCs w:val="20"/>
                <w:color w:val="auto"/>
              </w:rPr>
            </w:pPr>
            <w:r>
              <w:rPr>
                <w:rFonts w:ascii="Arial" w:cs="Arial" w:eastAsia="Arial" w:hAnsi="Arial"/>
                <w:sz w:val="18"/>
                <w:szCs w:val="18"/>
                <w:color w:val="auto"/>
              </w:rPr>
              <w:t>(115)</w:t>
            </w:r>
          </w:p>
        </w:tc>
        <w:tc>
          <w:tcPr>
            <w:tcW w:w="4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(f)</w:t>
            </w:r>
          </w:p>
        </w:tc>
        <w:tc>
          <w:tcPr>
            <w:tcW w:w="8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rPr>
              <w:t>(366)</w:t>
            </w:r>
          </w:p>
        </w:tc>
        <w:tc>
          <w:tcPr>
            <w:tcW w:w="520" w:type="dxa"/>
            <w:vAlign w:val="bottom"/>
            <w:tcBorders>
              <w:bottom w:val="single" w:sz="8" w:color="auto"/>
            </w:tcBorders>
            <w:shd w:val="clear" w:color="auto" w:fill="E5E5E5"/>
          </w:tcPr>
          <w:p>
            <w:pPr>
              <w:spacing w:after="0"/>
              <w:rPr>
                <w:sz w:val="18"/>
                <w:szCs w:val="18"/>
                <w:color w:val="auto"/>
              </w:rPr>
            </w:pPr>
          </w:p>
        </w:tc>
        <w:tc>
          <w:tcPr>
            <w:tcW w:w="1600" w:type="dxa"/>
            <w:vAlign w:val="bottom"/>
            <w:tcBorders>
              <w:bottom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rPr>
              <w:t>(29)</w:t>
            </w:r>
          </w:p>
        </w:tc>
        <w:tc>
          <w:tcPr>
            <w:tcW w:w="460" w:type="dxa"/>
            <w:vAlign w:val="bottom"/>
            <w:tcBorders>
              <w:bottom w:val="single" w:sz="8" w:color="auto"/>
            </w:tcBorders>
            <w:shd w:val="clear" w:color="auto" w:fill="E5E5E5"/>
          </w:tcPr>
          <w:p>
            <w:pPr>
              <w:spacing w:after="0"/>
              <w:rPr>
                <w:sz w:val="18"/>
                <w:szCs w:val="18"/>
                <w:color w:val="auto"/>
              </w:rPr>
            </w:pPr>
          </w:p>
        </w:tc>
        <w:tc>
          <w:tcPr>
            <w:tcW w:w="1480" w:type="dxa"/>
            <w:vAlign w:val="bottom"/>
            <w:tcBorders>
              <w:bottom w:val="single" w:sz="8" w:color="auto"/>
            </w:tcBorders>
            <w:shd w:val="clear" w:color="auto" w:fill="E5E5E5"/>
          </w:tcPr>
          <w:p>
            <w:pPr>
              <w:jc w:val="right"/>
              <w:ind w:right="554"/>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shd w:val="clear" w:color="auto" w:fill="E5E5E5"/>
          </w:tcPr>
          <w:p>
            <w:pPr>
              <w:spacing w:after="0"/>
              <w:rPr>
                <w:sz w:val="18"/>
                <w:szCs w:val="18"/>
                <w:color w:val="auto"/>
              </w:rPr>
            </w:pPr>
          </w:p>
        </w:tc>
        <w:tc>
          <w:tcPr>
            <w:tcW w:w="1200" w:type="dxa"/>
            <w:vAlign w:val="bottom"/>
            <w:tcBorders>
              <w:bottom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rPr>
              <w:t>(31)</w:t>
            </w:r>
          </w:p>
        </w:tc>
        <w:tc>
          <w:tcPr>
            <w:tcW w:w="4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Comcast Consolidated</w:t>
            </w:r>
          </w:p>
        </w:tc>
        <w:tc>
          <w:tcPr>
            <w:tcW w:w="166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8"/>
                <w:szCs w:val="18"/>
                <w:color w:val="auto"/>
              </w:rPr>
              <w:t>$ 16,544</w:t>
            </w:r>
          </w:p>
        </w:tc>
        <w:tc>
          <w:tcPr>
            <w:tcW w:w="5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rPr>
              <w:t>5,008</w:t>
            </w:r>
          </w:p>
        </w:tc>
        <w:tc>
          <w:tcPr>
            <w:tcW w:w="4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rPr>
              <w:t>1,960</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3,048</w:t>
            </w:r>
          </w:p>
        </w:tc>
        <w:tc>
          <w:tcPr>
            <w:tcW w:w="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color w:val="auto"/>
              </w:rPr>
              <w:t>Three Months Ended September 30, 2011</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120" w:type="dxa"/>
            <w:vAlign w:val="bottom"/>
            <w:gridSpan w:val="2"/>
          </w:tcPr>
          <w:p>
            <w:pPr>
              <w:ind w:left="360"/>
              <w:spacing w:after="0" w:line="131" w:lineRule="exact"/>
              <w:rPr>
                <w:sz w:val="20"/>
                <w:szCs w:val="20"/>
                <w:color w:val="auto"/>
              </w:rPr>
            </w:pPr>
            <w:r>
              <w:rPr>
                <w:rFonts w:ascii="Arial" w:cs="Arial" w:eastAsia="Arial" w:hAnsi="Arial"/>
                <w:sz w:val="14"/>
                <w:szCs w:val="14"/>
                <w:color w:val="auto"/>
              </w:rPr>
              <w:t>Operating Income (Loss)</w:t>
            </w:r>
          </w:p>
        </w:tc>
        <w:tc>
          <w:tcPr>
            <w:tcW w:w="4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660" w:type="dxa"/>
            <w:vAlign w:val="bottom"/>
            <w:gridSpan w:val="2"/>
            <w:vMerge w:val="restart"/>
          </w:tcPr>
          <w:p>
            <w:pPr>
              <w:ind w:left="66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(g)</w:t>
            </w:r>
          </w:p>
        </w:tc>
        <w:tc>
          <w:tcPr>
            <w:tcW w:w="2120" w:type="dxa"/>
            <w:vAlign w:val="bottom"/>
            <w:gridSpan w:val="2"/>
          </w:tcPr>
          <w:p>
            <w:pPr>
              <w:ind w:left="380"/>
              <w:spacing w:after="0" w:line="133" w:lineRule="exact"/>
              <w:rPr>
                <w:sz w:val="20"/>
                <w:szCs w:val="20"/>
                <w:color w:val="auto"/>
              </w:rPr>
            </w:pPr>
            <w:r>
              <w:rPr>
                <w:rFonts w:ascii="Arial" w:cs="Arial" w:eastAsia="Arial" w:hAnsi="Arial"/>
                <w:sz w:val="14"/>
                <w:szCs w:val="14"/>
                <w:color w:val="auto"/>
              </w:rPr>
              <w:t>Before Depreciation and</w:t>
            </w:r>
          </w:p>
        </w:tc>
        <w:tc>
          <w:tcPr>
            <w:tcW w:w="1940" w:type="dxa"/>
            <w:vAlign w:val="bottom"/>
            <w:gridSpan w:val="2"/>
          </w:tcPr>
          <w:p>
            <w:pPr>
              <w:ind w:left="360"/>
              <w:spacing w:after="0" w:line="133" w:lineRule="exact"/>
              <w:rPr>
                <w:sz w:val="20"/>
                <w:szCs w:val="20"/>
                <w:color w:val="auto"/>
              </w:rPr>
            </w:pPr>
            <w:r>
              <w:rPr>
                <w:rFonts w:ascii="Arial" w:cs="Arial" w:eastAsia="Arial" w:hAnsi="Arial"/>
                <w:sz w:val="14"/>
                <w:szCs w:val="14"/>
                <w:color w:val="auto"/>
              </w:rPr>
              <w:t>Depreciation and</w:t>
            </w:r>
          </w:p>
        </w:tc>
        <w:tc>
          <w:tcPr>
            <w:tcW w:w="1520" w:type="dxa"/>
            <w:vAlign w:val="bottom"/>
            <w:gridSpan w:val="2"/>
          </w:tcPr>
          <w:p>
            <w:pPr>
              <w:ind w:left="120"/>
              <w:spacing w:after="0" w:line="133" w:lineRule="exact"/>
              <w:rPr>
                <w:sz w:val="20"/>
                <w:szCs w:val="20"/>
                <w:color w:val="auto"/>
              </w:rPr>
            </w:pPr>
            <w:r>
              <w:rPr>
                <w:rFonts w:ascii="Arial" w:cs="Arial" w:eastAsia="Arial" w:hAnsi="Arial"/>
                <w:sz w:val="14"/>
                <w:szCs w:val="14"/>
                <w:color w:val="auto"/>
              </w:rPr>
              <w:t>Operating Income</w:t>
            </w:r>
          </w:p>
        </w:tc>
        <w:tc>
          <w:tcPr>
            <w:tcW w:w="48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0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6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tcPr>
          <w:p>
            <w:pPr>
              <w:jc w:val="center"/>
              <w:ind w:right="496"/>
              <w:spacing w:after="0" w:line="176" w:lineRule="exact"/>
              <w:rPr>
                <w:sz w:val="20"/>
                <w:szCs w:val="20"/>
                <w:color w:val="auto"/>
              </w:rPr>
            </w:pPr>
            <w:r>
              <w:rPr>
                <w:rFonts w:ascii="Arial" w:cs="Arial" w:eastAsia="Arial" w:hAnsi="Arial"/>
                <w:sz w:val="13"/>
                <w:szCs w:val="13"/>
                <w:color w:val="auto"/>
                <w:w w:val="97"/>
              </w:rPr>
              <w:t>Amortization</w:t>
            </w:r>
            <w:r>
              <w:rPr>
                <w:rFonts w:ascii="Arial" w:cs="Arial" w:eastAsia="Arial" w:hAnsi="Arial"/>
                <w:sz w:val="20"/>
                <w:szCs w:val="20"/>
                <w:color w:val="auto"/>
                <w:w w:val="97"/>
                <w:vertAlign w:val="superscript"/>
              </w:rPr>
              <w:t>(h)</w:t>
            </w:r>
          </w:p>
        </w:tc>
        <w:tc>
          <w:tcPr>
            <w:tcW w:w="460" w:type="dxa"/>
            <w:vAlign w:val="bottom"/>
          </w:tcPr>
          <w:p>
            <w:pPr>
              <w:spacing w:after="0"/>
              <w:rPr>
                <w:sz w:val="15"/>
                <w:szCs w:val="15"/>
                <w:color w:val="auto"/>
              </w:rPr>
            </w:pPr>
          </w:p>
        </w:tc>
        <w:tc>
          <w:tcPr>
            <w:tcW w:w="1480" w:type="dxa"/>
            <w:vAlign w:val="bottom"/>
          </w:tcPr>
          <w:p>
            <w:pPr>
              <w:jc w:val="right"/>
              <w:ind w:right="674"/>
              <w:spacing w:after="0"/>
              <w:rPr>
                <w:sz w:val="20"/>
                <w:szCs w:val="20"/>
                <w:color w:val="auto"/>
              </w:rPr>
            </w:pPr>
            <w:r>
              <w:rPr>
                <w:rFonts w:ascii="Arial" w:cs="Arial" w:eastAsia="Arial" w:hAnsi="Arial"/>
                <w:sz w:val="14"/>
                <w:szCs w:val="14"/>
                <w:color w:val="auto"/>
                <w:w w:val="89"/>
              </w:rPr>
              <w:t>Amortization</w:t>
            </w:r>
          </w:p>
        </w:tc>
        <w:tc>
          <w:tcPr>
            <w:tcW w:w="320" w:type="dxa"/>
            <w:vAlign w:val="bottom"/>
          </w:tcPr>
          <w:p>
            <w:pPr>
              <w:spacing w:after="0"/>
              <w:rPr>
                <w:sz w:val="15"/>
                <w:szCs w:val="15"/>
                <w:color w:val="auto"/>
              </w:rPr>
            </w:pPr>
          </w:p>
        </w:tc>
        <w:tc>
          <w:tcPr>
            <w:tcW w:w="1200" w:type="dxa"/>
            <w:vAlign w:val="bottom"/>
          </w:tcPr>
          <w:p>
            <w:pPr>
              <w:jc w:val="right"/>
              <w:ind w:right="654"/>
              <w:spacing w:after="0"/>
              <w:rPr>
                <w:sz w:val="20"/>
                <w:szCs w:val="20"/>
                <w:color w:val="auto"/>
              </w:rPr>
            </w:pPr>
            <w:r>
              <w:rPr>
                <w:rFonts w:ascii="Arial" w:cs="Arial" w:eastAsia="Arial" w:hAnsi="Arial"/>
                <w:sz w:val="14"/>
                <w:szCs w:val="14"/>
                <w:color w:val="auto"/>
              </w:rPr>
              <w:t>(Loss)</w:t>
            </w:r>
          </w:p>
        </w:tc>
        <w:tc>
          <w:tcPr>
            <w:tcW w:w="1160" w:type="dxa"/>
            <w:vAlign w:val="bottom"/>
            <w:gridSpan w:val="2"/>
          </w:tcPr>
          <w:p>
            <w:pPr>
              <w:ind w:left="36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800" w:type="dxa"/>
            <w:vAlign w:val="bottom"/>
            <w:tcBorders>
              <w:top w:val="single" w:sz="8" w:color="auto"/>
            </w:tcBorders>
            <w:shd w:val="clear" w:color="auto" w:fill="E5E5E5"/>
          </w:tcPr>
          <w:p>
            <w:pPr>
              <w:ind w:left="6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E5E5E5"/>
          </w:tcPr>
          <w:p>
            <w:pPr>
              <w:jc w:val="right"/>
              <w:ind w:right="312"/>
              <w:spacing w:after="0"/>
              <w:rPr>
                <w:sz w:val="20"/>
                <w:szCs w:val="20"/>
                <w:color w:val="auto"/>
              </w:rPr>
            </w:pPr>
            <w:r>
              <w:rPr>
                <w:rFonts w:ascii="Arial" w:cs="Arial" w:eastAsia="Arial" w:hAnsi="Arial"/>
                <w:sz w:val="18"/>
                <w:szCs w:val="18"/>
                <w:color w:val="auto"/>
                <w:w w:val="97"/>
              </w:rPr>
              <w:t>9,331</w:t>
            </w:r>
          </w:p>
        </w:tc>
        <w:tc>
          <w:tcPr>
            <w:tcW w:w="520" w:type="dxa"/>
            <w:vAlign w:val="bottom"/>
            <w:tcBorders>
              <w:top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shd w:val="clear" w:color="auto" w:fill="E5E5E5"/>
          </w:tcPr>
          <w:p>
            <w:pPr>
              <w:jc w:val="right"/>
              <w:ind w:right="316"/>
              <w:spacing w:after="0"/>
              <w:rPr>
                <w:sz w:val="20"/>
                <w:szCs w:val="20"/>
                <w:color w:val="auto"/>
              </w:rPr>
            </w:pPr>
            <w:r>
              <w:rPr>
                <w:rFonts w:ascii="Arial" w:cs="Arial" w:eastAsia="Arial" w:hAnsi="Arial"/>
                <w:sz w:val="18"/>
                <w:szCs w:val="18"/>
                <w:color w:val="auto"/>
              </w:rPr>
              <w:t>3,714</w:t>
            </w:r>
          </w:p>
        </w:tc>
        <w:tc>
          <w:tcPr>
            <w:tcW w:w="460" w:type="dxa"/>
            <w:vAlign w:val="bottom"/>
            <w:tcBorders>
              <w:top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E5E5E5"/>
          </w:tcPr>
          <w:p>
            <w:pPr>
              <w:jc w:val="right"/>
              <w:ind w:right="574"/>
              <w:spacing w:after="0"/>
              <w:rPr>
                <w:sz w:val="20"/>
                <w:szCs w:val="20"/>
                <w:color w:val="auto"/>
              </w:rPr>
            </w:pPr>
            <w:r>
              <w:rPr>
                <w:rFonts w:ascii="Arial" w:cs="Arial" w:eastAsia="Arial" w:hAnsi="Arial"/>
                <w:sz w:val="18"/>
                <w:szCs w:val="18"/>
                <w:color w:val="auto"/>
              </w:rPr>
              <w:t>1,579</w:t>
            </w:r>
          </w:p>
        </w:tc>
        <w:tc>
          <w:tcPr>
            <w:tcW w:w="320" w:type="dxa"/>
            <w:vAlign w:val="bottom"/>
            <w:tcBorders>
              <w:top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E5E5E5"/>
          </w:tcPr>
          <w:p>
            <w:pPr>
              <w:jc w:val="right"/>
              <w:ind w:right="334"/>
              <w:spacing w:after="0"/>
              <w:rPr>
                <w:sz w:val="20"/>
                <w:szCs w:val="20"/>
                <w:color w:val="auto"/>
              </w:rPr>
            </w:pPr>
            <w:r>
              <w:rPr>
                <w:rFonts w:ascii="Arial" w:cs="Arial" w:eastAsia="Arial" w:hAnsi="Arial"/>
                <w:sz w:val="18"/>
                <w:szCs w:val="18"/>
                <w:color w:val="auto"/>
              </w:rPr>
              <w:t>2,135</w:t>
            </w:r>
          </w:p>
        </w:tc>
        <w:tc>
          <w:tcPr>
            <w:tcW w:w="480" w:type="dxa"/>
            <w:vAlign w:val="bottom"/>
            <w:tcBorders>
              <w:top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NBCUniversal</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Cable Networks</w:t>
            </w:r>
          </w:p>
        </w:tc>
        <w:tc>
          <w:tcPr>
            <w:tcW w:w="8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w w:val="97"/>
              </w:rPr>
              <w:t>2,097</w:t>
            </w:r>
          </w:p>
        </w:tc>
        <w:tc>
          <w:tcPr>
            <w:tcW w:w="52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316"/>
              <w:spacing w:after="0"/>
              <w:rPr>
                <w:sz w:val="20"/>
                <w:szCs w:val="20"/>
                <w:color w:val="auto"/>
              </w:rPr>
            </w:pPr>
            <w:r>
              <w:rPr>
                <w:rFonts w:ascii="Arial" w:cs="Arial" w:eastAsia="Arial" w:hAnsi="Arial"/>
                <w:sz w:val="18"/>
                <w:szCs w:val="18"/>
                <w:color w:val="auto"/>
              </w:rPr>
              <w:t>751</w:t>
            </w:r>
          </w:p>
        </w:tc>
        <w:tc>
          <w:tcPr>
            <w:tcW w:w="46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74"/>
              <w:spacing w:after="0"/>
              <w:rPr>
                <w:sz w:val="20"/>
                <w:szCs w:val="20"/>
                <w:color w:val="auto"/>
              </w:rPr>
            </w:pPr>
            <w:r>
              <w:rPr>
                <w:rFonts w:ascii="Arial" w:cs="Arial" w:eastAsia="Arial" w:hAnsi="Arial"/>
                <w:sz w:val="18"/>
                <w:szCs w:val="18"/>
                <w:color w:val="auto"/>
              </w:rPr>
              <w:t>183</w:t>
            </w:r>
          </w:p>
        </w:tc>
        <w:tc>
          <w:tcPr>
            <w:tcW w:w="32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34"/>
              <w:spacing w:after="0"/>
              <w:rPr>
                <w:sz w:val="20"/>
                <w:szCs w:val="20"/>
                <w:color w:val="auto"/>
              </w:rPr>
            </w:pPr>
            <w:r>
              <w:rPr>
                <w:rFonts w:ascii="Arial" w:cs="Arial" w:eastAsia="Arial" w:hAnsi="Arial"/>
                <w:sz w:val="18"/>
                <w:szCs w:val="18"/>
                <w:color w:val="auto"/>
              </w:rPr>
              <w:t>568</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Broadcast Television</w:t>
            </w:r>
          </w:p>
        </w:tc>
        <w:tc>
          <w:tcPr>
            <w:tcW w:w="80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color w:val="auto"/>
                <w:w w:val="97"/>
              </w:rPr>
              <w:t>1,511</w:t>
            </w:r>
          </w:p>
        </w:tc>
        <w:tc>
          <w:tcPr>
            <w:tcW w:w="520" w:type="dxa"/>
            <w:vAlign w:val="bottom"/>
          </w:tcPr>
          <w:p>
            <w:pPr>
              <w:spacing w:after="0"/>
              <w:rPr>
                <w:sz w:val="18"/>
                <w:szCs w:val="18"/>
                <w:color w:val="auto"/>
              </w:rPr>
            </w:pPr>
          </w:p>
        </w:tc>
        <w:tc>
          <w:tcPr>
            <w:tcW w:w="1600" w:type="dxa"/>
            <w:vAlign w:val="bottom"/>
          </w:tcPr>
          <w:p>
            <w:pPr>
              <w:jc w:val="right"/>
              <w:ind w:right="256"/>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8"/>
                <w:szCs w:val="18"/>
                <w:color w:val="auto"/>
              </w:rPr>
            </w:pPr>
          </w:p>
        </w:tc>
        <w:tc>
          <w:tcPr>
            <w:tcW w:w="1480" w:type="dxa"/>
            <w:vAlign w:val="bottom"/>
          </w:tcPr>
          <w:p>
            <w:pPr>
              <w:jc w:val="right"/>
              <w:ind w:right="574"/>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200" w:type="dxa"/>
            <w:vAlign w:val="bottom"/>
          </w:tcPr>
          <w:p>
            <w:pPr>
              <w:jc w:val="right"/>
              <w:ind w:right="274"/>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Filmed Entertainment</w:t>
            </w:r>
          </w:p>
        </w:tc>
        <w:tc>
          <w:tcPr>
            <w:tcW w:w="8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w w:val="97"/>
              </w:rPr>
              <w:t>1,096</w:t>
            </w:r>
          </w:p>
        </w:tc>
        <w:tc>
          <w:tcPr>
            <w:tcW w:w="52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316"/>
              <w:spacing w:after="0"/>
              <w:rPr>
                <w:sz w:val="20"/>
                <w:szCs w:val="20"/>
                <w:color w:val="auto"/>
              </w:rPr>
            </w:pPr>
            <w:r>
              <w:rPr>
                <w:rFonts w:ascii="Arial" w:cs="Arial" w:eastAsia="Arial" w:hAnsi="Arial"/>
                <w:sz w:val="18"/>
                <w:szCs w:val="18"/>
                <w:color w:val="auto"/>
              </w:rPr>
              <w:t>54</w:t>
            </w:r>
          </w:p>
        </w:tc>
        <w:tc>
          <w:tcPr>
            <w:tcW w:w="46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74"/>
              <w:spacing w:after="0"/>
              <w:rPr>
                <w:sz w:val="20"/>
                <w:szCs w:val="20"/>
                <w:color w:val="auto"/>
              </w:rPr>
            </w:pPr>
            <w:r>
              <w:rPr>
                <w:rFonts w:ascii="Arial" w:cs="Arial" w:eastAsia="Arial" w:hAnsi="Arial"/>
                <w:sz w:val="18"/>
                <w:szCs w:val="18"/>
                <w:color w:val="auto"/>
              </w:rPr>
              <w:t>6</w:t>
            </w:r>
          </w:p>
        </w:tc>
        <w:tc>
          <w:tcPr>
            <w:tcW w:w="32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34"/>
              <w:spacing w:after="0"/>
              <w:rPr>
                <w:sz w:val="20"/>
                <w:szCs w:val="20"/>
                <w:color w:val="auto"/>
              </w:rPr>
            </w:pPr>
            <w:r>
              <w:rPr>
                <w:rFonts w:ascii="Arial" w:cs="Arial" w:eastAsia="Arial" w:hAnsi="Arial"/>
                <w:sz w:val="18"/>
                <w:szCs w:val="18"/>
                <w:color w:val="auto"/>
              </w:rPr>
              <w:t>48</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Theme Parks</w:t>
            </w:r>
          </w:p>
        </w:tc>
        <w:tc>
          <w:tcPr>
            <w:tcW w:w="80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color w:val="auto"/>
              </w:rPr>
              <w:t>580</w:t>
            </w:r>
          </w:p>
        </w:tc>
        <w:tc>
          <w:tcPr>
            <w:tcW w:w="520" w:type="dxa"/>
            <w:vAlign w:val="bottom"/>
          </w:tcPr>
          <w:p>
            <w:pPr>
              <w:spacing w:after="0"/>
              <w:rPr>
                <w:sz w:val="18"/>
                <w:szCs w:val="18"/>
                <w:color w:val="auto"/>
              </w:rPr>
            </w:pPr>
          </w:p>
        </w:tc>
        <w:tc>
          <w:tcPr>
            <w:tcW w:w="1600" w:type="dxa"/>
            <w:vAlign w:val="bottom"/>
          </w:tcPr>
          <w:p>
            <w:pPr>
              <w:jc w:val="right"/>
              <w:ind w:right="316"/>
              <w:spacing w:after="0"/>
              <w:rPr>
                <w:sz w:val="20"/>
                <w:szCs w:val="20"/>
                <w:color w:val="auto"/>
              </w:rPr>
            </w:pPr>
            <w:r>
              <w:rPr>
                <w:rFonts w:ascii="Arial" w:cs="Arial" w:eastAsia="Arial" w:hAnsi="Arial"/>
                <w:sz w:val="18"/>
                <w:szCs w:val="18"/>
                <w:color w:val="auto"/>
              </w:rPr>
              <w:t>285</w:t>
            </w:r>
          </w:p>
        </w:tc>
        <w:tc>
          <w:tcPr>
            <w:tcW w:w="460" w:type="dxa"/>
            <w:vAlign w:val="bottom"/>
          </w:tcPr>
          <w:p>
            <w:pPr>
              <w:spacing w:after="0"/>
              <w:rPr>
                <w:sz w:val="18"/>
                <w:szCs w:val="18"/>
                <w:color w:val="auto"/>
              </w:rPr>
            </w:pPr>
          </w:p>
        </w:tc>
        <w:tc>
          <w:tcPr>
            <w:tcW w:w="1480" w:type="dxa"/>
            <w:vAlign w:val="bottom"/>
          </w:tcPr>
          <w:p>
            <w:pPr>
              <w:jc w:val="right"/>
              <w:ind w:right="574"/>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1200" w:type="dxa"/>
            <w:vAlign w:val="bottom"/>
          </w:tcPr>
          <w:p>
            <w:pPr>
              <w:jc w:val="right"/>
              <w:ind w:right="334"/>
              <w:spacing w:after="0"/>
              <w:rPr>
                <w:sz w:val="20"/>
                <w:szCs w:val="20"/>
                <w:color w:val="auto"/>
              </w:rPr>
            </w:pPr>
            <w:r>
              <w:rPr>
                <w:rFonts w:ascii="Arial" w:cs="Arial" w:eastAsia="Arial" w:hAnsi="Arial"/>
                <w:sz w:val="18"/>
                <w:szCs w:val="18"/>
                <w:color w:val="auto"/>
              </w:rPr>
              <w:t>222</w:t>
            </w:r>
          </w:p>
        </w:tc>
        <w:tc>
          <w:tcPr>
            <w:tcW w:w="4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(e)</w:t>
            </w:r>
          </w:p>
        </w:tc>
        <w:tc>
          <w:tcPr>
            <w:tcW w:w="8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rPr>
              <w:t>9</w:t>
            </w:r>
          </w:p>
        </w:tc>
        <w:tc>
          <w:tcPr>
            <w:tcW w:w="52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(132)</w:t>
            </w:r>
          </w:p>
        </w:tc>
        <w:tc>
          <w:tcPr>
            <w:tcW w:w="46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74"/>
              <w:spacing w:after="0"/>
              <w:rPr>
                <w:sz w:val="20"/>
                <w:szCs w:val="20"/>
                <w:color w:val="auto"/>
              </w:rPr>
            </w:pPr>
            <w:r>
              <w:rPr>
                <w:rFonts w:ascii="Arial" w:cs="Arial" w:eastAsia="Arial" w:hAnsi="Arial"/>
                <w:sz w:val="18"/>
                <w:szCs w:val="18"/>
                <w:color w:val="auto"/>
              </w:rPr>
              <w:t>56</w:t>
            </w:r>
          </w:p>
        </w:tc>
        <w:tc>
          <w:tcPr>
            <w:tcW w:w="32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(188)</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(f)</w:t>
            </w:r>
          </w:p>
        </w:tc>
        <w:tc>
          <w:tcPr>
            <w:tcW w:w="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(93)</w:t>
            </w:r>
          </w:p>
        </w:tc>
        <w:tc>
          <w:tcPr>
            <w:tcW w:w="5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7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8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w w:val="97"/>
              </w:rPr>
              <w:t>5,200</w:t>
            </w:r>
          </w:p>
        </w:tc>
        <w:tc>
          <w:tcPr>
            <w:tcW w:w="52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316"/>
              <w:spacing w:after="0"/>
              <w:rPr>
                <w:sz w:val="20"/>
                <w:szCs w:val="20"/>
                <w:color w:val="auto"/>
              </w:rPr>
            </w:pPr>
            <w:r>
              <w:rPr>
                <w:rFonts w:ascii="Arial" w:cs="Arial" w:eastAsia="Arial" w:hAnsi="Arial"/>
                <w:sz w:val="18"/>
                <w:szCs w:val="18"/>
                <w:color w:val="auto"/>
              </w:rPr>
              <w:t>951</w:t>
            </w:r>
          </w:p>
        </w:tc>
        <w:tc>
          <w:tcPr>
            <w:tcW w:w="46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74"/>
              <w:spacing w:after="0"/>
              <w:rPr>
                <w:sz w:val="20"/>
                <w:szCs w:val="20"/>
                <w:color w:val="auto"/>
              </w:rPr>
            </w:pPr>
            <w:r>
              <w:rPr>
                <w:rFonts w:ascii="Arial" w:cs="Arial" w:eastAsia="Arial" w:hAnsi="Arial"/>
                <w:sz w:val="18"/>
                <w:szCs w:val="18"/>
                <w:color w:val="auto"/>
              </w:rPr>
              <w:t>332</w:t>
            </w:r>
          </w:p>
        </w:tc>
        <w:tc>
          <w:tcPr>
            <w:tcW w:w="32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34"/>
              <w:spacing w:after="0"/>
              <w:rPr>
                <w:sz w:val="20"/>
                <w:szCs w:val="20"/>
                <w:color w:val="auto"/>
              </w:rPr>
            </w:pPr>
            <w:r>
              <w:rPr>
                <w:rFonts w:ascii="Arial" w:cs="Arial" w:eastAsia="Arial" w:hAnsi="Arial"/>
                <w:sz w:val="18"/>
                <w:szCs w:val="18"/>
                <w:color w:val="auto"/>
              </w:rPr>
              <w:t>619</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Corporate and Other</w:t>
            </w:r>
          </w:p>
        </w:tc>
        <w:tc>
          <w:tcPr>
            <w:tcW w:w="80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color w:val="auto"/>
              </w:rPr>
              <w:t>107</w:t>
            </w:r>
          </w:p>
        </w:tc>
        <w:tc>
          <w:tcPr>
            <w:tcW w:w="520" w:type="dxa"/>
            <w:vAlign w:val="bottom"/>
          </w:tcPr>
          <w:p>
            <w:pPr>
              <w:spacing w:after="0"/>
              <w:rPr>
                <w:sz w:val="18"/>
                <w:szCs w:val="18"/>
                <w:color w:val="auto"/>
              </w:rPr>
            </w:pPr>
          </w:p>
        </w:tc>
        <w:tc>
          <w:tcPr>
            <w:tcW w:w="1600" w:type="dxa"/>
            <w:vAlign w:val="bottom"/>
          </w:tcPr>
          <w:p>
            <w:pPr>
              <w:jc w:val="right"/>
              <w:ind w:right="256"/>
              <w:spacing w:after="0"/>
              <w:rPr>
                <w:sz w:val="20"/>
                <w:szCs w:val="20"/>
                <w:color w:val="auto"/>
              </w:rPr>
            </w:pPr>
            <w:r>
              <w:rPr>
                <w:rFonts w:ascii="Arial" w:cs="Arial" w:eastAsia="Arial" w:hAnsi="Arial"/>
                <w:sz w:val="18"/>
                <w:szCs w:val="18"/>
                <w:color w:val="auto"/>
              </w:rPr>
              <w:t>(91)</w:t>
            </w:r>
          </w:p>
        </w:tc>
        <w:tc>
          <w:tcPr>
            <w:tcW w:w="460" w:type="dxa"/>
            <w:vAlign w:val="bottom"/>
          </w:tcPr>
          <w:p>
            <w:pPr>
              <w:spacing w:after="0"/>
              <w:rPr>
                <w:sz w:val="18"/>
                <w:szCs w:val="18"/>
                <w:color w:val="auto"/>
              </w:rPr>
            </w:pPr>
          </w:p>
        </w:tc>
        <w:tc>
          <w:tcPr>
            <w:tcW w:w="1480" w:type="dxa"/>
            <w:vAlign w:val="bottom"/>
          </w:tcPr>
          <w:p>
            <w:pPr>
              <w:jc w:val="right"/>
              <w:ind w:right="574"/>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1200" w:type="dxa"/>
            <w:vAlign w:val="bottom"/>
          </w:tcPr>
          <w:p>
            <w:pPr>
              <w:jc w:val="right"/>
              <w:ind w:right="274"/>
              <w:spacing w:after="0"/>
              <w:rPr>
                <w:sz w:val="20"/>
                <w:szCs w:val="20"/>
                <w:color w:val="auto"/>
              </w:rPr>
            </w:pPr>
            <w:r>
              <w:rPr>
                <w:rFonts w:ascii="Arial" w:cs="Arial" w:eastAsia="Arial" w:hAnsi="Arial"/>
                <w:sz w:val="18"/>
                <w:szCs w:val="18"/>
                <w:color w:val="auto"/>
              </w:rPr>
              <w:t>(114)</w:t>
            </w:r>
          </w:p>
        </w:tc>
        <w:tc>
          <w:tcPr>
            <w:tcW w:w="4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(f)</w:t>
            </w:r>
          </w:p>
        </w:tc>
        <w:tc>
          <w:tcPr>
            <w:tcW w:w="8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rPr>
              <w:t>(299)</w:t>
            </w:r>
          </w:p>
        </w:tc>
        <w:tc>
          <w:tcPr>
            <w:tcW w:w="520" w:type="dxa"/>
            <w:vAlign w:val="bottom"/>
            <w:tcBorders>
              <w:bottom w:val="single" w:sz="8" w:color="auto"/>
            </w:tcBorders>
            <w:shd w:val="clear" w:color="auto" w:fill="E5E5E5"/>
          </w:tcPr>
          <w:p>
            <w:pPr>
              <w:spacing w:after="0"/>
              <w:rPr>
                <w:sz w:val="18"/>
                <w:szCs w:val="18"/>
                <w:color w:val="auto"/>
              </w:rPr>
            </w:pPr>
          </w:p>
        </w:tc>
        <w:tc>
          <w:tcPr>
            <w:tcW w:w="1600" w:type="dxa"/>
            <w:vAlign w:val="bottom"/>
            <w:tcBorders>
              <w:bottom w:val="single" w:sz="8" w:color="auto"/>
            </w:tcBorders>
            <w:shd w:val="clear" w:color="auto" w:fill="E5E5E5"/>
          </w:tcPr>
          <w:p>
            <w:pPr>
              <w:jc w:val="right"/>
              <w:ind w:right="31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E5E5E5"/>
          </w:tcPr>
          <w:p>
            <w:pPr>
              <w:spacing w:after="0"/>
              <w:rPr>
                <w:sz w:val="18"/>
                <w:szCs w:val="18"/>
                <w:color w:val="auto"/>
              </w:rPr>
            </w:pPr>
          </w:p>
        </w:tc>
        <w:tc>
          <w:tcPr>
            <w:tcW w:w="1480" w:type="dxa"/>
            <w:vAlign w:val="bottom"/>
            <w:tcBorders>
              <w:bottom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shd w:val="clear" w:color="auto" w:fill="E5E5E5"/>
          </w:tcPr>
          <w:p>
            <w:pPr>
              <w:spacing w:after="0"/>
              <w:rPr>
                <w:sz w:val="18"/>
                <w:szCs w:val="18"/>
                <w:color w:val="auto"/>
              </w:rPr>
            </w:pPr>
          </w:p>
        </w:tc>
        <w:tc>
          <w:tcPr>
            <w:tcW w:w="1200" w:type="dxa"/>
            <w:vAlign w:val="bottom"/>
            <w:tcBorders>
              <w:bottom w:val="single" w:sz="8" w:color="auto"/>
            </w:tcBorders>
            <w:shd w:val="clear" w:color="auto" w:fill="E5E5E5"/>
          </w:tcPr>
          <w:p>
            <w:pPr>
              <w:jc w:val="right"/>
              <w:ind w:right="334"/>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Comcast Consolidated</w:t>
            </w:r>
          </w:p>
        </w:tc>
        <w:tc>
          <w:tcPr>
            <w:tcW w:w="166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8"/>
                <w:szCs w:val="18"/>
                <w:color w:val="auto"/>
              </w:rPr>
              <w:t>$ 14,339</w:t>
            </w:r>
          </w:p>
        </w:tc>
        <w:tc>
          <w:tcPr>
            <w:tcW w:w="5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rPr>
              <w:t>4,574</w:t>
            </w:r>
          </w:p>
        </w:tc>
        <w:tc>
          <w:tcPr>
            <w:tcW w:w="4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574"/>
              <w:spacing w:after="0"/>
              <w:rPr>
                <w:sz w:val="20"/>
                <w:szCs w:val="20"/>
                <w:color w:val="auto"/>
              </w:rPr>
            </w:pPr>
            <w:r>
              <w:rPr>
                <w:rFonts w:ascii="Arial" w:cs="Arial" w:eastAsia="Arial" w:hAnsi="Arial"/>
                <w:sz w:val="18"/>
                <w:szCs w:val="18"/>
                <w:color w:val="auto"/>
              </w:rPr>
              <w:t>1,933</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2,641</w:t>
            </w:r>
          </w:p>
        </w:tc>
        <w:tc>
          <w:tcPr>
            <w:tcW w:w="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jc w:val="center"/>
              <w:ind w:right="476"/>
              <w:spacing w:after="0"/>
              <w:rPr>
                <w:sz w:val="20"/>
                <w:szCs w:val="20"/>
                <w:color w:val="auto"/>
              </w:rPr>
            </w:pPr>
            <w:r>
              <w:rPr>
                <w:rFonts w:ascii="Arial" w:cs="Arial" w:eastAsia="Arial" w:hAnsi="Arial"/>
                <w:sz w:val="18"/>
                <w:szCs w:val="18"/>
                <w:color w:val="auto"/>
                <w:w w:val="99"/>
              </w:rPr>
              <w:t>17</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4"/>
                <w:szCs w:val="14"/>
                <w:color w:val="auto"/>
              </w:rPr>
              <w:t>Nine Months Ended September 30, 2012</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40" w:type="dxa"/>
            <w:vAlign w:val="bottom"/>
            <w:gridSpan w:val="2"/>
          </w:tcPr>
          <w:p>
            <w:pPr>
              <w:ind w:left="320"/>
              <w:spacing w:after="0" w:line="131" w:lineRule="exact"/>
              <w:rPr>
                <w:sz w:val="20"/>
                <w:szCs w:val="20"/>
                <w:color w:val="auto"/>
              </w:rPr>
            </w:pPr>
            <w:r>
              <w:rPr>
                <w:rFonts w:ascii="Arial" w:cs="Arial" w:eastAsia="Arial" w:hAnsi="Arial"/>
                <w:sz w:val="14"/>
                <w:szCs w:val="14"/>
                <w:color w:val="auto"/>
              </w:rPr>
              <w:t>Operating Income (Loss)</w:t>
            </w:r>
          </w:p>
        </w:tc>
        <w:tc>
          <w:tcPr>
            <w:tcW w:w="4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540" w:type="dxa"/>
            <w:vAlign w:val="bottom"/>
            <w:vMerge w:val="restart"/>
          </w:tcPr>
          <w:p>
            <w:pPr>
              <w:jc w:val="right"/>
              <w:ind w:right="274"/>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(g)</w:t>
            </w:r>
          </w:p>
        </w:tc>
        <w:tc>
          <w:tcPr>
            <w:tcW w:w="2040" w:type="dxa"/>
            <w:vAlign w:val="bottom"/>
            <w:gridSpan w:val="2"/>
          </w:tcPr>
          <w:p>
            <w:pPr>
              <w:ind w:left="320"/>
              <w:spacing w:after="0" w:line="133" w:lineRule="exact"/>
              <w:rPr>
                <w:sz w:val="20"/>
                <w:szCs w:val="20"/>
                <w:color w:val="auto"/>
              </w:rPr>
            </w:pPr>
            <w:r>
              <w:rPr>
                <w:rFonts w:ascii="Arial" w:cs="Arial" w:eastAsia="Arial" w:hAnsi="Arial"/>
                <w:sz w:val="14"/>
                <w:szCs w:val="14"/>
                <w:color w:val="auto"/>
              </w:rPr>
              <w:t>Before Depreciation and</w:t>
            </w:r>
          </w:p>
        </w:tc>
        <w:tc>
          <w:tcPr>
            <w:tcW w:w="1840" w:type="dxa"/>
            <w:vAlign w:val="bottom"/>
            <w:gridSpan w:val="2"/>
          </w:tcPr>
          <w:p>
            <w:pPr>
              <w:ind w:left="320"/>
              <w:spacing w:after="0" w:line="133" w:lineRule="exact"/>
              <w:rPr>
                <w:sz w:val="20"/>
                <w:szCs w:val="20"/>
                <w:color w:val="auto"/>
              </w:rPr>
            </w:pPr>
            <w:r>
              <w:rPr>
                <w:rFonts w:ascii="Arial" w:cs="Arial" w:eastAsia="Arial" w:hAnsi="Arial"/>
                <w:sz w:val="14"/>
                <w:szCs w:val="14"/>
                <w:color w:val="auto"/>
              </w:rPr>
              <w:t>Depreciation and</w:t>
            </w:r>
          </w:p>
        </w:tc>
        <w:tc>
          <w:tcPr>
            <w:tcW w:w="1440" w:type="dxa"/>
            <w:vAlign w:val="bottom"/>
            <w:gridSpan w:val="2"/>
          </w:tcPr>
          <w:p>
            <w:pPr>
              <w:ind w:left="80"/>
              <w:spacing w:after="0" w:line="133" w:lineRule="exact"/>
              <w:rPr>
                <w:sz w:val="20"/>
                <w:szCs w:val="20"/>
                <w:color w:val="auto"/>
              </w:rPr>
            </w:pPr>
            <w:r>
              <w:rPr>
                <w:rFonts w:ascii="Arial" w:cs="Arial" w:eastAsia="Arial" w:hAnsi="Arial"/>
                <w:sz w:val="14"/>
                <w:szCs w:val="14"/>
                <w:color w:val="auto"/>
              </w:rPr>
              <w:t>Operating Income</w:t>
            </w:r>
          </w:p>
        </w:tc>
        <w:tc>
          <w:tcPr>
            <w:tcW w:w="44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4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5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tcPr>
          <w:p>
            <w:pPr>
              <w:jc w:val="right"/>
              <w:ind w:right="53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(h)</w:t>
            </w:r>
          </w:p>
        </w:tc>
        <w:tc>
          <w:tcPr>
            <w:tcW w:w="400" w:type="dxa"/>
            <w:vAlign w:val="bottom"/>
          </w:tcPr>
          <w:p>
            <w:pPr>
              <w:spacing w:after="0"/>
              <w:rPr>
                <w:sz w:val="15"/>
                <w:szCs w:val="15"/>
                <w:color w:val="auto"/>
              </w:rPr>
            </w:pPr>
          </w:p>
        </w:tc>
        <w:tc>
          <w:tcPr>
            <w:tcW w:w="1440" w:type="dxa"/>
            <w:vAlign w:val="bottom"/>
          </w:tcPr>
          <w:p>
            <w:pPr>
              <w:jc w:val="right"/>
              <w:ind w:right="614"/>
              <w:spacing w:after="0"/>
              <w:rPr>
                <w:sz w:val="20"/>
                <w:szCs w:val="20"/>
                <w:color w:val="auto"/>
              </w:rPr>
            </w:pPr>
            <w:r>
              <w:rPr>
                <w:rFonts w:ascii="Arial" w:cs="Arial" w:eastAsia="Arial" w:hAnsi="Arial"/>
                <w:sz w:val="14"/>
                <w:szCs w:val="14"/>
                <w:color w:val="auto"/>
                <w:w w:val="92"/>
              </w:rPr>
              <w:t>Amortization</w:t>
            </w:r>
          </w:p>
        </w:tc>
        <w:tc>
          <w:tcPr>
            <w:tcW w:w="280" w:type="dxa"/>
            <w:vAlign w:val="bottom"/>
          </w:tcPr>
          <w:p>
            <w:pPr>
              <w:spacing w:after="0"/>
              <w:rPr>
                <w:sz w:val="15"/>
                <w:szCs w:val="15"/>
                <w:color w:val="auto"/>
              </w:rPr>
            </w:pPr>
          </w:p>
        </w:tc>
        <w:tc>
          <w:tcPr>
            <w:tcW w:w="1160" w:type="dxa"/>
            <w:vAlign w:val="bottom"/>
          </w:tcPr>
          <w:p>
            <w:pPr>
              <w:jc w:val="right"/>
              <w:ind w:right="614"/>
              <w:spacing w:after="0"/>
              <w:rPr>
                <w:sz w:val="20"/>
                <w:szCs w:val="20"/>
                <w:color w:val="auto"/>
              </w:rPr>
            </w:pPr>
            <w:r>
              <w:rPr>
                <w:rFonts w:ascii="Arial" w:cs="Arial" w:eastAsia="Arial" w:hAnsi="Arial"/>
                <w:sz w:val="14"/>
                <w:szCs w:val="14"/>
                <w:color w:val="auto"/>
              </w:rPr>
              <w:t>(Loss)</w:t>
            </w:r>
          </w:p>
        </w:tc>
        <w:tc>
          <w:tcPr>
            <w:tcW w:w="1120" w:type="dxa"/>
            <w:vAlign w:val="bottom"/>
            <w:gridSpan w:val="2"/>
          </w:tcPr>
          <w:p>
            <w:pPr>
              <w:ind w:left="32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540" w:type="dxa"/>
            <w:vAlign w:val="bottom"/>
            <w:tcBorders>
              <w:top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rPr>
              <w:t>$ 29,472</w:t>
            </w:r>
          </w:p>
        </w:tc>
        <w:tc>
          <w:tcPr>
            <w:tcW w:w="480" w:type="dxa"/>
            <w:vAlign w:val="bottom"/>
            <w:tcBorders>
              <w:top w:val="single" w:sz="8" w:color="auto"/>
            </w:tcBorders>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E5E5E5"/>
          </w:tcPr>
          <w:p>
            <w:pPr>
              <w:jc w:val="right"/>
              <w:ind w:right="276"/>
              <w:spacing w:after="0"/>
              <w:rPr>
                <w:sz w:val="20"/>
                <w:szCs w:val="20"/>
                <w:color w:val="auto"/>
              </w:rPr>
            </w:pPr>
            <w:r>
              <w:rPr>
                <w:rFonts w:ascii="Arial" w:cs="Arial" w:eastAsia="Arial" w:hAnsi="Arial"/>
                <w:sz w:val="18"/>
                <w:szCs w:val="18"/>
                <w:color w:val="auto"/>
              </w:rPr>
              <w:t>12,054</w:t>
            </w:r>
          </w:p>
        </w:tc>
        <w:tc>
          <w:tcPr>
            <w:tcW w:w="400" w:type="dxa"/>
            <w:vAlign w:val="bottom"/>
            <w:tcBorders>
              <w:top w:val="single" w:sz="8" w:color="auto"/>
            </w:tcBorders>
            <w:shd w:val="clear" w:color="auto" w:fill="E5E5E5"/>
          </w:tcPr>
          <w:p>
            <w:pPr>
              <w:ind w:left="30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color w:val="auto"/>
              </w:rPr>
              <w:t>4,802</w:t>
            </w:r>
          </w:p>
        </w:tc>
        <w:tc>
          <w:tcPr>
            <w:tcW w:w="280" w:type="dxa"/>
            <w:vAlign w:val="bottom"/>
            <w:tcBorders>
              <w:top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E5E5E5"/>
          </w:tcPr>
          <w:p>
            <w:pPr>
              <w:jc w:val="right"/>
              <w:ind w:right="294"/>
              <w:spacing w:after="0"/>
              <w:rPr>
                <w:sz w:val="20"/>
                <w:szCs w:val="20"/>
                <w:color w:val="auto"/>
              </w:rPr>
            </w:pPr>
            <w:r>
              <w:rPr>
                <w:rFonts w:ascii="Arial" w:cs="Arial" w:eastAsia="Arial" w:hAnsi="Arial"/>
                <w:sz w:val="18"/>
                <w:szCs w:val="18"/>
                <w:color w:val="auto"/>
              </w:rPr>
              <w:t>7,252</w:t>
            </w:r>
          </w:p>
        </w:tc>
        <w:tc>
          <w:tcPr>
            <w:tcW w:w="440" w:type="dxa"/>
            <w:vAlign w:val="bottom"/>
            <w:tcBorders>
              <w:top w:val="single" w:sz="8" w:color="auto"/>
            </w:tcBorders>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3,544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NBCUniversal</w:t>
            </w:r>
          </w:p>
        </w:tc>
        <w:tc>
          <w:tcPr>
            <w:tcW w:w="1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Cable Networks</w:t>
            </w:r>
          </w:p>
        </w:tc>
        <w:tc>
          <w:tcPr>
            <w:tcW w:w="154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6,555</w:t>
            </w:r>
          </w:p>
        </w:tc>
        <w:tc>
          <w:tcPr>
            <w:tcW w:w="48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2,402</w:t>
            </w:r>
          </w:p>
        </w:tc>
        <w:tc>
          <w:tcPr>
            <w:tcW w:w="400" w:type="dxa"/>
            <w:vAlign w:val="bottom"/>
            <w:shd w:val="clear" w:color="auto" w:fill="E5E5E5"/>
          </w:tcPr>
          <w:p>
            <w:pPr>
              <w:spacing w:after="0"/>
              <w:rPr>
                <w:sz w:val="18"/>
                <w:szCs w:val="18"/>
                <w:color w:val="auto"/>
              </w:rPr>
            </w:pPr>
          </w:p>
        </w:tc>
        <w:tc>
          <w:tcPr>
            <w:tcW w:w="1440" w:type="dxa"/>
            <w:vAlign w:val="bottom"/>
            <w:shd w:val="clear" w:color="auto" w:fill="E5E5E5"/>
          </w:tcPr>
          <w:p>
            <w:pPr>
              <w:jc w:val="right"/>
              <w:ind w:right="514"/>
              <w:spacing w:after="0"/>
              <w:rPr>
                <w:sz w:val="20"/>
                <w:szCs w:val="20"/>
                <w:color w:val="auto"/>
              </w:rPr>
            </w:pPr>
            <w:r>
              <w:rPr>
                <w:rFonts w:ascii="Arial" w:cs="Arial" w:eastAsia="Arial" w:hAnsi="Arial"/>
                <w:sz w:val="18"/>
                <w:szCs w:val="18"/>
                <w:color w:val="auto"/>
              </w:rPr>
              <w:t>553</w:t>
            </w:r>
          </w:p>
        </w:tc>
        <w:tc>
          <w:tcPr>
            <w:tcW w:w="28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rPr>
              <w:t>1,849</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rPr>
              <w:t>Broadcast Television</w:t>
            </w:r>
            <w:r>
              <w:rPr>
                <w:rFonts w:ascii="Arial" w:cs="Arial" w:eastAsia="Arial" w:hAnsi="Arial"/>
                <w:sz w:val="11"/>
                <w:szCs w:val="11"/>
                <w:color w:val="auto"/>
              </w:rPr>
              <w:t>(c)</w:t>
            </w:r>
          </w:p>
        </w:tc>
        <w:tc>
          <w:tcPr>
            <w:tcW w:w="1540" w:type="dxa"/>
            <w:vAlign w:val="bottom"/>
          </w:tcPr>
          <w:p>
            <w:pPr>
              <w:jc w:val="right"/>
              <w:ind w:right="274"/>
              <w:spacing w:after="0"/>
              <w:rPr>
                <w:sz w:val="20"/>
                <w:szCs w:val="20"/>
                <w:color w:val="auto"/>
              </w:rPr>
            </w:pPr>
            <w:r>
              <w:rPr>
                <w:rFonts w:ascii="Arial" w:cs="Arial" w:eastAsia="Arial" w:hAnsi="Arial"/>
                <w:sz w:val="18"/>
                <w:szCs w:val="18"/>
                <w:color w:val="auto"/>
              </w:rPr>
              <w:t>6,168</w:t>
            </w:r>
          </w:p>
        </w:tc>
        <w:tc>
          <w:tcPr>
            <w:tcW w:w="480" w:type="dxa"/>
            <w:vAlign w:val="bottom"/>
          </w:tcPr>
          <w:p>
            <w:pPr>
              <w:spacing w:after="0"/>
              <w:rPr>
                <w:sz w:val="18"/>
                <w:szCs w:val="18"/>
                <w:color w:val="auto"/>
              </w:rPr>
            </w:pPr>
          </w:p>
        </w:tc>
        <w:tc>
          <w:tcPr>
            <w:tcW w:w="1560" w:type="dxa"/>
            <w:vAlign w:val="bottom"/>
          </w:tcPr>
          <w:p>
            <w:pPr>
              <w:jc w:val="right"/>
              <w:ind w:right="276"/>
              <w:spacing w:after="0"/>
              <w:rPr>
                <w:sz w:val="20"/>
                <w:szCs w:val="20"/>
                <w:color w:val="auto"/>
              </w:rPr>
            </w:pPr>
            <w:r>
              <w:rPr>
                <w:rFonts w:ascii="Arial" w:cs="Arial" w:eastAsia="Arial" w:hAnsi="Arial"/>
                <w:sz w:val="18"/>
                <w:szCs w:val="18"/>
                <w:color w:val="auto"/>
              </w:rPr>
              <w:t>274</w:t>
            </w:r>
          </w:p>
        </w:tc>
        <w:tc>
          <w:tcPr>
            <w:tcW w:w="400" w:type="dxa"/>
            <w:vAlign w:val="bottom"/>
          </w:tcPr>
          <w:p>
            <w:pPr>
              <w:spacing w:after="0"/>
              <w:rPr>
                <w:sz w:val="18"/>
                <w:szCs w:val="18"/>
                <w:color w:val="auto"/>
              </w:rPr>
            </w:pPr>
          </w:p>
        </w:tc>
        <w:tc>
          <w:tcPr>
            <w:tcW w:w="1440" w:type="dxa"/>
            <w:vAlign w:val="bottom"/>
          </w:tcPr>
          <w:p>
            <w:pPr>
              <w:jc w:val="right"/>
              <w:ind w:right="514"/>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1160" w:type="dxa"/>
            <w:vAlign w:val="bottom"/>
          </w:tcPr>
          <w:p>
            <w:pPr>
              <w:jc w:val="right"/>
              <w:ind w:right="294"/>
              <w:spacing w:after="0"/>
              <w:rPr>
                <w:sz w:val="20"/>
                <w:szCs w:val="20"/>
                <w:color w:val="auto"/>
              </w:rPr>
            </w:pPr>
            <w:r>
              <w:rPr>
                <w:rFonts w:ascii="Arial" w:cs="Arial" w:eastAsia="Arial" w:hAnsi="Arial"/>
                <w:sz w:val="18"/>
                <w:szCs w:val="18"/>
                <w:color w:val="auto"/>
              </w:rPr>
              <w:t>210</w:t>
            </w:r>
          </w:p>
        </w:tc>
        <w:tc>
          <w:tcPr>
            <w:tcW w:w="4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Filmed Entertainment</w:t>
            </w:r>
          </w:p>
        </w:tc>
        <w:tc>
          <w:tcPr>
            <w:tcW w:w="154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3,778</w:t>
            </w:r>
          </w:p>
        </w:tc>
        <w:tc>
          <w:tcPr>
            <w:tcW w:w="48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(5)</w:t>
            </w:r>
          </w:p>
        </w:tc>
        <w:tc>
          <w:tcPr>
            <w:tcW w:w="400" w:type="dxa"/>
            <w:vAlign w:val="bottom"/>
            <w:shd w:val="clear" w:color="auto" w:fill="E5E5E5"/>
          </w:tcPr>
          <w:p>
            <w:pPr>
              <w:spacing w:after="0"/>
              <w:rPr>
                <w:sz w:val="18"/>
                <w:szCs w:val="18"/>
                <w:color w:val="auto"/>
              </w:rPr>
            </w:pPr>
          </w:p>
        </w:tc>
        <w:tc>
          <w:tcPr>
            <w:tcW w:w="1440" w:type="dxa"/>
            <w:vAlign w:val="bottom"/>
            <w:shd w:val="clear" w:color="auto" w:fill="E5E5E5"/>
          </w:tcPr>
          <w:p>
            <w:pPr>
              <w:jc w:val="right"/>
              <w:ind w:right="514"/>
              <w:spacing w:after="0"/>
              <w:rPr>
                <w:sz w:val="20"/>
                <w:szCs w:val="20"/>
                <w:color w:val="auto"/>
              </w:rPr>
            </w:pPr>
            <w:r>
              <w:rPr>
                <w:rFonts w:ascii="Arial" w:cs="Arial" w:eastAsia="Arial" w:hAnsi="Arial"/>
                <w:sz w:val="18"/>
                <w:szCs w:val="18"/>
                <w:color w:val="auto"/>
              </w:rPr>
              <w:t>12</w:t>
            </w:r>
          </w:p>
        </w:tc>
        <w:tc>
          <w:tcPr>
            <w:tcW w:w="28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(17)</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rPr>
              <w:t>Theme Parks</w:t>
            </w:r>
          </w:p>
        </w:tc>
        <w:tc>
          <w:tcPr>
            <w:tcW w:w="1540" w:type="dxa"/>
            <w:vAlign w:val="bottom"/>
          </w:tcPr>
          <w:p>
            <w:pPr>
              <w:jc w:val="right"/>
              <w:ind w:right="274"/>
              <w:spacing w:after="0"/>
              <w:rPr>
                <w:sz w:val="20"/>
                <w:szCs w:val="20"/>
                <w:color w:val="auto"/>
              </w:rPr>
            </w:pPr>
            <w:r>
              <w:rPr>
                <w:rFonts w:ascii="Arial" w:cs="Arial" w:eastAsia="Arial" w:hAnsi="Arial"/>
                <w:sz w:val="18"/>
                <w:szCs w:val="18"/>
                <w:color w:val="auto"/>
              </w:rPr>
              <w:t>1,565</w:t>
            </w:r>
          </w:p>
        </w:tc>
        <w:tc>
          <w:tcPr>
            <w:tcW w:w="480" w:type="dxa"/>
            <w:vAlign w:val="bottom"/>
          </w:tcPr>
          <w:p>
            <w:pPr>
              <w:spacing w:after="0"/>
              <w:rPr>
                <w:sz w:val="18"/>
                <w:szCs w:val="18"/>
                <w:color w:val="auto"/>
              </w:rPr>
            </w:pPr>
          </w:p>
        </w:tc>
        <w:tc>
          <w:tcPr>
            <w:tcW w:w="1560" w:type="dxa"/>
            <w:vAlign w:val="bottom"/>
          </w:tcPr>
          <w:p>
            <w:pPr>
              <w:jc w:val="right"/>
              <w:ind w:right="276"/>
              <w:spacing w:after="0"/>
              <w:rPr>
                <w:sz w:val="20"/>
                <w:szCs w:val="20"/>
                <w:color w:val="auto"/>
              </w:rPr>
            </w:pPr>
            <w:r>
              <w:rPr>
                <w:rFonts w:ascii="Arial" w:cs="Arial" w:eastAsia="Arial" w:hAnsi="Arial"/>
                <w:sz w:val="18"/>
                <w:szCs w:val="18"/>
                <w:color w:val="auto"/>
              </w:rPr>
              <w:t>708</w:t>
            </w:r>
          </w:p>
        </w:tc>
        <w:tc>
          <w:tcPr>
            <w:tcW w:w="400" w:type="dxa"/>
            <w:vAlign w:val="bottom"/>
          </w:tcPr>
          <w:p>
            <w:pPr>
              <w:spacing w:after="0"/>
              <w:rPr>
                <w:sz w:val="18"/>
                <w:szCs w:val="18"/>
                <w:color w:val="auto"/>
              </w:rPr>
            </w:pPr>
          </w:p>
        </w:tc>
        <w:tc>
          <w:tcPr>
            <w:tcW w:w="1440" w:type="dxa"/>
            <w:vAlign w:val="bottom"/>
          </w:tcPr>
          <w:p>
            <w:pPr>
              <w:jc w:val="right"/>
              <w:ind w:right="514"/>
              <w:spacing w:after="0"/>
              <w:rPr>
                <w:sz w:val="20"/>
                <w:szCs w:val="20"/>
                <w:color w:val="auto"/>
              </w:rPr>
            </w:pPr>
            <w:r>
              <w:rPr>
                <w:rFonts w:ascii="Arial" w:cs="Arial" w:eastAsia="Arial" w:hAnsi="Arial"/>
                <w:sz w:val="18"/>
                <w:szCs w:val="18"/>
                <w:color w:val="auto"/>
              </w:rPr>
              <w:t>190</w:t>
            </w:r>
          </w:p>
        </w:tc>
        <w:tc>
          <w:tcPr>
            <w:tcW w:w="280" w:type="dxa"/>
            <w:vAlign w:val="bottom"/>
          </w:tcPr>
          <w:p>
            <w:pPr>
              <w:spacing w:after="0"/>
              <w:rPr>
                <w:sz w:val="18"/>
                <w:szCs w:val="18"/>
                <w:color w:val="auto"/>
              </w:rPr>
            </w:pPr>
          </w:p>
        </w:tc>
        <w:tc>
          <w:tcPr>
            <w:tcW w:w="1160" w:type="dxa"/>
            <w:vAlign w:val="bottom"/>
          </w:tcPr>
          <w:p>
            <w:pPr>
              <w:jc w:val="right"/>
              <w:ind w:right="294"/>
              <w:spacing w:after="0"/>
              <w:rPr>
                <w:sz w:val="20"/>
                <w:szCs w:val="20"/>
                <w:color w:val="auto"/>
              </w:rPr>
            </w:pPr>
            <w:r>
              <w:rPr>
                <w:rFonts w:ascii="Arial" w:cs="Arial" w:eastAsia="Arial" w:hAnsi="Arial"/>
                <w:sz w:val="18"/>
                <w:szCs w:val="18"/>
                <w:color w:val="auto"/>
              </w:rPr>
              <w:t>518</w:t>
            </w:r>
          </w:p>
        </w:tc>
        <w:tc>
          <w:tcPr>
            <w:tcW w:w="4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(e)</w:t>
            </w:r>
          </w:p>
        </w:tc>
        <w:tc>
          <w:tcPr>
            <w:tcW w:w="154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31</w:t>
            </w:r>
          </w:p>
        </w:tc>
        <w:tc>
          <w:tcPr>
            <w:tcW w:w="48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(444)</w:t>
            </w:r>
          </w:p>
        </w:tc>
        <w:tc>
          <w:tcPr>
            <w:tcW w:w="400" w:type="dxa"/>
            <w:vAlign w:val="bottom"/>
            <w:shd w:val="clear" w:color="auto" w:fill="E5E5E5"/>
          </w:tcPr>
          <w:p>
            <w:pPr>
              <w:spacing w:after="0"/>
              <w:rPr>
                <w:sz w:val="18"/>
                <w:szCs w:val="18"/>
                <w:color w:val="auto"/>
              </w:rPr>
            </w:pPr>
          </w:p>
        </w:tc>
        <w:tc>
          <w:tcPr>
            <w:tcW w:w="1440" w:type="dxa"/>
            <w:vAlign w:val="bottom"/>
            <w:shd w:val="clear" w:color="auto" w:fill="E5E5E5"/>
          </w:tcPr>
          <w:p>
            <w:pPr>
              <w:jc w:val="right"/>
              <w:ind w:right="514"/>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(594)</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(f)</w:t>
            </w:r>
          </w:p>
        </w:tc>
        <w:tc>
          <w:tcPr>
            <w:tcW w:w="154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(299)</w:t>
            </w: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54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17,798</w:t>
            </w:r>
          </w:p>
        </w:tc>
        <w:tc>
          <w:tcPr>
            <w:tcW w:w="48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2,935</w:t>
            </w:r>
          </w:p>
        </w:tc>
        <w:tc>
          <w:tcPr>
            <w:tcW w:w="400" w:type="dxa"/>
            <w:vAlign w:val="bottom"/>
            <w:shd w:val="clear" w:color="auto" w:fill="E5E5E5"/>
          </w:tcPr>
          <w:p>
            <w:pPr>
              <w:spacing w:after="0"/>
              <w:rPr>
                <w:sz w:val="18"/>
                <w:szCs w:val="18"/>
                <w:color w:val="auto"/>
              </w:rPr>
            </w:pPr>
          </w:p>
        </w:tc>
        <w:tc>
          <w:tcPr>
            <w:tcW w:w="1440" w:type="dxa"/>
            <w:vAlign w:val="bottom"/>
            <w:shd w:val="clear" w:color="auto" w:fill="E5E5E5"/>
          </w:tcPr>
          <w:p>
            <w:pPr>
              <w:jc w:val="right"/>
              <w:ind w:right="514"/>
              <w:spacing w:after="0"/>
              <w:rPr>
                <w:sz w:val="20"/>
                <w:szCs w:val="20"/>
                <w:color w:val="auto"/>
              </w:rPr>
            </w:pPr>
            <w:r>
              <w:rPr>
                <w:rFonts w:ascii="Arial" w:cs="Arial" w:eastAsia="Arial" w:hAnsi="Arial"/>
                <w:sz w:val="18"/>
                <w:szCs w:val="18"/>
                <w:color w:val="auto"/>
              </w:rPr>
              <w:t>969</w:t>
            </w:r>
          </w:p>
        </w:tc>
        <w:tc>
          <w:tcPr>
            <w:tcW w:w="28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rPr>
              <w:t>1,966</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Corporate and Other</w:t>
            </w:r>
          </w:p>
        </w:tc>
        <w:tc>
          <w:tcPr>
            <w:tcW w:w="1540" w:type="dxa"/>
            <w:vAlign w:val="bottom"/>
          </w:tcPr>
          <w:p>
            <w:pPr>
              <w:jc w:val="right"/>
              <w:ind w:right="274"/>
              <w:spacing w:after="0"/>
              <w:rPr>
                <w:sz w:val="20"/>
                <w:szCs w:val="20"/>
                <w:color w:val="auto"/>
              </w:rPr>
            </w:pPr>
            <w:r>
              <w:rPr>
                <w:rFonts w:ascii="Arial" w:cs="Arial" w:eastAsia="Arial" w:hAnsi="Arial"/>
                <w:sz w:val="18"/>
                <w:szCs w:val="18"/>
                <w:color w:val="auto"/>
              </w:rPr>
              <w:t>416</w:t>
            </w:r>
          </w:p>
        </w:tc>
        <w:tc>
          <w:tcPr>
            <w:tcW w:w="480" w:type="dxa"/>
            <w:vAlign w:val="bottom"/>
          </w:tcPr>
          <w:p>
            <w:pPr>
              <w:spacing w:after="0"/>
              <w:rPr>
                <w:sz w:val="18"/>
                <w:szCs w:val="18"/>
                <w:color w:val="auto"/>
              </w:rPr>
            </w:pPr>
          </w:p>
        </w:tc>
        <w:tc>
          <w:tcPr>
            <w:tcW w:w="1560" w:type="dxa"/>
            <w:vAlign w:val="bottom"/>
          </w:tcPr>
          <w:p>
            <w:pPr>
              <w:jc w:val="right"/>
              <w:ind w:right="216"/>
              <w:spacing w:after="0"/>
              <w:rPr>
                <w:sz w:val="20"/>
                <w:szCs w:val="20"/>
                <w:color w:val="auto"/>
              </w:rPr>
            </w:pPr>
            <w:r>
              <w:rPr>
                <w:rFonts w:ascii="Arial" w:cs="Arial" w:eastAsia="Arial" w:hAnsi="Arial"/>
                <w:sz w:val="18"/>
                <w:szCs w:val="18"/>
                <w:color w:val="auto"/>
              </w:rPr>
              <w:t>(255)</w:t>
            </w:r>
          </w:p>
        </w:tc>
        <w:tc>
          <w:tcPr>
            <w:tcW w:w="400" w:type="dxa"/>
            <w:vAlign w:val="bottom"/>
          </w:tcPr>
          <w:p>
            <w:pPr>
              <w:spacing w:after="0"/>
              <w:rPr>
                <w:sz w:val="18"/>
                <w:szCs w:val="18"/>
                <w:color w:val="auto"/>
              </w:rPr>
            </w:pPr>
          </w:p>
        </w:tc>
        <w:tc>
          <w:tcPr>
            <w:tcW w:w="1440" w:type="dxa"/>
            <w:vAlign w:val="bottom"/>
          </w:tcPr>
          <w:p>
            <w:pPr>
              <w:jc w:val="right"/>
              <w:ind w:right="514"/>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1160" w:type="dxa"/>
            <w:vAlign w:val="bottom"/>
          </w:tcPr>
          <w:p>
            <w:pPr>
              <w:jc w:val="right"/>
              <w:ind w:right="234"/>
              <w:spacing w:after="0"/>
              <w:rPr>
                <w:sz w:val="20"/>
                <w:szCs w:val="20"/>
                <w:color w:val="auto"/>
              </w:rPr>
            </w:pPr>
            <w:r>
              <w:rPr>
                <w:rFonts w:ascii="Arial" w:cs="Arial" w:eastAsia="Arial" w:hAnsi="Arial"/>
                <w:sz w:val="18"/>
                <w:szCs w:val="18"/>
                <w:color w:val="auto"/>
              </w:rPr>
              <w:t>(299)</w:t>
            </w:r>
          </w:p>
        </w:tc>
        <w:tc>
          <w:tcPr>
            <w:tcW w:w="4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(f)</w:t>
            </w:r>
          </w:p>
        </w:tc>
        <w:tc>
          <w:tcPr>
            <w:tcW w:w="154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(1,053)</w:t>
            </w:r>
          </w:p>
        </w:tc>
        <w:tc>
          <w:tcPr>
            <w:tcW w:w="480" w:type="dxa"/>
            <w:vAlign w:val="bottom"/>
            <w:tcBorders>
              <w:bottom w:val="single" w:sz="8" w:color="auto"/>
            </w:tcBorders>
            <w:shd w:val="clear" w:color="auto" w:fill="E5E5E5"/>
          </w:tcPr>
          <w:p>
            <w:pPr>
              <w:spacing w:after="0"/>
              <w:rPr>
                <w:sz w:val="18"/>
                <w:szCs w:val="18"/>
                <w:color w:val="auto"/>
              </w:rPr>
            </w:pPr>
          </w:p>
        </w:tc>
        <w:tc>
          <w:tcPr>
            <w:tcW w:w="1560" w:type="dxa"/>
            <w:vAlign w:val="bottom"/>
            <w:tcBorders>
              <w:bottom w:val="single" w:sz="8" w:color="auto"/>
            </w:tcBorders>
            <w:shd w:val="clear" w:color="auto" w:fill="E5E5E5"/>
          </w:tcPr>
          <w:p>
            <w:pPr>
              <w:jc w:val="right"/>
              <w:ind w:right="216"/>
              <w:spacing w:after="0"/>
              <w:rPr>
                <w:sz w:val="20"/>
                <w:szCs w:val="20"/>
                <w:color w:val="auto"/>
              </w:rPr>
            </w:pPr>
            <w:r>
              <w:rPr>
                <w:rFonts w:ascii="Arial" w:cs="Arial" w:eastAsia="Arial" w:hAnsi="Arial"/>
                <w:sz w:val="18"/>
                <w:szCs w:val="18"/>
                <w:color w:val="auto"/>
              </w:rPr>
              <w:t>(34)</w:t>
            </w:r>
          </w:p>
        </w:tc>
        <w:tc>
          <w:tcPr>
            <w:tcW w:w="400" w:type="dxa"/>
            <w:vAlign w:val="bottom"/>
            <w:tcBorders>
              <w:bottom w:val="single" w:sz="8" w:color="auto"/>
            </w:tcBorders>
            <w:shd w:val="clear" w:color="auto" w:fill="E5E5E5"/>
          </w:tcPr>
          <w:p>
            <w:pPr>
              <w:spacing w:after="0"/>
              <w:rPr>
                <w:sz w:val="18"/>
                <w:szCs w:val="18"/>
                <w:color w:val="auto"/>
              </w:rPr>
            </w:pPr>
          </w:p>
        </w:tc>
        <w:tc>
          <w:tcPr>
            <w:tcW w:w="1440" w:type="dxa"/>
            <w:vAlign w:val="bottom"/>
            <w:tcBorders>
              <w:bottom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116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rPr>
              <w:t>(34)</w:t>
            </w:r>
          </w:p>
        </w:tc>
        <w:tc>
          <w:tcPr>
            <w:tcW w:w="4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Comcast Consolidated</w:t>
            </w:r>
          </w:p>
        </w:tc>
        <w:tc>
          <w:tcPr>
            <w:tcW w:w="154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$ 46,633</w:t>
            </w:r>
          </w:p>
        </w:tc>
        <w:tc>
          <w:tcPr>
            <w:tcW w:w="4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14,700</w:t>
            </w:r>
          </w:p>
        </w:tc>
        <w:tc>
          <w:tcPr>
            <w:tcW w:w="4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color w:val="auto"/>
              </w:rPr>
              <w:t>5,815</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8,885</w:t>
            </w:r>
          </w:p>
        </w:tc>
        <w:tc>
          <w:tcPr>
            <w:tcW w:w="4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4,043</w:t>
            </w:r>
          </w:p>
        </w:tc>
        <w:tc>
          <w:tcPr>
            <w:tcW w:w="0" w:type="dxa"/>
            <w:vAlign w:val="bottom"/>
          </w:tcPr>
          <w:p>
            <w:pPr>
              <w:spacing w:after="0"/>
              <w:rPr>
                <w:sz w:val="1"/>
                <w:szCs w:val="1"/>
                <w:color w:val="auto"/>
              </w:rPr>
            </w:pPr>
          </w:p>
        </w:tc>
      </w:tr>
    </w:tbl>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4"/>
                <w:szCs w:val="14"/>
                <w:color w:val="auto"/>
              </w:rPr>
              <w:t>Nine Months Ended September 30, 2011</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60" w:type="dxa"/>
            <w:vAlign w:val="bottom"/>
            <w:gridSpan w:val="2"/>
          </w:tcPr>
          <w:p>
            <w:pPr>
              <w:ind w:left="320"/>
              <w:spacing w:after="0" w:line="131" w:lineRule="exact"/>
              <w:rPr>
                <w:sz w:val="20"/>
                <w:szCs w:val="20"/>
                <w:color w:val="auto"/>
              </w:rPr>
            </w:pPr>
            <w:r>
              <w:rPr>
                <w:rFonts w:ascii="Arial" w:cs="Arial" w:eastAsia="Arial" w:hAnsi="Arial"/>
                <w:sz w:val="14"/>
                <w:szCs w:val="14"/>
                <w:color w:val="auto"/>
              </w:rPr>
              <w:t>Operating Income (Loss)</w:t>
            </w:r>
          </w:p>
        </w:tc>
        <w:tc>
          <w:tcPr>
            <w:tcW w:w="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560" w:type="dxa"/>
            <w:vAlign w:val="bottom"/>
            <w:vMerge w:val="restart"/>
          </w:tcPr>
          <w:p>
            <w:pPr>
              <w:jc w:val="right"/>
              <w:ind w:right="294"/>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(g)</w:t>
            </w:r>
          </w:p>
        </w:tc>
        <w:tc>
          <w:tcPr>
            <w:tcW w:w="2060" w:type="dxa"/>
            <w:vAlign w:val="bottom"/>
            <w:gridSpan w:val="2"/>
          </w:tcPr>
          <w:p>
            <w:pPr>
              <w:ind w:left="340"/>
              <w:spacing w:after="0" w:line="133" w:lineRule="exact"/>
              <w:rPr>
                <w:sz w:val="20"/>
                <w:szCs w:val="20"/>
                <w:color w:val="auto"/>
              </w:rPr>
            </w:pPr>
            <w:r>
              <w:rPr>
                <w:rFonts w:ascii="Arial" w:cs="Arial" w:eastAsia="Arial" w:hAnsi="Arial"/>
                <w:sz w:val="14"/>
                <w:szCs w:val="14"/>
                <w:color w:val="auto"/>
              </w:rPr>
              <w:t>Before Depreciation and</w:t>
            </w:r>
          </w:p>
        </w:tc>
        <w:tc>
          <w:tcPr>
            <w:tcW w:w="1860" w:type="dxa"/>
            <w:vAlign w:val="bottom"/>
            <w:gridSpan w:val="2"/>
          </w:tcPr>
          <w:p>
            <w:pPr>
              <w:ind w:left="340"/>
              <w:spacing w:after="0" w:line="133" w:lineRule="exact"/>
              <w:rPr>
                <w:sz w:val="20"/>
                <w:szCs w:val="20"/>
                <w:color w:val="auto"/>
              </w:rPr>
            </w:pPr>
            <w:r>
              <w:rPr>
                <w:rFonts w:ascii="Arial" w:cs="Arial" w:eastAsia="Arial" w:hAnsi="Arial"/>
                <w:sz w:val="14"/>
                <w:szCs w:val="14"/>
                <w:color w:val="auto"/>
              </w:rPr>
              <w:t>Depreciation and</w:t>
            </w:r>
          </w:p>
        </w:tc>
        <w:tc>
          <w:tcPr>
            <w:tcW w:w="1460" w:type="dxa"/>
            <w:vAlign w:val="bottom"/>
            <w:gridSpan w:val="2"/>
          </w:tcPr>
          <w:p>
            <w:pPr>
              <w:ind w:left="100"/>
              <w:spacing w:after="0" w:line="133" w:lineRule="exact"/>
              <w:rPr>
                <w:sz w:val="20"/>
                <w:szCs w:val="20"/>
                <w:color w:val="auto"/>
              </w:rPr>
            </w:pPr>
            <w:r>
              <w:rPr>
                <w:rFonts w:ascii="Arial" w:cs="Arial" w:eastAsia="Arial" w:hAnsi="Arial"/>
                <w:sz w:val="14"/>
                <w:szCs w:val="14"/>
                <w:color w:val="auto"/>
              </w:rPr>
              <w:t>Operating Income</w:t>
            </w:r>
          </w:p>
        </w:tc>
        <w:tc>
          <w:tcPr>
            <w:tcW w:w="46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3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5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jc w:val="right"/>
              <w:ind w:right="55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(h)</w:t>
            </w:r>
          </w:p>
        </w:tc>
        <w:tc>
          <w:tcPr>
            <w:tcW w:w="420" w:type="dxa"/>
            <w:vAlign w:val="bottom"/>
          </w:tcPr>
          <w:p>
            <w:pPr>
              <w:spacing w:after="0"/>
              <w:rPr>
                <w:sz w:val="15"/>
                <w:szCs w:val="15"/>
                <w:color w:val="auto"/>
              </w:rPr>
            </w:pPr>
          </w:p>
        </w:tc>
        <w:tc>
          <w:tcPr>
            <w:tcW w:w="1440" w:type="dxa"/>
            <w:vAlign w:val="bottom"/>
          </w:tcPr>
          <w:p>
            <w:pPr>
              <w:jc w:val="right"/>
              <w:ind w:right="614"/>
              <w:spacing w:after="0"/>
              <w:rPr>
                <w:sz w:val="20"/>
                <w:szCs w:val="20"/>
                <w:color w:val="auto"/>
              </w:rPr>
            </w:pPr>
            <w:r>
              <w:rPr>
                <w:rFonts w:ascii="Arial" w:cs="Arial" w:eastAsia="Arial" w:hAnsi="Arial"/>
                <w:sz w:val="14"/>
                <w:szCs w:val="14"/>
                <w:color w:val="auto"/>
                <w:w w:val="92"/>
              </w:rPr>
              <w:t>Amortization</w:t>
            </w:r>
          </w:p>
        </w:tc>
        <w:tc>
          <w:tcPr>
            <w:tcW w:w="300" w:type="dxa"/>
            <w:vAlign w:val="bottom"/>
          </w:tcPr>
          <w:p>
            <w:pPr>
              <w:spacing w:after="0"/>
              <w:rPr>
                <w:sz w:val="15"/>
                <w:szCs w:val="15"/>
                <w:color w:val="auto"/>
              </w:rPr>
            </w:pPr>
          </w:p>
        </w:tc>
        <w:tc>
          <w:tcPr>
            <w:tcW w:w="1160" w:type="dxa"/>
            <w:vAlign w:val="bottom"/>
          </w:tcPr>
          <w:p>
            <w:pPr>
              <w:jc w:val="right"/>
              <w:ind w:right="614"/>
              <w:spacing w:after="0"/>
              <w:rPr>
                <w:sz w:val="20"/>
                <w:szCs w:val="20"/>
                <w:color w:val="auto"/>
              </w:rPr>
            </w:pPr>
            <w:r>
              <w:rPr>
                <w:rFonts w:ascii="Arial" w:cs="Arial" w:eastAsia="Arial" w:hAnsi="Arial"/>
                <w:sz w:val="14"/>
                <w:szCs w:val="14"/>
                <w:color w:val="auto"/>
              </w:rPr>
              <w:t>(Loss)</w:t>
            </w:r>
          </w:p>
        </w:tc>
        <w:tc>
          <w:tcPr>
            <w:tcW w:w="1140" w:type="dxa"/>
            <w:vAlign w:val="bottom"/>
            <w:gridSpan w:val="2"/>
          </w:tcPr>
          <w:p>
            <w:pPr>
              <w:ind w:left="34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560" w:type="dxa"/>
            <w:vAlign w:val="bottom"/>
            <w:tcBorders>
              <w:top w:val="single" w:sz="8" w:color="auto"/>
            </w:tcBorders>
            <w:shd w:val="clear" w:color="auto" w:fill="E5E5E5"/>
          </w:tcPr>
          <w:p>
            <w:pPr>
              <w:jc w:val="right"/>
              <w:ind w:right="294"/>
              <w:spacing w:after="0"/>
              <w:rPr>
                <w:sz w:val="20"/>
                <w:szCs w:val="20"/>
                <w:color w:val="auto"/>
              </w:rPr>
            </w:pPr>
            <w:r>
              <w:rPr>
                <w:rFonts w:ascii="Arial" w:cs="Arial" w:eastAsia="Arial" w:hAnsi="Arial"/>
                <w:sz w:val="18"/>
                <w:szCs w:val="18"/>
                <w:color w:val="auto"/>
              </w:rPr>
              <w:t>$ 27,756</w:t>
            </w:r>
          </w:p>
        </w:tc>
        <w:tc>
          <w:tcPr>
            <w:tcW w:w="500" w:type="dxa"/>
            <w:vAlign w:val="bottom"/>
            <w:tcBorders>
              <w:top w:val="single" w:sz="8" w:color="auto"/>
            </w:tcBorders>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E5E5E5"/>
          </w:tcPr>
          <w:p>
            <w:pPr>
              <w:jc w:val="right"/>
              <w:ind w:right="296"/>
              <w:spacing w:after="0"/>
              <w:rPr>
                <w:sz w:val="20"/>
                <w:szCs w:val="20"/>
                <w:color w:val="auto"/>
              </w:rPr>
            </w:pPr>
            <w:r>
              <w:rPr>
                <w:rFonts w:ascii="Arial" w:cs="Arial" w:eastAsia="Arial" w:hAnsi="Arial"/>
                <w:sz w:val="18"/>
                <w:szCs w:val="18"/>
                <w:color w:val="auto"/>
              </w:rPr>
              <w:t>11,349</w:t>
            </w:r>
          </w:p>
        </w:tc>
        <w:tc>
          <w:tcPr>
            <w:tcW w:w="420" w:type="dxa"/>
            <w:vAlign w:val="bottom"/>
            <w:tcBorders>
              <w:top w:val="single" w:sz="8" w:color="auto"/>
            </w:tcBorders>
            <w:shd w:val="clear" w:color="auto" w:fill="E5E5E5"/>
          </w:tcPr>
          <w:p>
            <w:pPr>
              <w:ind w:left="32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color w:val="auto"/>
              </w:rPr>
              <w:t>4,791</w:t>
            </w:r>
          </w:p>
        </w:tc>
        <w:tc>
          <w:tcPr>
            <w:tcW w:w="300" w:type="dxa"/>
            <w:vAlign w:val="bottom"/>
            <w:tcBorders>
              <w:top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E5E5E5"/>
          </w:tcPr>
          <w:p>
            <w:pPr>
              <w:jc w:val="right"/>
              <w:ind w:right="294"/>
              <w:spacing w:after="0"/>
              <w:rPr>
                <w:sz w:val="20"/>
                <w:szCs w:val="20"/>
                <w:color w:val="auto"/>
              </w:rPr>
            </w:pPr>
            <w:r>
              <w:rPr>
                <w:rFonts w:ascii="Arial" w:cs="Arial" w:eastAsia="Arial" w:hAnsi="Arial"/>
                <w:sz w:val="18"/>
                <w:szCs w:val="18"/>
                <w:color w:val="auto"/>
              </w:rPr>
              <w:t>6,558</w:t>
            </w:r>
          </w:p>
        </w:tc>
        <w:tc>
          <w:tcPr>
            <w:tcW w:w="460" w:type="dxa"/>
            <w:vAlign w:val="bottom"/>
            <w:tcBorders>
              <w:top w:val="single" w:sz="8" w:color="auto"/>
            </w:tcBorders>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NBCUniversal</w:t>
            </w: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(b)</w:t>
            </w:r>
          </w:p>
        </w:tc>
        <w:tc>
          <w:tcPr>
            <w:tcW w:w="156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rPr>
              <w:t>5,902</w:t>
            </w:r>
          </w:p>
        </w:tc>
        <w:tc>
          <w:tcPr>
            <w:tcW w:w="5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2,262</w:t>
            </w:r>
          </w:p>
        </w:tc>
        <w:tc>
          <w:tcPr>
            <w:tcW w:w="420" w:type="dxa"/>
            <w:vAlign w:val="bottom"/>
            <w:shd w:val="clear" w:color="auto" w:fill="E5E5E5"/>
          </w:tcPr>
          <w:p>
            <w:pPr>
              <w:spacing w:after="0"/>
              <w:rPr>
                <w:sz w:val="18"/>
                <w:szCs w:val="18"/>
                <w:color w:val="auto"/>
              </w:rPr>
            </w:pPr>
          </w:p>
        </w:tc>
        <w:tc>
          <w:tcPr>
            <w:tcW w:w="1440" w:type="dxa"/>
            <w:vAlign w:val="bottom"/>
            <w:shd w:val="clear" w:color="auto" w:fill="E5E5E5"/>
          </w:tcPr>
          <w:p>
            <w:pPr>
              <w:jc w:val="right"/>
              <w:ind w:right="514"/>
              <w:spacing w:after="0"/>
              <w:rPr>
                <w:sz w:val="20"/>
                <w:szCs w:val="20"/>
                <w:color w:val="auto"/>
              </w:rPr>
            </w:pPr>
            <w:r>
              <w:rPr>
                <w:rFonts w:ascii="Arial" w:cs="Arial" w:eastAsia="Arial" w:hAnsi="Arial"/>
                <w:sz w:val="18"/>
                <w:szCs w:val="18"/>
                <w:color w:val="auto"/>
              </w:rPr>
              <w:t>523</w:t>
            </w:r>
          </w:p>
        </w:tc>
        <w:tc>
          <w:tcPr>
            <w:tcW w:w="30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rPr>
              <w:t>1,739</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420"/>
              <w:spacing w:after="0"/>
              <w:rPr>
                <w:sz w:val="20"/>
                <w:szCs w:val="20"/>
                <w:color w:val="auto"/>
              </w:rPr>
            </w:pPr>
            <w:r>
              <w:rPr>
                <w:rFonts w:ascii="Arial" w:cs="Arial" w:eastAsia="Arial" w:hAnsi="Arial"/>
                <w:sz w:val="18"/>
                <w:szCs w:val="18"/>
                <w:color w:val="auto"/>
              </w:rPr>
              <w:t>Broadcast Television</w:t>
            </w:r>
          </w:p>
        </w:tc>
        <w:tc>
          <w:tcPr>
            <w:tcW w:w="1560" w:type="dxa"/>
            <w:vAlign w:val="bottom"/>
          </w:tcPr>
          <w:p>
            <w:pPr>
              <w:jc w:val="right"/>
              <w:ind w:right="294"/>
              <w:spacing w:after="0"/>
              <w:rPr>
                <w:sz w:val="20"/>
                <w:szCs w:val="20"/>
                <w:color w:val="auto"/>
              </w:rPr>
            </w:pPr>
            <w:r>
              <w:rPr>
                <w:rFonts w:ascii="Arial" w:cs="Arial" w:eastAsia="Arial" w:hAnsi="Arial"/>
                <w:sz w:val="18"/>
                <w:szCs w:val="18"/>
                <w:color w:val="auto"/>
              </w:rPr>
              <w:t>4,094</w:t>
            </w:r>
          </w:p>
        </w:tc>
        <w:tc>
          <w:tcPr>
            <w:tcW w:w="500" w:type="dxa"/>
            <w:vAlign w:val="bottom"/>
          </w:tcPr>
          <w:p>
            <w:pPr>
              <w:spacing w:after="0"/>
              <w:rPr>
                <w:sz w:val="18"/>
                <w:szCs w:val="18"/>
                <w:color w:val="auto"/>
              </w:rPr>
            </w:pPr>
          </w:p>
        </w:tc>
        <w:tc>
          <w:tcPr>
            <w:tcW w:w="1560" w:type="dxa"/>
            <w:vAlign w:val="bottom"/>
          </w:tcPr>
          <w:p>
            <w:pPr>
              <w:jc w:val="right"/>
              <w:ind w:right="296"/>
              <w:spacing w:after="0"/>
              <w:rPr>
                <w:sz w:val="20"/>
                <w:szCs w:val="20"/>
                <w:color w:val="auto"/>
              </w:rPr>
            </w:pPr>
            <w:r>
              <w:rPr>
                <w:rFonts w:ascii="Arial" w:cs="Arial" w:eastAsia="Arial" w:hAnsi="Arial"/>
                <w:sz w:val="18"/>
                <w:szCs w:val="18"/>
                <w:color w:val="auto"/>
              </w:rPr>
              <w:t>218</w:t>
            </w:r>
          </w:p>
        </w:tc>
        <w:tc>
          <w:tcPr>
            <w:tcW w:w="420" w:type="dxa"/>
            <w:vAlign w:val="bottom"/>
          </w:tcPr>
          <w:p>
            <w:pPr>
              <w:spacing w:after="0"/>
              <w:rPr>
                <w:sz w:val="18"/>
                <w:szCs w:val="18"/>
                <w:color w:val="auto"/>
              </w:rPr>
            </w:pPr>
          </w:p>
        </w:tc>
        <w:tc>
          <w:tcPr>
            <w:tcW w:w="1440" w:type="dxa"/>
            <w:vAlign w:val="bottom"/>
          </w:tcPr>
          <w:p>
            <w:pPr>
              <w:jc w:val="right"/>
              <w:ind w:right="514"/>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1160" w:type="dxa"/>
            <w:vAlign w:val="bottom"/>
          </w:tcPr>
          <w:p>
            <w:pPr>
              <w:jc w:val="right"/>
              <w:ind w:right="294"/>
              <w:spacing w:after="0"/>
              <w:rPr>
                <w:sz w:val="20"/>
                <w:szCs w:val="20"/>
                <w:color w:val="auto"/>
              </w:rPr>
            </w:pPr>
            <w:r>
              <w:rPr>
                <w:rFonts w:ascii="Arial" w:cs="Arial" w:eastAsia="Arial" w:hAnsi="Arial"/>
                <w:sz w:val="18"/>
                <w:szCs w:val="18"/>
                <w:color w:val="auto"/>
              </w:rPr>
              <w:t>164</w:t>
            </w:r>
          </w:p>
        </w:tc>
        <w:tc>
          <w:tcPr>
            <w:tcW w:w="46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Filmed Entertainment</w:t>
            </w:r>
          </w:p>
        </w:tc>
        <w:tc>
          <w:tcPr>
            <w:tcW w:w="156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rPr>
              <w:t>2,972</w:t>
            </w:r>
          </w:p>
        </w:tc>
        <w:tc>
          <w:tcPr>
            <w:tcW w:w="5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(62)</w:t>
            </w:r>
          </w:p>
        </w:tc>
        <w:tc>
          <w:tcPr>
            <w:tcW w:w="420" w:type="dxa"/>
            <w:vAlign w:val="bottom"/>
            <w:shd w:val="clear" w:color="auto" w:fill="E5E5E5"/>
          </w:tcPr>
          <w:p>
            <w:pPr>
              <w:spacing w:after="0"/>
              <w:rPr>
                <w:sz w:val="18"/>
                <w:szCs w:val="18"/>
                <w:color w:val="auto"/>
              </w:rPr>
            </w:pPr>
          </w:p>
        </w:tc>
        <w:tc>
          <w:tcPr>
            <w:tcW w:w="1440" w:type="dxa"/>
            <w:vAlign w:val="bottom"/>
            <w:shd w:val="clear" w:color="auto" w:fill="E5E5E5"/>
          </w:tcPr>
          <w:p>
            <w:pPr>
              <w:jc w:val="right"/>
              <w:ind w:right="514"/>
              <w:spacing w:after="0"/>
              <w:rPr>
                <w:sz w:val="20"/>
                <w:szCs w:val="20"/>
                <w:color w:val="auto"/>
              </w:rPr>
            </w:pPr>
            <w:r>
              <w:rPr>
                <w:rFonts w:ascii="Arial" w:cs="Arial" w:eastAsia="Arial" w:hAnsi="Arial"/>
                <w:sz w:val="18"/>
                <w:szCs w:val="18"/>
                <w:color w:val="auto"/>
              </w:rPr>
              <w:t>15</w:t>
            </w:r>
          </w:p>
        </w:tc>
        <w:tc>
          <w:tcPr>
            <w:tcW w:w="30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(77)</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420"/>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(d)</w:t>
            </w:r>
          </w:p>
        </w:tc>
        <w:tc>
          <w:tcPr>
            <w:tcW w:w="1560" w:type="dxa"/>
            <w:vAlign w:val="bottom"/>
          </w:tcPr>
          <w:p>
            <w:pPr>
              <w:jc w:val="right"/>
              <w:ind w:right="294"/>
              <w:spacing w:after="0"/>
              <w:rPr>
                <w:sz w:val="20"/>
                <w:szCs w:val="20"/>
                <w:color w:val="auto"/>
              </w:rPr>
            </w:pPr>
            <w:r>
              <w:rPr>
                <w:rFonts w:ascii="Arial" w:cs="Arial" w:eastAsia="Arial" w:hAnsi="Arial"/>
                <w:sz w:val="18"/>
                <w:szCs w:val="18"/>
                <w:color w:val="auto"/>
              </w:rPr>
              <w:t>1,376</w:t>
            </w:r>
          </w:p>
        </w:tc>
        <w:tc>
          <w:tcPr>
            <w:tcW w:w="500" w:type="dxa"/>
            <w:vAlign w:val="bottom"/>
          </w:tcPr>
          <w:p>
            <w:pPr>
              <w:spacing w:after="0"/>
              <w:rPr>
                <w:sz w:val="18"/>
                <w:szCs w:val="18"/>
                <w:color w:val="auto"/>
              </w:rPr>
            </w:pPr>
          </w:p>
        </w:tc>
        <w:tc>
          <w:tcPr>
            <w:tcW w:w="1560" w:type="dxa"/>
            <w:vAlign w:val="bottom"/>
          </w:tcPr>
          <w:p>
            <w:pPr>
              <w:jc w:val="right"/>
              <w:ind w:right="296"/>
              <w:spacing w:after="0"/>
              <w:rPr>
                <w:sz w:val="20"/>
                <w:szCs w:val="20"/>
                <w:color w:val="auto"/>
              </w:rPr>
            </w:pPr>
            <w:r>
              <w:rPr>
                <w:rFonts w:ascii="Arial" w:cs="Arial" w:eastAsia="Arial" w:hAnsi="Arial"/>
                <w:sz w:val="18"/>
                <w:szCs w:val="18"/>
                <w:color w:val="auto"/>
              </w:rPr>
              <w:t>607</w:t>
            </w:r>
          </w:p>
        </w:tc>
        <w:tc>
          <w:tcPr>
            <w:tcW w:w="420" w:type="dxa"/>
            <w:vAlign w:val="bottom"/>
          </w:tcPr>
          <w:p>
            <w:pPr>
              <w:spacing w:after="0"/>
              <w:rPr>
                <w:sz w:val="18"/>
                <w:szCs w:val="18"/>
                <w:color w:val="auto"/>
              </w:rPr>
            </w:pPr>
          </w:p>
        </w:tc>
        <w:tc>
          <w:tcPr>
            <w:tcW w:w="1440" w:type="dxa"/>
            <w:vAlign w:val="bottom"/>
          </w:tcPr>
          <w:p>
            <w:pPr>
              <w:jc w:val="right"/>
              <w:ind w:right="514"/>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8"/>
                <w:szCs w:val="18"/>
                <w:color w:val="auto"/>
              </w:rPr>
            </w:pPr>
          </w:p>
        </w:tc>
        <w:tc>
          <w:tcPr>
            <w:tcW w:w="1160" w:type="dxa"/>
            <w:vAlign w:val="bottom"/>
          </w:tcPr>
          <w:p>
            <w:pPr>
              <w:jc w:val="right"/>
              <w:ind w:right="294"/>
              <w:spacing w:after="0"/>
              <w:rPr>
                <w:sz w:val="20"/>
                <w:szCs w:val="20"/>
                <w:color w:val="auto"/>
              </w:rPr>
            </w:pPr>
            <w:r>
              <w:rPr>
                <w:rFonts w:ascii="Arial" w:cs="Arial" w:eastAsia="Arial" w:hAnsi="Arial"/>
                <w:sz w:val="18"/>
                <w:szCs w:val="18"/>
                <w:color w:val="auto"/>
              </w:rPr>
              <w:t>474</w:t>
            </w:r>
          </w:p>
        </w:tc>
        <w:tc>
          <w:tcPr>
            <w:tcW w:w="46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(e)</w:t>
            </w:r>
          </w:p>
        </w:tc>
        <w:tc>
          <w:tcPr>
            <w:tcW w:w="156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rPr>
              <w:t>34</w:t>
            </w:r>
          </w:p>
        </w:tc>
        <w:tc>
          <w:tcPr>
            <w:tcW w:w="5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(381)</w:t>
            </w:r>
          </w:p>
        </w:tc>
        <w:tc>
          <w:tcPr>
            <w:tcW w:w="420" w:type="dxa"/>
            <w:vAlign w:val="bottom"/>
            <w:shd w:val="clear" w:color="auto" w:fill="E5E5E5"/>
          </w:tcPr>
          <w:p>
            <w:pPr>
              <w:spacing w:after="0"/>
              <w:rPr>
                <w:sz w:val="18"/>
                <w:szCs w:val="18"/>
                <w:color w:val="auto"/>
              </w:rPr>
            </w:pPr>
          </w:p>
        </w:tc>
        <w:tc>
          <w:tcPr>
            <w:tcW w:w="1440" w:type="dxa"/>
            <w:vAlign w:val="bottom"/>
            <w:shd w:val="clear" w:color="auto" w:fill="E5E5E5"/>
          </w:tcPr>
          <w:p>
            <w:pPr>
              <w:jc w:val="right"/>
              <w:ind w:right="514"/>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(501)</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(f)</w:t>
            </w:r>
          </w:p>
        </w:tc>
        <w:tc>
          <w:tcPr>
            <w:tcW w:w="156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(856)</w:t>
            </w: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(234)</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rPr>
              <w:t>(54)</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(180)</w:t>
            </w: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56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rPr>
              <w:t>13,522</w:t>
            </w:r>
          </w:p>
        </w:tc>
        <w:tc>
          <w:tcPr>
            <w:tcW w:w="5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2,410</w:t>
            </w:r>
          </w:p>
        </w:tc>
        <w:tc>
          <w:tcPr>
            <w:tcW w:w="420" w:type="dxa"/>
            <w:vAlign w:val="bottom"/>
            <w:shd w:val="clear" w:color="auto" w:fill="E5E5E5"/>
          </w:tcPr>
          <w:p>
            <w:pPr>
              <w:spacing w:after="0"/>
              <w:rPr>
                <w:sz w:val="18"/>
                <w:szCs w:val="18"/>
                <w:color w:val="auto"/>
              </w:rPr>
            </w:pPr>
          </w:p>
        </w:tc>
        <w:tc>
          <w:tcPr>
            <w:tcW w:w="1440" w:type="dxa"/>
            <w:vAlign w:val="bottom"/>
            <w:shd w:val="clear" w:color="auto" w:fill="E5E5E5"/>
          </w:tcPr>
          <w:p>
            <w:pPr>
              <w:jc w:val="right"/>
              <w:ind w:right="514"/>
              <w:spacing w:after="0"/>
              <w:rPr>
                <w:sz w:val="20"/>
                <w:szCs w:val="20"/>
                <w:color w:val="auto"/>
              </w:rPr>
            </w:pPr>
            <w:r>
              <w:rPr>
                <w:rFonts w:ascii="Arial" w:cs="Arial" w:eastAsia="Arial" w:hAnsi="Arial"/>
                <w:sz w:val="18"/>
                <w:szCs w:val="18"/>
                <w:color w:val="auto"/>
              </w:rPr>
              <w:t>791</w:t>
            </w:r>
          </w:p>
        </w:tc>
        <w:tc>
          <w:tcPr>
            <w:tcW w:w="30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rPr>
              <w:t>1,619</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Corporate and Other</w:t>
            </w:r>
          </w:p>
        </w:tc>
        <w:tc>
          <w:tcPr>
            <w:tcW w:w="1560" w:type="dxa"/>
            <w:vAlign w:val="bottom"/>
          </w:tcPr>
          <w:p>
            <w:pPr>
              <w:jc w:val="right"/>
              <w:ind w:right="294"/>
              <w:spacing w:after="0"/>
              <w:rPr>
                <w:sz w:val="20"/>
                <w:szCs w:val="20"/>
                <w:color w:val="auto"/>
              </w:rPr>
            </w:pPr>
            <w:r>
              <w:rPr>
                <w:rFonts w:ascii="Arial" w:cs="Arial" w:eastAsia="Arial" w:hAnsi="Arial"/>
                <w:sz w:val="18"/>
                <w:szCs w:val="18"/>
                <w:color w:val="auto"/>
              </w:rPr>
              <w:t>423</w:t>
            </w:r>
          </w:p>
        </w:tc>
        <w:tc>
          <w:tcPr>
            <w:tcW w:w="500" w:type="dxa"/>
            <w:vAlign w:val="bottom"/>
          </w:tcPr>
          <w:p>
            <w:pPr>
              <w:spacing w:after="0"/>
              <w:rPr>
                <w:sz w:val="18"/>
                <w:szCs w:val="18"/>
                <w:color w:val="auto"/>
              </w:rPr>
            </w:pPr>
          </w:p>
        </w:tc>
        <w:tc>
          <w:tcPr>
            <w:tcW w:w="1560" w:type="dxa"/>
            <w:vAlign w:val="bottom"/>
          </w:tcPr>
          <w:p>
            <w:pPr>
              <w:jc w:val="right"/>
              <w:ind w:right="236"/>
              <w:spacing w:after="0"/>
              <w:rPr>
                <w:sz w:val="20"/>
                <w:szCs w:val="20"/>
                <w:color w:val="auto"/>
              </w:rPr>
            </w:pPr>
            <w:r>
              <w:rPr>
                <w:rFonts w:ascii="Arial" w:cs="Arial" w:eastAsia="Arial" w:hAnsi="Arial"/>
                <w:sz w:val="18"/>
                <w:szCs w:val="18"/>
                <w:color w:val="auto"/>
              </w:rPr>
              <w:t>(319)</w:t>
            </w:r>
          </w:p>
        </w:tc>
        <w:tc>
          <w:tcPr>
            <w:tcW w:w="420" w:type="dxa"/>
            <w:vAlign w:val="bottom"/>
          </w:tcPr>
          <w:p>
            <w:pPr>
              <w:spacing w:after="0"/>
              <w:rPr>
                <w:sz w:val="18"/>
                <w:szCs w:val="18"/>
                <w:color w:val="auto"/>
              </w:rPr>
            </w:pPr>
          </w:p>
        </w:tc>
        <w:tc>
          <w:tcPr>
            <w:tcW w:w="1440" w:type="dxa"/>
            <w:vAlign w:val="bottom"/>
          </w:tcPr>
          <w:p>
            <w:pPr>
              <w:jc w:val="right"/>
              <w:ind w:right="514"/>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1160" w:type="dxa"/>
            <w:vAlign w:val="bottom"/>
          </w:tcPr>
          <w:p>
            <w:pPr>
              <w:jc w:val="right"/>
              <w:ind w:right="234"/>
              <w:spacing w:after="0"/>
              <w:rPr>
                <w:sz w:val="20"/>
                <w:szCs w:val="20"/>
                <w:color w:val="auto"/>
              </w:rPr>
            </w:pPr>
            <w:r>
              <w:rPr>
                <w:rFonts w:ascii="Arial" w:cs="Arial" w:eastAsia="Arial" w:hAnsi="Arial"/>
                <w:sz w:val="18"/>
                <w:szCs w:val="18"/>
                <w:color w:val="auto"/>
              </w:rPr>
              <w:t>(374)</w:t>
            </w:r>
          </w:p>
        </w:tc>
        <w:tc>
          <w:tcPr>
            <w:tcW w:w="46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(f)</w:t>
            </w:r>
          </w:p>
        </w:tc>
        <w:tc>
          <w:tcPr>
            <w:tcW w:w="156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rPr>
              <w:t>(901)</w:t>
            </w:r>
          </w:p>
        </w:tc>
        <w:tc>
          <w:tcPr>
            <w:tcW w:w="500" w:type="dxa"/>
            <w:vAlign w:val="bottom"/>
            <w:tcBorders>
              <w:bottom w:val="single" w:sz="8" w:color="auto"/>
            </w:tcBorders>
            <w:shd w:val="clear" w:color="auto" w:fill="E5E5E5"/>
          </w:tcPr>
          <w:p>
            <w:pPr>
              <w:spacing w:after="0"/>
              <w:rPr>
                <w:sz w:val="18"/>
                <w:szCs w:val="18"/>
                <w:color w:val="auto"/>
              </w:rPr>
            </w:pPr>
          </w:p>
        </w:tc>
        <w:tc>
          <w:tcPr>
            <w:tcW w:w="1560" w:type="dxa"/>
            <w:vAlign w:val="bottom"/>
            <w:tcBorders>
              <w:bottom w:val="single" w:sz="8" w:color="auto"/>
            </w:tcBorders>
            <w:shd w:val="clear" w:color="auto" w:fill="E5E5E5"/>
          </w:tcPr>
          <w:p>
            <w:pPr>
              <w:jc w:val="right"/>
              <w:ind w:right="296"/>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shd w:val="clear" w:color="auto" w:fill="E5E5E5"/>
          </w:tcPr>
          <w:p>
            <w:pPr>
              <w:spacing w:after="0"/>
              <w:rPr>
                <w:sz w:val="18"/>
                <w:szCs w:val="18"/>
                <w:color w:val="auto"/>
              </w:rPr>
            </w:pPr>
          </w:p>
        </w:tc>
        <w:tc>
          <w:tcPr>
            <w:tcW w:w="1440" w:type="dxa"/>
            <w:vAlign w:val="bottom"/>
            <w:tcBorders>
              <w:bottom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shd w:val="clear" w:color="auto" w:fill="E5E5E5"/>
          </w:tcPr>
          <w:p>
            <w:pPr>
              <w:spacing w:after="0"/>
              <w:rPr>
                <w:sz w:val="18"/>
                <w:szCs w:val="18"/>
                <w:color w:val="auto"/>
              </w:rPr>
            </w:pPr>
          </w:p>
        </w:tc>
        <w:tc>
          <w:tcPr>
            <w:tcW w:w="1160" w:type="dxa"/>
            <w:vAlign w:val="bottom"/>
            <w:tcBorders>
              <w:bottom w:val="single" w:sz="8" w:color="auto"/>
            </w:tcBorders>
            <w:shd w:val="clear" w:color="auto" w:fill="E5E5E5"/>
          </w:tcPr>
          <w:p>
            <w:pPr>
              <w:jc w:val="right"/>
              <w:ind w:right="29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Comcast Consolidated</w:t>
            </w:r>
          </w:p>
        </w:tc>
        <w:tc>
          <w:tcPr>
            <w:tcW w:w="156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$ 40,800</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rPr>
              <w:t>13,441</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color w:val="auto"/>
              </w:rPr>
              <w:t>5,638</w:t>
            </w: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7,803</w:t>
            </w:r>
          </w:p>
        </w:tc>
        <w:tc>
          <w:tcPr>
            <w:tcW w:w="4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3,785</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the three and nine months ended September 30, 2012 and 2011, Cable Communications segment revenue was derived from the following sources:</w:t>
      </w:r>
    </w:p>
    <w:p>
      <w:pPr>
        <w:spacing w:after="0" w:line="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260" w:type="dxa"/>
            <w:vAlign w:val="bottom"/>
            <w:gridSpan w:val="2"/>
          </w:tcPr>
          <w:p>
            <w:pPr>
              <w:jc w:val="right"/>
              <w:ind w:right="492"/>
              <w:spacing w:after="0"/>
              <w:rPr>
                <w:sz w:val="20"/>
                <w:szCs w:val="20"/>
                <w:color w:val="auto"/>
              </w:rPr>
            </w:pPr>
            <w:r>
              <w:rPr>
                <w:rFonts w:ascii="Arial" w:cs="Arial" w:eastAsia="Arial" w:hAnsi="Arial"/>
                <w:sz w:val="14"/>
                <w:szCs w:val="14"/>
                <w:color w:val="auto"/>
              </w:rPr>
              <w:t>Three Months Ended</w:t>
            </w:r>
          </w:p>
        </w:tc>
        <w:tc>
          <w:tcPr>
            <w:tcW w:w="1860" w:type="dxa"/>
            <w:vAlign w:val="bottom"/>
            <w:gridSpan w:val="2"/>
          </w:tcPr>
          <w:p>
            <w:pPr>
              <w:jc w:val="right"/>
              <w:ind w:right="332"/>
              <w:spacing w:after="0"/>
              <w:rPr>
                <w:sz w:val="20"/>
                <w:szCs w:val="20"/>
                <w:color w:val="auto"/>
              </w:rPr>
            </w:pPr>
            <w:r>
              <w:rPr>
                <w:rFonts w:ascii="Arial" w:cs="Arial" w:eastAsia="Arial" w:hAnsi="Arial"/>
                <w:sz w:val="14"/>
                <w:szCs w:val="14"/>
                <w:color w:val="auto"/>
              </w:rPr>
              <w:t>Nine Months Ended</w:t>
            </w:r>
          </w:p>
        </w:tc>
      </w:tr>
      <w:tr>
        <w:trPr>
          <w:trHeight w:val="159"/>
        </w:trPr>
        <w:tc>
          <w:tcPr>
            <w:tcW w:w="20" w:type="dxa"/>
            <w:vAlign w:val="bottom"/>
          </w:tcPr>
          <w:p>
            <w:pPr>
              <w:spacing w:after="0"/>
              <w:rPr>
                <w:sz w:val="13"/>
                <w:szCs w:val="13"/>
                <w:color w:val="auto"/>
              </w:rPr>
            </w:pPr>
          </w:p>
        </w:tc>
        <w:tc>
          <w:tcPr>
            <w:tcW w:w="6140" w:type="dxa"/>
            <w:vAlign w:val="bottom"/>
            <w:tcBorders>
              <w:bottom w:val="single" w:sz="8" w:color="E5E5E5"/>
            </w:tcBorders>
          </w:tcPr>
          <w:p>
            <w:pPr>
              <w:spacing w:after="0"/>
              <w:rPr>
                <w:sz w:val="13"/>
                <w:szCs w:val="13"/>
                <w:color w:val="auto"/>
              </w:rPr>
            </w:pPr>
          </w:p>
        </w:tc>
        <w:tc>
          <w:tcPr>
            <w:tcW w:w="1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September 30</w:t>
            </w:r>
          </w:p>
        </w:tc>
        <w:tc>
          <w:tcPr>
            <w:tcW w:w="7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6140" w:type="dxa"/>
            <w:vAlign w:val="bottom"/>
            <w:tcBorders>
              <w:bottom w:val="single" w:sz="8" w:color="auto"/>
            </w:tcBorders>
            <w:shd w:val="clear" w:color="auto" w:fill="E5E5E5"/>
          </w:tcPr>
          <w:p>
            <w:pPr>
              <w:spacing w:after="0"/>
              <w:rPr>
                <w:sz w:val="12"/>
                <w:szCs w:val="12"/>
                <w:color w:val="auto"/>
              </w:rPr>
            </w:pPr>
          </w:p>
        </w:tc>
        <w:tc>
          <w:tcPr>
            <w:tcW w:w="1540" w:type="dxa"/>
            <w:vAlign w:val="bottom"/>
            <w:tcBorders>
              <w:bottom w:val="single" w:sz="8" w:color="auto"/>
            </w:tcBorders>
            <w:shd w:val="clear" w:color="auto" w:fill="E5E5E5"/>
          </w:tcPr>
          <w:p>
            <w:pPr>
              <w:jc w:val="right"/>
              <w:ind w:right="652"/>
              <w:spacing w:after="0" w:line="142" w:lineRule="exact"/>
              <w:rPr>
                <w:sz w:val="20"/>
                <w:szCs w:val="20"/>
                <w:color w:val="auto"/>
              </w:rPr>
            </w:pPr>
            <w:r>
              <w:rPr>
                <w:rFonts w:ascii="Arial" w:cs="Arial" w:eastAsia="Arial" w:hAnsi="Arial"/>
                <w:sz w:val="14"/>
                <w:szCs w:val="14"/>
                <w:color w:val="auto"/>
              </w:rPr>
              <w:t>2012</w:t>
            </w:r>
          </w:p>
        </w:tc>
        <w:tc>
          <w:tcPr>
            <w:tcW w:w="720" w:type="dxa"/>
            <w:vAlign w:val="bottom"/>
            <w:tcBorders>
              <w:bottom w:val="single" w:sz="8" w:color="auto"/>
            </w:tcBorders>
            <w:shd w:val="clear" w:color="auto" w:fill="E5E5E5"/>
          </w:tcPr>
          <w:p>
            <w:pPr>
              <w:jc w:val="right"/>
              <w:ind w:right="372"/>
              <w:spacing w:after="0" w:line="142" w:lineRule="exact"/>
              <w:rPr>
                <w:sz w:val="20"/>
                <w:szCs w:val="20"/>
                <w:color w:val="auto"/>
              </w:rPr>
            </w:pPr>
            <w:r>
              <w:rPr>
                <w:rFonts w:ascii="Arial" w:cs="Arial" w:eastAsia="Arial" w:hAnsi="Arial"/>
                <w:sz w:val="14"/>
                <w:szCs w:val="14"/>
                <w:color w:val="auto"/>
                <w:w w:val="83"/>
              </w:rPr>
              <w:t>2011</w:t>
            </w:r>
          </w:p>
        </w:tc>
        <w:tc>
          <w:tcPr>
            <w:tcW w:w="1320" w:type="dxa"/>
            <w:vAlign w:val="bottom"/>
            <w:tcBorders>
              <w:bottom w:val="single" w:sz="8" w:color="auto"/>
            </w:tcBorders>
            <w:shd w:val="clear" w:color="auto" w:fill="E5E5E5"/>
          </w:tcPr>
          <w:p>
            <w:pPr>
              <w:jc w:val="right"/>
              <w:ind w:right="652"/>
              <w:spacing w:after="0" w:line="142" w:lineRule="exact"/>
              <w:rPr>
                <w:sz w:val="20"/>
                <w:szCs w:val="20"/>
                <w:color w:val="auto"/>
              </w:rPr>
            </w:pPr>
            <w:r>
              <w:rPr>
                <w:rFonts w:ascii="Arial" w:cs="Arial" w:eastAsia="Arial" w:hAnsi="Arial"/>
                <w:sz w:val="14"/>
                <w:szCs w:val="14"/>
                <w:color w:val="auto"/>
              </w:rPr>
              <w:t>2012</w:t>
            </w:r>
          </w:p>
        </w:tc>
        <w:tc>
          <w:tcPr>
            <w:tcW w:w="54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96"/>
              </w:rPr>
              <w:t>2011</w:t>
            </w:r>
          </w:p>
        </w:tc>
      </w:tr>
      <w:tr>
        <w:trPr>
          <w:trHeight w:val="142"/>
        </w:trPr>
        <w:tc>
          <w:tcPr>
            <w:tcW w:w="20" w:type="dxa"/>
            <w:vAlign w:val="bottom"/>
          </w:tcPr>
          <w:p>
            <w:pPr>
              <w:spacing w:after="0"/>
              <w:rPr>
                <w:sz w:val="12"/>
                <w:szCs w:val="12"/>
                <w:color w:val="auto"/>
              </w:rPr>
            </w:pPr>
          </w:p>
        </w:tc>
        <w:tc>
          <w:tcPr>
            <w:tcW w:w="6140" w:type="dxa"/>
            <w:vAlign w:val="bottom"/>
          </w:tcPr>
          <w:p>
            <w:pPr>
              <w:spacing w:after="0" w:line="142" w:lineRule="exact"/>
              <w:rPr>
                <w:sz w:val="20"/>
                <w:szCs w:val="20"/>
                <w:color w:val="auto"/>
              </w:rPr>
            </w:pPr>
            <w:r>
              <w:rPr>
                <w:rFonts w:ascii="Arial" w:cs="Arial" w:eastAsia="Arial" w:hAnsi="Arial"/>
                <w:sz w:val="14"/>
                <w:szCs w:val="14"/>
                <w:color w:val="auto"/>
              </w:rPr>
              <w:t>Residential:</w:t>
            </w:r>
          </w:p>
        </w:tc>
        <w:tc>
          <w:tcPr>
            <w:tcW w:w="1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E5E5E5"/>
          </w:tcPr>
          <w:p>
            <w:pPr>
              <w:ind w:left="420"/>
              <w:spacing w:after="0" w:line="149" w:lineRule="exact"/>
              <w:rPr>
                <w:sz w:val="20"/>
                <w:szCs w:val="20"/>
                <w:color w:val="auto"/>
              </w:rPr>
            </w:pPr>
            <w:r>
              <w:rPr>
                <w:rFonts w:ascii="Arial" w:cs="Arial" w:eastAsia="Arial" w:hAnsi="Arial"/>
                <w:sz w:val="14"/>
                <w:szCs w:val="14"/>
                <w:color w:val="auto"/>
              </w:rPr>
              <w:t>Video</w:t>
            </w:r>
          </w:p>
        </w:tc>
        <w:tc>
          <w:tcPr>
            <w:tcW w:w="1540" w:type="dxa"/>
            <w:vAlign w:val="bottom"/>
            <w:shd w:val="clear" w:color="auto" w:fill="E5E5E5"/>
          </w:tcPr>
          <w:p>
            <w:pPr>
              <w:jc w:val="right"/>
              <w:ind w:right="532"/>
              <w:spacing w:after="0" w:line="149" w:lineRule="exact"/>
              <w:rPr>
                <w:sz w:val="20"/>
                <w:szCs w:val="20"/>
                <w:color w:val="auto"/>
              </w:rPr>
            </w:pPr>
            <w:r>
              <w:rPr>
                <w:rFonts w:ascii="Arial" w:cs="Arial" w:eastAsia="Arial" w:hAnsi="Arial"/>
                <w:sz w:val="14"/>
                <w:szCs w:val="14"/>
                <w:color w:val="auto"/>
              </w:rPr>
              <w:t>50.3%</w:t>
            </w:r>
          </w:p>
        </w:tc>
        <w:tc>
          <w:tcPr>
            <w:tcW w:w="72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52.4%</w:t>
            </w:r>
          </w:p>
        </w:tc>
        <w:tc>
          <w:tcPr>
            <w:tcW w:w="1320" w:type="dxa"/>
            <w:vAlign w:val="bottom"/>
            <w:shd w:val="clear" w:color="auto" w:fill="E5E5E5"/>
          </w:tcPr>
          <w:p>
            <w:pPr>
              <w:jc w:val="right"/>
              <w:ind w:right="532"/>
              <w:spacing w:after="0" w:line="149" w:lineRule="exact"/>
              <w:rPr>
                <w:sz w:val="20"/>
                <w:szCs w:val="20"/>
                <w:color w:val="auto"/>
              </w:rPr>
            </w:pPr>
            <w:r>
              <w:rPr>
                <w:rFonts w:ascii="Arial" w:cs="Arial" w:eastAsia="Arial" w:hAnsi="Arial"/>
                <w:sz w:val="14"/>
                <w:szCs w:val="14"/>
                <w:color w:val="auto"/>
              </w:rPr>
              <w:t>51.1%</w:t>
            </w:r>
          </w:p>
        </w:tc>
        <w:tc>
          <w:tcPr>
            <w:tcW w:w="5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53.0%</w:t>
            </w:r>
          </w:p>
        </w:tc>
      </w:tr>
      <w:tr>
        <w:trPr>
          <w:trHeight w:val="149"/>
        </w:trPr>
        <w:tc>
          <w:tcPr>
            <w:tcW w:w="20" w:type="dxa"/>
            <w:vAlign w:val="bottom"/>
          </w:tcPr>
          <w:p>
            <w:pPr>
              <w:spacing w:after="0"/>
              <w:rPr>
                <w:sz w:val="12"/>
                <w:szCs w:val="12"/>
                <w:color w:val="auto"/>
              </w:rPr>
            </w:pPr>
          </w:p>
        </w:tc>
        <w:tc>
          <w:tcPr>
            <w:tcW w:w="6140" w:type="dxa"/>
            <w:vAlign w:val="bottom"/>
          </w:tcPr>
          <w:p>
            <w:pPr>
              <w:ind w:left="420"/>
              <w:spacing w:after="0" w:line="149" w:lineRule="exact"/>
              <w:rPr>
                <w:sz w:val="20"/>
                <w:szCs w:val="20"/>
                <w:color w:val="auto"/>
              </w:rPr>
            </w:pPr>
            <w:r>
              <w:rPr>
                <w:rFonts w:ascii="Arial" w:cs="Arial" w:eastAsia="Arial" w:hAnsi="Arial"/>
                <w:sz w:val="14"/>
                <w:szCs w:val="14"/>
                <w:color w:val="auto"/>
              </w:rPr>
              <w:t>High-speed Internet</w:t>
            </w:r>
          </w:p>
        </w:tc>
        <w:tc>
          <w:tcPr>
            <w:tcW w:w="1540" w:type="dxa"/>
            <w:vAlign w:val="bottom"/>
          </w:tcPr>
          <w:p>
            <w:pPr>
              <w:jc w:val="right"/>
              <w:ind w:right="532"/>
              <w:spacing w:after="0" w:line="149" w:lineRule="exact"/>
              <w:rPr>
                <w:sz w:val="20"/>
                <w:szCs w:val="20"/>
                <w:color w:val="auto"/>
              </w:rPr>
            </w:pPr>
            <w:r>
              <w:rPr>
                <w:rFonts w:ascii="Arial" w:cs="Arial" w:eastAsia="Arial" w:hAnsi="Arial"/>
                <w:sz w:val="14"/>
                <w:szCs w:val="14"/>
                <w:color w:val="auto"/>
              </w:rPr>
              <w:t>24.1%</w:t>
            </w:r>
          </w:p>
        </w:tc>
        <w:tc>
          <w:tcPr>
            <w:tcW w:w="7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23.6%</w:t>
            </w:r>
          </w:p>
        </w:tc>
        <w:tc>
          <w:tcPr>
            <w:tcW w:w="1320" w:type="dxa"/>
            <w:vAlign w:val="bottom"/>
          </w:tcPr>
          <w:p>
            <w:pPr>
              <w:jc w:val="right"/>
              <w:ind w:right="532"/>
              <w:spacing w:after="0" w:line="149" w:lineRule="exact"/>
              <w:rPr>
                <w:sz w:val="20"/>
                <w:szCs w:val="20"/>
                <w:color w:val="auto"/>
              </w:rPr>
            </w:pPr>
            <w:r>
              <w:rPr>
                <w:rFonts w:ascii="Arial" w:cs="Arial" w:eastAsia="Arial" w:hAnsi="Arial"/>
                <w:sz w:val="14"/>
                <w:szCs w:val="14"/>
                <w:color w:val="auto"/>
              </w:rPr>
              <w:t>24.1%</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23.4%</w:t>
            </w:r>
          </w:p>
        </w:tc>
      </w:tr>
      <w:tr>
        <w:trPr>
          <w:trHeight w:val="149"/>
        </w:trPr>
        <w:tc>
          <w:tcPr>
            <w:tcW w:w="20" w:type="dxa"/>
            <w:vAlign w:val="bottom"/>
          </w:tcPr>
          <w:p>
            <w:pPr>
              <w:spacing w:after="0"/>
              <w:rPr>
                <w:sz w:val="12"/>
                <w:szCs w:val="12"/>
                <w:color w:val="auto"/>
              </w:rPr>
            </w:pPr>
          </w:p>
        </w:tc>
        <w:tc>
          <w:tcPr>
            <w:tcW w:w="6140" w:type="dxa"/>
            <w:vAlign w:val="bottom"/>
            <w:shd w:val="clear" w:color="auto" w:fill="E5E5E5"/>
          </w:tcPr>
          <w:p>
            <w:pPr>
              <w:ind w:left="420"/>
              <w:spacing w:after="0" w:line="149" w:lineRule="exact"/>
              <w:rPr>
                <w:sz w:val="20"/>
                <w:szCs w:val="20"/>
                <w:color w:val="auto"/>
              </w:rPr>
            </w:pPr>
            <w:r>
              <w:rPr>
                <w:rFonts w:ascii="Arial" w:cs="Arial" w:eastAsia="Arial" w:hAnsi="Arial"/>
                <w:sz w:val="14"/>
                <w:szCs w:val="14"/>
                <w:color w:val="auto"/>
              </w:rPr>
              <w:t>Voice</w:t>
            </w:r>
          </w:p>
        </w:tc>
        <w:tc>
          <w:tcPr>
            <w:tcW w:w="1540" w:type="dxa"/>
            <w:vAlign w:val="bottom"/>
            <w:shd w:val="clear" w:color="auto" w:fill="E5E5E5"/>
          </w:tcPr>
          <w:p>
            <w:pPr>
              <w:jc w:val="right"/>
              <w:ind w:right="532"/>
              <w:spacing w:after="0" w:line="149" w:lineRule="exact"/>
              <w:rPr>
                <w:sz w:val="20"/>
                <w:szCs w:val="20"/>
                <w:color w:val="auto"/>
              </w:rPr>
            </w:pPr>
            <w:r>
              <w:rPr>
                <w:rFonts w:ascii="Arial" w:cs="Arial" w:eastAsia="Arial" w:hAnsi="Arial"/>
                <w:sz w:val="14"/>
                <w:szCs w:val="14"/>
                <w:color w:val="auto"/>
              </w:rPr>
              <w:t>9.0%</w:t>
            </w:r>
          </w:p>
        </w:tc>
        <w:tc>
          <w:tcPr>
            <w:tcW w:w="72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9.5%</w:t>
            </w:r>
          </w:p>
        </w:tc>
        <w:tc>
          <w:tcPr>
            <w:tcW w:w="1320" w:type="dxa"/>
            <w:vAlign w:val="bottom"/>
            <w:shd w:val="clear" w:color="auto" w:fill="E5E5E5"/>
          </w:tcPr>
          <w:p>
            <w:pPr>
              <w:jc w:val="right"/>
              <w:ind w:right="532"/>
              <w:spacing w:after="0" w:line="149" w:lineRule="exact"/>
              <w:rPr>
                <w:sz w:val="20"/>
                <w:szCs w:val="20"/>
                <w:color w:val="auto"/>
              </w:rPr>
            </w:pPr>
            <w:r>
              <w:rPr>
                <w:rFonts w:ascii="Arial" w:cs="Arial" w:eastAsia="Arial" w:hAnsi="Arial"/>
                <w:sz w:val="14"/>
                <w:szCs w:val="14"/>
                <w:color w:val="auto"/>
              </w:rPr>
              <w:t>9.0%</w:t>
            </w:r>
          </w:p>
        </w:tc>
        <w:tc>
          <w:tcPr>
            <w:tcW w:w="5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9.4%</w:t>
            </w: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Business services</w:t>
            </w:r>
          </w:p>
        </w:tc>
        <w:tc>
          <w:tcPr>
            <w:tcW w:w="1540" w:type="dxa"/>
            <w:vAlign w:val="bottom"/>
          </w:tcPr>
          <w:p>
            <w:pPr>
              <w:jc w:val="right"/>
              <w:ind w:right="532"/>
              <w:spacing w:after="0" w:line="149" w:lineRule="exact"/>
              <w:rPr>
                <w:sz w:val="20"/>
                <w:szCs w:val="20"/>
                <w:color w:val="auto"/>
              </w:rPr>
            </w:pPr>
            <w:r>
              <w:rPr>
                <w:rFonts w:ascii="Arial" w:cs="Arial" w:eastAsia="Arial" w:hAnsi="Arial"/>
                <w:sz w:val="14"/>
                <w:szCs w:val="14"/>
                <w:color w:val="auto"/>
              </w:rPr>
              <w:t>6.2%</w:t>
            </w:r>
          </w:p>
        </w:tc>
        <w:tc>
          <w:tcPr>
            <w:tcW w:w="7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5.0%</w:t>
            </w:r>
          </w:p>
        </w:tc>
        <w:tc>
          <w:tcPr>
            <w:tcW w:w="1320" w:type="dxa"/>
            <w:vAlign w:val="bottom"/>
          </w:tcPr>
          <w:p>
            <w:pPr>
              <w:jc w:val="right"/>
              <w:ind w:right="532"/>
              <w:spacing w:after="0" w:line="149" w:lineRule="exact"/>
              <w:rPr>
                <w:sz w:val="20"/>
                <w:szCs w:val="20"/>
                <w:color w:val="auto"/>
              </w:rPr>
            </w:pPr>
            <w:r>
              <w:rPr>
                <w:rFonts w:ascii="Arial" w:cs="Arial" w:eastAsia="Arial" w:hAnsi="Arial"/>
                <w:sz w:val="14"/>
                <w:szCs w:val="14"/>
                <w:color w:val="auto"/>
              </w:rPr>
              <w:t>5.9%</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w:t>
            </w:r>
          </w:p>
        </w:tc>
      </w:tr>
      <w:tr>
        <w:trPr>
          <w:trHeight w:val="149"/>
        </w:trPr>
        <w:tc>
          <w:tcPr>
            <w:tcW w:w="20" w:type="dxa"/>
            <w:vAlign w:val="bottom"/>
          </w:tcPr>
          <w:p>
            <w:pPr>
              <w:spacing w:after="0"/>
              <w:rPr>
                <w:sz w:val="12"/>
                <w:szCs w:val="12"/>
                <w:color w:val="auto"/>
              </w:rPr>
            </w:pPr>
          </w:p>
        </w:tc>
        <w:tc>
          <w:tcPr>
            <w:tcW w:w="61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Advertising</w:t>
            </w:r>
          </w:p>
        </w:tc>
        <w:tc>
          <w:tcPr>
            <w:tcW w:w="1540" w:type="dxa"/>
            <w:vAlign w:val="bottom"/>
            <w:shd w:val="clear" w:color="auto" w:fill="E5E5E5"/>
          </w:tcPr>
          <w:p>
            <w:pPr>
              <w:jc w:val="right"/>
              <w:ind w:right="532"/>
              <w:spacing w:after="0" w:line="149" w:lineRule="exact"/>
              <w:rPr>
                <w:sz w:val="20"/>
                <w:szCs w:val="20"/>
                <w:color w:val="auto"/>
              </w:rPr>
            </w:pPr>
            <w:r>
              <w:rPr>
                <w:rFonts w:ascii="Arial" w:cs="Arial" w:eastAsia="Arial" w:hAnsi="Arial"/>
                <w:sz w:val="14"/>
                <w:szCs w:val="14"/>
                <w:color w:val="auto"/>
              </w:rPr>
              <w:t>6.1%</w:t>
            </w:r>
          </w:p>
        </w:tc>
        <w:tc>
          <w:tcPr>
            <w:tcW w:w="72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5.3%</w:t>
            </w:r>
          </w:p>
        </w:tc>
        <w:tc>
          <w:tcPr>
            <w:tcW w:w="1320" w:type="dxa"/>
            <w:vAlign w:val="bottom"/>
            <w:shd w:val="clear" w:color="auto" w:fill="E5E5E5"/>
          </w:tcPr>
          <w:p>
            <w:pPr>
              <w:jc w:val="right"/>
              <w:ind w:right="532"/>
              <w:spacing w:after="0" w:line="149" w:lineRule="exact"/>
              <w:rPr>
                <w:sz w:val="20"/>
                <w:szCs w:val="20"/>
                <w:color w:val="auto"/>
              </w:rPr>
            </w:pPr>
            <w:r>
              <w:rPr>
                <w:rFonts w:ascii="Arial" w:cs="Arial" w:eastAsia="Arial" w:hAnsi="Arial"/>
                <w:sz w:val="14"/>
                <w:szCs w:val="14"/>
                <w:color w:val="auto"/>
              </w:rPr>
              <w:t>5.5%</w:t>
            </w:r>
          </w:p>
        </w:tc>
        <w:tc>
          <w:tcPr>
            <w:tcW w:w="5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5.3%</w:t>
            </w:r>
          </w:p>
        </w:tc>
      </w:tr>
      <w:tr>
        <w:trPr>
          <w:trHeight w:val="149"/>
        </w:trPr>
        <w:tc>
          <w:tcPr>
            <w:tcW w:w="20" w:type="dxa"/>
            <w:vAlign w:val="bottom"/>
          </w:tcPr>
          <w:p>
            <w:pPr>
              <w:spacing w:after="0"/>
              <w:rPr>
                <w:sz w:val="12"/>
                <w:szCs w:val="12"/>
                <w:color w:val="auto"/>
              </w:rPr>
            </w:pPr>
          </w:p>
        </w:tc>
        <w:tc>
          <w:tcPr>
            <w:tcW w:w="61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Other</w:t>
            </w:r>
          </w:p>
        </w:tc>
        <w:tc>
          <w:tcPr>
            <w:tcW w:w="1540" w:type="dxa"/>
            <w:vAlign w:val="bottom"/>
            <w:tcBorders>
              <w:bottom w:val="single" w:sz="8" w:color="auto"/>
            </w:tcBorders>
          </w:tcPr>
          <w:p>
            <w:pPr>
              <w:jc w:val="right"/>
              <w:ind w:right="532"/>
              <w:spacing w:after="0" w:line="149" w:lineRule="exact"/>
              <w:rPr>
                <w:sz w:val="20"/>
                <w:szCs w:val="20"/>
                <w:color w:val="auto"/>
              </w:rPr>
            </w:pPr>
            <w:r>
              <w:rPr>
                <w:rFonts w:ascii="Arial" w:cs="Arial" w:eastAsia="Arial" w:hAnsi="Arial"/>
                <w:sz w:val="14"/>
                <w:szCs w:val="14"/>
                <w:color w:val="auto"/>
              </w:rPr>
              <w:t>4.3%</w:t>
            </w:r>
          </w:p>
        </w:tc>
        <w:tc>
          <w:tcPr>
            <w:tcW w:w="720" w:type="dxa"/>
            <w:vAlign w:val="bottom"/>
            <w:tcBorders>
              <w:bottom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4.2%</w:t>
            </w:r>
          </w:p>
        </w:tc>
        <w:tc>
          <w:tcPr>
            <w:tcW w:w="1320" w:type="dxa"/>
            <w:vAlign w:val="bottom"/>
            <w:tcBorders>
              <w:bottom w:val="single" w:sz="8" w:color="auto"/>
            </w:tcBorders>
          </w:tcPr>
          <w:p>
            <w:pPr>
              <w:jc w:val="right"/>
              <w:ind w:right="532"/>
              <w:spacing w:after="0" w:line="149" w:lineRule="exact"/>
              <w:rPr>
                <w:sz w:val="20"/>
                <w:szCs w:val="20"/>
                <w:color w:val="auto"/>
              </w:rPr>
            </w:pPr>
            <w:r>
              <w:rPr>
                <w:rFonts w:ascii="Arial" w:cs="Arial" w:eastAsia="Arial" w:hAnsi="Arial"/>
                <w:sz w:val="14"/>
                <w:szCs w:val="14"/>
                <w:color w:val="auto"/>
              </w:rPr>
              <w:t>4.4%</w:t>
            </w: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4.2%</w:t>
            </w:r>
          </w:p>
        </w:tc>
      </w:tr>
      <w:tr>
        <w:trPr>
          <w:trHeight w:val="149"/>
        </w:trPr>
        <w:tc>
          <w:tcPr>
            <w:tcW w:w="20" w:type="dxa"/>
            <w:vAlign w:val="bottom"/>
          </w:tcPr>
          <w:p>
            <w:pPr>
              <w:spacing w:after="0"/>
              <w:rPr>
                <w:sz w:val="12"/>
                <w:szCs w:val="12"/>
                <w:color w:val="auto"/>
              </w:rPr>
            </w:pPr>
          </w:p>
        </w:tc>
        <w:tc>
          <w:tcPr>
            <w:tcW w:w="614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Total</w:t>
            </w:r>
          </w:p>
        </w:tc>
        <w:tc>
          <w:tcPr>
            <w:tcW w:w="1540" w:type="dxa"/>
            <w:vAlign w:val="bottom"/>
            <w:tcBorders>
              <w:bottom w:val="single" w:sz="8" w:color="auto"/>
            </w:tcBorders>
            <w:shd w:val="clear" w:color="auto" w:fill="E5E5E5"/>
          </w:tcPr>
          <w:p>
            <w:pPr>
              <w:jc w:val="right"/>
              <w:ind w:right="532"/>
              <w:spacing w:after="0" w:line="142" w:lineRule="exact"/>
              <w:rPr>
                <w:sz w:val="20"/>
                <w:szCs w:val="20"/>
                <w:color w:val="auto"/>
              </w:rPr>
            </w:pPr>
            <w:r>
              <w:rPr>
                <w:rFonts w:ascii="Arial" w:cs="Arial" w:eastAsia="Arial" w:hAnsi="Arial"/>
                <w:sz w:val="14"/>
                <w:szCs w:val="14"/>
                <w:color w:val="auto"/>
              </w:rPr>
              <w:t>100%</w:t>
            </w:r>
          </w:p>
        </w:tc>
        <w:tc>
          <w:tcPr>
            <w:tcW w:w="720" w:type="dxa"/>
            <w:vAlign w:val="bottom"/>
            <w:tcBorders>
              <w:bottom w:val="single" w:sz="8" w:color="auto"/>
            </w:tcBorders>
            <w:shd w:val="clear" w:color="auto" w:fill="E5E5E5"/>
          </w:tcPr>
          <w:p>
            <w:pPr>
              <w:jc w:val="right"/>
              <w:ind w:right="232"/>
              <w:spacing w:after="0" w:line="142" w:lineRule="exact"/>
              <w:rPr>
                <w:sz w:val="20"/>
                <w:szCs w:val="20"/>
                <w:color w:val="auto"/>
              </w:rPr>
            </w:pPr>
            <w:r>
              <w:rPr>
                <w:rFonts w:ascii="Arial" w:cs="Arial" w:eastAsia="Arial" w:hAnsi="Arial"/>
                <w:sz w:val="14"/>
                <w:szCs w:val="14"/>
                <w:color w:val="auto"/>
              </w:rPr>
              <w:t>100%</w:t>
            </w:r>
          </w:p>
        </w:tc>
        <w:tc>
          <w:tcPr>
            <w:tcW w:w="1320" w:type="dxa"/>
            <w:vAlign w:val="bottom"/>
            <w:tcBorders>
              <w:bottom w:val="single" w:sz="8" w:color="auto"/>
            </w:tcBorders>
            <w:shd w:val="clear" w:color="auto" w:fill="E5E5E5"/>
          </w:tcPr>
          <w:p>
            <w:pPr>
              <w:jc w:val="right"/>
              <w:ind w:right="532"/>
              <w:spacing w:after="0" w:line="142" w:lineRule="exact"/>
              <w:rPr>
                <w:sz w:val="20"/>
                <w:szCs w:val="20"/>
                <w:color w:val="auto"/>
              </w:rPr>
            </w:pPr>
            <w:r>
              <w:rPr>
                <w:rFonts w:ascii="Arial" w:cs="Arial" w:eastAsia="Arial" w:hAnsi="Arial"/>
                <w:sz w:val="14"/>
                <w:szCs w:val="14"/>
                <w:color w:val="auto"/>
              </w:rPr>
              <w:t>100%</w:t>
            </w:r>
          </w:p>
        </w:tc>
        <w:tc>
          <w:tcPr>
            <w:tcW w:w="54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100%</w:t>
            </w:r>
          </w:p>
        </w:tc>
      </w:tr>
    </w:tbl>
    <w:p>
      <w:pPr>
        <w:spacing w:after="0" w:line="5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Subscription revenue received from customers who purchase bundled services at a discounted rate is allocated proportionally to each service based on the individual service’s price on a stand-alone basis.</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For both the three and nine months ended September 30, 2012 and 2011, 2.8% of Cable Communications revenue was derived from franchise and other regulatory fees.</w:t>
      </w:r>
    </w:p>
    <w:p>
      <w:pPr>
        <w:spacing w:after="0" w:line="44" w:lineRule="exact"/>
        <w:rPr>
          <w:sz w:val="20"/>
          <w:szCs w:val="20"/>
          <w:color w:val="auto"/>
        </w:rPr>
      </w:pPr>
    </w:p>
    <w:p>
      <w:pPr>
        <w:ind w:left="340" w:right="20" w:hanging="332"/>
        <w:spacing w:after="0" w:line="239"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nine months ended September 30, 2011, our Cable Networks segment included the results of operations of the businesses we contributed to NBCUniversal, as well as the results of operations of the NBCUniversal contributed cable networks for the period January 29, 2011 through September 30, 2011.</w:t>
      </w:r>
    </w:p>
    <w:p>
      <w:pPr>
        <w:spacing w:after="0" w:line="43" w:lineRule="exact"/>
        <w:rPr>
          <w:rFonts w:ascii="Arial" w:cs="Arial" w:eastAsia="Arial" w:hAnsi="Arial"/>
          <w:sz w:val="14"/>
          <w:szCs w:val="14"/>
          <w:color w:val="auto"/>
        </w:rPr>
      </w:pPr>
    </w:p>
    <w:p>
      <w:pPr>
        <w:jc w:val="both"/>
        <w:ind w:left="340" w:hanging="332"/>
        <w:spacing w:after="0" w:line="233"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three and nine months ended September 30, 2012, our Broadcast Television segment included all revenue and operating costs and expenses associated with our broadcast of the 2012 London Olympics, which generated $120 million of operating income before depreciation and amortization. This amount reflects the settlement of a $237 million liability associated with the unfavorable Olympics contract that had been recorded through the application of acquisition accounting in 2011.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line="317"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For the period January 29, 2011 through June 30, 2011, we recorded Universal Orlando as an equity method investment in our consolidated results of operations. However, our Theme Parks segment included the results of operations for Universal Orlando for the period January 29, 2011 through June 30, 2011to reflect our measure of operating performance for our Theme Parks segment.</w:t>
      </w: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included costs and expenses associated with overhead, employee benefits and headquarter initiatives.</w:t>
      </w:r>
    </w:p>
    <w:p>
      <w:pPr>
        <w:spacing w:after="0" w:line="55" w:lineRule="exact"/>
        <w:rPr>
          <w:rFonts w:ascii="Arial" w:cs="Arial" w:eastAsia="Arial" w:hAnsi="Arial"/>
          <w:sz w:val="14"/>
          <w:szCs w:val="14"/>
          <w:color w:val="auto"/>
        </w:rPr>
      </w:pPr>
    </w:p>
    <w:p>
      <w:pPr>
        <w:jc w:val="both"/>
        <w:ind w:left="340" w:hanging="332"/>
        <w:spacing w:after="0" w:line="233"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NBCUniversal eliminations for the nine months ended September 30, 2011 included the elimination of the results of operations for Universal Orlando for the period January 29, 2011 through June 30, 2011. These results were not included in NBCUniversal’s total and our consolidated results of operations for the period January 29, 2011 through June 30, 2011 because we recorded Universal Orlando as an equity method investment during this period.</w:t>
      </w:r>
    </w:p>
    <w:p>
      <w:pPr>
        <w:spacing w:after="0" w:line="44"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Also included in Eliminations are transactions that our segments enter into with one another. The most common types of transactions are the following:</w:t>
      </w:r>
    </w:p>
    <w:p>
      <w:pPr>
        <w:spacing w:after="0" w:line="55"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our Cable Networks and Broadcast Television segments generate revenue by selling programming to our Cable Communications segment, which represents a substantial majority of the revenue elimination amount</w:t>
      </w:r>
    </w:p>
    <w:p>
      <w:pPr>
        <w:spacing w:after="0" w:line="43"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our Cable Communications segment receives incentives offered by our Cable Networks segment in connection with its distribution of the Cable Networks’ content, which are recorded as a reduction to programming expenses</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attributable to Comcast Corporation, net cash provided by operating activities, or other measures of performance or liquidity we have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Condensed Consolidating Financial Information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Corporation (“Comcast Parent”) and four of our 100% owned cable holding company subsidiaries, Comcast Cable Communications, LLC (“CCCL Parent”), Comcast MO Group, Inc. (“Comcast MO Group”), Comcast Cable Holdings, LLC (“CCH”) and Comcast MO of Delaware, LLC (“Comcast MO of Delaware”), have fully and unconditionally guaranteed each other’s debt securities. Comcast MO Group, CCH and Comcast MO of Delaware are collectively referred to as the “Combined CCHMO Parents.”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Corporation provides an unconditional subordinated guarantee of the $185 million principal amount currently outstanding of Comcast Holdings’ ZONES due October 2029. Comcast Corporation does not guarantee the $62 million principal amount currently outstanding of Comcast Holdings’ ZONES due November 2029.</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840" w:type="dxa"/>
            <w:vAlign w:val="bottom"/>
          </w:tcPr>
          <w:p>
            <w:pPr>
              <w:jc w:val="center"/>
              <w:ind w:right="19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8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Comcast</w:t>
            </w:r>
          </w:p>
        </w:tc>
        <w:tc>
          <w:tcPr>
            <w:tcW w:w="160" w:type="dxa"/>
            <w:vAlign w:val="bottom"/>
          </w:tcPr>
          <w:p>
            <w:pPr>
              <w:spacing w:after="0"/>
              <w:rPr>
                <w:sz w:val="12"/>
                <w:szCs w:val="12"/>
                <w:color w:val="auto"/>
              </w:rPr>
            </w:pPr>
          </w:p>
        </w:tc>
        <w:tc>
          <w:tcPr>
            <w:tcW w:w="640" w:type="dxa"/>
            <w:vAlign w:val="bottom"/>
          </w:tcPr>
          <w:p>
            <w:pPr>
              <w:jc w:val="right"/>
              <w:ind w:right="173"/>
              <w:spacing w:after="0" w:line="149" w:lineRule="exact"/>
              <w:rPr>
                <w:sz w:val="20"/>
                <w:szCs w:val="20"/>
                <w:color w:val="auto"/>
              </w:rPr>
            </w:pPr>
            <w:r>
              <w:rPr>
                <w:rFonts w:ascii="Arial" w:cs="Arial" w:eastAsia="Arial" w:hAnsi="Arial"/>
                <w:sz w:val="14"/>
                <w:szCs w:val="14"/>
                <w:color w:val="auto"/>
                <w:w w:val="94"/>
              </w:rPr>
              <w:t>CCCL</w:t>
            </w:r>
          </w:p>
        </w:tc>
        <w:tc>
          <w:tcPr>
            <w:tcW w:w="88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CCHMO</w:t>
            </w:r>
          </w:p>
        </w:tc>
        <w:tc>
          <w:tcPr>
            <w:tcW w:w="86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Comcast</w:t>
            </w:r>
          </w:p>
        </w:tc>
        <w:tc>
          <w:tcPr>
            <w:tcW w:w="98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c>
          <w:tcPr>
            <w:tcW w:w="0" w:type="dxa"/>
            <w:vAlign w:val="bottom"/>
          </w:tcPr>
          <w:p>
            <w:pPr>
              <w:spacing w:after="0"/>
              <w:rPr>
                <w:sz w:val="1"/>
                <w:szCs w:val="1"/>
                <w:color w:val="auto"/>
              </w:rPr>
            </w:pPr>
          </w:p>
        </w:tc>
      </w:tr>
      <w:tr>
        <w:trPr>
          <w:trHeight w:val="159"/>
        </w:trPr>
        <w:tc>
          <w:tcPr>
            <w:tcW w:w="48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3"/>
                <w:szCs w:val="13"/>
                <w:color w:val="auto"/>
              </w:rPr>
            </w:pPr>
          </w:p>
        </w:tc>
        <w:tc>
          <w:tcPr>
            <w:tcW w:w="720" w:type="dxa"/>
            <w:vAlign w:val="bottom"/>
          </w:tcPr>
          <w:p>
            <w:pPr>
              <w:jc w:val="right"/>
              <w:ind w:right="273"/>
              <w:spacing w:after="0" w:line="159" w:lineRule="exact"/>
              <w:rPr>
                <w:sz w:val="20"/>
                <w:szCs w:val="20"/>
                <w:color w:val="auto"/>
              </w:rPr>
            </w:pPr>
            <w:r>
              <w:rPr>
                <w:rFonts w:ascii="Arial" w:cs="Arial" w:eastAsia="Arial" w:hAnsi="Arial"/>
                <w:sz w:val="14"/>
                <w:szCs w:val="14"/>
                <w:color w:val="auto"/>
                <w:w w:val="82"/>
              </w:rPr>
              <w:t>Parent</w:t>
            </w:r>
          </w:p>
        </w:tc>
        <w:tc>
          <w:tcPr>
            <w:tcW w:w="160" w:type="dxa"/>
            <w:vAlign w:val="bottom"/>
          </w:tcPr>
          <w:p>
            <w:pPr>
              <w:spacing w:after="0"/>
              <w:rPr>
                <w:sz w:val="13"/>
                <w:szCs w:val="13"/>
                <w:color w:val="auto"/>
              </w:rPr>
            </w:pPr>
          </w:p>
        </w:tc>
        <w:tc>
          <w:tcPr>
            <w:tcW w:w="640" w:type="dxa"/>
            <w:vAlign w:val="bottom"/>
          </w:tcPr>
          <w:p>
            <w:pPr>
              <w:jc w:val="right"/>
              <w:ind w:right="193"/>
              <w:spacing w:after="0" w:line="159" w:lineRule="exact"/>
              <w:rPr>
                <w:sz w:val="20"/>
                <w:szCs w:val="20"/>
                <w:color w:val="auto"/>
              </w:rPr>
            </w:pPr>
            <w:r>
              <w:rPr>
                <w:rFonts w:ascii="Arial" w:cs="Arial" w:eastAsia="Arial" w:hAnsi="Arial"/>
                <w:sz w:val="14"/>
                <w:szCs w:val="14"/>
                <w:color w:val="auto"/>
                <w:w w:val="82"/>
              </w:rPr>
              <w:t>Parent</w:t>
            </w:r>
          </w:p>
        </w:tc>
        <w:tc>
          <w:tcPr>
            <w:tcW w:w="240" w:type="dxa"/>
            <w:vAlign w:val="bottom"/>
          </w:tcPr>
          <w:p>
            <w:pPr>
              <w:spacing w:after="0"/>
              <w:rPr>
                <w:sz w:val="13"/>
                <w:szCs w:val="13"/>
                <w:color w:val="auto"/>
              </w:rPr>
            </w:pPr>
          </w:p>
        </w:tc>
        <w:tc>
          <w:tcPr>
            <w:tcW w:w="640" w:type="dxa"/>
            <w:vAlign w:val="bottom"/>
          </w:tcPr>
          <w:p>
            <w:pPr>
              <w:jc w:val="right"/>
              <w:ind w:right="153"/>
              <w:spacing w:after="0" w:line="159" w:lineRule="exact"/>
              <w:rPr>
                <w:sz w:val="20"/>
                <w:szCs w:val="20"/>
                <w:color w:val="auto"/>
              </w:rPr>
            </w:pPr>
            <w:r>
              <w:rPr>
                <w:rFonts w:ascii="Arial" w:cs="Arial" w:eastAsia="Arial" w:hAnsi="Arial"/>
                <w:sz w:val="14"/>
                <w:szCs w:val="14"/>
                <w:color w:val="auto"/>
                <w:w w:val="78"/>
              </w:rPr>
              <w:t>Parents</w:t>
            </w:r>
          </w:p>
        </w:tc>
        <w:tc>
          <w:tcPr>
            <w:tcW w:w="860" w:type="dxa"/>
            <w:vAlign w:val="bottom"/>
            <w:gridSpan w:val="2"/>
          </w:tcPr>
          <w:p>
            <w:pPr>
              <w:jc w:val="right"/>
              <w:ind w:right="92"/>
              <w:spacing w:after="0" w:line="159" w:lineRule="exact"/>
              <w:rPr>
                <w:sz w:val="20"/>
                <w:szCs w:val="20"/>
                <w:color w:val="auto"/>
              </w:rPr>
            </w:pPr>
            <w:r>
              <w:rPr>
                <w:rFonts w:ascii="Arial" w:cs="Arial" w:eastAsia="Arial" w:hAnsi="Arial"/>
                <w:sz w:val="14"/>
                <w:szCs w:val="14"/>
                <w:color w:val="auto"/>
              </w:rPr>
              <w:t>Holdings</w:t>
            </w:r>
          </w:p>
        </w:tc>
        <w:tc>
          <w:tcPr>
            <w:tcW w:w="98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Subsidiaries</w:t>
            </w:r>
          </w:p>
        </w:tc>
        <w:tc>
          <w:tcPr>
            <w:tcW w:w="11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33"/>
              <w:spacing w:after="0" w:line="159" w:lineRule="exact"/>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8,899</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1,401</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5,123</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Programming rights</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1,037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220</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1,365</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17</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17,825</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26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4,946</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5,951</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w w:val="90"/>
              </w:rPr>
              <w:t>Investments in and amounts due from subsidiaries eliminated upon</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consolidation</w:t>
            </w:r>
          </w:p>
        </w:tc>
        <w:tc>
          <w:tcPr>
            <w:tcW w:w="260" w:type="dxa"/>
            <w:vAlign w:val="bottom"/>
          </w:tcPr>
          <w:p>
            <w:pPr>
              <w:spacing w:after="0"/>
              <w:rPr>
                <w:sz w:val="19"/>
                <w:szCs w:val="19"/>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w w:val="83"/>
              </w:rPr>
              <w:t>73,335</w:t>
            </w:r>
          </w:p>
        </w:tc>
        <w:tc>
          <w:tcPr>
            <w:tcW w:w="160" w:type="dxa"/>
            <w:vAlign w:val="bottom"/>
          </w:tcPr>
          <w:p>
            <w:pPr>
              <w:spacing w:after="0"/>
              <w:rPr>
                <w:sz w:val="19"/>
                <w:szCs w:val="19"/>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w w:val="83"/>
              </w:rPr>
              <w:t>95,225</w:t>
            </w:r>
          </w:p>
        </w:tc>
        <w:tc>
          <w:tcPr>
            <w:tcW w:w="240" w:type="dxa"/>
            <w:vAlign w:val="bottom"/>
          </w:tcPr>
          <w:p>
            <w:pPr>
              <w:spacing w:after="0"/>
              <w:rPr>
                <w:sz w:val="19"/>
                <w:szCs w:val="19"/>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w w:val="83"/>
              </w:rPr>
              <w:t>48,954</w:t>
            </w:r>
          </w:p>
        </w:tc>
        <w:tc>
          <w:tcPr>
            <w:tcW w:w="24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83"/>
              </w:rPr>
              <w:t>86,304</w:t>
            </w:r>
          </w:p>
        </w:tc>
        <w:tc>
          <w:tcPr>
            <w:tcW w:w="26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40,884</w:t>
            </w:r>
          </w:p>
        </w:tc>
        <w:tc>
          <w:tcPr>
            <w:tcW w:w="26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(344,702)</w:t>
            </w:r>
          </w:p>
        </w:tc>
        <w:tc>
          <w:tcPr>
            <w:tcW w:w="24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26,736</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26,984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Franchise rights</w:t>
            </w:r>
          </w:p>
        </w:tc>
        <w:tc>
          <w:tcPr>
            <w:tcW w:w="26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59,364</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27,088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17,860</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1,090</w:t>
            </w:r>
          </w:p>
        </w:tc>
        <w:tc>
          <w:tcPr>
            <w:tcW w:w="1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147</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1,813</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(867)</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w w:val="83"/>
              </w:rPr>
              <w:t>74,904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3"/>
              </w:rPr>
              <w:t>95,243</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3"/>
              </w:rPr>
              <w:t>48,958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3"/>
              </w:rPr>
              <w:t>86,451</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202,467</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(345,569)</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162,454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Accounts payable and accrued expenses related</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16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6,234</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participations and residuals</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1,282</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1,170</w:t>
            </w:r>
          </w:p>
        </w:tc>
        <w:tc>
          <w:tcPr>
            <w:tcW w:w="1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294</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275</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5,241</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2,112</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243</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444</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1,186</w:t>
            </w:r>
          </w:p>
        </w:tc>
        <w:tc>
          <w:tcPr>
            <w:tcW w:w="1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2,406</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267</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275</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13,201</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83"/>
              </w:rPr>
              <w:t>23,029</w:t>
            </w:r>
          </w:p>
        </w:tc>
        <w:tc>
          <w:tcPr>
            <w:tcW w:w="1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1,827</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1,514</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9,304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35,791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747</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30,208</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(724)</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30,231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1,797</w:t>
            </w:r>
          </w:p>
        </w:tc>
        <w:tc>
          <w:tcPr>
            <w:tcW w:w="1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11,206</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16,896</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16,896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shareholders’ equity</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83"/>
              </w:rPr>
              <w:t>48,861</w:t>
            </w:r>
          </w:p>
        </w:tc>
        <w:tc>
          <w:tcPr>
            <w:tcW w:w="1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83"/>
              </w:rPr>
              <w:t>91,010</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83"/>
              </w:rPr>
              <w:t>47,177</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83"/>
              </w:rPr>
              <w:t>85,312</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6"/>
              </w:rPr>
              <w:t>121,203</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(344,702)</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48,861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Total Comcast Corporation shareholders’ equity</w:t>
            </w:r>
          </w:p>
        </w:tc>
        <w:tc>
          <w:tcPr>
            <w:tcW w:w="26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w w:val="83"/>
              </w:rPr>
              <w:t>48,892</w:t>
            </w:r>
          </w:p>
        </w:tc>
        <w:tc>
          <w:tcPr>
            <w:tcW w:w="16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w w:val="83"/>
              </w:rPr>
              <w:t>91,010</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w w:val="83"/>
              </w:rPr>
              <w:t>47,177</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83"/>
              </w:rPr>
              <w:t>85,312</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121,203</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(344,702)</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48,892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449</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83"/>
              </w:rPr>
              <w:t>48,892</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3"/>
              </w:rPr>
              <w:t>91,010</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3"/>
              </w:rPr>
              <w:t>47,177</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3"/>
              </w:rPr>
              <w:t>85,312</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121,652</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(344,702)</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49,341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w w:val="83"/>
              </w:rPr>
              <w:t>74,904</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3"/>
              </w:rPr>
              <w:t>95,243</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3"/>
              </w:rPr>
              <w:t>48,958</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w w:val="83"/>
              </w:rPr>
              <w:t>86,451</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6"/>
              </w:rPr>
              <w:t>202,467</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0"/>
              </w:rPr>
              <w:t>(345,569)</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162,454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ind w:right="192"/>
              <w:spacing w:after="0"/>
              <w:rPr>
                <w:sz w:val="20"/>
                <w:szCs w:val="20"/>
                <w:color w:val="auto"/>
              </w:rPr>
            </w:pPr>
            <w:r>
              <w:rPr>
                <w:rFonts w:ascii="Arial" w:cs="Arial" w:eastAsia="Arial" w:hAnsi="Arial"/>
                <w:sz w:val="14"/>
                <w:szCs w:val="14"/>
                <w:color w:val="auto"/>
                <w:w w:val="93"/>
              </w:rPr>
              <w:t>Elimination</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Combined</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ind w:right="172"/>
              <w:spacing w:after="0" w:line="149" w:lineRule="exact"/>
              <w:rPr>
                <w:sz w:val="20"/>
                <w:szCs w:val="20"/>
                <w:color w:val="auto"/>
              </w:rPr>
            </w:pPr>
            <w:r>
              <w:rPr>
                <w:rFonts w:ascii="Arial" w:cs="Arial" w:eastAsia="Arial" w:hAnsi="Arial"/>
                <w:sz w:val="14"/>
                <w:szCs w:val="14"/>
                <w:color w:val="auto"/>
                <w:w w:val="85"/>
              </w:rPr>
              <w:t>Non-</w:t>
            </w:r>
          </w:p>
        </w:tc>
        <w:tc>
          <w:tcPr>
            <w:tcW w:w="200" w:type="dxa"/>
            <w:vAlign w:val="bottom"/>
          </w:tcPr>
          <w:p>
            <w:pPr>
              <w:spacing w:after="0"/>
              <w:rPr>
                <w:sz w:val="12"/>
                <w:szCs w:val="12"/>
                <w:color w:val="auto"/>
              </w:rPr>
            </w:pPr>
          </w:p>
        </w:tc>
        <w:tc>
          <w:tcPr>
            <w:tcW w:w="1020" w:type="dxa"/>
            <w:vAlign w:val="bottom"/>
          </w:tcPr>
          <w:p>
            <w:pPr>
              <w:jc w:val="center"/>
              <w:ind w:right="192"/>
              <w:spacing w:after="0" w:line="149" w:lineRule="exact"/>
              <w:rPr>
                <w:sz w:val="20"/>
                <w:szCs w:val="20"/>
                <w:color w:val="auto"/>
              </w:rPr>
            </w:pPr>
            <w:r>
              <w:rPr>
                <w:rFonts w:ascii="Arial" w:cs="Arial" w:eastAsia="Arial" w:hAnsi="Arial"/>
                <w:sz w:val="14"/>
                <w:szCs w:val="14"/>
                <w:color w:val="auto"/>
                <w:w w:val="85"/>
              </w:rPr>
              <w:t>and</w:t>
            </w:r>
          </w:p>
        </w:tc>
        <w:tc>
          <w:tcPr>
            <w:tcW w:w="200" w:type="dxa"/>
            <w:vAlign w:val="bottom"/>
          </w:tcPr>
          <w:p>
            <w:pPr>
              <w:spacing w:after="0"/>
              <w:rPr>
                <w:sz w:val="12"/>
                <w:szCs w:val="12"/>
                <w:color w:val="auto"/>
              </w:rPr>
            </w:pPr>
          </w:p>
        </w:tc>
        <w:tc>
          <w:tcPr>
            <w:tcW w:w="86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8"/>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2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83"/>
              </w:rPr>
              <w:t>CCCL</w:t>
            </w:r>
          </w:p>
        </w:tc>
        <w:tc>
          <w:tcPr>
            <w:tcW w:w="200" w:type="dxa"/>
            <w:vAlign w:val="bottom"/>
          </w:tcPr>
          <w:p>
            <w:pPr>
              <w:spacing w:after="0"/>
              <w:rPr>
                <w:sz w:val="12"/>
                <w:szCs w:val="12"/>
                <w:color w:val="auto"/>
              </w:rPr>
            </w:pPr>
          </w:p>
        </w:tc>
        <w:tc>
          <w:tcPr>
            <w:tcW w:w="720" w:type="dxa"/>
            <w:vAlign w:val="bottom"/>
          </w:tcPr>
          <w:p>
            <w:pPr>
              <w:jc w:val="center"/>
              <w:ind w:right="152"/>
              <w:spacing w:after="0" w:line="149" w:lineRule="exact"/>
              <w:rPr>
                <w:sz w:val="20"/>
                <w:szCs w:val="20"/>
                <w:color w:val="auto"/>
              </w:rPr>
            </w:pPr>
            <w:r>
              <w:rPr>
                <w:rFonts w:ascii="Arial" w:cs="Arial" w:eastAsia="Arial" w:hAnsi="Arial"/>
                <w:sz w:val="14"/>
                <w:szCs w:val="14"/>
                <w:color w:val="auto"/>
                <w:w w:val="94"/>
              </w:rPr>
              <w:t>CCHMO</w:t>
            </w:r>
          </w:p>
        </w:tc>
        <w:tc>
          <w:tcPr>
            <w:tcW w:w="84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820" w:type="dxa"/>
            <w:vAlign w:val="bottom"/>
          </w:tcPr>
          <w:p>
            <w:pPr>
              <w:jc w:val="center"/>
              <w:ind w:right="172"/>
              <w:spacing w:after="0" w:line="149" w:lineRule="exact"/>
              <w:rPr>
                <w:sz w:val="20"/>
                <w:szCs w:val="20"/>
                <w:color w:val="auto"/>
              </w:rPr>
            </w:pPr>
            <w:r>
              <w:rPr>
                <w:rFonts w:ascii="Arial" w:cs="Arial" w:eastAsia="Arial" w:hAnsi="Arial"/>
                <w:sz w:val="14"/>
                <w:szCs w:val="14"/>
                <w:color w:val="auto"/>
                <w:w w:val="85"/>
              </w:rPr>
              <w:t>Guarantor</w:t>
            </w:r>
          </w:p>
        </w:tc>
        <w:tc>
          <w:tcPr>
            <w:tcW w:w="200" w:type="dxa"/>
            <w:vAlign w:val="bottom"/>
          </w:tcPr>
          <w:p>
            <w:pPr>
              <w:spacing w:after="0"/>
              <w:rPr>
                <w:sz w:val="12"/>
                <w:szCs w:val="12"/>
                <w:color w:val="auto"/>
              </w:rPr>
            </w:pPr>
          </w:p>
        </w:tc>
        <w:tc>
          <w:tcPr>
            <w:tcW w:w="1020" w:type="dxa"/>
            <w:vAlign w:val="bottom"/>
          </w:tcPr>
          <w:p>
            <w:pPr>
              <w:jc w:val="center"/>
              <w:ind w:right="192"/>
              <w:spacing w:after="0" w:line="149" w:lineRule="exact"/>
              <w:rPr>
                <w:sz w:val="20"/>
                <w:szCs w:val="20"/>
                <w:color w:val="auto"/>
              </w:rPr>
            </w:pPr>
            <w:r>
              <w:rPr>
                <w:rFonts w:ascii="Arial" w:cs="Arial" w:eastAsia="Arial" w:hAnsi="Arial"/>
                <w:sz w:val="14"/>
                <w:szCs w:val="14"/>
                <w:color w:val="auto"/>
                <w:w w:val="89"/>
              </w:rPr>
              <w:t>Consolidation</w:t>
            </w:r>
          </w:p>
        </w:tc>
        <w:tc>
          <w:tcPr>
            <w:tcW w:w="200" w:type="dxa"/>
            <w:vAlign w:val="bottom"/>
          </w:tcPr>
          <w:p>
            <w:pPr>
              <w:spacing w:after="0"/>
              <w:rPr>
                <w:sz w:val="12"/>
                <w:szCs w:val="12"/>
                <w:color w:val="auto"/>
              </w:rPr>
            </w:pPr>
          </w:p>
        </w:tc>
        <w:tc>
          <w:tcPr>
            <w:tcW w:w="8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3"/>
              </w:rPr>
              <w:t>Comcast</w:t>
            </w:r>
          </w:p>
        </w:tc>
        <w:tc>
          <w:tcPr>
            <w:tcW w:w="0" w:type="dxa"/>
            <w:vAlign w:val="bottom"/>
          </w:tcPr>
          <w:p>
            <w:pPr>
              <w:spacing w:after="0"/>
              <w:rPr>
                <w:sz w:val="1"/>
                <w:szCs w:val="1"/>
                <w:color w:val="auto"/>
              </w:rPr>
            </w:pPr>
          </w:p>
        </w:tc>
      </w:tr>
      <w:tr>
        <w:trPr>
          <w:trHeight w:val="159"/>
        </w:trPr>
        <w:tc>
          <w:tcPr>
            <w:tcW w:w="46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3"/>
                <w:szCs w:val="13"/>
                <w:color w:val="auto"/>
              </w:rPr>
            </w:pPr>
          </w:p>
        </w:tc>
        <w:tc>
          <w:tcPr>
            <w:tcW w:w="580" w:type="dxa"/>
            <w:vAlign w:val="bottom"/>
          </w:tcPr>
          <w:p>
            <w:pPr>
              <w:jc w:val="right"/>
              <w:ind w:right="152"/>
              <w:spacing w:after="0" w:line="159" w:lineRule="exact"/>
              <w:rPr>
                <w:sz w:val="20"/>
                <w:szCs w:val="20"/>
                <w:color w:val="auto"/>
              </w:rPr>
            </w:pPr>
            <w:r>
              <w:rPr>
                <w:rFonts w:ascii="Arial" w:cs="Arial" w:eastAsia="Arial" w:hAnsi="Arial"/>
                <w:sz w:val="14"/>
                <w:szCs w:val="14"/>
                <w:color w:val="auto"/>
                <w:w w:val="82"/>
              </w:rPr>
              <w:t>Parent</w:t>
            </w:r>
          </w:p>
        </w:tc>
        <w:tc>
          <w:tcPr>
            <w:tcW w:w="220" w:type="dxa"/>
            <w:vAlign w:val="bottom"/>
          </w:tcPr>
          <w:p>
            <w:pPr>
              <w:spacing w:after="0"/>
              <w:rPr>
                <w:sz w:val="13"/>
                <w:szCs w:val="13"/>
                <w:color w:val="auto"/>
              </w:rPr>
            </w:pPr>
          </w:p>
        </w:tc>
        <w:tc>
          <w:tcPr>
            <w:tcW w:w="560" w:type="dxa"/>
            <w:vAlign w:val="bottom"/>
          </w:tcPr>
          <w:p>
            <w:pPr>
              <w:jc w:val="right"/>
              <w:ind w:right="152"/>
              <w:spacing w:after="0" w:line="159" w:lineRule="exact"/>
              <w:rPr>
                <w:sz w:val="20"/>
                <w:szCs w:val="20"/>
                <w:color w:val="auto"/>
              </w:rPr>
            </w:pPr>
            <w:r>
              <w:rPr>
                <w:rFonts w:ascii="Arial" w:cs="Arial" w:eastAsia="Arial" w:hAnsi="Arial"/>
                <w:sz w:val="14"/>
                <w:szCs w:val="14"/>
                <w:color w:val="auto"/>
                <w:w w:val="77"/>
              </w:rPr>
              <w:t>Parent</w:t>
            </w:r>
          </w:p>
        </w:tc>
        <w:tc>
          <w:tcPr>
            <w:tcW w:w="200" w:type="dxa"/>
            <w:vAlign w:val="bottom"/>
          </w:tcPr>
          <w:p>
            <w:pPr>
              <w:spacing w:after="0"/>
              <w:rPr>
                <w:sz w:val="13"/>
                <w:szCs w:val="13"/>
                <w:color w:val="auto"/>
              </w:rPr>
            </w:pPr>
          </w:p>
        </w:tc>
        <w:tc>
          <w:tcPr>
            <w:tcW w:w="720" w:type="dxa"/>
            <w:vAlign w:val="bottom"/>
          </w:tcPr>
          <w:p>
            <w:pPr>
              <w:jc w:val="center"/>
              <w:ind w:right="132"/>
              <w:spacing w:after="0" w:line="159" w:lineRule="exact"/>
              <w:rPr>
                <w:sz w:val="20"/>
                <w:szCs w:val="20"/>
                <w:color w:val="auto"/>
              </w:rPr>
            </w:pPr>
            <w:r>
              <w:rPr>
                <w:rFonts w:ascii="Arial" w:cs="Arial" w:eastAsia="Arial" w:hAnsi="Arial"/>
                <w:sz w:val="14"/>
                <w:szCs w:val="14"/>
                <w:color w:val="auto"/>
                <w:w w:val="82"/>
              </w:rPr>
              <w:t>Parents</w:t>
            </w:r>
          </w:p>
        </w:tc>
        <w:tc>
          <w:tcPr>
            <w:tcW w:w="84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Holdings</w:t>
            </w:r>
          </w:p>
        </w:tc>
        <w:tc>
          <w:tcPr>
            <w:tcW w:w="10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6"/>
              </w:rPr>
              <w:t>Subsidiaries</w:t>
            </w:r>
          </w:p>
        </w:tc>
        <w:tc>
          <w:tcPr>
            <w:tcW w:w="200" w:type="dxa"/>
            <w:vAlign w:val="bottom"/>
          </w:tcPr>
          <w:p>
            <w:pPr>
              <w:spacing w:after="0"/>
              <w:rPr>
                <w:sz w:val="13"/>
                <w:szCs w:val="13"/>
                <w:color w:val="auto"/>
              </w:rPr>
            </w:pPr>
          </w:p>
        </w:tc>
        <w:tc>
          <w:tcPr>
            <w:tcW w:w="1020" w:type="dxa"/>
            <w:vAlign w:val="bottom"/>
          </w:tcPr>
          <w:p>
            <w:pPr>
              <w:jc w:val="center"/>
              <w:ind w:right="192"/>
              <w:spacing w:after="0" w:line="159" w:lineRule="exact"/>
              <w:rPr>
                <w:sz w:val="20"/>
                <w:szCs w:val="20"/>
                <w:color w:val="auto"/>
              </w:rPr>
            </w:pPr>
            <w:r>
              <w:rPr>
                <w:rFonts w:ascii="Arial" w:cs="Arial" w:eastAsia="Arial" w:hAnsi="Arial"/>
                <w:sz w:val="14"/>
                <w:szCs w:val="14"/>
                <w:color w:val="auto"/>
                <w:w w:val="88"/>
              </w:rPr>
              <w:t>Adjustments</w:t>
            </w:r>
          </w:p>
        </w:tc>
        <w:tc>
          <w:tcPr>
            <w:tcW w:w="200" w:type="dxa"/>
            <w:vAlign w:val="bottom"/>
          </w:tcPr>
          <w:p>
            <w:pPr>
              <w:spacing w:after="0"/>
              <w:rPr>
                <w:sz w:val="13"/>
                <w:szCs w:val="13"/>
                <w:color w:val="auto"/>
              </w:rPr>
            </w:pPr>
          </w:p>
        </w:tc>
        <w:tc>
          <w:tcPr>
            <w:tcW w:w="860" w:type="dxa"/>
            <w:vAlign w:val="bottom"/>
          </w:tcPr>
          <w:p>
            <w:pPr>
              <w:jc w:val="center"/>
              <w:ind w:right="92"/>
              <w:spacing w:after="0" w:line="159" w:lineRule="exact"/>
              <w:rPr>
                <w:sz w:val="20"/>
                <w:szCs w:val="20"/>
                <w:color w:val="auto"/>
              </w:rPr>
            </w:pPr>
            <w:r>
              <w:rPr>
                <w:rFonts w:ascii="Arial" w:cs="Arial" w:eastAsia="Arial" w:hAnsi="Arial"/>
                <w:sz w:val="14"/>
                <w:szCs w:val="14"/>
                <w:color w:val="auto"/>
                <w:w w:val="90"/>
              </w:rPr>
              <w:t>Corporation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Assets</w:t>
            </w:r>
          </w:p>
        </w:tc>
        <w:tc>
          <w:tcPr>
            <w:tcW w:w="340" w:type="dxa"/>
            <w:vAlign w:val="bottom"/>
            <w:tcBorders>
              <w:top w:val="single" w:sz="8" w:color="auto"/>
            </w:tcBorders>
            <w:shd w:val="clear" w:color="auto" w:fill="E5E5E5"/>
          </w:tcPr>
          <w:p>
            <w:pPr>
              <w:spacing w:after="0"/>
              <w:rPr>
                <w:sz w:val="12"/>
                <w:szCs w:val="12"/>
                <w:color w:val="auto"/>
              </w:rPr>
            </w:pPr>
          </w:p>
        </w:tc>
        <w:tc>
          <w:tcPr>
            <w:tcW w:w="580" w:type="dxa"/>
            <w:vAlign w:val="bottom"/>
            <w:tcBorders>
              <w:top w:val="single" w:sz="8" w:color="auto"/>
            </w:tcBorders>
            <w:shd w:val="clear" w:color="auto" w:fill="E5E5E5"/>
          </w:tcPr>
          <w:p>
            <w:pPr>
              <w:spacing w:after="0"/>
              <w:rPr>
                <w:sz w:val="12"/>
                <w:szCs w:val="12"/>
                <w:color w:val="auto"/>
              </w:rPr>
            </w:pPr>
          </w:p>
        </w:tc>
        <w:tc>
          <w:tcPr>
            <w:tcW w:w="220" w:type="dxa"/>
            <w:vAlign w:val="bottom"/>
            <w:tcBorders>
              <w:top w:val="single" w:sz="8" w:color="auto"/>
            </w:tcBorders>
            <w:shd w:val="clear" w:color="auto" w:fill="E5E5E5"/>
          </w:tcPr>
          <w:p>
            <w:pPr>
              <w:spacing w:after="0"/>
              <w:rPr>
                <w:sz w:val="12"/>
                <w:szCs w:val="12"/>
                <w:color w:val="auto"/>
              </w:rPr>
            </w:pPr>
          </w:p>
        </w:tc>
        <w:tc>
          <w:tcPr>
            <w:tcW w:w="560" w:type="dxa"/>
            <w:vAlign w:val="bottom"/>
            <w:tcBorders>
              <w:top w:val="single" w:sz="8" w:color="auto"/>
            </w:tcBorders>
            <w:shd w:val="clear" w:color="auto" w:fill="E5E5E5"/>
          </w:tcPr>
          <w:p>
            <w:pPr>
              <w:spacing w:after="0"/>
              <w:rPr>
                <w:sz w:val="12"/>
                <w:szCs w:val="12"/>
                <w:color w:val="auto"/>
              </w:rPr>
            </w:pPr>
          </w:p>
        </w:tc>
        <w:tc>
          <w:tcPr>
            <w:tcW w:w="200" w:type="dxa"/>
            <w:vAlign w:val="bottom"/>
            <w:tcBorders>
              <w:top w:val="single" w:sz="8" w:color="auto"/>
            </w:tcBorders>
            <w:shd w:val="clear" w:color="auto" w:fill="E5E5E5"/>
          </w:tcPr>
          <w:p>
            <w:pPr>
              <w:spacing w:after="0"/>
              <w:rPr>
                <w:sz w:val="12"/>
                <w:szCs w:val="12"/>
                <w:color w:val="auto"/>
              </w:rPr>
            </w:pPr>
          </w:p>
        </w:tc>
        <w:tc>
          <w:tcPr>
            <w:tcW w:w="720" w:type="dxa"/>
            <w:vAlign w:val="bottom"/>
            <w:tcBorders>
              <w:top w:val="single" w:sz="8" w:color="auto"/>
            </w:tcBorders>
            <w:shd w:val="clear" w:color="auto" w:fill="E5E5E5"/>
          </w:tcPr>
          <w:p>
            <w:pPr>
              <w:spacing w:after="0"/>
              <w:rPr>
                <w:sz w:val="12"/>
                <w:szCs w:val="12"/>
                <w:color w:val="auto"/>
              </w:rPr>
            </w:pPr>
          </w:p>
        </w:tc>
        <w:tc>
          <w:tcPr>
            <w:tcW w:w="260" w:type="dxa"/>
            <w:vAlign w:val="bottom"/>
            <w:tcBorders>
              <w:top w:val="single" w:sz="8" w:color="auto"/>
            </w:tcBorders>
            <w:shd w:val="clear" w:color="auto" w:fill="E5E5E5"/>
          </w:tcPr>
          <w:p>
            <w:pPr>
              <w:spacing w:after="0"/>
              <w:rPr>
                <w:sz w:val="12"/>
                <w:szCs w:val="12"/>
                <w:color w:val="auto"/>
              </w:rPr>
            </w:pPr>
          </w:p>
        </w:tc>
        <w:tc>
          <w:tcPr>
            <w:tcW w:w="580" w:type="dxa"/>
            <w:vAlign w:val="bottom"/>
            <w:tcBorders>
              <w:top w:val="single" w:sz="8" w:color="auto"/>
            </w:tcBorders>
            <w:shd w:val="clear" w:color="auto" w:fill="E5E5E5"/>
          </w:tcPr>
          <w:p>
            <w:pPr>
              <w:spacing w:after="0"/>
              <w:rPr>
                <w:sz w:val="12"/>
                <w:szCs w:val="12"/>
                <w:color w:val="auto"/>
              </w:rPr>
            </w:pPr>
          </w:p>
        </w:tc>
        <w:tc>
          <w:tcPr>
            <w:tcW w:w="220" w:type="dxa"/>
            <w:vAlign w:val="bottom"/>
            <w:tcBorders>
              <w:top w:val="single" w:sz="8" w:color="auto"/>
            </w:tcBorders>
            <w:shd w:val="clear" w:color="auto" w:fill="E5E5E5"/>
          </w:tcPr>
          <w:p>
            <w:pPr>
              <w:spacing w:after="0"/>
              <w:rPr>
                <w:sz w:val="12"/>
                <w:szCs w:val="12"/>
                <w:color w:val="auto"/>
              </w:rPr>
            </w:pPr>
          </w:p>
        </w:tc>
        <w:tc>
          <w:tcPr>
            <w:tcW w:w="820" w:type="dxa"/>
            <w:vAlign w:val="bottom"/>
            <w:tcBorders>
              <w:top w:val="single" w:sz="8" w:color="auto"/>
            </w:tcBorders>
            <w:shd w:val="clear" w:color="auto" w:fill="E5E5E5"/>
          </w:tcPr>
          <w:p>
            <w:pPr>
              <w:spacing w:after="0"/>
              <w:rPr>
                <w:sz w:val="12"/>
                <w:szCs w:val="12"/>
                <w:color w:val="auto"/>
              </w:rPr>
            </w:pPr>
          </w:p>
        </w:tc>
        <w:tc>
          <w:tcPr>
            <w:tcW w:w="200" w:type="dxa"/>
            <w:vAlign w:val="bottom"/>
            <w:tcBorders>
              <w:top w:val="single" w:sz="8" w:color="auto"/>
            </w:tcBorders>
            <w:shd w:val="clear" w:color="auto" w:fill="E5E5E5"/>
          </w:tcPr>
          <w:p>
            <w:pPr>
              <w:spacing w:after="0"/>
              <w:rPr>
                <w:sz w:val="12"/>
                <w:szCs w:val="12"/>
                <w:color w:val="auto"/>
              </w:rPr>
            </w:pPr>
          </w:p>
        </w:tc>
        <w:tc>
          <w:tcPr>
            <w:tcW w:w="1020" w:type="dxa"/>
            <w:vAlign w:val="bottom"/>
            <w:tcBorders>
              <w:top w:val="single" w:sz="8" w:color="auto"/>
            </w:tcBorders>
            <w:shd w:val="clear" w:color="auto" w:fill="E5E5E5"/>
          </w:tcPr>
          <w:p>
            <w:pPr>
              <w:spacing w:after="0"/>
              <w:rPr>
                <w:sz w:val="12"/>
                <w:szCs w:val="12"/>
                <w:color w:val="auto"/>
              </w:rPr>
            </w:pPr>
          </w:p>
        </w:tc>
        <w:tc>
          <w:tcPr>
            <w:tcW w:w="200" w:type="dxa"/>
            <w:vAlign w:val="bottom"/>
            <w:tcBorders>
              <w:top w:val="single" w:sz="8" w:color="auto"/>
            </w:tcBorders>
            <w:shd w:val="clear" w:color="auto" w:fill="E5E5E5"/>
          </w:tcPr>
          <w:p>
            <w:pPr>
              <w:spacing w:after="0"/>
              <w:rPr>
                <w:sz w:val="12"/>
                <w:szCs w:val="12"/>
                <w:color w:val="auto"/>
              </w:rPr>
            </w:pPr>
          </w:p>
        </w:tc>
        <w:tc>
          <w:tcPr>
            <w:tcW w:w="860" w:type="dxa"/>
            <w:vAlign w:val="bottom"/>
            <w:tcBorders>
              <w:top w:val="single" w:sz="8" w:color="auto"/>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1,620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1,620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Investments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54</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200"/>
              <w:spacing w:after="0" w:line="149" w:lineRule="exact"/>
              <w:rPr>
                <w:sz w:val="20"/>
                <w:szCs w:val="20"/>
                <w:color w:val="auto"/>
              </w:rPr>
            </w:pPr>
            <w:r>
              <w:rPr>
                <w:rFonts w:ascii="Arial" w:cs="Arial" w:eastAsia="Arial" w:hAnsi="Arial"/>
                <w:sz w:val="14"/>
                <w:szCs w:val="14"/>
                <w:color w:val="auto"/>
              </w:rPr>
              <w:t>Receivables, net</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4,351</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4,351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Programming rights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987</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235</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8</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3</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1,315</w:t>
            </w: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1,561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Total current assets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235</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8</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3</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8,327</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8,573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Film and television costs</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5,227</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5,227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Investments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9,854</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9,854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w w:val="91"/>
              </w:rPr>
              <w:t>Investments in and amounts due from subsidiaries eliminated upon consolidation</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7"/>
              </w:rPr>
              <w:t>71,222</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3"/>
              </w:rPr>
              <w:t>89,568</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45,725</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3"/>
              </w:rPr>
              <w:t>88,336</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36,949</w:t>
            </w:r>
          </w:p>
        </w:tc>
        <w:tc>
          <w:tcPr>
            <w:tcW w:w="200" w:type="dxa"/>
            <w:vAlign w:val="bottom"/>
          </w:tcPr>
          <w:p>
            <w:pPr>
              <w:spacing w:after="0"/>
              <w:rPr>
                <w:sz w:val="12"/>
                <w:szCs w:val="12"/>
                <w:color w:val="auto"/>
              </w:rPr>
            </w:pPr>
          </w:p>
        </w:tc>
        <w:tc>
          <w:tcPr>
            <w:tcW w:w="10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(331,800)</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Property and equipment, net</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262</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27,297</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27,559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Franchise rights</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59,376</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59,376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Goodwill</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26,874</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26,874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18,156</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18,165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Other noncurrent assets, net</w:t>
            </w:r>
          </w:p>
        </w:tc>
        <w:tc>
          <w:tcPr>
            <w:tcW w:w="3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912</w:t>
            </w:r>
          </w:p>
        </w:tc>
        <w:tc>
          <w:tcPr>
            <w:tcW w:w="22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30</w:t>
            </w:r>
          </w:p>
        </w:tc>
        <w:tc>
          <w:tcPr>
            <w:tcW w:w="20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5</w:t>
            </w:r>
          </w:p>
        </w:tc>
        <w:tc>
          <w:tcPr>
            <w:tcW w:w="2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148</w:t>
            </w:r>
          </w:p>
        </w:tc>
        <w:tc>
          <w:tcPr>
            <w:tcW w:w="22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1,761</w:t>
            </w:r>
          </w:p>
        </w:tc>
        <w:tc>
          <w:tcPr>
            <w:tcW w:w="200" w:type="dxa"/>
            <w:vAlign w:val="bottom"/>
            <w:tcBorders>
              <w:bottom w:val="single" w:sz="8" w:color="auto"/>
            </w:tcBorders>
            <w:shd w:val="clear" w:color="auto" w:fill="E5E5E5"/>
          </w:tcPr>
          <w:p>
            <w:pPr>
              <w:spacing w:after="0"/>
              <w:rPr>
                <w:sz w:val="12"/>
                <w:szCs w:val="12"/>
                <w:color w:val="auto"/>
              </w:rPr>
            </w:pPr>
          </w:p>
        </w:tc>
        <w:tc>
          <w:tcPr>
            <w:tcW w:w="102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(666)</w:t>
            </w:r>
          </w:p>
        </w:tc>
        <w:tc>
          <w:tcPr>
            <w:tcW w:w="200" w:type="dxa"/>
            <w:vAlign w:val="bottom"/>
            <w:tcBorders>
              <w:bottom w:val="single" w:sz="8" w:color="auto"/>
            </w:tcBorders>
            <w:shd w:val="clear" w:color="auto" w:fill="E5E5E5"/>
          </w:tcPr>
          <w:p>
            <w:pPr>
              <w:spacing w:after="0"/>
              <w:rPr>
                <w:sz w:val="12"/>
                <w:szCs w:val="12"/>
                <w:color w:val="auto"/>
              </w:rPr>
            </w:pPr>
          </w:p>
        </w:tc>
        <w:tc>
          <w:tcPr>
            <w:tcW w:w="86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7"/>
              </w:rPr>
              <w:t>72,640</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3"/>
              </w:rPr>
              <w:t>89,606</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45,733</w:t>
            </w: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3"/>
              </w:rPr>
              <w:t>88,484</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193,821</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(332,466)</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157,818</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b w:val="1"/>
                <w:bCs w:val="1"/>
                <w:color w:val="auto"/>
              </w:rPr>
              <w:t>Liabilities and Equity</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and accrued expenses related to trade creditors</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5,695</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5,705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Accrued participations and residuals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1,255</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20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1,030</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189</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77</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272</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3,346</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4,914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3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26</w:t>
            </w:r>
          </w:p>
        </w:tc>
        <w:tc>
          <w:tcPr>
            <w:tcW w:w="22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554</w:t>
            </w:r>
          </w:p>
        </w:tc>
        <w:tc>
          <w:tcPr>
            <w:tcW w:w="2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202</w:t>
            </w:r>
          </w:p>
        </w:tc>
        <w:tc>
          <w:tcPr>
            <w:tcW w:w="22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585</w:t>
            </w:r>
          </w:p>
        </w:tc>
        <w:tc>
          <w:tcPr>
            <w:tcW w:w="200" w:type="dxa"/>
            <w:vAlign w:val="bottom"/>
            <w:tcBorders>
              <w:bottom w:val="single" w:sz="8" w:color="auto"/>
            </w:tcBorders>
            <w:shd w:val="clear" w:color="auto" w:fill="E5E5E5"/>
          </w:tcPr>
          <w:p>
            <w:pPr>
              <w:spacing w:after="0"/>
              <w:rPr>
                <w:sz w:val="12"/>
                <w:szCs w:val="12"/>
                <w:color w:val="auto"/>
              </w:rPr>
            </w:pPr>
          </w:p>
        </w:tc>
        <w:tc>
          <w:tcPr>
            <w:tcW w:w="102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5E5E5"/>
          </w:tcPr>
          <w:p>
            <w:pPr>
              <w:spacing w:after="0"/>
              <w:rPr>
                <w:sz w:val="12"/>
                <w:szCs w:val="12"/>
                <w:color w:val="auto"/>
              </w:rPr>
            </w:pPr>
          </w:p>
        </w:tc>
        <w:tc>
          <w:tcPr>
            <w:tcW w:w="86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1,367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line="142" w:lineRule="exact"/>
              <w:rPr>
                <w:sz w:val="20"/>
                <w:szCs w:val="20"/>
                <w:color w:val="auto"/>
              </w:rPr>
            </w:pPr>
            <w:r>
              <w:rPr>
                <w:rFonts w:ascii="Arial" w:cs="Arial" w:eastAsia="Arial" w:hAnsi="Arial"/>
                <w:sz w:val="14"/>
                <w:szCs w:val="14"/>
                <w:color w:val="auto"/>
              </w:rPr>
              <w:t>Total current liabilities</w:t>
            </w:r>
          </w:p>
        </w:tc>
        <w:tc>
          <w:tcPr>
            <w:tcW w:w="340" w:type="dxa"/>
            <w:vAlign w:val="bottom"/>
          </w:tcPr>
          <w:p>
            <w:pPr>
              <w:spacing w:after="0"/>
              <w:rPr>
                <w:sz w:val="12"/>
                <w:szCs w:val="12"/>
                <w:color w:val="auto"/>
              </w:rPr>
            </w:pPr>
          </w:p>
        </w:tc>
        <w:tc>
          <w:tcPr>
            <w:tcW w:w="580" w:type="dxa"/>
            <w:vAlign w:val="bottom"/>
          </w:tcPr>
          <w:p>
            <w:pPr>
              <w:jc w:val="right"/>
              <w:ind w:right="72"/>
              <w:spacing w:after="0" w:line="142" w:lineRule="exact"/>
              <w:rPr>
                <w:sz w:val="20"/>
                <w:szCs w:val="20"/>
                <w:color w:val="auto"/>
              </w:rPr>
            </w:pPr>
            <w:r>
              <w:rPr>
                <w:rFonts w:ascii="Arial" w:cs="Arial" w:eastAsia="Arial" w:hAnsi="Arial"/>
                <w:sz w:val="14"/>
                <w:szCs w:val="14"/>
                <w:color w:val="auto"/>
              </w:rPr>
              <w:t>1,066</w:t>
            </w:r>
          </w:p>
        </w:tc>
        <w:tc>
          <w:tcPr>
            <w:tcW w:w="220" w:type="dxa"/>
            <w:vAlign w:val="bottom"/>
          </w:tcPr>
          <w:p>
            <w:pPr>
              <w:spacing w:after="0"/>
              <w:rPr>
                <w:sz w:val="12"/>
                <w:szCs w:val="12"/>
                <w:color w:val="auto"/>
              </w:rPr>
            </w:pPr>
          </w:p>
        </w:tc>
        <w:tc>
          <w:tcPr>
            <w:tcW w:w="560" w:type="dxa"/>
            <w:vAlign w:val="bottom"/>
          </w:tcPr>
          <w:p>
            <w:pPr>
              <w:jc w:val="right"/>
              <w:ind w:right="72"/>
              <w:spacing w:after="0" w:line="142" w:lineRule="exact"/>
              <w:rPr>
                <w:sz w:val="20"/>
                <w:szCs w:val="20"/>
                <w:color w:val="auto"/>
              </w:rPr>
            </w:pPr>
            <w:r>
              <w:rPr>
                <w:rFonts w:ascii="Arial" w:cs="Arial" w:eastAsia="Arial" w:hAnsi="Arial"/>
                <w:sz w:val="14"/>
                <w:szCs w:val="14"/>
                <w:color w:val="auto"/>
              </w:rPr>
              <w:t>189</w:t>
            </w:r>
          </w:p>
        </w:tc>
        <w:tc>
          <w:tcPr>
            <w:tcW w:w="200" w:type="dxa"/>
            <w:vAlign w:val="bottom"/>
          </w:tcPr>
          <w:p>
            <w:pPr>
              <w:spacing w:after="0"/>
              <w:rPr>
                <w:sz w:val="12"/>
                <w:szCs w:val="12"/>
                <w:color w:val="auto"/>
              </w:rPr>
            </w:pPr>
          </w:p>
        </w:tc>
        <w:tc>
          <w:tcPr>
            <w:tcW w:w="720" w:type="dxa"/>
            <w:vAlign w:val="bottom"/>
          </w:tcPr>
          <w:p>
            <w:pPr>
              <w:jc w:val="right"/>
              <w:ind w:right="72"/>
              <w:spacing w:after="0" w:line="142" w:lineRule="exact"/>
              <w:rPr>
                <w:sz w:val="20"/>
                <w:szCs w:val="20"/>
                <w:color w:val="auto"/>
              </w:rPr>
            </w:pPr>
            <w:r>
              <w:rPr>
                <w:rFonts w:ascii="Arial" w:cs="Arial" w:eastAsia="Arial" w:hAnsi="Arial"/>
                <w:sz w:val="14"/>
                <w:szCs w:val="14"/>
                <w:color w:val="auto"/>
              </w:rPr>
              <w:t>631</w:t>
            </w:r>
          </w:p>
        </w:tc>
        <w:tc>
          <w:tcPr>
            <w:tcW w:w="26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color w:val="auto"/>
              </w:rPr>
              <w:t>474</w:t>
            </w:r>
          </w:p>
        </w:tc>
        <w:tc>
          <w:tcPr>
            <w:tcW w:w="220" w:type="dxa"/>
            <w:vAlign w:val="bottom"/>
          </w:tcPr>
          <w:p>
            <w:pPr>
              <w:spacing w:after="0"/>
              <w:rPr>
                <w:sz w:val="12"/>
                <w:szCs w:val="12"/>
                <w:color w:val="auto"/>
              </w:rPr>
            </w:pPr>
          </w:p>
        </w:tc>
        <w:tc>
          <w:tcPr>
            <w:tcW w:w="820" w:type="dxa"/>
            <w:vAlign w:val="bottom"/>
          </w:tcPr>
          <w:p>
            <w:pPr>
              <w:jc w:val="right"/>
              <w:ind w:right="92"/>
              <w:spacing w:after="0" w:line="142" w:lineRule="exact"/>
              <w:rPr>
                <w:sz w:val="20"/>
                <w:szCs w:val="20"/>
                <w:color w:val="auto"/>
              </w:rPr>
            </w:pPr>
            <w:r>
              <w:rPr>
                <w:rFonts w:ascii="Arial" w:cs="Arial" w:eastAsia="Arial" w:hAnsi="Arial"/>
                <w:sz w:val="14"/>
                <w:szCs w:val="14"/>
                <w:color w:val="auto"/>
              </w:rPr>
              <w:t>10,881</w:t>
            </w:r>
          </w:p>
        </w:tc>
        <w:tc>
          <w:tcPr>
            <w:tcW w:w="200" w:type="dxa"/>
            <w:vAlign w:val="bottom"/>
          </w:tcPr>
          <w:p>
            <w:pPr>
              <w:spacing w:after="0"/>
              <w:rPr>
                <w:sz w:val="12"/>
                <w:szCs w:val="12"/>
                <w:color w:val="auto"/>
              </w:rPr>
            </w:pPr>
          </w:p>
        </w:tc>
        <w:tc>
          <w:tcPr>
            <w:tcW w:w="102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2" w:lineRule="exact"/>
              <w:rPr>
                <w:sz w:val="20"/>
                <w:szCs w:val="20"/>
                <w:color w:val="auto"/>
              </w:rPr>
            </w:pPr>
            <w:r>
              <w:rPr>
                <w:rFonts w:ascii="Arial" w:cs="Arial" w:eastAsia="Arial" w:hAnsi="Arial"/>
                <w:sz w:val="14"/>
                <w:szCs w:val="14"/>
                <w:color w:val="auto"/>
              </w:rPr>
              <w:t>13,241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w w:val="97"/>
              </w:rPr>
              <w:t>22,451</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3,953</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1,764</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111</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9,663</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37,942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727</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29,728</w:t>
            </w:r>
          </w:p>
        </w:tc>
        <w:tc>
          <w:tcPr>
            <w:tcW w:w="200" w:type="dxa"/>
            <w:vAlign w:val="bottom"/>
          </w:tcPr>
          <w:p>
            <w:pPr>
              <w:spacing w:after="0"/>
              <w:rPr>
                <w:sz w:val="12"/>
                <w:szCs w:val="12"/>
                <w:color w:val="auto"/>
              </w:rPr>
            </w:pPr>
          </w:p>
        </w:tc>
        <w:tc>
          <w:tcPr>
            <w:tcW w:w="10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(523)</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29,932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1,849</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11,328</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(143)</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13,034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Redeemable noncontrolling interests</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16,014</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16,014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Equity:</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200"/>
              <w:spacing w:after="0" w:line="149" w:lineRule="exact"/>
              <w:rPr>
                <w:sz w:val="20"/>
                <w:szCs w:val="20"/>
                <w:color w:val="auto"/>
              </w:rPr>
            </w:pPr>
            <w:r>
              <w:rPr>
                <w:rFonts w:ascii="Arial" w:cs="Arial" w:eastAsia="Arial" w:hAnsi="Arial"/>
                <w:sz w:val="14"/>
                <w:szCs w:val="14"/>
                <w:color w:val="auto"/>
              </w:rPr>
              <w:t>Common stock</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32</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 shareholders’ equity</w:t>
            </w:r>
          </w:p>
        </w:tc>
        <w:tc>
          <w:tcPr>
            <w:tcW w:w="3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w w:val="97"/>
              </w:rPr>
              <w:t>47,242</w:t>
            </w:r>
          </w:p>
        </w:tc>
        <w:tc>
          <w:tcPr>
            <w:tcW w:w="22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w w:val="93"/>
              </w:rPr>
              <w:t>85,464</w:t>
            </w:r>
          </w:p>
        </w:tc>
        <w:tc>
          <w:tcPr>
            <w:tcW w:w="20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43,338</w:t>
            </w:r>
          </w:p>
        </w:tc>
        <w:tc>
          <w:tcPr>
            <w:tcW w:w="2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w w:val="93"/>
              </w:rPr>
              <w:t>87,172</w:t>
            </w:r>
          </w:p>
        </w:tc>
        <w:tc>
          <w:tcPr>
            <w:tcW w:w="22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115,826</w:t>
            </w:r>
          </w:p>
        </w:tc>
        <w:tc>
          <w:tcPr>
            <w:tcW w:w="200" w:type="dxa"/>
            <w:vAlign w:val="bottom"/>
            <w:tcBorders>
              <w:bottom w:val="single" w:sz="8" w:color="auto"/>
            </w:tcBorders>
            <w:shd w:val="clear" w:color="auto" w:fill="E5E5E5"/>
          </w:tcPr>
          <w:p>
            <w:pPr>
              <w:spacing w:after="0"/>
              <w:rPr>
                <w:sz w:val="12"/>
                <w:szCs w:val="12"/>
                <w:color w:val="auto"/>
              </w:rPr>
            </w:pPr>
          </w:p>
        </w:tc>
        <w:tc>
          <w:tcPr>
            <w:tcW w:w="102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(331,800)</w:t>
            </w:r>
          </w:p>
        </w:tc>
        <w:tc>
          <w:tcPr>
            <w:tcW w:w="200" w:type="dxa"/>
            <w:vAlign w:val="bottom"/>
            <w:tcBorders>
              <w:bottom w:val="single" w:sz="8" w:color="auto"/>
            </w:tcBorders>
            <w:shd w:val="clear" w:color="auto" w:fill="E5E5E5"/>
          </w:tcPr>
          <w:p>
            <w:pPr>
              <w:spacing w:after="0"/>
              <w:rPr>
                <w:sz w:val="12"/>
                <w:szCs w:val="12"/>
                <w:color w:val="auto"/>
              </w:rPr>
            </w:pPr>
          </w:p>
        </w:tc>
        <w:tc>
          <w:tcPr>
            <w:tcW w:w="86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47,242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line="142" w:lineRule="exact"/>
              <w:rPr>
                <w:sz w:val="20"/>
                <w:szCs w:val="20"/>
                <w:color w:val="auto"/>
              </w:rPr>
            </w:pPr>
            <w:r>
              <w:rPr>
                <w:rFonts w:ascii="Arial" w:cs="Arial" w:eastAsia="Arial" w:hAnsi="Arial"/>
                <w:sz w:val="14"/>
                <w:szCs w:val="14"/>
                <w:color w:val="auto"/>
              </w:rPr>
              <w:t>Total Comcast Corporation shareholders’ equity</w:t>
            </w:r>
          </w:p>
        </w:tc>
        <w:tc>
          <w:tcPr>
            <w:tcW w:w="340" w:type="dxa"/>
            <w:vAlign w:val="bottom"/>
          </w:tcPr>
          <w:p>
            <w:pPr>
              <w:spacing w:after="0"/>
              <w:rPr>
                <w:sz w:val="12"/>
                <w:szCs w:val="12"/>
                <w:color w:val="auto"/>
              </w:rPr>
            </w:pPr>
          </w:p>
        </w:tc>
        <w:tc>
          <w:tcPr>
            <w:tcW w:w="580" w:type="dxa"/>
            <w:vAlign w:val="bottom"/>
          </w:tcPr>
          <w:p>
            <w:pPr>
              <w:jc w:val="right"/>
              <w:ind w:right="72"/>
              <w:spacing w:after="0" w:line="142" w:lineRule="exact"/>
              <w:rPr>
                <w:sz w:val="20"/>
                <w:szCs w:val="20"/>
                <w:color w:val="auto"/>
              </w:rPr>
            </w:pPr>
            <w:r>
              <w:rPr>
                <w:rFonts w:ascii="Arial" w:cs="Arial" w:eastAsia="Arial" w:hAnsi="Arial"/>
                <w:sz w:val="14"/>
                <w:szCs w:val="14"/>
                <w:color w:val="auto"/>
                <w:w w:val="97"/>
              </w:rPr>
              <w:t>47,274</w:t>
            </w:r>
          </w:p>
        </w:tc>
        <w:tc>
          <w:tcPr>
            <w:tcW w:w="220" w:type="dxa"/>
            <w:vAlign w:val="bottom"/>
          </w:tcPr>
          <w:p>
            <w:pPr>
              <w:spacing w:after="0"/>
              <w:rPr>
                <w:sz w:val="12"/>
                <w:szCs w:val="12"/>
                <w:color w:val="auto"/>
              </w:rPr>
            </w:pPr>
          </w:p>
        </w:tc>
        <w:tc>
          <w:tcPr>
            <w:tcW w:w="560" w:type="dxa"/>
            <w:vAlign w:val="bottom"/>
          </w:tcPr>
          <w:p>
            <w:pPr>
              <w:jc w:val="right"/>
              <w:ind w:right="72"/>
              <w:spacing w:after="0" w:line="142" w:lineRule="exact"/>
              <w:rPr>
                <w:sz w:val="20"/>
                <w:szCs w:val="20"/>
                <w:color w:val="auto"/>
              </w:rPr>
            </w:pPr>
            <w:r>
              <w:rPr>
                <w:rFonts w:ascii="Arial" w:cs="Arial" w:eastAsia="Arial" w:hAnsi="Arial"/>
                <w:sz w:val="14"/>
                <w:szCs w:val="14"/>
                <w:color w:val="auto"/>
                <w:w w:val="93"/>
              </w:rPr>
              <w:t>85,464</w:t>
            </w:r>
          </w:p>
        </w:tc>
        <w:tc>
          <w:tcPr>
            <w:tcW w:w="200" w:type="dxa"/>
            <w:vAlign w:val="bottom"/>
          </w:tcPr>
          <w:p>
            <w:pPr>
              <w:spacing w:after="0"/>
              <w:rPr>
                <w:sz w:val="12"/>
                <w:szCs w:val="12"/>
                <w:color w:val="auto"/>
              </w:rPr>
            </w:pPr>
          </w:p>
        </w:tc>
        <w:tc>
          <w:tcPr>
            <w:tcW w:w="720" w:type="dxa"/>
            <w:vAlign w:val="bottom"/>
          </w:tcPr>
          <w:p>
            <w:pPr>
              <w:jc w:val="right"/>
              <w:ind w:right="72"/>
              <w:spacing w:after="0" w:line="142" w:lineRule="exact"/>
              <w:rPr>
                <w:sz w:val="20"/>
                <w:szCs w:val="20"/>
                <w:color w:val="auto"/>
              </w:rPr>
            </w:pPr>
            <w:r>
              <w:rPr>
                <w:rFonts w:ascii="Arial" w:cs="Arial" w:eastAsia="Arial" w:hAnsi="Arial"/>
                <w:sz w:val="14"/>
                <w:szCs w:val="14"/>
                <w:color w:val="auto"/>
              </w:rPr>
              <w:t>43,338</w:t>
            </w:r>
          </w:p>
        </w:tc>
        <w:tc>
          <w:tcPr>
            <w:tcW w:w="26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color w:val="auto"/>
                <w:w w:val="93"/>
              </w:rPr>
              <w:t>87,172</w:t>
            </w:r>
          </w:p>
        </w:tc>
        <w:tc>
          <w:tcPr>
            <w:tcW w:w="220" w:type="dxa"/>
            <w:vAlign w:val="bottom"/>
          </w:tcPr>
          <w:p>
            <w:pPr>
              <w:spacing w:after="0"/>
              <w:rPr>
                <w:sz w:val="12"/>
                <w:szCs w:val="12"/>
                <w:color w:val="auto"/>
              </w:rPr>
            </w:pPr>
          </w:p>
        </w:tc>
        <w:tc>
          <w:tcPr>
            <w:tcW w:w="820" w:type="dxa"/>
            <w:vAlign w:val="bottom"/>
          </w:tcPr>
          <w:p>
            <w:pPr>
              <w:jc w:val="right"/>
              <w:ind w:right="92"/>
              <w:spacing w:after="0" w:line="142" w:lineRule="exact"/>
              <w:rPr>
                <w:sz w:val="20"/>
                <w:szCs w:val="20"/>
                <w:color w:val="auto"/>
              </w:rPr>
            </w:pPr>
            <w:r>
              <w:rPr>
                <w:rFonts w:ascii="Arial" w:cs="Arial" w:eastAsia="Arial" w:hAnsi="Arial"/>
                <w:sz w:val="14"/>
                <w:szCs w:val="14"/>
                <w:color w:val="auto"/>
              </w:rPr>
              <w:t>115,826</w:t>
            </w:r>
          </w:p>
        </w:tc>
        <w:tc>
          <w:tcPr>
            <w:tcW w:w="200" w:type="dxa"/>
            <w:vAlign w:val="bottom"/>
          </w:tcPr>
          <w:p>
            <w:pPr>
              <w:spacing w:after="0"/>
              <w:rPr>
                <w:sz w:val="12"/>
                <w:szCs w:val="12"/>
                <w:color w:val="auto"/>
              </w:rPr>
            </w:pPr>
          </w:p>
        </w:tc>
        <w:tc>
          <w:tcPr>
            <w:tcW w:w="1020" w:type="dxa"/>
            <w:vAlign w:val="bottom"/>
          </w:tcPr>
          <w:p>
            <w:pPr>
              <w:jc w:val="right"/>
              <w:ind w:right="72"/>
              <w:spacing w:after="0" w:line="142" w:lineRule="exact"/>
              <w:rPr>
                <w:sz w:val="20"/>
                <w:szCs w:val="20"/>
                <w:color w:val="auto"/>
              </w:rPr>
            </w:pPr>
            <w:r>
              <w:rPr>
                <w:rFonts w:ascii="Arial" w:cs="Arial" w:eastAsia="Arial" w:hAnsi="Arial"/>
                <w:sz w:val="14"/>
                <w:szCs w:val="14"/>
                <w:color w:val="auto"/>
              </w:rPr>
              <w:t>(331,800)</w:t>
            </w:r>
          </w:p>
        </w:tc>
        <w:tc>
          <w:tcPr>
            <w:tcW w:w="200" w:type="dxa"/>
            <w:vAlign w:val="bottom"/>
          </w:tcPr>
          <w:p>
            <w:pPr>
              <w:spacing w:after="0"/>
              <w:rPr>
                <w:sz w:val="12"/>
                <w:szCs w:val="12"/>
                <w:color w:val="auto"/>
              </w:rPr>
            </w:pPr>
          </w:p>
        </w:tc>
        <w:tc>
          <w:tcPr>
            <w:tcW w:w="860" w:type="dxa"/>
            <w:vAlign w:val="bottom"/>
          </w:tcPr>
          <w:p>
            <w:pPr>
              <w:jc w:val="right"/>
              <w:ind w:right="12"/>
              <w:spacing w:after="0" w:line="142" w:lineRule="exact"/>
              <w:rPr>
                <w:sz w:val="20"/>
                <w:szCs w:val="20"/>
                <w:color w:val="auto"/>
              </w:rPr>
            </w:pPr>
            <w:r>
              <w:rPr>
                <w:rFonts w:ascii="Arial" w:cs="Arial" w:eastAsia="Arial" w:hAnsi="Arial"/>
                <w:sz w:val="14"/>
                <w:szCs w:val="14"/>
                <w:color w:val="auto"/>
              </w:rPr>
              <w:t>47,274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Noncontrolling interests</w:t>
            </w:r>
          </w:p>
        </w:tc>
        <w:tc>
          <w:tcPr>
            <w:tcW w:w="3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381</w:t>
            </w:r>
          </w:p>
        </w:tc>
        <w:tc>
          <w:tcPr>
            <w:tcW w:w="200" w:type="dxa"/>
            <w:vAlign w:val="bottom"/>
            <w:tcBorders>
              <w:bottom w:val="single" w:sz="8" w:color="auto"/>
            </w:tcBorders>
            <w:shd w:val="clear" w:color="auto" w:fill="E5E5E5"/>
          </w:tcPr>
          <w:p>
            <w:pPr>
              <w:spacing w:after="0"/>
              <w:rPr>
                <w:sz w:val="12"/>
                <w:szCs w:val="12"/>
                <w:color w:val="auto"/>
              </w:rPr>
            </w:pPr>
          </w:p>
        </w:tc>
        <w:tc>
          <w:tcPr>
            <w:tcW w:w="102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5E5E5"/>
          </w:tcPr>
          <w:p>
            <w:pPr>
              <w:spacing w:after="0"/>
              <w:rPr>
                <w:sz w:val="12"/>
                <w:szCs w:val="12"/>
                <w:color w:val="auto"/>
              </w:rPr>
            </w:pPr>
          </w:p>
        </w:tc>
        <w:tc>
          <w:tcPr>
            <w:tcW w:w="86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 equity</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w w:val="97"/>
              </w:rPr>
              <w:t>47,274</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w w:val="93"/>
              </w:rPr>
              <w:t>85,464</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43,338</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w w:val="93"/>
              </w:rPr>
              <w:t>87,172</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116,207</w:t>
            </w: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(331,800)</w:t>
            </w: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47,655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Total liabilities and equity</w:t>
            </w:r>
          </w:p>
        </w:tc>
        <w:tc>
          <w:tcPr>
            <w:tcW w:w="34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w w:val="97"/>
              </w:rPr>
              <w:t>72,640</w:t>
            </w:r>
          </w:p>
        </w:tc>
        <w:tc>
          <w:tcPr>
            <w:tcW w:w="2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w w:val="93"/>
              </w:rPr>
              <w:t>89,606</w:t>
            </w:r>
          </w:p>
        </w:tc>
        <w:tc>
          <w:tcPr>
            <w:tcW w:w="2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rPr>
              <w:t>45,733</w:t>
            </w:r>
          </w:p>
        </w:tc>
        <w:tc>
          <w:tcPr>
            <w:tcW w:w="26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b w:val="1"/>
                <w:bCs w:val="1"/>
                <w:color w:val="auto"/>
                <w:w w:val="93"/>
              </w:rPr>
              <w:t>88,484</w:t>
            </w:r>
          </w:p>
        </w:tc>
        <w:tc>
          <w:tcPr>
            <w:tcW w:w="2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b w:val="1"/>
                <w:bCs w:val="1"/>
                <w:color w:val="auto"/>
              </w:rPr>
              <w:t>193,821</w:t>
            </w:r>
          </w:p>
        </w:tc>
        <w:tc>
          <w:tcPr>
            <w:tcW w:w="2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rPr>
              <w:t>(332,466)</w:t>
            </w:r>
          </w:p>
        </w:tc>
        <w:tc>
          <w:tcPr>
            <w:tcW w:w="2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b w:val="1"/>
                <w:bCs w:val="1"/>
                <w:color w:val="auto"/>
              </w:rPr>
              <w:t>157,818</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For the Three Months Ended September 30,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right="212"/>
              <w:spacing w:after="0"/>
              <w:rPr>
                <w:sz w:val="20"/>
                <w:szCs w:val="20"/>
                <w:color w:val="auto"/>
              </w:rPr>
            </w:pPr>
            <w:r>
              <w:rPr>
                <w:rFonts w:ascii="Arial" w:cs="Arial" w:eastAsia="Arial" w:hAnsi="Arial"/>
                <w:sz w:val="14"/>
                <w:szCs w:val="14"/>
                <w:color w:val="auto"/>
                <w:w w:val="93"/>
              </w:rPr>
              <w:t>Elimination</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Combined</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Non-</w:t>
            </w:r>
          </w:p>
        </w:tc>
        <w:tc>
          <w:tcPr>
            <w:tcW w:w="240" w:type="dxa"/>
            <w:vAlign w:val="bottom"/>
          </w:tcPr>
          <w:p>
            <w:pPr>
              <w:spacing w:after="0"/>
              <w:rPr>
                <w:sz w:val="12"/>
                <w:szCs w:val="12"/>
                <w:color w:val="auto"/>
              </w:rPr>
            </w:pPr>
          </w:p>
        </w:tc>
        <w:tc>
          <w:tcPr>
            <w:tcW w:w="920" w:type="dxa"/>
            <w:vAlign w:val="bottom"/>
          </w:tcPr>
          <w:p>
            <w:pPr>
              <w:jc w:val="center"/>
              <w:ind w:right="212"/>
              <w:spacing w:after="0" w:line="149" w:lineRule="exact"/>
              <w:rPr>
                <w:sz w:val="20"/>
                <w:szCs w:val="20"/>
                <w:color w:val="auto"/>
              </w:rPr>
            </w:pPr>
            <w:r>
              <w:rPr>
                <w:rFonts w:ascii="Arial" w:cs="Arial" w:eastAsia="Arial" w:hAnsi="Arial"/>
                <w:sz w:val="14"/>
                <w:szCs w:val="14"/>
                <w:color w:val="auto"/>
                <w:w w:val="85"/>
              </w:rPr>
              <w:t>and</w:t>
            </w: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Comcast</w:t>
            </w:r>
          </w:p>
        </w:tc>
        <w:tc>
          <w:tcPr>
            <w:tcW w:w="7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CCCL</w:t>
            </w:r>
          </w:p>
        </w:tc>
        <w:tc>
          <w:tcPr>
            <w:tcW w:w="96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CCHMO</w:t>
            </w:r>
          </w:p>
        </w:tc>
        <w:tc>
          <w:tcPr>
            <w:tcW w:w="9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Comcast</w:t>
            </w:r>
          </w:p>
        </w:tc>
        <w:tc>
          <w:tcPr>
            <w:tcW w:w="10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Consolidation</w:t>
            </w:r>
          </w:p>
        </w:tc>
        <w:tc>
          <w:tcPr>
            <w:tcW w:w="28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43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24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w:t>
            </w:r>
          </w:p>
        </w:tc>
        <w:tc>
          <w:tcPr>
            <w:tcW w:w="76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Parent</w:t>
            </w:r>
          </w:p>
        </w:tc>
        <w:tc>
          <w:tcPr>
            <w:tcW w:w="260" w:type="dxa"/>
            <w:vAlign w:val="bottom"/>
          </w:tcPr>
          <w:p>
            <w:pPr>
              <w:spacing w:after="0"/>
              <w:rPr>
                <w:sz w:val="13"/>
                <w:szCs w:val="13"/>
                <w:color w:val="auto"/>
              </w:rPr>
            </w:pPr>
          </w:p>
        </w:tc>
        <w:tc>
          <w:tcPr>
            <w:tcW w:w="700" w:type="dxa"/>
            <w:vAlign w:val="bottom"/>
          </w:tcPr>
          <w:p>
            <w:pPr>
              <w:jc w:val="right"/>
              <w:ind w:right="232"/>
              <w:spacing w:after="0" w:line="159" w:lineRule="exact"/>
              <w:rPr>
                <w:sz w:val="20"/>
                <w:szCs w:val="20"/>
                <w:color w:val="auto"/>
              </w:rPr>
            </w:pPr>
            <w:r>
              <w:rPr>
                <w:rFonts w:ascii="Arial" w:cs="Arial" w:eastAsia="Arial" w:hAnsi="Arial"/>
                <w:sz w:val="14"/>
                <w:szCs w:val="14"/>
                <w:color w:val="auto"/>
                <w:w w:val="78"/>
              </w:rPr>
              <w:t>Parents</w:t>
            </w:r>
          </w:p>
        </w:tc>
        <w:tc>
          <w:tcPr>
            <w:tcW w:w="90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Holdings</w:t>
            </w:r>
          </w:p>
        </w:tc>
        <w:tc>
          <w:tcPr>
            <w:tcW w:w="104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Subsidiaries</w:t>
            </w:r>
          </w:p>
        </w:tc>
        <w:tc>
          <w:tcPr>
            <w:tcW w:w="11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8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Corporation</w:t>
            </w:r>
          </w:p>
        </w:tc>
      </w:tr>
      <w:tr>
        <w:trPr>
          <w:trHeight w:val="142"/>
        </w:trPr>
        <w:tc>
          <w:tcPr>
            <w:tcW w:w="20" w:type="dxa"/>
            <w:vAlign w:val="bottom"/>
          </w:tcPr>
          <w:p>
            <w:pPr>
              <w:spacing w:after="0"/>
              <w:rPr>
                <w:sz w:val="12"/>
                <w:szCs w:val="12"/>
                <w:color w:val="auto"/>
              </w:rPr>
            </w:pPr>
          </w:p>
        </w:tc>
        <w:tc>
          <w:tcPr>
            <w:tcW w:w="436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Revenue:</w:t>
            </w:r>
          </w:p>
        </w:tc>
        <w:tc>
          <w:tcPr>
            <w:tcW w:w="660" w:type="dxa"/>
            <w:vAlign w:val="bottom"/>
            <w:tcBorders>
              <w:top w:val="single" w:sz="8" w:color="auto"/>
            </w:tcBorders>
            <w:shd w:val="clear" w:color="auto" w:fill="E5E5E5"/>
          </w:tcPr>
          <w:p>
            <w:pPr>
              <w:spacing w:after="0"/>
              <w:rPr>
                <w:sz w:val="12"/>
                <w:szCs w:val="12"/>
                <w:color w:val="auto"/>
              </w:rPr>
            </w:pPr>
          </w:p>
        </w:tc>
        <w:tc>
          <w:tcPr>
            <w:tcW w:w="580" w:type="dxa"/>
            <w:vAlign w:val="bottom"/>
            <w:tcBorders>
              <w:top w:val="single" w:sz="8" w:color="auto"/>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spacing w:after="0"/>
              <w:rPr>
                <w:sz w:val="12"/>
                <w:szCs w:val="12"/>
                <w:color w:val="auto"/>
              </w:rPr>
            </w:pPr>
          </w:p>
        </w:tc>
        <w:tc>
          <w:tcPr>
            <w:tcW w:w="520" w:type="dxa"/>
            <w:vAlign w:val="bottom"/>
            <w:tcBorders>
              <w:top w:val="single" w:sz="8" w:color="auto"/>
            </w:tcBorders>
            <w:shd w:val="clear" w:color="auto" w:fill="E5E5E5"/>
          </w:tcPr>
          <w:p>
            <w:pPr>
              <w:spacing w:after="0"/>
              <w:rPr>
                <w:sz w:val="12"/>
                <w:szCs w:val="12"/>
                <w:color w:val="auto"/>
              </w:rPr>
            </w:pPr>
          </w:p>
        </w:tc>
        <w:tc>
          <w:tcPr>
            <w:tcW w:w="260" w:type="dxa"/>
            <w:vAlign w:val="bottom"/>
            <w:tcBorders>
              <w:top w:val="single" w:sz="8" w:color="auto"/>
            </w:tcBorders>
            <w:shd w:val="clear" w:color="auto" w:fill="E5E5E5"/>
          </w:tcPr>
          <w:p>
            <w:pPr>
              <w:spacing w:after="0"/>
              <w:rPr>
                <w:sz w:val="12"/>
                <w:szCs w:val="12"/>
                <w:color w:val="auto"/>
              </w:rPr>
            </w:pPr>
          </w:p>
        </w:tc>
        <w:tc>
          <w:tcPr>
            <w:tcW w:w="700" w:type="dxa"/>
            <w:vAlign w:val="bottom"/>
            <w:tcBorders>
              <w:top w:val="single" w:sz="8" w:color="auto"/>
            </w:tcBorders>
            <w:shd w:val="clear" w:color="auto" w:fill="E5E5E5"/>
          </w:tcPr>
          <w:p>
            <w:pPr>
              <w:spacing w:after="0"/>
              <w:rPr>
                <w:sz w:val="12"/>
                <w:szCs w:val="12"/>
                <w:color w:val="auto"/>
              </w:rPr>
            </w:pPr>
          </w:p>
        </w:tc>
        <w:tc>
          <w:tcPr>
            <w:tcW w:w="300" w:type="dxa"/>
            <w:vAlign w:val="bottom"/>
            <w:tcBorders>
              <w:top w:val="single" w:sz="8" w:color="auto"/>
            </w:tcBorders>
            <w:shd w:val="clear" w:color="auto" w:fill="E5E5E5"/>
          </w:tcPr>
          <w:p>
            <w:pPr>
              <w:spacing w:after="0"/>
              <w:rPr>
                <w:sz w:val="12"/>
                <w:szCs w:val="12"/>
                <w:color w:val="auto"/>
              </w:rPr>
            </w:pPr>
          </w:p>
        </w:tc>
        <w:tc>
          <w:tcPr>
            <w:tcW w:w="600" w:type="dxa"/>
            <w:vAlign w:val="bottom"/>
            <w:tcBorders>
              <w:top w:val="single" w:sz="8" w:color="auto"/>
            </w:tcBorders>
            <w:shd w:val="clear" w:color="auto" w:fill="E5E5E5"/>
          </w:tcPr>
          <w:p>
            <w:pPr>
              <w:spacing w:after="0"/>
              <w:rPr>
                <w:sz w:val="12"/>
                <w:szCs w:val="12"/>
                <w:color w:val="auto"/>
              </w:rPr>
            </w:pPr>
          </w:p>
        </w:tc>
        <w:tc>
          <w:tcPr>
            <w:tcW w:w="300" w:type="dxa"/>
            <w:vAlign w:val="bottom"/>
            <w:tcBorders>
              <w:top w:val="single" w:sz="8" w:color="auto"/>
            </w:tcBorders>
            <w:shd w:val="clear" w:color="auto" w:fill="E5E5E5"/>
          </w:tcPr>
          <w:p>
            <w:pPr>
              <w:spacing w:after="0"/>
              <w:rPr>
                <w:sz w:val="12"/>
                <w:szCs w:val="12"/>
                <w:color w:val="auto"/>
              </w:rPr>
            </w:pPr>
          </w:p>
        </w:tc>
        <w:tc>
          <w:tcPr>
            <w:tcW w:w="740" w:type="dxa"/>
            <w:vAlign w:val="bottom"/>
            <w:tcBorders>
              <w:top w:val="single" w:sz="8" w:color="auto"/>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spacing w:after="0"/>
              <w:rPr>
                <w:sz w:val="12"/>
                <w:szCs w:val="12"/>
                <w:color w:val="auto"/>
              </w:rPr>
            </w:pPr>
          </w:p>
        </w:tc>
        <w:tc>
          <w:tcPr>
            <w:tcW w:w="920" w:type="dxa"/>
            <w:vAlign w:val="bottom"/>
            <w:tcBorders>
              <w:top w:val="single" w:sz="8" w:color="auto"/>
            </w:tcBorders>
            <w:shd w:val="clear" w:color="auto" w:fill="E5E5E5"/>
          </w:tcPr>
          <w:p>
            <w:pPr>
              <w:spacing w:after="0"/>
              <w:rPr>
                <w:sz w:val="12"/>
                <w:szCs w:val="12"/>
                <w:color w:val="auto"/>
              </w:rPr>
            </w:pPr>
          </w:p>
        </w:tc>
        <w:tc>
          <w:tcPr>
            <w:tcW w:w="280" w:type="dxa"/>
            <w:vAlign w:val="bottom"/>
            <w:tcBorders>
              <w:top w:val="single" w:sz="8" w:color="auto"/>
            </w:tcBorders>
            <w:shd w:val="clear" w:color="auto" w:fill="E5E5E5"/>
          </w:tcPr>
          <w:p>
            <w:pPr>
              <w:spacing w:after="0"/>
              <w:rPr>
                <w:sz w:val="12"/>
                <w:szCs w:val="12"/>
                <w:color w:val="auto"/>
              </w:rPr>
            </w:pPr>
          </w:p>
        </w:tc>
        <w:tc>
          <w:tcPr>
            <w:tcW w:w="700" w:type="dxa"/>
            <w:vAlign w:val="bottom"/>
            <w:tcBorders>
              <w:top w:val="single" w:sz="8" w:color="auto"/>
            </w:tcBorders>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w:t>
            </w:r>
          </w:p>
        </w:tc>
        <w:tc>
          <w:tcPr>
            <w:tcW w:w="66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6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8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16,544</w:t>
            </w:r>
          </w:p>
        </w:tc>
        <w:tc>
          <w:tcPr>
            <w:tcW w:w="240" w:type="dxa"/>
            <w:vAlign w:val="bottom"/>
          </w:tcPr>
          <w:p>
            <w:pPr>
              <w:ind w:left="18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16,544</w:t>
            </w:r>
          </w:p>
        </w:tc>
      </w:tr>
      <w:tr>
        <w:trPr>
          <w:trHeight w:val="149"/>
        </w:trPr>
        <w:tc>
          <w:tcPr>
            <w:tcW w:w="20" w:type="dxa"/>
            <w:vAlign w:val="bottom"/>
          </w:tcPr>
          <w:p>
            <w:pPr>
              <w:spacing w:after="0"/>
              <w:rPr>
                <w:sz w:val="12"/>
                <w:szCs w:val="12"/>
                <w:color w:val="auto"/>
              </w:rPr>
            </w:pPr>
          </w:p>
        </w:tc>
        <w:tc>
          <w:tcPr>
            <w:tcW w:w="436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6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211</w:t>
            </w:r>
          </w:p>
        </w:tc>
        <w:tc>
          <w:tcPr>
            <w:tcW w:w="24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205</w:t>
            </w:r>
          </w:p>
        </w:tc>
        <w:tc>
          <w:tcPr>
            <w:tcW w:w="2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129</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5E5E5"/>
          </w:tcPr>
          <w:p>
            <w:pPr>
              <w:spacing w:after="0"/>
              <w:rPr>
                <w:sz w:val="12"/>
                <w:szCs w:val="12"/>
                <w:color w:val="auto"/>
              </w:rPr>
            </w:pPr>
          </w:p>
        </w:tc>
        <w:tc>
          <w:tcPr>
            <w:tcW w:w="92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(545)</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4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211</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205</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129</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16,544</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(545)</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16,544</w:t>
            </w:r>
          </w:p>
        </w:tc>
      </w:tr>
      <w:tr>
        <w:trPr>
          <w:trHeight w:val="142"/>
        </w:trPr>
        <w:tc>
          <w:tcPr>
            <w:tcW w:w="20" w:type="dxa"/>
            <w:vAlign w:val="bottom"/>
          </w:tcPr>
          <w:p>
            <w:pPr>
              <w:spacing w:after="0"/>
              <w:rPr>
                <w:sz w:val="12"/>
                <w:szCs w:val="12"/>
                <w:color w:val="auto"/>
              </w:rPr>
            </w:pPr>
          </w:p>
        </w:tc>
        <w:tc>
          <w:tcPr>
            <w:tcW w:w="4360" w:type="dxa"/>
            <w:vAlign w:val="bottom"/>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Costs and Expenses:</w:t>
            </w:r>
          </w:p>
        </w:tc>
        <w:tc>
          <w:tcPr>
            <w:tcW w:w="66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200"/>
              <w:spacing w:after="0" w:line="149" w:lineRule="exact"/>
              <w:rPr>
                <w:sz w:val="20"/>
                <w:szCs w:val="20"/>
                <w:color w:val="auto"/>
              </w:rPr>
            </w:pPr>
            <w:r>
              <w:rPr>
                <w:rFonts w:ascii="Arial" w:cs="Arial" w:eastAsia="Arial" w:hAnsi="Arial"/>
                <w:sz w:val="14"/>
                <w:szCs w:val="14"/>
                <w:color w:val="auto"/>
              </w:rPr>
              <w:t>Operating costs and expenses</w:t>
            </w:r>
          </w:p>
        </w:tc>
        <w:tc>
          <w:tcPr>
            <w:tcW w:w="660" w:type="dxa"/>
            <w:vAlign w:val="bottom"/>
          </w:tcPr>
          <w:p>
            <w:pPr>
              <w:spacing w:after="0"/>
              <w:rPr>
                <w:sz w:val="12"/>
                <w:szCs w:val="12"/>
                <w:color w:val="auto"/>
              </w:rPr>
            </w:pP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99</w:t>
            </w:r>
          </w:p>
        </w:tc>
        <w:tc>
          <w:tcPr>
            <w:tcW w:w="24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205</w:t>
            </w:r>
          </w:p>
        </w:tc>
        <w:tc>
          <w:tcPr>
            <w:tcW w:w="260" w:type="dxa"/>
            <w:vAlign w:val="bottom"/>
          </w:tcPr>
          <w:p>
            <w:pPr>
              <w:spacing w:after="0"/>
              <w:rPr>
                <w:sz w:val="12"/>
                <w:szCs w:val="12"/>
                <w:color w:val="auto"/>
              </w:rPr>
            </w:pP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129</w:t>
            </w:r>
          </w:p>
        </w:tc>
        <w:tc>
          <w:tcPr>
            <w:tcW w:w="3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11,648</w:t>
            </w:r>
          </w:p>
        </w:tc>
        <w:tc>
          <w:tcPr>
            <w:tcW w:w="24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(545)</w:t>
            </w:r>
          </w:p>
        </w:tc>
        <w:tc>
          <w:tcPr>
            <w:tcW w:w="28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11,536</w:t>
            </w:r>
          </w:p>
        </w:tc>
      </w:tr>
      <w:tr>
        <w:trPr>
          <w:trHeight w:val="149"/>
        </w:trPr>
        <w:tc>
          <w:tcPr>
            <w:tcW w:w="20" w:type="dxa"/>
            <w:vAlign w:val="bottom"/>
          </w:tcPr>
          <w:p>
            <w:pPr>
              <w:spacing w:after="0"/>
              <w:rPr>
                <w:sz w:val="12"/>
                <w:szCs w:val="12"/>
                <w:color w:val="auto"/>
              </w:rPr>
            </w:pPr>
          </w:p>
        </w:tc>
        <w:tc>
          <w:tcPr>
            <w:tcW w:w="436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Depreciation</w:t>
            </w:r>
          </w:p>
        </w:tc>
        <w:tc>
          <w:tcPr>
            <w:tcW w:w="6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8</w:t>
            </w: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1,541</w:t>
            </w:r>
          </w:p>
        </w:tc>
        <w:tc>
          <w:tcPr>
            <w:tcW w:w="24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1,549</w:t>
            </w:r>
          </w:p>
        </w:tc>
      </w:tr>
      <w:tr>
        <w:trPr>
          <w:trHeight w:val="149"/>
        </w:trPr>
        <w:tc>
          <w:tcPr>
            <w:tcW w:w="20" w:type="dxa"/>
            <w:vAlign w:val="bottom"/>
          </w:tcPr>
          <w:p>
            <w:pPr>
              <w:spacing w:after="0"/>
              <w:rPr>
                <w:sz w:val="12"/>
                <w:szCs w:val="12"/>
                <w:color w:val="auto"/>
              </w:rPr>
            </w:pPr>
          </w:p>
        </w:tc>
        <w:tc>
          <w:tcPr>
            <w:tcW w:w="43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6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1</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410</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411</w:t>
            </w:r>
          </w:p>
        </w:tc>
      </w:tr>
      <w:tr>
        <w:trPr>
          <w:trHeight w:val="142"/>
        </w:trPr>
        <w:tc>
          <w:tcPr>
            <w:tcW w:w="20" w:type="dxa"/>
            <w:vAlign w:val="bottom"/>
          </w:tcPr>
          <w:p>
            <w:pPr>
              <w:spacing w:after="0"/>
              <w:rPr>
                <w:sz w:val="12"/>
                <w:szCs w:val="12"/>
                <w:color w:val="auto"/>
              </w:rPr>
            </w:pPr>
          </w:p>
        </w:tc>
        <w:tc>
          <w:tcPr>
            <w:tcW w:w="436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108</w:t>
            </w:r>
          </w:p>
        </w:tc>
        <w:tc>
          <w:tcPr>
            <w:tcW w:w="24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205</w:t>
            </w:r>
          </w:p>
        </w:tc>
        <w:tc>
          <w:tcPr>
            <w:tcW w:w="2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129</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13,599</w:t>
            </w:r>
          </w:p>
        </w:tc>
        <w:tc>
          <w:tcPr>
            <w:tcW w:w="240" w:type="dxa"/>
            <w:vAlign w:val="bottom"/>
            <w:tcBorders>
              <w:bottom w:val="single" w:sz="8" w:color="auto"/>
            </w:tcBorders>
            <w:shd w:val="clear" w:color="auto" w:fill="E5E5E5"/>
          </w:tcPr>
          <w:p>
            <w:pPr>
              <w:spacing w:after="0"/>
              <w:rPr>
                <w:sz w:val="12"/>
                <w:szCs w:val="12"/>
                <w:color w:val="auto"/>
              </w:rPr>
            </w:pPr>
          </w:p>
        </w:tc>
        <w:tc>
          <w:tcPr>
            <w:tcW w:w="92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(545)</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13,496</w:t>
            </w:r>
          </w:p>
        </w:tc>
      </w:tr>
      <w:tr>
        <w:trPr>
          <w:trHeight w:val="142"/>
        </w:trPr>
        <w:tc>
          <w:tcPr>
            <w:tcW w:w="20" w:type="dxa"/>
            <w:vAlign w:val="bottom"/>
          </w:tcPr>
          <w:p>
            <w:pPr>
              <w:spacing w:after="0"/>
              <w:rPr>
                <w:sz w:val="12"/>
                <w:szCs w:val="12"/>
                <w:color w:val="auto"/>
              </w:rPr>
            </w:pPr>
          </w:p>
        </w:tc>
        <w:tc>
          <w:tcPr>
            <w:tcW w:w="4360" w:type="dxa"/>
            <w:vAlign w:val="bottom"/>
          </w:tcPr>
          <w:p>
            <w:pPr>
              <w:spacing w:after="0" w:line="142" w:lineRule="exact"/>
              <w:rPr>
                <w:sz w:val="20"/>
                <w:szCs w:val="20"/>
                <w:color w:val="auto"/>
              </w:rPr>
            </w:pPr>
            <w:r>
              <w:rPr>
                <w:rFonts w:ascii="Arial" w:cs="Arial" w:eastAsia="Arial" w:hAnsi="Arial"/>
                <w:sz w:val="14"/>
                <w:szCs w:val="14"/>
                <w:color w:val="auto"/>
              </w:rPr>
              <w:t>Operating income (loss)</w:t>
            </w:r>
          </w:p>
        </w:tc>
        <w:tc>
          <w:tcPr>
            <w:tcW w:w="660" w:type="dxa"/>
            <w:vAlign w:val="bottom"/>
          </w:tcPr>
          <w:p>
            <w:pPr>
              <w:spacing w:after="0"/>
              <w:rPr>
                <w:sz w:val="12"/>
                <w:szCs w:val="12"/>
                <w:color w:val="auto"/>
              </w:rPr>
            </w:pPr>
          </w:p>
        </w:tc>
        <w:tc>
          <w:tcPr>
            <w:tcW w:w="58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103</w:t>
            </w:r>
          </w:p>
        </w:tc>
        <w:tc>
          <w:tcPr>
            <w:tcW w:w="240" w:type="dxa"/>
            <w:vAlign w:val="bottom"/>
          </w:tcPr>
          <w:p>
            <w:pPr>
              <w:spacing w:after="0"/>
              <w:rPr>
                <w:sz w:val="12"/>
                <w:szCs w:val="12"/>
                <w:color w:val="auto"/>
              </w:rPr>
            </w:pPr>
          </w:p>
        </w:tc>
        <w:tc>
          <w:tcPr>
            <w:tcW w:w="52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4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2,945</w:t>
            </w:r>
          </w:p>
        </w:tc>
        <w:tc>
          <w:tcPr>
            <w:tcW w:w="240" w:type="dxa"/>
            <w:vAlign w:val="bottom"/>
          </w:tcPr>
          <w:p>
            <w:pPr>
              <w:spacing w:after="0"/>
              <w:rPr>
                <w:sz w:val="12"/>
                <w:szCs w:val="12"/>
                <w:color w:val="auto"/>
              </w:rPr>
            </w:pPr>
          </w:p>
        </w:tc>
        <w:tc>
          <w:tcPr>
            <w:tcW w:w="92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ind w:right="12"/>
              <w:spacing w:after="0" w:line="142" w:lineRule="exact"/>
              <w:rPr>
                <w:sz w:val="20"/>
                <w:szCs w:val="20"/>
                <w:color w:val="auto"/>
              </w:rPr>
            </w:pPr>
            <w:r>
              <w:rPr>
                <w:rFonts w:ascii="Arial" w:cs="Arial" w:eastAsia="Arial" w:hAnsi="Arial"/>
                <w:sz w:val="14"/>
                <w:szCs w:val="14"/>
                <w:color w:val="auto"/>
              </w:rPr>
              <w:t>3,048</w:t>
            </w:r>
          </w:p>
        </w:tc>
      </w:tr>
      <w:tr>
        <w:trPr>
          <w:trHeight w:val="149"/>
        </w:trPr>
        <w:tc>
          <w:tcPr>
            <w:tcW w:w="20" w:type="dxa"/>
            <w:vAlign w:val="bottom"/>
          </w:tcPr>
          <w:p>
            <w:pPr>
              <w:spacing w:after="0"/>
              <w:rPr>
                <w:sz w:val="12"/>
                <w:szCs w:val="12"/>
                <w:color w:val="auto"/>
              </w:rPr>
            </w:pPr>
          </w:p>
        </w:tc>
        <w:tc>
          <w:tcPr>
            <w:tcW w:w="4360" w:type="dxa"/>
            <w:vAlign w:val="bottom"/>
            <w:shd w:val="clear" w:color="auto" w:fill="E5E5E5"/>
          </w:tcPr>
          <w:p>
            <w:pPr>
              <w:spacing w:after="0" w:line="149" w:lineRule="exact"/>
              <w:rPr>
                <w:sz w:val="20"/>
                <w:szCs w:val="20"/>
                <w:color w:val="auto"/>
              </w:rPr>
            </w:pPr>
            <w:r>
              <w:rPr>
                <w:rFonts w:ascii="Arial" w:cs="Arial" w:eastAsia="Arial" w:hAnsi="Arial"/>
                <w:sz w:val="14"/>
                <w:szCs w:val="14"/>
                <w:b w:val="1"/>
                <w:bCs w:val="1"/>
                <w:color w:val="auto"/>
              </w:rPr>
              <w:t>Other Income (Expense):</w:t>
            </w:r>
          </w:p>
        </w:tc>
        <w:tc>
          <w:tcPr>
            <w:tcW w:w="66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66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(363)</w:t>
            </w:r>
          </w:p>
        </w:tc>
        <w:tc>
          <w:tcPr>
            <w:tcW w:w="24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(81)</w:t>
            </w:r>
          </w:p>
        </w:tc>
        <w:tc>
          <w:tcPr>
            <w:tcW w:w="26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(33)</w:t>
            </w:r>
          </w:p>
        </w:tc>
        <w:tc>
          <w:tcPr>
            <w:tcW w:w="30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w:t>
            </w:r>
          </w:p>
        </w:tc>
        <w:tc>
          <w:tcPr>
            <w:tcW w:w="300" w:type="dxa"/>
            <w:vAlign w:val="bottom"/>
          </w:tcPr>
          <w:p>
            <w:pPr>
              <w:spacing w:after="0"/>
              <w:rPr>
                <w:sz w:val="12"/>
                <w:szCs w:val="12"/>
                <w:color w:val="auto"/>
              </w:rPr>
            </w:pP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(152)</w:t>
            </w:r>
          </w:p>
        </w:tc>
        <w:tc>
          <w:tcPr>
            <w:tcW w:w="240" w:type="dxa"/>
            <w:vAlign w:val="bottom"/>
          </w:tcPr>
          <w:p>
            <w:pPr>
              <w:spacing w:after="0"/>
              <w:rPr>
                <w:sz w:val="12"/>
                <w:szCs w:val="12"/>
                <w:color w:val="auto"/>
              </w:rPr>
            </w:pPr>
          </w:p>
        </w:tc>
        <w:tc>
          <w:tcPr>
            <w:tcW w:w="9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(633)</w:t>
            </w:r>
          </w:p>
        </w:tc>
      </w:tr>
      <w:tr>
        <w:trPr>
          <w:trHeight w:val="149"/>
        </w:trPr>
        <w:tc>
          <w:tcPr>
            <w:tcW w:w="20" w:type="dxa"/>
            <w:vAlign w:val="bottom"/>
          </w:tcPr>
          <w:p>
            <w:pPr>
              <w:spacing w:after="0"/>
              <w:rPr>
                <w:sz w:val="12"/>
                <w:szCs w:val="12"/>
                <w:color w:val="auto"/>
              </w:rPr>
            </w:pPr>
          </w:p>
        </w:tc>
        <w:tc>
          <w:tcPr>
            <w:tcW w:w="436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6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1</w:t>
            </w: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(3)</w:t>
            </w: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72</w:t>
            </w:r>
          </w:p>
        </w:tc>
        <w:tc>
          <w:tcPr>
            <w:tcW w:w="24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70</w:t>
            </w:r>
          </w:p>
        </w:tc>
      </w:tr>
      <w:tr>
        <w:trPr>
          <w:trHeight w:val="149"/>
        </w:trPr>
        <w:tc>
          <w:tcPr>
            <w:tcW w:w="20" w:type="dxa"/>
            <w:vAlign w:val="bottom"/>
          </w:tcPr>
          <w:p>
            <w:pPr>
              <w:spacing w:after="0"/>
              <w:rPr>
                <w:sz w:val="12"/>
                <w:szCs w:val="12"/>
                <w:color w:val="auto"/>
              </w:rPr>
            </w:pPr>
          </w:p>
        </w:tc>
        <w:tc>
          <w:tcPr>
            <w:tcW w:w="436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660" w:type="dxa"/>
            <w:vAlign w:val="bottom"/>
          </w:tcPr>
          <w:p>
            <w:pPr>
              <w:spacing w:after="0"/>
              <w:rPr>
                <w:sz w:val="12"/>
                <w:szCs w:val="12"/>
                <w:color w:val="auto"/>
              </w:rPr>
            </w:pP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6"/>
              </w:rPr>
              <w:t>2,281</w:t>
            </w:r>
          </w:p>
        </w:tc>
        <w:tc>
          <w:tcPr>
            <w:tcW w:w="24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9"/>
              </w:rPr>
              <w:t>1,641</w:t>
            </w:r>
          </w:p>
        </w:tc>
        <w:tc>
          <w:tcPr>
            <w:tcW w:w="260" w:type="dxa"/>
            <w:vAlign w:val="bottom"/>
          </w:tcPr>
          <w:p>
            <w:pPr>
              <w:spacing w:after="0"/>
              <w:rPr>
                <w:sz w:val="12"/>
                <w:szCs w:val="12"/>
                <w:color w:val="auto"/>
              </w:rPr>
            </w:pP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1,216</w:t>
            </w:r>
          </w:p>
        </w:tc>
        <w:tc>
          <w:tcPr>
            <w:tcW w:w="3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2,047</w:t>
            </w:r>
          </w:p>
        </w:tc>
        <w:tc>
          <w:tcPr>
            <w:tcW w:w="30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911</w:t>
            </w:r>
          </w:p>
        </w:tc>
        <w:tc>
          <w:tcPr>
            <w:tcW w:w="24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(7,185)</w:t>
            </w:r>
          </w:p>
        </w:tc>
        <w:tc>
          <w:tcPr>
            <w:tcW w:w="28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911</w:t>
            </w:r>
          </w:p>
        </w:tc>
      </w:tr>
      <w:tr>
        <w:trPr>
          <w:trHeight w:val="149"/>
        </w:trPr>
        <w:tc>
          <w:tcPr>
            <w:tcW w:w="20" w:type="dxa"/>
            <w:vAlign w:val="bottom"/>
          </w:tcPr>
          <w:p>
            <w:pPr>
              <w:spacing w:after="0"/>
              <w:rPr>
                <w:sz w:val="12"/>
                <w:szCs w:val="12"/>
                <w:color w:val="auto"/>
              </w:rPr>
            </w:pPr>
          </w:p>
        </w:tc>
        <w:tc>
          <w:tcPr>
            <w:tcW w:w="436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 income (expense), net</w:t>
            </w:r>
          </w:p>
        </w:tc>
        <w:tc>
          <w:tcPr>
            <w:tcW w:w="6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987</w:t>
            </w:r>
          </w:p>
        </w:tc>
        <w:tc>
          <w:tcPr>
            <w:tcW w:w="240" w:type="dxa"/>
            <w:vAlign w:val="bottom"/>
            <w:tcBorders>
              <w:bottom w:val="single" w:sz="8" w:color="auto"/>
            </w:tcBorders>
            <w:shd w:val="clear" w:color="auto" w:fill="E5E5E5"/>
          </w:tcPr>
          <w:p>
            <w:pPr>
              <w:spacing w:after="0"/>
              <w:rPr>
                <w:sz w:val="12"/>
                <w:szCs w:val="12"/>
                <w:color w:val="auto"/>
              </w:rPr>
            </w:pPr>
          </w:p>
        </w:tc>
        <w:tc>
          <w:tcPr>
            <w:tcW w:w="92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987</w:t>
            </w:r>
          </w:p>
        </w:tc>
      </w:tr>
      <w:tr>
        <w:trPr>
          <w:trHeight w:val="142"/>
        </w:trPr>
        <w:tc>
          <w:tcPr>
            <w:tcW w:w="20" w:type="dxa"/>
            <w:vAlign w:val="bottom"/>
          </w:tcPr>
          <w:p>
            <w:pPr>
              <w:spacing w:after="0"/>
              <w:rPr>
                <w:sz w:val="12"/>
                <w:szCs w:val="12"/>
                <w:color w:val="auto"/>
              </w:rPr>
            </w:pPr>
          </w:p>
        </w:tc>
        <w:tc>
          <w:tcPr>
            <w:tcW w:w="4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w w:val="96"/>
              </w:rPr>
              <w:t>1,919</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w w:val="79"/>
              </w:rPr>
              <w:t>1,560</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1,183</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2,040</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1,818</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(7,185)</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1,335</w:t>
            </w:r>
          </w:p>
        </w:tc>
      </w:tr>
      <w:tr>
        <w:trPr>
          <w:trHeight w:val="142"/>
        </w:trPr>
        <w:tc>
          <w:tcPr>
            <w:tcW w:w="20" w:type="dxa"/>
            <w:vAlign w:val="bottom"/>
          </w:tcPr>
          <w:p>
            <w:pPr>
              <w:spacing w:after="0"/>
              <w:rPr>
                <w:sz w:val="12"/>
                <w:szCs w:val="12"/>
                <w:color w:val="auto"/>
              </w:rPr>
            </w:pPr>
          </w:p>
        </w:tc>
        <w:tc>
          <w:tcPr>
            <w:tcW w:w="436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Income (loss) before income taxes</w:t>
            </w:r>
          </w:p>
        </w:tc>
        <w:tc>
          <w:tcPr>
            <w:tcW w:w="6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96"/>
              </w:rPr>
              <w:t>2,022</w:t>
            </w: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79"/>
              </w:rPr>
              <w:t>1,560</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1,183</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2,040</w:t>
            </w: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4,763</w:t>
            </w:r>
          </w:p>
        </w:tc>
        <w:tc>
          <w:tcPr>
            <w:tcW w:w="24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(7,185)</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4,383</w:t>
            </w:r>
          </w:p>
        </w:tc>
      </w:tr>
      <w:tr>
        <w:trPr>
          <w:trHeight w:val="149"/>
        </w:trPr>
        <w:tc>
          <w:tcPr>
            <w:tcW w:w="20" w:type="dxa"/>
            <w:vAlign w:val="bottom"/>
          </w:tcPr>
          <w:p>
            <w:pPr>
              <w:spacing w:after="0"/>
              <w:rPr>
                <w:sz w:val="12"/>
                <w:szCs w:val="12"/>
                <w:color w:val="auto"/>
              </w:rPr>
            </w:pPr>
          </w:p>
        </w:tc>
        <w:tc>
          <w:tcPr>
            <w:tcW w:w="43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Income tax (expense) benefit</w:t>
            </w:r>
          </w:p>
        </w:tc>
        <w:tc>
          <w:tcPr>
            <w:tcW w:w="6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91</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28</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12</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3</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(1,539)</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(1,405)</w:t>
            </w:r>
          </w:p>
        </w:tc>
      </w:tr>
      <w:tr>
        <w:trPr>
          <w:trHeight w:val="142"/>
        </w:trPr>
        <w:tc>
          <w:tcPr>
            <w:tcW w:w="20" w:type="dxa"/>
            <w:vAlign w:val="bottom"/>
          </w:tcPr>
          <w:p>
            <w:pPr>
              <w:spacing w:after="0"/>
              <w:rPr>
                <w:sz w:val="12"/>
                <w:szCs w:val="12"/>
                <w:color w:val="auto"/>
              </w:rPr>
            </w:pPr>
          </w:p>
        </w:tc>
        <w:tc>
          <w:tcPr>
            <w:tcW w:w="436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Net income (loss)</w:t>
            </w:r>
          </w:p>
        </w:tc>
        <w:tc>
          <w:tcPr>
            <w:tcW w:w="6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96"/>
              </w:rPr>
              <w:t>2,113</w:t>
            </w: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79"/>
              </w:rPr>
              <w:t>1,588</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1,195</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2,043</w:t>
            </w: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3,224</w:t>
            </w:r>
          </w:p>
        </w:tc>
        <w:tc>
          <w:tcPr>
            <w:tcW w:w="24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(7,185)</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2,978</w:t>
            </w:r>
          </w:p>
        </w:tc>
      </w:tr>
      <w:tr>
        <w:trPr>
          <w:trHeight w:val="149"/>
        </w:trPr>
        <w:tc>
          <w:tcPr>
            <w:tcW w:w="20" w:type="dxa"/>
            <w:vAlign w:val="bottom"/>
          </w:tcPr>
          <w:p>
            <w:pPr>
              <w:spacing w:after="0"/>
              <w:rPr>
                <w:sz w:val="12"/>
                <w:szCs w:val="12"/>
                <w:color w:val="auto"/>
              </w:rPr>
            </w:pPr>
          </w:p>
        </w:tc>
        <w:tc>
          <w:tcPr>
            <w:tcW w:w="43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(income) loss attributable to noncontrolling interests</w:t>
            </w:r>
          </w:p>
        </w:tc>
        <w:tc>
          <w:tcPr>
            <w:tcW w:w="6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(865)</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(865)</w:t>
            </w:r>
          </w:p>
        </w:tc>
      </w:tr>
      <w:tr>
        <w:trPr>
          <w:trHeight w:val="149"/>
        </w:trPr>
        <w:tc>
          <w:tcPr>
            <w:tcW w:w="20" w:type="dxa"/>
            <w:vAlign w:val="bottom"/>
          </w:tcPr>
          <w:p>
            <w:pPr>
              <w:spacing w:after="0"/>
              <w:rPr>
                <w:sz w:val="12"/>
                <w:szCs w:val="12"/>
                <w:color w:val="auto"/>
              </w:rPr>
            </w:pPr>
          </w:p>
        </w:tc>
        <w:tc>
          <w:tcPr>
            <w:tcW w:w="436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Net income (loss) attributable to Comcast Corporation</w:t>
            </w:r>
          </w:p>
        </w:tc>
        <w:tc>
          <w:tcPr>
            <w:tcW w:w="660" w:type="dxa"/>
            <w:vAlign w:val="bottom"/>
            <w:tcBorders>
              <w:bottom w:val="single" w:sz="8" w:color="auto"/>
            </w:tcBorders>
            <w:shd w:val="clear" w:color="auto" w:fill="E5E5E5"/>
          </w:tcPr>
          <w:p>
            <w:pPr>
              <w:ind w:left="54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2,113</w:t>
            </w:r>
          </w:p>
        </w:tc>
        <w:tc>
          <w:tcPr>
            <w:tcW w:w="240" w:type="dxa"/>
            <w:vAlign w:val="bottom"/>
            <w:tcBorders>
              <w:bottom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w w:val="79"/>
              </w:rPr>
              <w:t>1,588</w:t>
            </w:r>
          </w:p>
        </w:tc>
        <w:tc>
          <w:tcPr>
            <w:tcW w:w="26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1,195</w:t>
            </w:r>
          </w:p>
        </w:tc>
        <w:tc>
          <w:tcPr>
            <w:tcW w:w="30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2,043</w:t>
            </w:r>
          </w:p>
        </w:tc>
        <w:tc>
          <w:tcPr>
            <w:tcW w:w="300" w:type="dxa"/>
            <w:vAlign w:val="bottom"/>
            <w:tcBorders>
              <w:bottom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b w:val="1"/>
                <w:bCs w:val="1"/>
                <w:color w:val="auto"/>
              </w:rPr>
              <w:t>2,359</w:t>
            </w:r>
          </w:p>
        </w:tc>
        <w:tc>
          <w:tcPr>
            <w:tcW w:w="24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b w:val="1"/>
                <w:bCs w:val="1"/>
                <w:color w:val="auto"/>
              </w:rPr>
              <w:t>(7,185)</w:t>
            </w:r>
          </w:p>
        </w:tc>
        <w:tc>
          <w:tcPr>
            <w:tcW w:w="28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b w:val="1"/>
                <w:bCs w:val="1"/>
                <w:color w:val="auto"/>
              </w:rPr>
              <w:t>2,113</w:t>
            </w:r>
          </w:p>
        </w:tc>
      </w:tr>
      <w:tr>
        <w:trPr>
          <w:trHeight w:val="156"/>
        </w:trPr>
        <w:tc>
          <w:tcPr>
            <w:tcW w:w="20" w:type="dxa"/>
            <w:vAlign w:val="bottom"/>
            <w:tcBorders>
              <w:bottom w:val="single" w:sz="8" w:color="auto"/>
            </w:tcBorders>
          </w:tcPr>
          <w:p>
            <w:pPr>
              <w:spacing w:after="0"/>
              <w:rPr>
                <w:sz w:val="13"/>
                <w:szCs w:val="13"/>
                <w:color w:val="auto"/>
              </w:rPr>
            </w:pPr>
          </w:p>
        </w:tc>
        <w:tc>
          <w:tcPr>
            <w:tcW w:w="43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97"/>
              </w:rPr>
              <w:t>Comprehensive income (loss) attributable to Comcast Corporation</w:t>
            </w:r>
          </w:p>
        </w:tc>
        <w:tc>
          <w:tcPr>
            <w:tcW w:w="66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w w:val="96"/>
              </w:rPr>
              <w:t>2,235</w:t>
            </w:r>
          </w:p>
        </w:tc>
        <w:tc>
          <w:tcPr>
            <w:tcW w:w="24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w w:val="79"/>
              </w:rPr>
              <w:t>1,591</w:t>
            </w:r>
          </w:p>
        </w:tc>
        <w:tc>
          <w:tcPr>
            <w:tcW w:w="26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rPr>
              <w:t>1,195</w:t>
            </w:r>
          </w:p>
        </w:tc>
        <w:tc>
          <w:tcPr>
            <w:tcW w:w="30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rPr>
              <w:t>2,043</w:t>
            </w:r>
          </w:p>
        </w:tc>
        <w:tc>
          <w:tcPr>
            <w:tcW w:w="30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b w:val="1"/>
                <w:bCs w:val="1"/>
                <w:color w:val="auto"/>
              </w:rPr>
              <w:t>2,444</w:t>
            </w:r>
          </w:p>
        </w:tc>
        <w:tc>
          <w:tcPr>
            <w:tcW w:w="24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(7,273)</w:t>
            </w:r>
          </w:p>
        </w:tc>
        <w:tc>
          <w:tcPr>
            <w:tcW w:w="28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2,235</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For the Three Months Ended September 30,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ind w:right="252"/>
              <w:spacing w:after="0"/>
              <w:rPr>
                <w:sz w:val="20"/>
                <w:szCs w:val="20"/>
                <w:color w:val="auto"/>
              </w:rPr>
            </w:pPr>
            <w:r>
              <w:rPr>
                <w:rFonts w:ascii="Arial" w:cs="Arial" w:eastAsia="Arial" w:hAnsi="Arial"/>
                <w:sz w:val="14"/>
                <w:szCs w:val="14"/>
                <w:color w:val="auto"/>
                <w:w w:val="93"/>
              </w:rPr>
              <w:t>Elimination</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Combined</w:t>
            </w: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Non-</w:t>
            </w:r>
          </w:p>
        </w:tc>
        <w:tc>
          <w:tcPr>
            <w:tcW w:w="280" w:type="dxa"/>
            <w:vAlign w:val="bottom"/>
          </w:tcPr>
          <w:p>
            <w:pPr>
              <w:spacing w:after="0"/>
              <w:rPr>
                <w:sz w:val="12"/>
                <w:szCs w:val="12"/>
                <w:color w:val="auto"/>
              </w:rPr>
            </w:pPr>
          </w:p>
        </w:tc>
        <w:tc>
          <w:tcPr>
            <w:tcW w:w="960" w:type="dxa"/>
            <w:vAlign w:val="bottom"/>
          </w:tcPr>
          <w:p>
            <w:pPr>
              <w:jc w:val="center"/>
              <w:ind w:right="252"/>
              <w:spacing w:after="0" w:line="149" w:lineRule="exact"/>
              <w:rPr>
                <w:sz w:val="20"/>
                <w:szCs w:val="20"/>
                <w:color w:val="auto"/>
              </w:rPr>
            </w:pPr>
            <w:r>
              <w:rPr>
                <w:rFonts w:ascii="Arial" w:cs="Arial" w:eastAsia="Arial" w:hAnsi="Arial"/>
                <w:sz w:val="14"/>
                <w:szCs w:val="14"/>
                <w:color w:val="auto"/>
                <w:w w:val="85"/>
              </w:rPr>
              <w:t>and</w:t>
            </w:r>
          </w:p>
        </w:tc>
        <w:tc>
          <w:tcPr>
            <w:tcW w:w="102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Comcast</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CCCL</w:t>
            </w:r>
          </w:p>
        </w:tc>
        <w:tc>
          <w:tcPr>
            <w:tcW w:w="104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CCHMO</w:t>
            </w:r>
          </w:p>
        </w:tc>
        <w:tc>
          <w:tcPr>
            <w:tcW w:w="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Comcast</w:t>
            </w:r>
          </w:p>
        </w:tc>
        <w:tc>
          <w:tcPr>
            <w:tcW w:w="11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Guarantor</w:t>
            </w:r>
          </w:p>
        </w:tc>
        <w:tc>
          <w:tcPr>
            <w:tcW w:w="12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Consolidation</w:t>
            </w:r>
          </w:p>
        </w:tc>
        <w:tc>
          <w:tcPr>
            <w:tcW w:w="32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41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020" w:type="dxa"/>
            <w:vAlign w:val="bottom"/>
            <w:gridSpan w:val="2"/>
          </w:tcPr>
          <w:p>
            <w:pPr>
              <w:jc w:val="right"/>
              <w:ind w:right="232"/>
              <w:spacing w:after="0" w:line="159" w:lineRule="exact"/>
              <w:rPr>
                <w:sz w:val="20"/>
                <w:szCs w:val="20"/>
                <w:color w:val="auto"/>
              </w:rPr>
            </w:pPr>
            <w:r>
              <w:rPr>
                <w:rFonts w:ascii="Arial" w:cs="Arial" w:eastAsia="Arial" w:hAnsi="Arial"/>
                <w:sz w:val="14"/>
                <w:szCs w:val="14"/>
                <w:color w:val="auto"/>
              </w:rPr>
              <w:t>Parent</w:t>
            </w:r>
          </w:p>
        </w:tc>
        <w:tc>
          <w:tcPr>
            <w:tcW w:w="84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Parent</w:t>
            </w:r>
          </w:p>
        </w:tc>
        <w:tc>
          <w:tcPr>
            <w:tcW w:w="300" w:type="dxa"/>
            <w:vAlign w:val="bottom"/>
          </w:tcPr>
          <w:p>
            <w:pPr>
              <w:spacing w:after="0"/>
              <w:rPr>
                <w:sz w:val="13"/>
                <w:szCs w:val="13"/>
                <w:color w:val="auto"/>
              </w:rPr>
            </w:pPr>
          </w:p>
        </w:tc>
        <w:tc>
          <w:tcPr>
            <w:tcW w:w="740" w:type="dxa"/>
            <w:vAlign w:val="bottom"/>
          </w:tcPr>
          <w:p>
            <w:pPr>
              <w:jc w:val="right"/>
              <w:ind w:right="272"/>
              <w:spacing w:after="0" w:line="159" w:lineRule="exact"/>
              <w:rPr>
                <w:sz w:val="20"/>
                <w:szCs w:val="20"/>
                <w:color w:val="auto"/>
              </w:rPr>
            </w:pPr>
            <w:r>
              <w:rPr>
                <w:rFonts w:ascii="Arial" w:cs="Arial" w:eastAsia="Arial" w:hAnsi="Arial"/>
                <w:sz w:val="14"/>
                <w:szCs w:val="14"/>
                <w:color w:val="auto"/>
                <w:w w:val="78"/>
              </w:rPr>
              <w:t>Parents</w:t>
            </w:r>
          </w:p>
        </w:tc>
        <w:tc>
          <w:tcPr>
            <w:tcW w:w="9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Holdings</w:t>
            </w:r>
          </w:p>
        </w:tc>
        <w:tc>
          <w:tcPr>
            <w:tcW w:w="11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Subsidiaries</w:t>
            </w:r>
          </w:p>
        </w:tc>
        <w:tc>
          <w:tcPr>
            <w:tcW w:w="12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102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Corporation</w:t>
            </w:r>
          </w:p>
        </w:tc>
      </w:tr>
      <w:tr>
        <w:trPr>
          <w:trHeight w:val="142"/>
        </w:trPr>
        <w:tc>
          <w:tcPr>
            <w:tcW w:w="20" w:type="dxa"/>
            <w:vAlign w:val="bottom"/>
          </w:tcPr>
          <w:p>
            <w:pPr>
              <w:spacing w:after="0"/>
              <w:rPr>
                <w:sz w:val="12"/>
                <w:szCs w:val="12"/>
                <w:color w:val="auto"/>
              </w:rPr>
            </w:pPr>
          </w:p>
        </w:tc>
        <w:tc>
          <w:tcPr>
            <w:tcW w:w="414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Revenue:</w:t>
            </w:r>
          </w:p>
        </w:tc>
        <w:tc>
          <w:tcPr>
            <w:tcW w:w="420" w:type="dxa"/>
            <w:vAlign w:val="bottom"/>
            <w:tcBorders>
              <w:top w:val="single" w:sz="8" w:color="auto"/>
            </w:tcBorders>
            <w:shd w:val="clear" w:color="auto" w:fill="E5E5E5"/>
          </w:tcPr>
          <w:p>
            <w:pPr>
              <w:spacing w:after="0"/>
              <w:rPr>
                <w:sz w:val="12"/>
                <w:szCs w:val="12"/>
                <w:color w:val="auto"/>
              </w:rPr>
            </w:pPr>
          </w:p>
        </w:tc>
        <w:tc>
          <w:tcPr>
            <w:tcW w:w="600" w:type="dxa"/>
            <w:vAlign w:val="bottom"/>
            <w:tcBorders>
              <w:top w:val="single" w:sz="8" w:color="auto"/>
            </w:tcBorders>
            <w:shd w:val="clear" w:color="auto" w:fill="E5E5E5"/>
          </w:tcPr>
          <w:p>
            <w:pPr>
              <w:spacing w:after="0"/>
              <w:rPr>
                <w:sz w:val="12"/>
                <w:szCs w:val="12"/>
                <w:color w:val="auto"/>
              </w:rPr>
            </w:pPr>
          </w:p>
        </w:tc>
        <w:tc>
          <w:tcPr>
            <w:tcW w:w="280" w:type="dxa"/>
            <w:vAlign w:val="bottom"/>
            <w:tcBorders>
              <w:top w:val="single" w:sz="8" w:color="auto"/>
            </w:tcBorders>
            <w:shd w:val="clear" w:color="auto" w:fill="E5E5E5"/>
          </w:tcPr>
          <w:p>
            <w:pPr>
              <w:spacing w:after="0"/>
              <w:rPr>
                <w:sz w:val="12"/>
                <w:szCs w:val="12"/>
                <w:color w:val="auto"/>
              </w:rPr>
            </w:pPr>
          </w:p>
        </w:tc>
        <w:tc>
          <w:tcPr>
            <w:tcW w:w="560" w:type="dxa"/>
            <w:vAlign w:val="bottom"/>
            <w:tcBorders>
              <w:top w:val="single" w:sz="8" w:color="auto"/>
            </w:tcBorders>
            <w:shd w:val="clear" w:color="auto" w:fill="E5E5E5"/>
          </w:tcPr>
          <w:p>
            <w:pPr>
              <w:spacing w:after="0"/>
              <w:rPr>
                <w:sz w:val="12"/>
                <w:szCs w:val="12"/>
                <w:color w:val="auto"/>
              </w:rPr>
            </w:pPr>
          </w:p>
        </w:tc>
        <w:tc>
          <w:tcPr>
            <w:tcW w:w="300" w:type="dxa"/>
            <w:vAlign w:val="bottom"/>
            <w:tcBorders>
              <w:top w:val="single" w:sz="8" w:color="auto"/>
            </w:tcBorders>
            <w:shd w:val="clear" w:color="auto" w:fill="E5E5E5"/>
          </w:tcPr>
          <w:p>
            <w:pPr>
              <w:spacing w:after="0"/>
              <w:rPr>
                <w:sz w:val="12"/>
                <w:szCs w:val="12"/>
                <w:color w:val="auto"/>
              </w:rPr>
            </w:pPr>
          </w:p>
        </w:tc>
        <w:tc>
          <w:tcPr>
            <w:tcW w:w="740" w:type="dxa"/>
            <w:vAlign w:val="bottom"/>
            <w:tcBorders>
              <w:top w:val="single" w:sz="8" w:color="auto"/>
            </w:tcBorders>
            <w:shd w:val="clear" w:color="auto" w:fill="E5E5E5"/>
          </w:tcPr>
          <w:p>
            <w:pPr>
              <w:spacing w:after="0"/>
              <w:rPr>
                <w:sz w:val="12"/>
                <w:szCs w:val="12"/>
                <w:color w:val="auto"/>
              </w:rPr>
            </w:pPr>
          </w:p>
        </w:tc>
        <w:tc>
          <w:tcPr>
            <w:tcW w:w="340" w:type="dxa"/>
            <w:vAlign w:val="bottom"/>
            <w:tcBorders>
              <w:top w:val="single" w:sz="8" w:color="auto"/>
            </w:tcBorders>
            <w:shd w:val="clear" w:color="auto" w:fill="E5E5E5"/>
          </w:tcPr>
          <w:p>
            <w:pPr>
              <w:spacing w:after="0"/>
              <w:rPr>
                <w:sz w:val="12"/>
                <w:szCs w:val="12"/>
                <w:color w:val="auto"/>
              </w:rPr>
            </w:pPr>
          </w:p>
        </w:tc>
        <w:tc>
          <w:tcPr>
            <w:tcW w:w="640" w:type="dxa"/>
            <w:vAlign w:val="bottom"/>
            <w:tcBorders>
              <w:top w:val="single" w:sz="8" w:color="auto"/>
            </w:tcBorders>
            <w:shd w:val="clear" w:color="auto" w:fill="E5E5E5"/>
          </w:tcPr>
          <w:p>
            <w:pPr>
              <w:spacing w:after="0"/>
              <w:rPr>
                <w:sz w:val="12"/>
                <w:szCs w:val="12"/>
                <w:color w:val="auto"/>
              </w:rPr>
            </w:pPr>
          </w:p>
        </w:tc>
        <w:tc>
          <w:tcPr>
            <w:tcW w:w="340" w:type="dxa"/>
            <w:vAlign w:val="bottom"/>
            <w:tcBorders>
              <w:top w:val="single" w:sz="8" w:color="auto"/>
            </w:tcBorders>
            <w:shd w:val="clear" w:color="auto" w:fill="E5E5E5"/>
          </w:tcPr>
          <w:p>
            <w:pPr>
              <w:spacing w:after="0"/>
              <w:rPr>
                <w:sz w:val="12"/>
                <w:szCs w:val="12"/>
                <w:color w:val="auto"/>
              </w:rPr>
            </w:pPr>
          </w:p>
        </w:tc>
        <w:tc>
          <w:tcPr>
            <w:tcW w:w="780" w:type="dxa"/>
            <w:vAlign w:val="bottom"/>
            <w:tcBorders>
              <w:top w:val="single" w:sz="8" w:color="auto"/>
            </w:tcBorders>
            <w:shd w:val="clear" w:color="auto" w:fill="E5E5E5"/>
          </w:tcPr>
          <w:p>
            <w:pPr>
              <w:spacing w:after="0"/>
              <w:rPr>
                <w:sz w:val="12"/>
                <w:szCs w:val="12"/>
                <w:color w:val="auto"/>
              </w:rPr>
            </w:pPr>
          </w:p>
        </w:tc>
        <w:tc>
          <w:tcPr>
            <w:tcW w:w="280" w:type="dxa"/>
            <w:vAlign w:val="bottom"/>
            <w:tcBorders>
              <w:top w:val="single" w:sz="8" w:color="auto"/>
            </w:tcBorders>
            <w:shd w:val="clear" w:color="auto" w:fill="E5E5E5"/>
          </w:tcPr>
          <w:p>
            <w:pPr>
              <w:spacing w:after="0"/>
              <w:rPr>
                <w:sz w:val="12"/>
                <w:szCs w:val="12"/>
                <w:color w:val="auto"/>
              </w:rPr>
            </w:pPr>
          </w:p>
        </w:tc>
        <w:tc>
          <w:tcPr>
            <w:tcW w:w="960" w:type="dxa"/>
            <w:vAlign w:val="bottom"/>
            <w:tcBorders>
              <w:top w:val="single" w:sz="8" w:color="auto"/>
            </w:tcBorders>
            <w:shd w:val="clear" w:color="auto" w:fill="E5E5E5"/>
          </w:tcPr>
          <w:p>
            <w:pPr>
              <w:spacing w:after="0"/>
              <w:rPr>
                <w:sz w:val="12"/>
                <w:szCs w:val="12"/>
                <w:color w:val="auto"/>
              </w:rPr>
            </w:pPr>
          </w:p>
        </w:tc>
        <w:tc>
          <w:tcPr>
            <w:tcW w:w="320" w:type="dxa"/>
            <w:vAlign w:val="bottom"/>
            <w:tcBorders>
              <w:top w:val="single" w:sz="8" w:color="auto"/>
            </w:tcBorders>
            <w:shd w:val="clear" w:color="auto" w:fill="E5E5E5"/>
          </w:tcPr>
          <w:p>
            <w:pPr>
              <w:spacing w:after="0"/>
              <w:rPr>
                <w:sz w:val="12"/>
                <w:szCs w:val="12"/>
                <w:color w:val="auto"/>
              </w:rPr>
            </w:pPr>
          </w:p>
        </w:tc>
        <w:tc>
          <w:tcPr>
            <w:tcW w:w="700" w:type="dxa"/>
            <w:vAlign w:val="bottom"/>
            <w:tcBorders>
              <w:top w:val="single" w:sz="8" w:color="auto"/>
            </w:tcBorders>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w:t>
            </w:r>
          </w:p>
        </w:tc>
        <w:tc>
          <w:tcPr>
            <w:tcW w:w="4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22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14,339</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14,339</w:t>
            </w:r>
          </w:p>
        </w:tc>
      </w:tr>
      <w:tr>
        <w:trPr>
          <w:trHeight w:val="149"/>
        </w:trPr>
        <w:tc>
          <w:tcPr>
            <w:tcW w:w="20" w:type="dxa"/>
            <w:vAlign w:val="bottom"/>
          </w:tcPr>
          <w:p>
            <w:pPr>
              <w:spacing w:after="0"/>
              <w:rPr>
                <w:sz w:val="12"/>
                <w:szCs w:val="12"/>
                <w:color w:val="auto"/>
              </w:rPr>
            </w:pPr>
          </w:p>
        </w:tc>
        <w:tc>
          <w:tcPr>
            <w:tcW w:w="414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42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200</w:t>
            </w:r>
          </w:p>
        </w:tc>
        <w:tc>
          <w:tcPr>
            <w:tcW w:w="28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194</w:t>
            </w:r>
          </w:p>
        </w:tc>
        <w:tc>
          <w:tcPr>
            <w:tcW w:w="30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119</w:t>
            </w:r>
          </w:p>
        </w:tc>
        <w:tc>
          <w:tcPr>
            <w:tcW w:w="34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(513)</w:t>
            </w:r>
          </w:p>
        </w:tc>
        <w:tc>
          <w:tcPr>
            <w:tcW w:w="32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4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200</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194</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119</w:t>
            </w: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14,339</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(513)</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14,339</w:t>
            </w:r>
          </w:p>
        </w:tc>
      </w:tr>
      <w:tr>
        <w:trPr>
          <w:trHeight w:val="142"/>
        </w:trPr>
        <w:tc>
          <w:tcPr>
            <w:tcW w:w="20" w:type="dxa"/>
            <w:vAlign w:val="bottom"/>
          </w:tcPr>
          <w:p>
            <w:pPr>
              <w:spacing w:after="0"/>
              <w:rPr>
                <w:sz w:val="12"/>
                <w:szCs w:val="12"/>
                <w:color w:val="auto"/>
              </w:rPr>
            </w:pPr>
          </w:p>
        </w:tc>
        <w:tc>
          <w:tcPr>
            <w:tcW w:w="4140" w:type="dxa"/>
            <w:vAlign w:val="bottom"/>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Costs and Expenses:</w:t>
            </w:r>
          </w:p>
        </w:tc>
        <w:tc>
          <w:tcPr>
            <w:tcW w:w="42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00"/>
              <w:spacing w:after="0" w:line="149" w:lineRule="exact"/>
              <w:rPr>
                <w:sz w:val="20"/>
                <w:szCs w:val="20"/>
                <w:color w:val="auto"/>
              </w:rPr>
            </w:pPr>
            <w:r>
              <w:rPr>
                <w:rFonts w:ascii="Arial" w:cs="Arial" w:eastAsia="Arial" w:hAnsi="Arial"/>
                <w:sz w:val="14"/>
                <w:szCs w:val="14"/>
                <w:color w:val="auto"/>
              </w:rPr>
              <w:t>Operating costs and expenses</w:t>
            </w:r>
          </w:p>
        </w:tc>
        <w:tc>
          <w:tcPr>
            <w:tcW w:w="420" w:type="dxa"/>
            <w:vAlign w:val="bottom"/>
          </w:tcPr>
          <w:p>
            <w:pPr>
              <w:spacing w:after="0"/>
              <w:rPr>
                <w:sz w:val="12"/>
                <w:szCs w:val="12"/>
                <w:color w:val="auto"/>
              </w:rPr>
            </w:pPr>
          </w:p>
        </w:tc>
        <w:tc>
          <w:tcPr>
            <w:tcW w:w="6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84</w:t>
            </w:r>
          </w:p>
        </w:tc>
        <w:tc>
          <w:tcPr>
            <w:tcW w:w="280" w:type="dxa"/>
            <w:vAlign w:val="bottom"/>
          </w:tcPr>
          <w:p>
            <w:pPr>
              <w:spacing w:after="0"/>
              <w:rPr>
                <w:sz w:val="12"/>
                <w:szCs w:val="12"/>
                <w:color w:val="auto"/>
              </w:rPr>
            </w:pPr>
          </w:p>
        </w:tc>
        <w:tc>
          <w:tcPr>
            <w:tcW w:w="5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194</w:t>
            </w:r>
          </w:p>
        </w:tc>
        <w:tc>
          <w:tcPr>
            <w:tcW w:w="300" w:type="dxa"/>
            <w:vAlign w:val="bottom"/>
          </w:tcPr>
          <w:p>
            <w:pPr>
              <w:spacing w:after="0"/>
              <w:rPr>
                <w:sz w:val="12"/>
                <w:szCs w:val="12"/>
                <w:color w:val="auto"/>
              </w:rPr>
            </w:pPr>
          </w:p>
        </w:tc>
        <w:tc>
          <w:tcPr>
            <w:tcW w:w="7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119</w:t>
            </w:r>
          </w:p>
        </w:tc>
        <w:tc>
          <w:tcPr>
            <w:tcW w:w="340" w:type="dxa"/>
            <w:vAlign w:val="bottom"/>
          </w:tcPr>
          <w:p>
            <w:pPr>
              <w:spacing w:after="0"/>
              <w:rPr>
                <w:sz w:val="12"/>
                <w:szCs w:val="12"/>
                <w:color w:val="auto"/>
              </w:rPr>
            </w:pPr>
          </w:p>
        </w:tc>
        <w:tc>
          <w:tcPr>
            <w:tcW w:w="6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9,881</w:t>
            </w:r>
          </w:p>
        </w:tc>
        <w:tc>
          <w:tcPr>
            <w:tcW w:w="280" w:type="dxa"/>
            <w:vAlign w:val="bottom"/>
          </w:tcPr>
          <w:p>
            <w:pPr>
              <w:spacing w:after="0"/>
              <w:rPr>
                <w:sz w:val="12"/>
                <w:szCs w:val="12"/>
                <w:color w:val="auto"/>
              </w:rPr>
            </w:pPr>
          </w:p>
        </w:tc>
        <w:tc>
          <w:tcPr>
            <w:tcW w:w="9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(513)</w:t>
            </w:r>
          </w:p>
        </w:tc>
        <w:tc>
          <w:tcPr>
            <w:tcW w:w="32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9,765</w:t>
            </w:r>
          </w:p>
        </w:tc>
      </w:tr>
      <w:tr>
        <w:trPr>
          <w:trHeight w:val="149"/>
        </w:trPr>
        <w:tc>
          <w:tcPr>
            <w:tcW w:w="20" w:type="dxa"/>
            <w:vAlign w:val="bottom"/>
          </w:tcPr>
          <w:p>
            <w:pPr>
              <w:spacing w:after="0"/>
              <w:rPr>
                <w:sz w:val="12"/>
                <w:szCs w:val="12"/>
                <w:color w:val="auto"/>
              </w:rPr>
            </w:pPr>
          </w:p>
        </w:tc>
        <w:tc>
          <w:tcPr>
            <w:tcW w:w="41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Depreciation</w:t>
            </w:r>
          </w:p>
        </w:tc>
        <w:tc>
          <w:tcPr>
            <w:tcW w:w="42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8</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1,532</w:t>
            </w: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1,540</w:t>
            </w:r>
          </w:p>
        </w:tc>
      </w:tr>
      <w:tr>
        <w:trPr>
          <w:trHeight w:val="149"/>
        </w:trPr>
        <w:tc>
          <w:tcPr>
            <w:tcW w:w="20" w:type="dxa"/>
            <w:vAlign w:val="bottom"/>
          </w:tcPr>
          <w:p>
            <w:pPr>
              <w:spacing w:after="0"/>
              <w:rPr>
                <w:sz w:val="12"/>
                <w:szCs w:val="12"/>
                <w:color w:val="auto"/>
              </w:rPr>
            </w:pPr>
          </w:p>
        </w:tc>
        <w:tc>
          <w:tcPr>
            <w:tcW w:w="414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4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393</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393</w:t>
            </w:r>
          </w:p>
        </w:tc>
      </w:tr>
      <w:tr>
        <w:trPr>
          <w:trHeight w:val="142"/>
        </w:trPr>
        <w:tc>
          <w:tcPr>
            <w:tcW w:w="20" w:type="dxa"/>
            <w:vAlign w:val="bottom"/>
          </w:tcPr>
          <w:p>
            <w:pPr>
              <w:spacing w:after="0"/>
              <w:rPr>
                <w:sz w:val="12"/>
                <w:szCs w:val="12"/>
                <w:color w:val="auto"/>
              </w:rPr>
            </w:pPr>
          </w:p>
        </w:tc>
        <w:tc>
          <w:tcPr>
            <w:tcW w:w="4140" w:type="dxa"/>
            <w:vAlign w:val="bottom"/>
            <w:tcBorders>
              <w:bottom w:val="single" w:sz="8" w:color="auto"/>
            </w:tcBorders>
            <w:shd w:val="clear" w:color="auto" w:fill="E5E5E5"/>
          </w:tcPr>
          <w:p>
            <w:pPr>
              <w:spacing w:after="0"/>
              <w:rPr>
                <w:sz w:val="12"/>
                <w:szCs w:val="12"/>
                <w:color w:val="auto"/>
              </w:rPr>
            </w:pPr>
          </w:p>
        </w:tc>
        <w:tc>
          <w:tcPr>
            <w:tcW w:w="42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92</w:t>
            </w:r>
          </w:p>
        </w:tc>
        <w:tc>
          <w:tcPr>
            <w:tcW w:w="28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194</w:t>
            </w:r>
          </w:p>
        </w:tc>
        <w:tc>
          <w:tcPr>
            <w:tcW w:w="30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119</w:t>
            </w:r>
          </w:p>
        </w:tc>
        <w:tc>
          <w:tcPr>
            <w:tcW w:w="34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11,806</w:t>
            </w:r>
          </w:p>
        </w:tc>
        <w:tc>
          <w:tcPr>
            <w:tcW w:w="28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(513)</w:t>
            </w:r>
          </w:p>
        </w:tc>
        <w:tc>
          <w:tcPr>
            <w:tcW w:w="32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11,698</w:t>
            </w:r>
          </w:p>
        </w:tc>
      </w:tr>
      <w:tr>
        <w:trPr>
          <w:trHeight w:val="142"/>
        </w:trPr>
        <w:tc>
          <w:tcPr>
            <w:tcW w:w="20" w:type="dxa"/>
            <w:vAlign w:val="bottom"/>
          </w:tcPr>
          <w:p>
            <w:pPr>
              <w:spacing w:after="0"/>
              <w:rPr>
                <w:sz w:val="12"/>
                <w:szCs w:val="12"/>
                <w:color w:val="auto"/>
              </w:rPr>
            </w:pPr>
          </w:p>
        </w:tc>
        <w:tc>
          <w:tcPr>
            <w:tcW w:w="4140" w:type="dxa"/>
            <w:vAlign w:val="bottom"/>
          </w:tcPr>
          <w:p>
            <w:pPr>
              <w:spacing w:after="0" w:line="142" w:lineRule="exact"/>
              <w:rPr>
                <w:sz w:val="20"/>
                <w:szCs w:val="20"/>
                <w:color w:val="auto"/>
              </w:rPr>
            </w:pPr>
            <w:r>
              <w:rPr>
                <w:rFonts w:ascii="Arial" w:cs="Arial" w:eastAsia="Arial" w:hAnsi="Arial"/>
                <w:sz w:val="14"/>
                <w:szCs w:val="14"/>
                <w:color w:val="auto"/>
              </w:rPr>
              <w:t>Operating income (loss)</w:t>
            </w:r>
          </w:p>
        </w:tc>
        <w:tc>
          <w:tcPr>
            <w:tcW w:w="420" w:type="dxa"/>
            <w:vAlign w:val="bottom"/>
          </w:tcPr>
          <w:p>
            <w:pPr>
              <w:spacing w:after="0"/>
              <w:rPr>
                <w:sz w:val="12"/>
                <w:szCs w:val="12"/>
                <w:color w:val="auto"/>
              </w:rPr>
            </w:pPr>
          </w:p>
        </w:tc>
        <w:tc>
          <w:tcPr>
            <w:tcW w:w="60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108</w:t>
            </w:r>
          </w:p>
        </w:tc>
        <w:tc>
          <w:tcPr>
            <w:tcW w:w="280" w:type="dxa"/>
            <w:vAlign w:val="bottom"/>
          </w:tcPr>
          <w:p>
            <w:pPr>
              <w:spacing w:after="0"/>
              <w:rPr>
                <w:sz w:val="12"/>
                <w:szCs w:val="12"/>
                <w:color w:val="auto"/>
              </w:rPr>
            </w:pPr>
          </w:p>
        </w:tc>
        <w:tc>
          <w:tcPr>
            <w:tcW w:w="56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4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4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2,533</w:t>
            </w:r>
          </w:p>
        </w:tc>
        <w:tc>
          <w:tcPr>
            <w:tcW w:w="280" w:type="dxa"/>
            <w:vAlign w:val="bottom"/>
          </w:tcPr>
          <w:p>
            <w:pPr>
              <w:spacing w:after="0"/>
              <w:rPr>
                <w:sz w:val="12"/>
                <w:szCs w:val="12"/>
                <w:color w:val="auto"/>
              </w:rPr>
            </w:pPr>
          </w:p>
        </w:tc>
        <w:tc>
          <w:tcPr>
            <w:tcW w:w="96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00" w:type="dxa"/>
            <w:vAlign w:val="bottom"/>
          </w:tcPr>
          <w:p>
            <w:pPr>
              <w:jc w:val="right"/>
              <w:ind w:right="12"/>
              <w:spacing w:after="0" w:line="142" w:lineRule="exact"/>
              <w:rPr>
                <w:sz w:val="20"/>
                <w:szCs w:val="20"/>
                <w:color w:val="auto"/>
              </w:rPr>
            </w:pPr>
            <w:r>
              <w:rPr>
                <w:rFonts w:ascii="Arial" w:cs="Arial" w:eastAsia="Arial" w:hAnsi="Arial"/>
                <w:sz w:val="14"/>
                <w:szCs w:val="14"/>
                <w:color w:val="auto"/>
              </w:rPr>
              <w:t>2,641</w:t>
            </w:r>
          </w:p>
        </w:tc>
      </w:tr>
      <w:tr>
        <w:trPr>
          <w:trHeight w:val="149"/>
        </w:trPr>
        <w:tc>
          <w:tcPr>
            <w:tcW w:w="20" w:type="dxa"/>
            <w:vAlign w:val="bottom"/>
          </w:tcPr>
          <w:p>
            <w:pPr>
              <w:spacing w:after="0"/>
              <w:rPr>
                <w:sz w:val="12"/>
                <w:szCs w:val="12"/>
                <w:color w:val="auto"/>
              </w:rPr>
            </w:pPr>
          </w:p>
        </w:tc>
        <w:tc>
          <w:tcPr>
            <w:tcW w:w="4140" w:type="dxa"/>
            <w:vAlign w:val="bottom"/>
            <w:shd w:val="clear" w:color="auto" w:fill="E5E5E5"/>
          </w:tcPr>
          <w:p>
            <w:pPr>
              <w:spacing w:after="0" w:line="149" w:lineRule="exact"/>
              <w:rPr>
                <w:sz w:val="20"/>
                <w:szCs w:val="20"/>
                <w:color w:val="auto"/>
              </w:rPr>
            </w:pPr>
            <w:r>
              <w:rPr>
                <w:rFonts w:ascii="Arial" w:cs="Arial" w:eastAsia="Arial" w:hAnsi="Arial"/>
                <w:sz w:val="14"/>
                <w:szCs w:val="14"/>
                <w:b w:val="1"/>
                <w:bCs w:val="1"/>
                <w:color w:val="auto"/>
              </w:rPr>
              <w:t>Other Income (Expense):</w:t>
            </w:r>
          </w:p>
        </w:tc>
        <w:tc>
          <w:tcPr>
            <w:tcW w:w="42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420" w:type="dxa"/>
            <w:vAlign w:val="bottom"/>
          </w:tcPr>
          <w:p>
            <w:pPr>
              <w:spacing w:after="0"/>
              <w:rPr>
                <w:sz w:val="12"/>
                <w:szCs w:val="12"/>
                <w:color w:val="auto"/>
              </w:rPr>
            </w:pPr>
          </w:p>
        </w:tc>
        <w:tc>
          <w:tcPr>
            <w:tcW w:w="6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(358)</w:t>
            </w:r>
          </w:p>
        </w:tc>
        <w:tc>
          <w:tcPr>
            <w:tcW w:w="28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(82)</w:t>
            </w:r>
          </w:p>
        </w:tc>
        <w:tc>
          <w:tcPr>
            <w:tcW w:w="300" w:type="dxa"/>
            <w:vAlign w:val="bottom"/>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(43)</w:t>
            </w:r>
          </w:p>
        </w:tc>
        <w:tc>
          <w:tcPr>
            <w:tcW w:w="340" w:type="dxa"/>
            <w:vAlign w:val="bottom"/>
          </w:tcPr>
          <w:p>
            <w:pPr>
              <w:spacing w:after="0"/>
              <w:rPr>
                <w:sz w:val="12"/>
                <w:szCs w:val="12"/>
                <w:color w:val="auto"/>
              </w:rPr>
            </w:pP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(8)</w:t>
            </w:r>
          </w:p>
        </w:tc>
        <w:tc>
          <w:tcPr>
            <w:tcW w:w="34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(146)</w:t>
            </w:r>
          </w:p>
        </w:tc>
        <w:tc>
          <w:tcPr>
            <w:tcW w:w="280" w:type="dxa"/>
            <w:vAlign w:val="bottom"/>
          </w:tcPr>
          <w:p>
            <w:pPr>
              <w:spacing w:after="0"/>
              <w:rPr>
                <w:sz w:val="12"/>
                <w:szCs w:val="12"/>
                <w:color w:val="auto"/>
              </w:rPr>
            </w:pP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(637)</w:t>
            </w:r>
          </w:p>
        </w:tc>
      </w:tr>
      <w:tr>
        <w:trPr>
          <w:trHeight w:val="149"/>
        </w:trPr>
        <w:tc>
          <w:tcPr>
            <w:tcW w:w="20" w:type="dxa"/>
            <w:vAlign w:val="bottom"/>
          </w:tcPr>
          <w:p>
            <w:pPr>
              <w:spacing w:after="0"/>
              <w:rPr>
                <w:sz w:val="12"/>
                <w:szCs w:val="12"/>
                <w:color w:val="auto"/>
              </w:rPr>
            </w:pPr>
          </w:p>
        </w:tc>
        <w:tc>
          <w:tcPr>
            <w:tcW w:w="41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42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1</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(5)</w:t>
            </w: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(143)</w:t>
            </w: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(147)</w:t>
            </w:r>
          </w:p>
        </w:tc>
      </w:tr>
      <w:tr>
        <w:trPr>
          <w:trHeight w:val="149"/>
        </w:trPr>
        <w:tc>
          <w:tcPr>
            <w:tcW w:w="20" w:type="dxa"/>
            <w:vAlign w:val="bottom"/>
          </w:tcPr>
          <w:p>
            <w:pPr>
              <w:spacing w:after="0"/>
              <w:rPr>
                <w:sz w:val="12"/>
                <w:szCs w:val="12"/>
                <w:color w:val="auto"/>
              </w:rPr>
            </w:pPr>
          </w:p>
        </w:tc>
        <w:tc>
          <w:tcPr>
            <w:tcW w:w="414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420" w:type="dxa"/>
            <w:vAlign w:val="bottom"/>
          </w:tcPr>
          <w:p>
            <w:pPr>
              <w:spacing w:after="0"/>
              <w:rPr>
                <w:sz w:val="12"/>
                <w:szCs w:val="12"/>
                <w:color w:val="auto"/>
              </w:rPr>
            </w:pPr>
          </w:p>
        </w:tc>
        <w:tc>
          <w:tcPr>
            <w:tcW w:w="60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6"/>
              </w:rPr>
              <w:t>1,072</w:t>
            </w:r>
          </w:p>
        </w:tc>
        <w:tc>
          <w:tcPr>
            <w:tcW w:w="280" w:type="dxa"/>
            <w:vAlign w:val="bottom"/>
          </w:tcPr>
          <w:p>
            <w:pPr>
              <w:spacing w:after="0"/>
              <w:rPr>
                <w:sz w:val="12"/>
                <w:szCs w:val="12"/>
                <w:color w:val="auto"/>
              </w:rPr>
            </w:pPr>
          </w:p>
        </w:tc>
        <w:tc>
          <w:tcPr>
            <w:tcW w:w="56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85"/>
              </w:rPr>
              <w:t>1,369</w:t>
            </w:r>
          </w:p>
        </w:tc>
        <w:tc>
          <w:tcPr>
            <w:tcW w:w="300" w:type="dxa"/>
            <w:vAlign w:val="bottom"/>
          </w:tcPr>
          <w:p>
            <w:pPr>
              <w:spacing w:after="0"/>
              <w:rPr>
                <w:sz w:val="12"/>
                <w:szCs w:val="12"/>
                <w:color w:val="auto"/>
              </w:rPr>
            </w:pPr>
          </w:p>
        </w:tc>
        <w:tc>
          <w:tcPr>
            <w:tcW w:w="7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787</w:t>
            </w:r>
          </w:p>
        </w:tc>
        <w:tc>
          <w:tcPr>
            <w:tcW w:w="340" w:type="dxa"/>
            <w:vAlign w:val="bottom"/>
          </w:tcPr>
          <w:p>
            <w:pPr>
              <w:spacing w:after="0"/>
              <w:rPr>
                <w:sz w:val="12"/>
                <w:szCs w:val="12"/>
                <w:color w:val="auto"/>
              </w:rPr>
            </w:pPr>
          </w:p>
        </w:tc>
        <w:tc>
          <w:tcPr>
            <w:tcW w:w="6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1,338</w:t>
            </w:r>
          </w:p>
        </w:tc>
        <w:tc>
          <w:tcPr>
            <w:tcW w:w="34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(40)</w:t>
            </w:r>
          </w:p>
        </w:tc>
        <w:tc>
          <w:tcPr>
            <w:tcW w:w="280" w:type="dxa"/>
            <w:vAlign w:val="bottom"/>
          </w:tcPr>
          <w:p>
            <w:pPr>
              <w:spacing w:after="0"/>
              <w:rPr>
                <w:sz w:val="12"/>
                <w:szCs w:val="12"/>
                <w:color w:val="auto"/>
              </w:rPr>
            </w:pPr>
          </w:p>
        </w:tc>
        <w:tc>
          <w:tcPr>
            <w:tcW w:w="9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(4,566)</w:t>
            </w:r>
          </w:p>
        </w:tc>
        <w:tc>
          <w:tcPr>
            <w:tcW w:w="3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r>
      <w:tr>
        <w:trPr>
          <w:trHeight w:val="149"/>
        </w:trPr>
        <w:tc>
          <w:tcPr>
            <w:tcW w:w="20" w:type="dxa"/>
            <w:vAlign w:val="bottom"/>
          </w:tcPr>
          <w:p>
            <w:pPr>
              <w:spacing w:after="0"/>
              <w:rPr>
                <w:sz w:val="12"/>
                <w:szCs w:val="12"/>
                <w:color w:val="auto"/>
              </w:rPr>
            </w:pPr>
          </w:p>
        </w:tc>
        <w:tc>
          <w:tcPr>
            <w:tcW w:w="414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 income (expense), net</w:t>
            </w:r>
          </w:p>
        </w:tc>
        <w:tc>
          <w:tcPr>
            <w:tcW w:w="42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(3)</w:t>
            </w:r>
          </w:p>
        </w:tc>
        <w:tc>
          <w:tcPr>
            <w:tcW w:w="28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(9)</w:t>
            </w:r>
          </w:p>
        </w:tc>
        <w:tc>
          <w:tcPr>
            <w:tcW w:w="28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(12)</w:t>
            </w:r>
          </w:p>
        </w:tc>
      </w:tr>
      <w:tr>
        <w:trPr>
          <w:trHeight w:val="142"/>
        </w:trPr>
        <w:tc>
          <w:tcPr>
            <w:tcW w:w="20" w:type="dxa"/>
            <w:vAlign w:val="bottom"/>
          </w:tcPr>
          <w:p>
            <w:pPr>
              <w:spacing w:after="0"/>
              <w:rPr>
                <w:sz w:val="12"/>
                <w:szCs w:val="12"/>
                <w:color w:val="auto"/>
              </w:rPr>
            </w:pPr>
          </w:p>
        </w:tc>
        <w:tc>
          <w:tcPr>
            <w:tcW w:w="4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712</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w w:val="85"/>
              </w:rPr>
              <w:t>1,287</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744</w:t>
            </w: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1,325</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(338)</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(4,566)</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(836)</w:t>
            </w:r>
          </w:p>
        </w:tc>
      </w:tr>
      <w:tr>
        <w:trPr>
          <w:trHeight w:val="142"/>
        </w:trPr>
        <w:tc>
          <w:tcPr>
            <w:tcW w:w="20" w:type="dxa"/>
            <w:vAlign w:val="bottom"/>
          </w:tcPr>
          <w:p>
            <w:pPr>
              <w:spacing w:after="0"/>
              <w:rPr>
                <w:sz w:val="12"/>
                <w:szCs w:val="12"/>
                <w:color w:val="auto"/>
              </w:rPr>
            </w:pPr>
          </w:p>
        </w:tc>
        <w:tc>
          <w:tcPr>
            <w:tcW w:w="414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Income (loss) before income taxes</w:t>
            </w:r>
          </w:p>
        </w:tc>
        <w:tc>
          <w:tcPr>
            <w:tcW w:w="42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820</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w w:val="85"/>
              </w:rPr>
              <w:t>1,287</w:t>
            </w: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744</w:t>
            </w: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1,325</w:t>
            </w: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2,195</w:t>
            </w: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(4,566)</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1,805</w:t>
            </w:r>
          </w:p>
        </w:tc>
      </w:tr>
      <w:tr>
        <w:trPr>
          <w:trHeight w:val="149"/>
        </w:trPr>
        <w:tc>
          <w:tcPr>
            <w:tcW w:w="20" w:type="dxa"/>
            <w:vAlign w:val="bottom"/>
          </w:tcPr>
          <w:p>
            <w:pPr>
              <w:spacing w:after="0"/>
              <w:rPr>
                <w:sz w:val="12"/>
                <w:szCs w:val="12"/>
                <w:color w:val="auto"/>
              </w:rPr>
            </w:pPr>
          </w:p>
        </w:tc>
        <w:tc>
          <w:tcPr>
            <w:tcW w:w="41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Income tax (expense) benefit</w:t>
            </w:r>
          </w:p>
        </w:tc>
        <w:tc>
          <w:tcPr>
            <w:tcW w:w="4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88</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29</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15</w:t>
            </w: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5</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(776)</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(639)</w:t>
            </w:r>
          </w:p>
        </w:tc>
      </w:tr>
      <w:tr>
        <w:trPr>
          <w:trHeight w:val="142"/>
        </w:trPr>
        <w:tc>
          <w:tcPr>
            <w:tcW w:w="20" w:type="dxa"/>
            <w:vAlign w:val="bottom"/>
          </w:tcPr>
          <w:p>
            <w:pPr>
              <w:spacing w:after="0"/>
              <w:rPr>
                <w:sz w:val="12"/>
                <w:szCs w:val="12"/>
                <w:color w:val="auto"/>
              </w:rPr>
            </w:pPr>
          </w:p>
        </w:tc>
        <w:tc>
          <w:tcPr>
            <w:tcW w:w="414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Net income (loss)</w:t>
            </w:r>
          </w:p>
        </w:tc>
        <w:tc>
          <w:tcPr>
            <w:tcW w:w="42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908</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w w:val="85"/>
              </w:rPr>
              <w:t>1,316</w:t>
            </w: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759</w:t>
            </w: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1,330</w:t>
            </w: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1,419</w:t>
            </w: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(4,566)</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1,166</w:t>
            </w:r>
          </w:p>
        </w:tc>
      </w:tr>
      <w:tr>
        <w:trPr>
          <w:trHeight w:val="149"/>
        </w:trPr>
        <w:tc>
          <w:tcPr>
            <w:tcW w:w="20" w:type="dxa"/>
            <w:vAlign w:val="bottom"/>
          </w:tcPr>
          <w:p>
            <w:pPr>
              <w:spacing w:after="0"/>
              <w:rPr>
                <w:sz w:val="12"/>
                <w:szCs w:val="12"/>
                <w:color w:val="auto"/>
              </w:rPr>
            </w:pPr>
          </w:p>
        </w:tc>
        <w:tc>
          <w:tcPr>
            <w:tcW w:w="41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(income) loss attributable to noncontrolling interests</w:t>
            </w:r>
          </w:p>
        </w:tc>
        <w:tc>
          <w:tcPr>
            <w:tcW w:w="4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(258)</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(258)</w:t>
            </w:r>
          </w:p>
        </w:tc>
      </w:tr>
      <w:tr>
        <w:trPr>
          <w:trHeight w:val="149"/>
        </w:trPr>
        <w:tc>
          <w:tcPr>
            <w:tcW w:w="20" w:type="dxa"/>
            <w:vAlign w:val="bottom"/>
          </w:tcPr>
          <w:p>
            <w:pPr>
              <w:spacing w:after="0"/>
              <w:rPr>
                <w:sz w:val="12"/>
                <w:szCs w:val="12"/>
                <w:color w:val="auto"/>
              </w:rPr>
            </w:pPr>
          </w:p>
        </w:tc>
        <w:tc>
          <w:tcPr>
            <w:tcW w:w="414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Net income (loss) attributable to Comcast Corporation</w:t>
            </w:r>
          </w:p>
        </w:tc>
        <w:tc>
          <w:tcPr>
            <w:tcW w:w="420" w:type="dxa"/>
            <w:vAlign w:val="bottom"/>
            <w:tcBorders>
              <w:bottom w:val="single" w:sz="8" w:color="auto"/>
            </w:tcBorders>
            <w:shd w:val="clear" w:color="auto" w:fill="E5E5E5"/>
          </w:tcPr>
          <w:p>
            <w:pPr>
              <w:ind w:left="30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b w:val="1"/>
                <w:bCs w:val="1"/>
                <w:color w:val="auto"/>
              </w:rPr>
              <w:t>908</w:t>
            </w:r>
          </w:p>
        </w:tc>
        <w:tc>
          <w:tcPr>
            <w:tcW w:w="28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b w:val="1"/>
                <w:bCs w:val="1"/>
                <w:color w:val="auto"/>
                <w:w w:val="85"/>
              </w:rPr>
              <w:t>1,316</w:t>
            </w:r>
          </w:p>
        </w:tc>
        <w:tc>
          <w:tcPr>
            <w:tcW w:w="300" w:type="dxa"/>
            <w:vAlign w:val="bottom"/>
            <w:tcBorders>
              <w:bottom w:val="single" w:sz="8" w:color="auto"/>
            </w:tcBorders>
            <w:shd w:val="clear" w:color="auto" w:fill="E5E5E5"/>
          </w:tcPr>
          <w:p>
            <w:pPr>
              <w:ind w:left="220"/>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b w:val="1"/>
                <w:bCs w:val="1"/>
                <w:color w:val="auto"/>
              </w:rPr>
              <w:t>759</w:t>
            </w:r>
          </w:p>
        </w:tc>
        <w:tc>
          <w:tcPr>
            <w:tcW w:w="340" w:type="dxa"/>
            <w:vAlign w:val="bottom"/>
            <w:tcBorders>
              <w:bottom w:val="single" w:sz="8" w:color="auto"/>
            </w:tcBorders>
            <w:shd w:val="clear" w:color="auto" w:fill="E5E5E5"/>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b w:val="1"/>
                <w:bCs w:val="1"/>
                <w:color w:val="auto"/>
              </w:rPr>
              <w:t>1,330</w:t>
            </w:r>
          </w:p>
        </w:tc>
        <w:tc>
          <w:tcPr>
            <w:tcW w:w="340" w:type="dxa"/>
            <w:vAlign w:val="bottom"/>
            <w:tcBorders>
              <w:bottom w:val="single" w:sz="8" w:color="auto"/>
            </w:tcBorders>
            <w:shd w:val="clear" w:color="auto" w:fill="E5E5E5"/>
          </w:tcPr>
          <w:p>
            <w:pPr>
              <w:ind w:left="200"/>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b w:val="1"/>
                <w:bCs w:val="1"/>
                <w:color w:val="auto"/>
              </w:rPr>
              <w:t>1,161</w:t>
            </w:r>
          </w:p>
        </w:tc>
        <w:tc>
          <w:tcPr>
            <w:tcW w:w="28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b w:val="1"/>
                <w:bCs w:val="1"/>
                <w:color w:val="auto"/>
              </w:rPr>
              <w:t>(4,566)</w:t>
            </w:r>
          </w:p>
        </w:tc>
        <w:tc>
          <w:tcPr>
            <w:tcW w:w="320" w:type="dxa"/>
            <w:vAlign w:val="bottom"/>
            <w:tcBorders>
              <w:bottom w:val="single" w:sz="8" w:color="auto"/>
            </w:tcBorders>
            <w:shd w:val="clear" w:color="auto" w:fill="E5E5E5"/>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b w:val="1"/>
                <w:bCs w:val="1"/>
                <w:color w:val="auto"/>
              </w:rPr>
              <w:t>908</w:t>
            </w:r>
          </w:p>
        </w:tc>
      </w:tr>
      <w:tr>
        <w:trPr>
          <w:trHeight w:val="156"/>
        </w:trPr>
        <w:tc>
          <w:tcPr>
            <w:tcW w:w="20" w:type="dxa"/>
            <w:vAlign w:val="bottom"/>
            <w:tcBorders>
              <w:bottom w:val="single" w:sz="8" w:color="auto"/>
            </w:tcBorders>
          </w:tcPr>
          <w:p>
            <w:pPr>
              <w:spacing w:after="0"/>
              <w:rPr>
                <w:sz w:val="13"/>
                <w:szCs w:val="13"/>
                <w:color w:val="auto"/>
              </w:rPr>
            </w:pPr>
          </w:p>
        </w:tc>
        <w:tc>
          <w:tcPr>
            <w:tcW w:w="41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92"/>
              </w:rPr>
              <w:t>Comprehensive income (loss) attributable to Comcast Corporation</w:t>
            </w:r>
          </w:p>
        </w:tc>
        <w:tc>
          <w:tcPr>
            <w:tcW w:w="420" w:type="dxa"/>
            <w:vAlign w:val="bottom"/>
            <w:tcBorders>
              <w:bottom w:val="single" w:sz="8" w:color="auto"/>
            </w:tcBorders>
          </w:tcPr>
          <w:p>
            <w:pPr>
              <w:ind w:left="30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b w:val="1"/>
                <w:bCs w:val="1"/>
                <w:color w:val="auto"/>
              </w:rPr>
              <w:t>866</w:t>
            </w:r>
          </w:p>
        </w:tc>
        <w:tc>
          <w:tcPr>
            <w:tcW w:w="28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b w:val="1"/>
                <w:bCs w:val="1"/>
                <w:color w:val="auto"/>
                <w:w w:val="85"/>
              </w:rPr>
              <w:t>1,319</w:t>
            </w:r>
          </w:p>
        </w:tc>
        <w:tc>
          <w:tcPr>
            <w:tcW w:w="30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b w:val="1"/>
                <w:bCs w:val="1"/>
                <w:color w:val="auto"/>
              </w:rPr>
              <w:t>759</w:t>
            </w:r>
          </w:p>
        </w:tc>
        <w:tc>
          <w:tcPr>
            <w:tcW w:w="34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b w:val="1"/>
                <w:bCs w:val="1"/>
                <w:color w:val="auto"/>
              </w:rPr>
              <w:t>1,330</w:t>
            </w:r>
          </w:p>
        </w:tc>
        <w:tc>
          <w:tcPr>
            <w:tcW w:w="34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b w:val="1"/>
                <w:bCs w:val="1"/>
                <w:color w:val="auto"/>
              </w:rPr>
              <w:t>1,155</w:t>
            </w:r>
          </w:p>
        </w:tc>
        <w:tc>
          <w:tcPr>
            <w:tcW w:w="28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b w:val="1"/>
                <w:bCs w:val="1"/>
                <w:color w:val="auto"/>
              </w:rPr>
              <w:t>(4,563)</w:t>
            </w:r>
          </w:p>
        </w:tc>
        <w:tc>
          <w:tcPr>
            <w:tcW w:w="32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866</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 the Nine Months Ended September 30,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center"/>
              <w:ind w:right="212"/>
              <w:spacing w:after="0"/>
              <w:rPr>
                <w:sz w:val="20"/>
                <w:szCs w:val="20"/>
                <w:color w:val="auto"/>
              </w:rPr>
            </w:pPr>
            <w:r>
              <w:rPr>
                <w:rFonts w:ascii="Arial" w:cs="Arial" w:eastAsia="Arial" w:hAnsi="Arial"/>
                <w:sz w:val="14"/>
                <w:szCs w:val="14"/>
                <w:color w:val="auto"/>
                <w:w w:val="93"/>
              </w:rPr>
              <w:t>Elimination</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920" w:type="dxa"/>
            <w:vAlign w:val="bottom"/>
          </w:tcPr>
          <w:p>
            <w:pPr>
              <w:jc w:val="center"/>
              <w:ind w:right="212"/>
              <w:spacing w:after="0" w:line="149" w:lineRule="exact"/>
              <w:rPr>
                <w:sz w:val="20"/>
                <w:szCs w:val="20"/>
                <w:color w:val="auto"/>
              </w:rPr>
            </w:pPr>
            <w:r>
              <w:rPr>
                <w:rFonts w:ascii="Arial" w:cs="Arial" w:eastAsia="Arial" w:hAnsi="Arial"/>
                <w:sz w:val="14"/>
                <w:szCs w:val="14"/>
                <w:color w:val="auto"/>
                <w:w w:val="85"/>
              </w:rPr>
              <w:t>and</w:t>
            </w: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Comcast</w:t>
            </w:r>
          </w:p>
        </w:tc>
        <w:tc>
          <w:tcPr>
            <w:tcW w:w="7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CCCL</w:t>
            </w:r>
          </w:p>
        </w:tc>
        <w:tc>
          <w:tcPr>
            <w:tcW w:w="96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CCHMO</w:t>
            </w:r>
          </w:p>
        </w:tc>
        <w:tc>
          <w:tcPr>
            <w:tcW w:w="9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Comcast</w:t>
            </w:r>
          </w:p>
        </w:tc>
        <w:tc>
          <w:tcPr>
            <w:tcW w:w="106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Guarantor</w:t>
            </w:r>
          </w:p>
        </w:tc>
        <w:tc>
          <w:tcPr>
            <w:tcW w:w="11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Consolidation</w:t>
            </w:r>
          </w:p>
        </w:tc>
        <w:tc>
          <w:tcPr>
            <w:tcW w:w="28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43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20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w:t>
            </w:r>
          </w:p>
        </w:tc>
        <w:tc>
          <w:tcPr>
            <w:tcW w:w="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Parent</w:t>
            </w:r>
          </w:p>
        </w:tc>
        <w:tc>
          <w:tcPr>
            <w:tcW w:w="240" w:type="dxa"/>
            <w:vAlign w:val="bottom"/>
          </w:tcPr>
          <w:p>
            <w:pPr>
              <w:spacing w:after="0"/>
              <w:rPr>
                <w:sz w:val="13"/>
                <w:szCs w:val="13"/>
                <w:color w:val="auto"/>
              </w:rPr>
            </w:pPr>
          </w:p>
        </w:tc>
        <w:tc>
          <w:tcPr>
            <w:tcW w:w="720" w:type="dxa"/>
            <w:vAlign w:val="bottom"/>
          </w:tcPr>
          <w:p>
            <w:pPr>
              <w:jc w:val="right"/>
              <w:ind w:right="252"/>
              <w:spacing w:after="0" w:line="159" w:lineRule="exact"/>
              <w:rPr>
                <w:sz w:val="20"/>
                <w:szCs w:val="20"/>
                <w:color w:val="auto"/>
              </w:rPr>
            </w:pPr>
            <w:r>
              <w:rPr>
                <w:rFonts w:ascii="Arial" w:cs="Arial" w:eastAsia="Arial" w:hAnsi="Arial"/>
                <w:sz w:val="14"/>
                <w:szCs w:val="14"/>
                <w:color w:val="auto"/>
                <w:w w:val="78"/>
              </w:rPr>
              <w:t>Parents</w:t>
            </w:r>
          </w:p>
        </w:tc>
        <w:tc>
          <w:tcPr>
            <w:tcW w:w="90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Holdings</w:t>
            </w:r>
          </w:p>
        </w:tc>
        <w:tc>
          <w:tcPr>
            <w:tcW w:w="106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Subsidiaries</w:t>
            </w:r>
          </w:p>
        </w:tc>
        <w:tc>
          <w:tcPr>
            <w:tcW w:w="118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8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Corporation</w:t>
            </w:r>
          </w:p>
        </w:tc>
      </w:tr>
      <w:tr>
        <w:trPr>
          <w:trHeight w:val="142"/>
        </w:trPr>
        <w:tc>
          <w:tcPr>
            <w:tcW w:w="20" w:type="dxa"/>
            <w:vAlign w:val="bottom"/>
          </w:tcPr>
          <w:p>
            <w:pPr>
              <w:spacing w:after="0"/>
              <w:rPr>
                <w:sz w:val="12"/>
                <w:szCs w:val="12"/>
                <w:color w:val="auto"/>
              </w:rPr>
            </w:pPr>
          </w:p>
        </w:tc>
        <w:tc>
          <w:tcPr>
            <w:tcW w:w="434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Revenue:</w:t>
            </w:r>
          </w:p>
        </w:tc>
        <w:tc>
          <w:tcPr>
            <w:tcW w:w="600" w:type="dxa"/>
            <w:vAlign w:val="bottom"/>
            <w:tcBorders>
              <w:top w:val="single" w:sz="8" w:color="auto"/>
            </w:tcBorders>
            <w:shd w:val="clear" w:color="auto" w:fill="E5E5E5"/>
          </w:tcPr>
          <w:p>
            <w:pPr>
              <w:spacing w:after="0"/>
              <w:rPr>
                <w:sz w:val="12"/>
                <w:szCs w:val="12"/>
                <w:color w:val="auto"/>
              </w:rPr>
            </w:pPr>
          </w:p>
        </w:tc>
        <w:tc>
          <w:tcPr>
            <w:tcW w:w="600" w:type="dxa"/>
            <w:vAlign w:val="bottom"/>
            <w:tcBorders>
              <w:top w:val="single" w:sz="8" w:color="auto"/>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spacing w:after="0"/>
              <w:rPr>
                <w:sz w:val="12"/>
                <w:szCs w:val="12"/>
                <w:color w:val="auto"/>
              </w:rPr>
            </w:pPr>
          </w:p>
        </w:tc>
        <w:tc>
          <w:tcPr>
            <w:tcW w:w="540" w:type="dxa"/>
            <w:vAlign w:val="bottom"/>
            <w:tcBorders>
              <w:top w:val="single" w:sz="8" w:color="auto"/>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spacing w:after="0"/>
              <w:rPr>
                <w:sz w:val="12"/>
                <w:szCs w:val="12"/>
                <w:color w:val="auto"/>
              </w:rPr>
            </w:pPr>
          </w:p>
        </w:tc>
        <w:tc>
          <w:tcPr>
            <w:tcW w:w="720" w:type="dxa"/>
            <w:vAlign w:val="bottom"/>
            <w:tcBorders>
              <w:top w:val="single" w:sz="8" w:color="auto"/>
            </w:tcBorders>
            <w:shd w:val="clear" w:color="auto" w:fill="E5E5E5"/>
          </w:tcPr>
          <w:p>
            <w:pPr>
              <w:spacing w:after="0"/>
              <w:rPr>
                <w:sz w:val="12"/>
                <w:szCs w:val="12"/>
                <w:color w:val="auto"/>
              </w:rPr>
            </w:pPr>
          </w:p>
        </w:tc>
        <w:tc>
          <w:tcPr>
            <w:tcW w:w="300" w:type="dxa"/>
            <w:vAlign w:val="bottom"/>
            <w:tcBorders>
              <w:top w:val="single" w:sz="8" w:color="auto"/>
            </w:tcBorders>
            <w:shd w:val="clear" w:color="auto" w:fill="E5E5E5"/>
          </w:tcPr>
          <w:p>
            <w:pPr>
              <w:spacing w:after="0"/>
              <w:rPr>
                <w:sz w:val="12"/>
                <w:szCs w:val="12"/>
                <w:color w:val="auto"/>
              </w:rPr>
            </w:pPr>
          </w:p>
        </w:tc>
        <w:tc>
          <w:tcPr>
            <w:tcW w:w="600" w:type="dxa"/>
            <w:vAlign w:val="bottom"/>
            <w:tcBorders>
              <w:top w:val="single" w:sz="8" w:color="auto"/>
            </w:tcBorders>
            <w:shd w:val="clear" w:color="auto" w:fill="E5E5E5"/>
          </w:tcPr>
          <w:p>
            <w:pPr>
              <w:spacing w:after="0"/>
              <w:rPr>
                <w:sz w:val="12"/>
                <w:szCs w:val="12"/>
                <w:color w:val="auto"/>
              </w:rPr>
            </w:pPr>
          </w:p>
        </w:tc>
        <w:tc>
          <w:tcPr>
            <w:tcW w:w="320" w:type="dxa"/>
            <w:vAlign w:val="bottom"/>
            <w:tcBorders>
              <w:top w:val="single" w:sz="8" w:color="auto"/>
            </w:tcBorders>
            <w:shd w:val="clear" w:color="auto" w:fill="E5E5E5"/>
          </w:tcPr>
          <w:p>
            <w:pPr>
              <w:spacing w:after="0"/>
              <w:rPr>
                <w:sz w:val="12"/>
                <w:szCs w:val="12"/>
                <w:color w:val="auto"/>
              </w:rPr>
            </w:pPr>
          </w:p>
        </w:tc>
        <w:tc>
          <w:tcPr>
            <w:tcW w:w="740" w:type="dxa"/>
            <w:vAlign w:val="bottom"/>
            <w:tcBorders>
              <w:top w:val="single" w:sz="8" w:color="auto"/>
            </w:tcBorders>
            <w:shd w:val="clear" w:color="auto" w:fill="E5E5E5"/>
          </w:tcPr>
          <w:p>
            <w:pPr>
              <w:spacing w:after="0"/>
              <w:rPr>
                <w:sz w:val="12"/>
                <w:szCs w:val="12"/>
                <w:color w:val="auto"/>
              </w:rPr>
            </w:pPr>
          </w:p>
        </w:tc>
        <w:tc>
          <w:tcPr>
            <w:tcW w:w="260" w:type="dxa"/>
            <w:vAlign w:val="bottom"/>
            <w:tcBorders>
              <w:top w:val="single" w:sz="8" w:color="auto"/>
            </w:tcBorders>
            <w:shd w:val="clear" w:color="auto" w:fill="E5E5E5"/>
          </w:tcPr>
          <w:p>
            <w:pPr>
              <w:spacing w:after="0"/>
              <w:rPr>
                <w:sz w:val="12"/>
                <w:szCs w:val="12"/>
                <w:color w:val="auto"/>
              </w:rPr>
            </w:pPr>
          </w:p>
        </w:tc>
        <w:tc>
          <w:tcPr>
            <w:tcW w:w="920" w:type="dxa"/>
            <w:vAlign w:val="bottom"/>
            <w:tcBorders>
              <w:top w:val="single" w:sz="8" w:color="auto"/>
            </w:tcBorders>
            <w:shd w:val="clear" w:color="auto" w:fill="E5E5E5"/>
          </w:tcPr>
          <w:p>
            <w:pPr>
              <w:spacing w:after="0"/>
              <w:rPr>
                <w:sz w:val="12"/>
                <w:szCs w:val="12"/>
                <w:color w:val="auto"/>
              </w:rPr>
            </w:pPr>
          </w:p>
        </w:tc>
        <w:tc>
          <w:tcPr>
            <w:tcW w:w="280" w:type="dxa"/>
            <w:vAlign w:val="bottom"/>
            <w:tcBorders>
              <w:top w:val="single" w:sz="8" w:color="auto"/>
            </w:tcBorders>
            <w:shd w:val="clear" w:color="auto" w:fill="E5E5E5"/>
          </w:tcPr>
          <w:p>
            <w:pPr>
              <w:spacing w:after="0"/>
              <w:rPr>
                <w:sz w:val="12"/>
                <w:szCs w:val="12"/>
                <w:color w:val="auto"/>
              </w:rPr>
            </w:pPr>
          </w:p>
        </w:tc>
        <w:tc>
          <w:tcPr>
            <w:tcW w:w="700" w:type="dxa"/>
            <w:vAlign w:val="bottom"/>
            <w:tcBorders>
              <w:top w:val="single" w:sz="8" w:color="auto"/>
            </w:tcBorders>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4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w:t>
            </w:r>
          </w:p>
        </w:tc>
        <w:tc>
          <w:tcPr>
            <w:tcW w:w="600" w:type="dxa"/>
            <w:vAlign w:val="bottom"/>
          </w:tcPr>
          <w:p>
            <w:pPr>
              <w:ind w:left="5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6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46,633</w:t>
            </w:r>
          </w:p>
        </w:tc>
        <w:tc>
          <w:tcPr>
            <w:tcW w:w="260" w:type="dxa"/>
            <w:vAlign w:val="bottom"/>
          </w:tcPr>
          <w:p>
            <w:pPr>
              <w:ind w:left="18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46,633</w:t>
            </w:r>
          </w:p>
        </w:tc>
      </w:tr>
      <w:tr>
        <w:trPr>
          <w:trHeight w:val="149"/>
        </w:trPr>
        <w:tc>
          <w:tcPr>
            <w:tcW w:w="20" w:type="dxa"/>
            <w:vAlign w:val="bottom"/>
          </w:tcPr>
          <w:p>
            <w:pPr>
              <w:spacing w:after="0"/>
              <w:rPr>
                <w:sz w:val="12"/>
                <w:szCs w:val="12"/>
                <w:color w:val="auto"/>
              </w:rPr>
            </w:pPr>
          </w:p>
        </w:tc>
        <w:tc>
          <w:tcPr>
            <w:tcW w:w="434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6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625</w:t>
            </w:r>
          </w:p>
        </w:tc>
        <w:tc>
          <w:tcPr>
            <w:tcW w:w="24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610</w:t>
            </w:r>
          </w:p>
        </w:tc>
        <w:tc>
          <w:tcPr>
            <w:tcW w:w="24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381</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92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(1,616)</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4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625</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610</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381</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46,633</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(1,616)</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46,633</w:t>
            </w:r>
          </w:p>
        </w:tc>
      </w:tr>
      <w:tr>
        <w:trPr>
          <w:trHeight w:val="142"/>
        </w:trPr>
        <w:tc>
          <w:tcPr>
            <w:tcW w:w="20" w:type="dxa"/>
            <w:vAlign w:val="bottom"/>
          </w:tcPr>
          <w:p>
            <w:pPr>
              <w:spacing w:after="0"/>
              <w:rPr>
                <w:sz w:val="12"/>
                <w:szCs w:val="12"/>
                <w:color w:val="auto"/>
              </w:rPr>
            </w:pPr>
          </w:p>
        </w:tc>
        <w:tc>
          <w:tcPr>
            <w:tcW w:w="4340" w:type="dxa"/>
            <w:vAlign w:val="bottom"/>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Costs and Expenses:</w:t>
            </w:r>
          </w:p>
        </w:tc>
        <w:tc>
          <w:tcPr>
            <w:tcW w:w="60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40" w:type="dxa"/>
            <w:vAlign w:val="bottom"/>
          </w:tcPr>
          <w:p>
            <w:pPr>
              <w:ind w:left="200"/>
              <w:spacing w:after="0" w:line="149" w:lineRule="exact"/>
              <w:rPr>
                <w:sz w:val="20"/>
                <w:szCs w:val="20"/>
                <w:color w:val="auto"/>
              </w:rPr>
            </w:pPr>
            <w:r>
              <w:rPr>
                <w:rFonts w:ascii="Arial" w:cs="Arial" w:eastAsia="Arial" w:hAnsi="Arial"/>
                <w:sz w:val="14"/>
                <w:szCs w:val="14"/>
                <w:color w:val="auto"/>
              </w:rPr>
              <w:t>Operating costs and expenses</w:t>
            </w:r>
          </w:p>
        </w:tc>
        <w:tc>
          <w:tcPr>
            <w:tcW w:w="6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290</w:t>
            </w:r>
          </w:p>
        </w:tc>
        <w:tc>
          <w:tcPr>
            <w:tcW w:w="240" w:type="dxa"/>
            <w:vAlign w:val="bottom"/>
          </w:tcPr>
          <w:p>
            <w:pPr>
              <w:spacing w:after="0"/>
              <w:rPr>
                <w:sz w:val="12"/>
                <w:szCs w:val="12"/>
                <w:color w:val="auto"/>
              </w:rPr>
            </w:pP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610</w:t>
            </w:r>
          </w:p>
        </w:tc>
        <w:tc>
          <w:tcPr>
            <w:tcW w:w="240" w:type="dxa"/>
            <w:vAlign w:val="bottom"/>
          </w:tcPr>
          <w:p>
            <w:pPr>
              <w:spacing w:after="0"/>
              <w:rPr>
                <w:sz w:val="12"/>
                <w:szCs w:val="12"/>
                <w:color w:val="auto"/>
              </w:rPr>
            </w:pP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381</w:t>
            </w:r>
          </w:p>
        </w:tc>
        <w:tc>
          <w:tcPr>
            <w:tcW w:w="3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32,268</w:t>
            </w:r>
          </w:p>
        </w:tc>
        <w:tc>
          <w:tcPr>
            <w:tcW w:w="26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(1,616)</w:t>
            </w:r>
          </w:p>
        </w:tc>
        <w:tc>
          <w:tcPr>
            <w:tcW w:w="28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31,933</w:t>
            </w:r>
          </w:p>
        </w:tc>
      </w:tr>
      <w:tr>
        <w:trPr>
          <w:trHeight w:val="149"/>
        </w:trPr>
        <w:tc>
          <w:tcPr>
            <w:tcW w:w="20" w:type="dxa"/>
            <w:vAlign w:val="bottom"/>
          </w:tcPr>
          <w:p>
            <w:pPr>
              <w:spacing w:after="0"/>
              <w:rPr>
                <w:sz w:val="12"/>
                <w:szCs w:val="12"/>
                <w:color w:val="auto"/>
              </w:rPr>
            </w:pPr>
          </w:p>
        </w:tc>
        <w:tc>
          <w:tcPr>
            <w:tcW w:w="43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Depreciation</w:t>
            </w:r>
          </w:p>
        </w:tc>
        <w:tc>
          <w:tcPr>
            <w:tcW w:w="6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23</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4,571</w:t>
            </w: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4,594</w:t>
            </w:r>
          </w:p>
        </w:tc>
      </w:tr>
      <w:tr>
        <w:trPr>
          <w:trHeight w:val="149"/>
        </w:trPr>
        <w:tc>
          <w:tcPr>
            <w:tcW w:w="20" w:type="dxa"/>
            <w:vAlign w:val="bottom"/>
          </w:tcPr>
          <w:p>
            <w:pPr>
              <w:spacing w:after="0"/>
              <w:rPr>
                <w:sz w:val="12"/>
                <w:szCs w:val="12"/>
                <w:color w:val="auto"/>
              </w:rPr>
            </w:pPr>
          </w:p>
        </w:tc>
        <w:tc>
          <w:tcPr>
            <w:tcW w:w="434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6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3</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1,218</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1,221</w:t>
            </w:r>
          </w:p>
        </w:tc>
      </w:tr>
      <w:tr>
        <w:trPr>
          <w:trHeight w:val="142"/>
        </w:trPr>
        <w:tc>
          <w:tcPr>
            <w:tcW w:w="20" w:type="dxa"/>
            <w:vAlign w:val="bottom"/>
          </w:tcPr>
          <w:p>
            <w:pPr>
              <w:spacing w:after="0"/>
              <w:rPr>
                <w:sz w:val="12"/>
                <w:szCs w:val="12"/>
                <w:color w:val="auto"/>
              </w:rPr>
            </w:pPr>
          </w:p>
        </w:tc>
        <w:tc>
          <w:tcPr>
            <w:tcW w:w="434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316</w:t>
            </w:r>
          </w:p>
        </w:tc>
        <w:tc>
          <w:tcPr>
            <w:tcW w:w="24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610</w:t>
            </w:r>
          </w:p>
        </w:tc>
        <w:tc>
          <w:tcPr>
            <w:tcW w:w="24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381</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38,057</w:t>
            </w:r>
          </w:p>
        </w:tc>
        <w:tc>
          <w:tcPr>
            <w:tcW w:w="260" w:type="dxa"/>
            <w:vAlign w:val="bottom"/>
            <w:tcBorders>
              <w:bottom w:val="single" w:sz="8" w:color="auto"/>
            </w:tcBorders>
            <w:shd w:val="clear" w:color="auto" w:fill="E5E5E5"/>
          </w:tcPr>
          <w:p>
            <w:pPr>
              <w:spacing w:after="0"/>
              <w:rPr>
                <w:sz w:val="12"/>
                <w:szCs w:val="12"/>
                <w:color w:val="auto"/>
              </w:rPr>
            </w:pPr>
          </w:p>
        </w:tc>
        <w:tc>
          <w:tcPr>
            <w:tcW w:w="920" w:type="dxa"/>
            <w:vAlign w:val="bottom"/>
            <w:tcBorders>
              <w:bottom w:val="single" w:sz="8" w:color="auto"/>
            </w:tcBorders>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(1,616)</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37,748</w:t>
            </w:r>
          </w:p>
        </w:tc>
      </w:tr>
      <w:tr>
        <w:trPr>
          <w:trHeight w:val="142"/>
        </w:trPr>
        <w:tc>
          <w:tcPr>
            <w:tcW w:w="20" w:type="dxa"/>
            <w:vAlign w:val="bottom"/>
          </w:tcPr>
          <w:p>
            <w:pPr>
              <w:spacing w:after="0"/>
              <w:rPr>
                <w:sz w:val="12"/>
                <w:szCs w:val="12"/>
                <w:color w:val="auto"/>
              </w:rPr>
            </w:pPr>
          </w:p>
        </w:tc>
        <w:tc>
          <w:tcPr>
            <w:tcW w:w="4340" w:type="dxa"/>
            <w:vAlign w:val="bottom"/>
          </w:tcPr>
          <w:p>
            <w:pPr>
              <w:spacing w:after="0" w:line="142" w:lineRule="exact"/>
              <w:rPr>
                <w:sz w:val="20"/>
                <w:szCs w:val="20"/>
                <w:color w:val="auto"/>
              </w:rPr>
            </w:pPr>
            <w:r>
              <w:rPr>
                <w:rFonts w:ascii="Arial" w:cs="Arial" w:eastAsia="Arial" w:hAnsi="Arial"/>
                <w:sz w:val="14"/>
                <w:szCs w:val="14"/>
                <w:color w:val="auto"/>
              </w:rPr>
              <w:t>Operating income (loss)</w:t>
            </w:r>
          </w:p>
        </w:tc>
        <w:tc>
          <w:tcPr>
            <w:tcW w:w="600" w:type="dxa"/>
            <w:vAlign w:val="bottom"/>
          </w:tcPr>
          <w:p>
            <w:pPr>
              <w:spacing w:after="0"/>
              <w:rPr>
                <w:sz w:val="12"/>
                <w:szCs w:val="12"/>
                <w:color w:val="auto"/>
              </w:rPr>
            </w:pPr>
          </w:p>
        </w:tc>
        <w:tc>
          <w:tcPr>
            <w:tcW w:w="60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309</w:t>
            </w:r>
          </w:p>
        </w:tc>
        <w:tc>
          <w:tcPr>
            <w:tcW w:w="240" w:type="dxa"/>
            <w:vAlign w:val="bottom"/>
          </w:tcPr>
          <w:p>
            <w:pPr>
              <w:spacing w:after="0"/>
              <w:rPr>
                <w:sz w:val="12"/>
                <w:szCs w:val="12"/>
                <w:color w:val="auto"/>
              </w:rPr>
            </w:pPr>
          </w:p>
        </w:tc>
        <w:tc>
          <w:tcPr>
            <w:tcW w:w="54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4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8,576</w:t>
            </w:r>
          </w:p>
        </w:tc>
        <w:tc>
          <w:tcPr>
            <w:tcW w:w="260" w:type="dxa"/>
            <w:vAlign w:val="bottom"/>
          </w:tcPr>
          <w:p>
            <w:pPr>
              <w:spacing w:after="0"/>
              <w:rPr>
                <w:sz w:val="12"/>
                <w:szCs w:val="12"/>
                <w:color w:val="auto"/>
              </w:rPr>
            </w:pPr>
          </w:p>
        </w:tc>
        <w:tc>
          <w:tcPr>
            <w:tcW w:w="92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ind w:right="12"/>
              <w:spacing w:after="0" w:line="142" w:lineRule="exact"/>
              <w:rPr>
                <w:sz w:val="20"/>
                <w:szCs w:val="20"/>
                <w:color w:val="auto"/>
              </w:rPr>
            </w:pPr>
            <w:r>
              <w:rPr>
                <w:rFonts w:ascii="Arial" w:cs="Arial" w:eastAsia="Arial" w:hAnsi="Arial"/>
                <w:sz w:val="14"/>
                <w:szCs w:val="14"/>
                <w:color w:val="auto"/>
              </w:rPr>
              <w:t>8,885</w:t>
            </w:r>
          </w:p>
        </w:tc>
      </w:tr>
      <w:tr>
        <w:trPr>
          <w:trHeight w:val="149"/>
        </w:trPr>
        <w:tc>
          <w:tcPr>
            <w:tcW w:w="20" w:type="dxa"/>
            <w:vAlign w:val="bottom"/>
          </w:tcPr>
          <w:p>
            <w:pPr>
              <w:spacing w:after="0"/>
              <w:rPr>
                <w:sz w:val="12"/>
                <w:szCs w:val="12"/>
                <w:color w:val="auto"/>
              </w:rPr>
            </w:pPr>
          </w:p>
        </w:tc>
        <w:tc>
          <w:tcPr>
            <w:tcW w:w="4340" w:type="dxa"/>
            <w:vAlign w:val="bottom"/>
            <w:shd w:val="clear" w:color="auto" w:fill="E5E5E5"/>
          </w:tcPr>
          <w:p>
            <w:pPr>
              <w:spacing w:after="0" w:line="149" w:lineRule="exact"/>
              <w:rPr>
                <w:sz w:val="20"/>
                <w:szCs w:val="20"/>
                <w:color w:val="auto"/>
              </w:rPr>
            </w:pPr>
            <w:r>
              <w:rPr>
                <w:rFonts w:ascii="Arial" w:cs="Arial" w:eastAsia="Arial" w:hAnsi="Arial"/>
                <w:sz w:val="14"/>
                <w:szCs w:val="14"/>
                <w:b w:val="1"/>
                <w:bCs w:val="1"/>
                <w:color w:val="auto"/>
              </w:rPr>
              <w:t>Other Income (Expense):</w:t>
            </w:r>
          </w:p>
        </w:tc>
        <w:tc>
          <w:tcPr>
            <w:tcW w:w="60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4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60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0"/>
              </w:rPr>
              <w:t>(1,084)</w:t>
            </w:r>
          </w:p>
        </w:tc>
        <w:tc>
          <w:tcPr>
            <w:tcW w:w="24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(246)</w:t>
            </w:r>
          </w:p>
        </w:tc>
        <w:tc>
          <w:tcPr>
            <w:tcW w:w="240" w:type="dxa"/>
            <w:vAlign w:val="bottom"/>
          </w:tcPr>
          <w:p>
            <w:pPr>
              <w:spacing w:after="0"/>
              <w:rPr>
                <w:sz w:val="12"/>
                <w:szCs w:val="12"/>
                <w:color w:val="auto"/>
              </w:rPr>
            </w:pP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(102)</w:t>
            </w:r>
          </w:p>
        </w:tc>
        <w:tc>
          <w:tcPr>
            <w:tcW w:w="30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(20)</w:t>
            </w:r>
          </w:p>
        </w:tc>
        <w:tc>
          <w:tcPr>
            <w:tcW w:w="32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(446)</w:t>
            </w:r>
          </w:p>
        </w:tc>
        <w:tc>
          <w:tcPr>
            <w:tcW w:w="260" w:type="dxa"/>
            <w:vAlign w:val="bottom"/>
          </w:tcPr>
          <w:p>
            <w:pPr>
              <w:spacing w:after="0"/>
              <w:rPr>
                <w:sz w:val="12"/>
                <w:szCs w:val="12"/>
                <w:color w:val="auto"/>
              </w:rPr>
            </w:pP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(1,898)</w:t>
            </w:r>
          </w:p>
        </w:tc>
      </w:tr>
      <w:tr>
        <w:trPr>
          <w:trHeight w:val="149"/>
        </w:trPr>
        <w:tc>
          <w:tcPr>
            <w:tcW w:w="20" w:type="dxa"/>
            <w:vAlign w:val="bottom"/>
          </w:tcPr>
          <w:p>
            <w:pPr>
              <w:spacing w:after="0"/>
              <w:rPr>
                <w:sz w:val="12"/>
                <w:szCs w:val="12"/>
                <w:color w:val="auto"/>
              </w:rPr>
            </w:pPr>
          </w:p>
        </w:tc>
        <w:tc>
          <w:tcPr>
            <w:tcW w:w="43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6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4</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(2)</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168</w:t>
            </w: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170</w:t>
            </w:r>
          </w:p>
        </w:tc>
      </w:tr>
      <w:tr>
        <w:trPr>
          <w:trHeight w:val="149"/>
        </w:trPr>
        <w:tc>
          <w:tcPr>
            <w:tcW w:w="20" w:type="dxa"/>
            <w:vAlign w:val="bottom"/>
          </w:tcPr>
          <w:p>
            <w:pPr>
              <w:spacing w:after="0"/>
              <w:rPr>
                <w:sz w:val="12"/>
                <w:szCs w:val="12"/>
                <w:color w:val="auto"/>
              </w:rPr>
            </w:pPr>
          </w:p>
        </w:tc>
        <w:tc>
          <w:tcPr>
            <w:tcW w:w="434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6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5,186</w:t>
            </w:r>
          </w:p>
        </w:tc>
        <w:tc>
          <w:tcPr>
            <w:tcW w:w="240" w:type="dxa"/>
            <w:vAlign w:val="bottom"/>
          </w:tcPr>
          <w:p>
            <w:pPr>
              <w:spacing w:after="0"/>
              <w:rPr>
                <w:sz w:val="12"/>
                <w:szCs w:val="12"/>
                <w:color w:val="auto"/>
              </w:rPr>
            </w:pP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85"/>
              </w:rPr>
              <w:t>4,863</w:t>
            </w:r>
          </w:p>
        </w:tc>
        <w:tc>
          <w:tcPr>
            <w:tcW w:w="240" w:type="dxa"/>
            <w:vAlign w:val="bottom"/>
          </w:tcPr>
          <w:p>
            <w:pPr>
              <w:spacing w:after="0"/>
              <w:rPr>
                <w:sz w:val="12"/>
                <w:szCs w:val="12"/>
                <w:color w:val="auto"/>
              </w:rPr>
            </w:pP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3,591</w:t>
            </w:r>
          </w:p>
        </w:tc>
        <w:tc>
          <w:tcPr>
            <w:tcW w:w="3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5,171</w:t>
            </w:r>
          </w:p>
        </w:tc>
        <w:tc>
          <w:tcPr>
            <w:tcW w:w="320" w:type="dxa"/>
            <w:vAlign w:val="bottom"/>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943</w:t>
            </w:r>
          </w:p>
        </w:tc>
        <w:tc>
          <w:tcPr>
            <w:tcW w:w="26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(18,811)</w:t>
            </w:r>
          </w:p>
        </w:tc>
        <w:tc>
          <w:tcPr>
            <w:tcW w:w="28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943</w:t>
            </w:r>
          </w:p>
        </w:tc>
      </w:tr>
      <w:tr>
        <w:trPr>
          <w:trHeight w:val="149"/>
        </w:trPr>
        <w:tc>
          <w:tcPr>
            <w:tcW w:w="20" w:type="dxa"/>
            <w:vAlign w:val="bottom"/>
          </w:tcPr>
          <w:p>
            <w:pPr>
              <w:spacing w:after="0"/>
              <w:rPr>
                <w:sz w:val="12"/>
                <w:szCs w:val="12"/>
                <w:color w:val="auto"/>
              </w:rPr>
            </w:pPr>
          </w:p>
        </w:tc>
        <w:tc>
          <w:tcPr>
            <w:tcW w:w="434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 income (expense), net</w:t>
            </w:r>
          </w:p>
        </w:tc>
        <w:tc>
          <w:tcPr>
            <w:tcW w:w="6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924</w:t>
            </w:r>
          </w:p>
        </w:tc>
        <w:tc>
          <w:tcPr>
            <w:tcW w:w="260" w:type="dxa"/>
            <w:vAlign w:val="bottom"/>
            <w:tcBorders>
              <w:bottom w:val="single" w:sz="8" w:color="auto"/>
            </w:tcBorders>
            <w:shd w:val="clear" w:color="auto" w:fill="E5E5E5"/>
          </w:tcPr>
          <w:p>
            <w:pPr>
              <w:spacing w:after="0"/>
              <w:rPr>
                <w:sz w:val="12"/>
                <w:szCs w:val="12"/>
                <w:color w:val="auto"/>
              </w:rPr>
            </w:pPr>
          </w:p>
        </w:tc>
        <w:tc>
          <w:tcPr>
            <w:tcW w:w="92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924</w:t>
            </w:r>
          </w:p>
        </w:tc>
      </w:tr>
      <w:tr>
        <w:trPr>
          <w:trHeight w:val="142"/>
        </w:trPr>
        <w:tc>
          <w:tcPr>
            <w:tcW w:w="20" w:type="dxa"/>
            <w:vAlign w:val="bottom"/>
          </w:tcPr>
          <w:p>
            <w:pPr>
              <w:spacing w:after="0"/>
              <w:rPr>
                <w:sz w:val="12"/>
                <w:szCs w:val="12"/>
                <w:color w:val="auto"/>
              </w:rPr>
            </w:pPr>
          </w:p>
        </w:tc>
        <w:tc>
          <w:tcPr>
            <w:tcW w:w="4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4,106</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w w:val="85"/>
              </w:rPr>
              <w:t>4,617</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3,489</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5,149</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1,589</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(18,811)</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139</w:t>
            </w:r>
          </w:p>
        </w:tc>
      </w:tr>
      <w:tr>
        <w:trPr>
          <w:trHeight w:val="142"/>
        </w:trPr>
        <w:tc>
          <w:tcPr>
            <w:tcW w:w="20" w:type="dxa"/>
            <w:vAlign w:val="bottom"/>
          </w:tcPr>
          <w:p>
            <w:pPr>
              <w:spacing w:after="0"/>
              <w:rPr>
                <w:sz w:val="12"/>
                <w:szCs w:val="12"/>
                <w:color w:val="auto"/>
              </w:rPr>
            </w:pPr>
          </w:p>
        </w:tc>
        <w:tc>
          <w:tcPr>
            <w:tcW w:w="434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Income (loss) before income taxes</w:t>
            </w:r>
          </w:p>
        </w:tc>
        <w:tc>
          <w:tcPr>
            <w:tcW w:w="6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4,415</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85"/>
              </w:rPr>
              <w:t>4,617</w:t>
            </w: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3,489</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5,149</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10,165</w:t>
            </w: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(18,811)</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9,024</w:t>
            </w:r>
          </w:p>
        </w:tc>
      </w:tr>
      <w:tr>
        <w:trPr>
          <w:trHeight w:val="149"/>
        </w:trPr>
        <w:tc>
          <w:tcPr>
            <w:tcW w:w="20" w:type="dxa"/>
            <w:vAlign w:val="bottom"/>
          </w:tcPr>
          <w:p>
            <w:pPr>
              <w:spacing w:after="0"/>
              <w:rPr>
                <w:sz w:val="12"/>
                <w:szCs w:val="12"/>
                <w:color w:val="auto"/>
              </w:rPr>
            </w:pPr>
          </w:p>
        </w:tc>
        <w:tc>
          <w:tcPr>
            <w:tcW w:w="43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Income tax (expense) benefit</w:t>
            </w:r>
          </w:p>
        </w:tc>
        <w:tc>
          <w:tcPr>
            <w:tcW w:w="6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270</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86</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36</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8</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(3,366)</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(2,966)</w:t>
            </w:r>
          </w:p>
        </w:tc>
      </w:tr>
      <w:tr>
        <w:trPr>
          <w:trHeight w:val="142"/>
        </w:trPr>
        <w:tc>
          <w:tcPr>
            <w:tcW w:w="20" w:type="dxa"/>
            <w:vAlign w:val="bottom"/>
          </w:tcPr>
          <w:p>
            <w:pPr>
              <w:spacing w:after="0"/>
              <w:rPr>
                <w:sz w:val="12"/>
                <w:szCs w:val="12"/>
                <w:color w:val="auto"/>
              </w:rPr>
            </w:pPr>
          </w:p>
        </w:tc>
        <w:tc>
          <w:tcPr>
            <w:tcW w:w="434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Net income (loss)</w:t>
            </w:r>
          </w:p>
        </w:tc>
        <w:tc>
          <w:tcPr>
            <w:tcW w:w="6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4,685</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85"/>
              </w:rPr>
              <w:t>4,703</w:t>
            </w: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3,525</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5,157</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6,799</w:t>
            </w: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(18,811)</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6,058</w:t>
            </w:r>
          </w:p>
        </w:tc>
      </w:tr>
      <w:tr>
        <w:trPr>
          <w:trHeight w:val="149"/>
        </w:trPr>
        <w:tc>
          <w:tcPr>
            <w:tcW w:w="20" w:type="dxa"/>
            <w:vAlign w:val="bottom"/>
          </w:tcPr>
          <w:p>
            <w:pPr>
              <w:spacing w:after="0"/>
              <w:rPr>
                <w:sz w:val="12"/>
                <w:szCs w:val="12"/>
                <w:color w:val="auto"/>
              </w:rPr>
            </w:pPr>
          </w:p>
        </w:tc>
        <w:tc>
          <w:tcPr>
            <w:tcW w:w="43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(income) loss attributable to noncontrolling interests</w:t>
            </w:r>
          </w:p>
        </w:tc>
        <w:tc>
          <w:tcPr>
            <w:tcW w:w="6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(1,373)</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(1,373)</w:t>
            </w:r>
          </w:p>
        </w:tc>
      </w:tr>
      <w:tr>
        <w:trPr>
          <w:trHeight w:val="149"/>
        </w:trPr>
        <w:tc>
          <w:tcPr>
            <w:tcW w:w="20" w:type="dxa"/>
            <w:vAlign w:val="bottom"/>
          </w:tcPr>
          <w:p>
            <w:pPr>
              <w:spacing w:after="0"/>
              <w:rPr>
                <w:sz w:val="12"/>
                <w:szCs w:val="12"/>
                <w:color w:val="auto"/>
              </w:rPr>
            </w:pPr>
          </w:p>
        </w:tc>
        <w:tc>
          <w:tcPr>
            <w:tcW w:w="434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Net income (loss) attributable to Comcast Corporation</w:t>
            </w:r>
          </w:p>
        </w:tc>
        <w:tc>
          <w:tcPr>
            <w:tcW w:w="600" w:type="dxa"/>
            <w:vAlign w:val="bottom"/>
            <w:tcBorders>
              <w:bottom w:val="single" w:sz="8" w:color="auto"/>
            </w:tcBorders>
            <w:shd w:val="clear" w:color="auto" w:fill="E5E5E5"/>
          </w:tcPr>
          <w:p>
            <w:pPr>
              <w:ind w:left="520"/>
              <w:spacing w:after="0" w:line="142"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4,685</w:t>
            </w:r>
          </w:p>
        </w:tc>
        <w:tc>
          <w:tcPr>
            <w:tcW w:w="24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w w:val="85"/>
              </w:rPr>
              <w:t>4,703</w:t>
            </w:r>
          </w:p>
        </w:tc>
        <w:tc>
          <w:tcPr>
            <w:tcW w:w="240" w:type="dxa"/>
            <w:vAlign w:val="bottom"/>
            <w:tcBorders>
              <w:bottom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3,525</w:t>
            </w:r>
          </w:p>
        </w:tc>
        <w:tc>
          <w:tcPr>
            <w:tcW w:w="30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5,157</w:t>
            </w:r>
          </w:p>
        </w:tc>
        <w:tc>
          <w:tcPr>
            <w:tcW w:w="32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5,426</w:t>
            </w:r>
          </w:p>
        </w:tc>
        <w:tc>
          <w:tcPr>
            <w:tcW w:w="26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E5E5E5"/>
          </w:tcPr>
          <w:p>
            <w:pPr>
              <w:jc w:val="right"/>
              <w:ind w:right="112"/>
              <w:spacing w:after="0" w:line="142" w:lineRule="exact"/>
              <w:rPr>
                <w:sz w:val="20"/>
                <w:szCs w:val="20"/>
                <w:color w:val="auto"/>
              </w:rPr>
            </w:pPr>
            <w:r>
              <w:rPr>
                <w:rFonts w:ascii="Arial" w:cs="Arial" w:eastAsia="Arial" w:hAnsi="Arial"/>
                <w:sz w:val="14"/>
                <w:szCs w:val="14"/>
                <w:b w:val="1"/>
                <w:bCs w:val="1"/>
                <w:color w:val="auto"/>
              </w:rPr>
              <w:t>(18,811)</w:t>
            </w:r>
          </w:p>
        </w:tc>
        <w:tc>
          <w:tcPr>
            <w:tcW w:w="28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b w:val="1"/>
                <w:bCs w:val="1"/>
                <w:color w:val="auto"/>
              </w:rPr>
              <w:t>4,685</w:t>
            </w:r>
          </w:p>
        </w:tc>
      </w:tr>
      <w:tr>
        <w:trPr>
          <w:trHeight w:val="156"/>
        </w:trPr>
        <w:tc>
          <w:tcPr>
            <w:tcW w:w="20" w:type="dxa"/>
            <w:vAlign w:val="bottom"/>
            <w:tcBorders>
              <w:bottom w:val="single" w:sz="8" w:color="auto"/>
            </w:tcBorders>
          </w:tcPr>
          <w:p>
            <w:pPr>
              <w:spacing w:after="0"/>
              <w:rPr>
                <w:sz w:val="13"/>
                <w:szCs w:val="13"/>
                <w:color w:val="auto"/>
              </w:rPr>
            </w:pPr>
          </w:p>
        </w:tc>
        <w:tc>
          <w:tcPr>
            <w:tcW w:w="43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97"/>
              </w:rPr>
              <w:t>Comprehensive income (loss) attributable to Comcast Corporation</w:t>
            </w:r>
          </w:p>
        </w:tc>
        <w:tc>
          <w:tcPr>
            <w:tcW w:w="600" w:type="dxa"/>
            <w:vAlign w:val="bottom"/>
            <w:tcBorders>
              <w:bottom w:val="single" w:sz="8" w:color="auto"/>
            </w:tcBorders>
          </w:tcPr>
          <w:p>
            <w:pPr>
              <w:ind w:left="520"/>
              <w:spacing w:after="0" w:line="149"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rPr>
              <w:t>4,789</w:t>
            </w:r>
          </w:p>
        </w:tc>
        <w:tc>
          <w:tcPr>
            <w:tcW w:w="24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w w:val="85"/>
              </w:rPr>
              <w:t>4,710</w:t>
            </w:r>
          </w:p>
        </w:tc>
        <w:tc>
          <w:tcPr>
            <w:tcW w:w="24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rPr>
              <w:t>3,525</w:t>
            </w:r>
          </w:p>
        </w:tc>
        <w:tc>
          <w:tcPr>
            <w:tcW w:w="30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rPr>
              <w:t>5,157</w:t>
            </w:r>
          </w:p>
        </w:tc>
        <w:tc>
          <w:tcPr>
            <w:tcW w:w="32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rPr>
              <w:t>5,506</w:t>
            </w:r>
          </w:p>
        </w:tc>
        <w:tc>
          <w:tcPr>
            <w:tcW w:w="26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b w:val="1"/>
                <w:bCs w:val="1"/>
                <w:color w:val="auto"/>
              </w:rPr>
              <w:t>(18,898)</w:t>
            </w:r>
          </w:p>
        </w:tc>
        <w:tc>
          <w:tcPr>
            <w:tcW w:w="28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4,789</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 the Nine Months Ended September 30,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center"/>
              <w:ind w:right="212"/>
              <w:spacing w:after="0"/>
              <w:rPr>
                <w:sz w:val="20"/>
                <w:szCs w:val="20"/>
                <w:color w:val="auto"/>
              </w:rPr>
            </w:pPr>
            <w:r>
              <w:rPr>
                <w:rFonts w:ascii="Arial" w:cs="Arial" w:eastAsia="Arial" w:hAnsi="Arial"/>
                <w:sz w:val="14"/>
                <w:szCs w:val="14"/>
                <w:color w:val="auto"/>
                <w:w w:val="93"/>
              </w:rPr>
              <w:t>Elimination</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920" w:type="dxa"/>
            <w:vAlign w:val="bottom"/>
          </w:tcPr>
          <w:p>
            <w:pPr>
              <w:jc w:val="center"/>
              <w:ind w:right="212"/>
              <w:spacing w:after="0" w:line="149" w:lineRule="exact"/>
              <w:rPr>
                <w:sz w:val="20"/>
                <w:szCs w:val="20"/>
                <w:color w:val="auto"/>
              </w:rPr>
            </w:pPr>
            <w:r>
              <w:rPr>
                <w:rFonts w:ascii="Arial" w:cs="Arial" w:eastAsia="Arial" w:hAnsi="Arial"/>
                <w:sz w:val="14"/>
                <w:szCs w:val="14"/>
                <w:color w:val="auto"/>
                <w:w w:val="85"/>
              </w:rPr>
              <w:t>and</w:t>
            </w: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Comcast</w:t>
            </w:r>
          </w:p>
        </w:tc>
        <w:tc>
          <w:tcPr>
            <w:tcW w:w="7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CCCL</w:t>
            </w:r>
          </w:p>
        </w:tc>
        <w:tc>
          <w:tcPr>
            <w:tcW w:w="96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CCHMO</w:t>
            </w:r>
          </w:p>
        </w:tc>
        <w:tc>
          <w:tcPr>
            <w:tcW w:w="9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Comcast</w:t>
            </w:r>
          </w:p>
        </w:tc>
        <w:tc>
          <w:tcPr>
            <w:tcW w:w="106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Guarantor</w:t>
            </w:r>
          </w:p>
        </w:tc>
        <w:tc>
          <w:tcPr>
            <w:tcW w:w="11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Consolidation</w:t>
            </w:r>
          </w:p>
        </w:tc>
        <w:tc>
          <w:tcPr>
            <w:tcW w:w="28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43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20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w:t>
            </w:r>
          </w:p>
        </w:tc>
        <w:tc>
          <w:tcPr>
            <w:tcW w:w="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Parent</w:t>
            </w:r>
          </w:p>
        </w:tc>
        <w:tc>
          <w:tcPr>
            <w:tcW w:w="240" w:type="dxa"/>
            <w:vAlign w:val="bottom"/>
          </w:tcPr>
          <w:p>
            <w:pPr>
              <w:spacing w:after="0"/>
              <w:rPr>
                <w:sz w:val="13"/>
                <w:szCs w:val="13"/>
                <w:color w:val="auto"/>
              </w:rPr>
            </w:pPr>
          </w:p>
        </w:tc>
        <w:tc>
          <w:tcPr>
            <w:tcW w:w="720" w:type="dxa"/>
            <w:vAlign w:val="bottom"/>
          </w:tcPr>
          <w:p>
            <w:pPr>
              <w:jc w:val="right"/>
              <w:ind w:right="252"/>
              <w:spacing w:after="0" w:line="159" w:lineRule="exact"/>
              <w:rPr>
                <w:sz w:val="20"/>
                <w:szCs w:val="20"/>
                <w:color w:val="auto"/>
              </w:rPr>
            </w:pPr>
            <w:r>
              <w:rPr>
                <w:rFonts w:ascii="Arial" w:cs="Arial" w:eastAsia="Arial" w:hAnsi="Arial"/>
                <w:sz w:val="14"/>
                <w:szCs w:val="14"/>
                <w:color w:val="auto"/>
                <w:w w:val="78"/>
              </w:rPr>
              <w:t>Parents</w:t>
            </w:r>
          </w:p>
        </w:tc>
        <w:tc>
          <w:tcPr>
            <w:tcW w:w="90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Holdings</w:t>
            </w:r>
          </w:p>
        </w:tc>
        <w:tc>
          <w:tcPr>
            <w:tcW w:w="106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Subsidiaries</w:t>
            </w:r>
          </w:p>
        </w:tc>
        <w:tc>
          <w:tcPr>
            <w:tcW w:w="118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8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Corporation</w:t>
            </w:r>
          </w:p>
        </w:tc>
      </w:tr>
      <w:tr>
        <w:trPr>
          <w:trHeight w:val="142"/>
        </w:trPr>
        <w:tc>
          <w:tcPr>
            <w:tcW w:w="20" w:type="dxa"/>
            <w:vAlign w:val="bottom"/>
          </w:tcPr>
          <w:p>
            <w:pPr>
              <w:spacing w:after="0"/>
              <w:rPr>
                <w:sz w:val="12"/>
                <w:szCs w:val="12"/>
                <w:color w:val="auto"/>
              </w:rPr>
            </w:pPr>
          </w:p>
        </w:tc>
        <w:tc>
          <w:tcPr>
            <w:tcW w:w="434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Revenue:</w:t>
            </w:r>
          </w:p>
        </w:tc>
        <w:tc>
          <w:tcPr>
            <w:tcW w:w="600" w:type="dxa"/>
            <w:vAlign w:val="bottom"/>
            <w:tcBorders>
              <w:top w:val="single" w:sz="8" w:color="auto"/>
            </w:tcBorders>
            <w:shd w:val="clear" w:color="auto" w:fill="E5E5E5"/>
          </w:tcPr>
          <w:p>
            <w:pPr>
              <w:spacing w:after="0"/>
              <w:rPr>
                <w:sz w:val="12"/>
                <w:szCs w:val="12"/>
                <w:color w:val="auto"/>
              </w:rPr>
            </w:pPr>
          </w:p>
        </w:tc>
        <w:tc>
          <w:tcPr>
            <w:tcW w:w="600" w:type="dxa"/>
            <w:vAlign w:val="bottom"/>
            <w:tcBorders>
              <w:top w:val="single" w:sz="8" w:color="auto"/>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spacing w:after="0"/>
              <w:rPr>
                <w:sz w:val="12"/>
                <w:szCs w:val="12"/>
                <w:color w:val="auto"/>
              </w:rPr>
            </w:pPr>
          </w:p>
        </w:tc>
        <w:tc>
          <w:tcPr>
            <w:tcW w:w="540" w:type="dxa"/>
            <w:vAlign w:val="bottom"/>
            <w:tcBorders>
              <w:top w:val="single" w:sz="8" w:color="auto"/>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spacing w:after="0"/>
              <w:rPr>
                <w:sz w:val="12"/>
                <w:szCs w:val="12"/>
                <w:color w:val="auto"/>
              </w:rPr>
            </w:pPr>
          </w:p>
        </w:tc>
        <w:tc>
          <w:tcPr>
            <w:tcW w:w="720" w:type="dxa"/>
            <w:vAlign w:val="bottom"/>
            <w:tcBorders>
              <w:top w:val="single" w:sz="8" w:color="auto"/>
            </w:tcBorders>
            <w:shd w:val="clear" w:color="auto" w:fill="E5E5E5"/>
          </w:tcPr>
          <w:p>
            <w:pPr>
              <w:spacing w:after="0"/>
              <w:rPr>
                <w:sz w:val="12"/>
                <w:szCs w:val="12"/>
                <w:color w:val="auto"/>
              </w:rPr>
            </w:pPr>
          </w:p>
        </w:tc>
        <w:tc>
          <w:tcPr>
            <w:tcW w:w="300" w:type="dxa"/>
            <w:vAlign w:val="bottom"/>
            <w:tcBorders>
              <w:top w:val="single" w:sz="8" w:color="auto"/>
            </w:tcBorders>
            <w:shd w:val="clear" w:color="auto" w:fill="E5E5E5"/>
          </w:tcPr>
          <w:p>
            <w:pPr>
              <w:spacing w:after="0"/>
              <w:rPr>
                <w:sz w:val="12"/>
                <w:szCs w:val="12"/>
                <w:color w:val="auto"/>
              </w:rPr>
            </w:pPr>
          </w:p>
        </w:tc>
        <w:tc>
          <w:tcPr>
            <w:tcW w:w="600" w:type="dxa"/>
            <w:vAlign w:val="bottom"/>
            <w:tcBorders>
              <w:top w:val="single" w:sz="8" w:color="auto"/>
            </w:tcBorders>
            <w:shd w:val="clear" w:color="auto" w:fill="E5E5E5"/>
          </w:tcPr>
          <w:p>
            <w:pPr>
              <w:spacing w:after="0"/>
              <w:rPr>
                <w:sz w:val="12"/>
                <w:szCs w:val="12"/>
                <w:color w:val="auto"/>
              </w:rPr>
            </w:pPr>
          </w:p>
        </w:tc>
        <w:tc>
          <w:tcPr>
            <w:tcW w:w="320" w:type="dxa"/>
            <w:vAlign w:val="bottom"/>
            <w:tcBorders>
              <w:top w:val="single" w:sz="8" w:color="auto"/>
            </w:tcBorders>
            <w:shd w:val="clear" w:color="auto" w:fill="E5E5E5"/>
          </w:tcPr>
          <w:p>
            <w:pPr>
              <w:spacing w:after="0"/>
              <w:rPr>
                <w:sz w:val="12"/>
                <w:szCs w:val="12"/>
                <w:color w:val="auto"/>
              </w:rPr>
            </w:pPr>
          </w:p>
        </w:tc>
        <w:tc>
          <w:tcPr>
            <w:tcW w:w="740" w:type="dxa"/>
            <w:vAlign w:val="bottom"/>
            <w:tcBorders>
              <w:top w:val="single" w:sz="8" w:color="auto"/>
            </w:tcBorders>
            <w:shd w:val="clear" w:color="auto" w:fill="E5E5E5"/>
          </w:tcPr>
          <w:p>
            <w:pPr>
              <w:spacing w:after="0"/>
              <w:rPr>
                <w:sz w:val="12"/>
                <w:szCs w:val="12"/>
                <w:color w:val="auto"/>
              </w:rPr>
            </w:pPr>
          </w:p>
        </w:tc>
        <w:tc>
          <w:tcPr>
            <w:tcW w:w="260" w:type="dxa"/>
            <w:vAlign w:val="bottom"/>
            <w:tcBorders>
              <w:top w:val="single" w:sz="8" w:color="auto"/>
            </w:tcBorders>
            <w:shd w:val="clear" w:color="auto" w:fill="E5E5E5"/>
          </w:tcPr>
          <w:p>
            <w:pPr>
              <w:spacing w:after="0"/>
              <w:rPr>
                <w:sz w:val="12"/>
                <w:szCs w:val="12"/>
                <w:color w:val="auto"/>
              </w:rPr>
            </w:pPr>
          </w:p>
        </w:tc>
        <w:tc>
          <w:tcPr>
            <w:tcW w:w="920" w:type="dxa"/>
            <w:vAlign w:val="bottom"/>
            <w:tcBorders>
              <w:top w:val="single" w:sz="8" w:color="auto"/>
            </w:tcBorders>
            <w:shd w:val="clear" w:color="auto" w:fill="E5E5E5"/>
          </w:tcPr>
          <w:p>
            <w:pPr>
              <w:spacing w:after="0"/>
              <w:rPr>
                <w:sz w:val="12"/>
                <w:szCs w:val="12"/>
                <w:color w:val="auto"/>
              </w:rPr>
            </w:pPr>
          </w:p>
        </w:tc>
        <w:tc>
          <w:tcPr>
            <w:tcW w:w="280" w:type="dxa"/>
            <w:vAlign w:val="bottom"/>
            <w:tcBorders>
              <w:top w:val="single" w:sz="8" w:color="auto"/>
            </w:tcBorders>
            <w:shd w:val="clear" w:color="auto" w:fill="E5E5E5"/>
          </w:tcPr>
          <w:p>
            <w:pPr>
              <w:spacing w:after="0"/>
              <w:rPr>
                <w:sz w:val="12"/>
                <w:szCs w:val="12"/>
                <w:color w:val="auto"/>
              </w:rPr>
            </w:pPr>
          </w:p>
        </w:tc>
        <w:tc>
          <w:tcPr>
            <w:tcW w:w="700" w:type="dxa"/>
            <w:vAlign w:val="bottom"/>
            <w:tcBorders>
              <w:top w:val="single" w:sz="8" w:color="auto"/>
            </w:tcBorders>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4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w:t>
            </w:r>
          </w:p>
        </w:tc>
        <w:tc>
          <w:tcPr>
            <w:tcW w:w="600" w:type="dxa"/>
            <w:vAlign w:val="bottom"/>
          </w:tcPr>
          <w:p>
            <w:pPr>
              <w:ind w:left="5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6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40,800</w:t>
            </w:r>
          </w:p>
        </w:tc>
        <w:tc>
          <w:tcPr>
            <w:tcW w:w="260" w:type="dxa"/>
            <w:vAlign w:val="bottom"/>
          </w:tcPr>
          <w:p>
            <w:pPr>
              <w:ind w:left="18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40,800</w:t>
            </w:r>
          </w:p>
        </w:tc>
      </w:tr>
      <w:tr>
        <w:trPr>
          <w:trHeight w:val="149"/>
        </w:trPr>
        <w:tc>
          <w:tcPr>
            <w:tcW w:w="20" w:type="dxa"/>
            <w:vAlign w:val="bottom"/>
          </w:tcPr>
          <w:p>
            <w:pPr>
              <w:spacing w:after="0"/>
              <w:rPr>
                <w:sz w:val="12"/>
                <w:szCs w:val="12"/>
                <w:color w:val="auto"/>
              </w:rPr>
            </w:pPr>
          </w:p>
        </w:tc>
        <w:tc>
          <w:tcPr>
            <w:tcW w:w="434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6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598</w:t>
            </w:r>
          </w:p>
        </w:tc>
        <w:tc>
          <w:tcPr>
            <w:tcW w:w="24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574</w:t>
            </w:r>
          </w:p>
        </w:tc>
        <w:tc>
          <w:tcPr>
            <w:tcW w:w="24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353</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92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(1,525)</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4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598</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574</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353</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40,800</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(1,525)</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40,800</w:t>
            </w:r>
          </w:p>
        </w:tc>
      </w:tr>
      <w:tr>
        <w:trPr>
          <w:trHeight w:val="142"/>
        </w:trPr>
        <w:tc>
          <w:tcPr>
            <w:tcW w:w="20" w:type="dxa"/>
            <w:vAlign w:val="bottom"/>
          </w:tcPr>
          <w:p>
            <w:pPr>
              <w:spacing w:after="0"/>
              <w:rPr>
                <w:sz w:val="12"/>
                <w:szCs w:val="12"/>
                <w:color w:val="auto"/>
              </w:rPr>
            </w:pPr>
          </w:p>
        </w:tc>
        <w:tc>
          <w:tcPr>
            <w:tcW w:w="4340" w:type="dxa"/>
            <w:vAlign w:val="bottom"/>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Costs and Expenses:</w:t>
            </w:r>
          </w:p>
        </w:tc>
        <w:tc>
          <w:tcPr>
            <w:tcW w:w="60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40" w:type="dxa"/>
            <w:vAlign w:val="bottom"/>
          </w:tcPr>
          <w:p>
            <w:pPr>
              <w:ind w:left="200"/>
              <w:spacing w:after="0" w:line="149" w:lineRule="exact"/>
              <w:rPr>
                <w:sz w:val="20"/>
                <w:szCs w:val="20"/>
                <w:color w:val="auto"/>
              </w:rPr>
            </w:pPr>
            <w:r>
              <w:rPr>
                <w:rFonts w:ascii="Arial" w:cs="Arial" w:eastAsia="Arial" w:hAnsi="Arial"/>
                <w:sz w:val="14"/>
                <w:szCs w:val="14"/>
                <w:color w:val="auto"/>
              </w:rPr>
              <w:t>Operating costs and expenses</w:t>
            </w:r>
          </w:p>
        </w:tc>
        <w:tc>
          <w:tcPr>
            <w:tcW w:w="6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321</w:t>
            </w:r>
          </w:p>
        </w:tc>
        <w:tc>
          <w:tcPr>
            <w:tcW w:w="240" w:type="dxa"/>
            <w:vAlign w:val="bottom"/>
          </w:tcPr>
          <w:p>
            <w:pPr>
              <w:spacing w:after="0"/>
              <w:rPr>
                <w:sz w:val="12"/>
                <w:szCs w:val="12"/>
                <w:color w:val="auto"/>
              </w:rPr>
            </w:pP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574</w:t>
            </w:r>
          </w:p>
        </w:tc>
        <w:tc>
          <w:tcPr>
            <w:tcW w:w="240" w:type="dxa"/>
            <w:vAlign w:val="bottom"/>
          </w:tcPr>
          <w:p>
            <w:pPr>
              <w:spacing w:after="0"/>
              <w:rPr>
                <w:sz w:val="12"/>
                <w:szCs w:val="12"/>
                <w:color w:val="auto"/>
              </w:rPr>
            </w:pP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353</w:t>
            </w:r>
          </w:p>
        </w:tc>
        <w:tc>
          <w:tcPr>
            <w:tcW w:w="3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w:t>
            </w:r>
          </w:p>
        </w:tc>
        <w:tc>
          <w:tcPr>
            <w:tcW w:w="320" w:type="dxa"/>
            <w:vAlign w:val="bottom"/>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27,631</w:t>
            </w:r>
          </w:p>
        </w:tc>
        <w:tc>
          <w:tcPr>
            <w:tcW w:w="26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(1,525)</w:t>
            </w:r>
          </w:p>
        </w:tc>
        <w:tc>
          <w:tcPr>
            <w:tcW w:w="28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27,359</w:t>
            </w:r>
          </w:p>
        </w:tc>
      </w:tr>
      <w:tr>
        <w:trPr>
          <w:trHeight w:val="149"/>
        </w:trPr>
        <w:tc>
          <w:tcPr>
            <w:tcW w:w="20" w:type="dxa"/>
            <w:vAlign w:val="bottom"/>
          </w:tcPr>
          <w:p>
            <w:pPr>
              <w:spacing w:after="0"/>
              <w:rPr>
                <w:sz w:val="12"/>
                <w:szCs w:val="12"/>
                <w:color w:val="auto"/>
              </w:rPr>
            </w:pPr>
          </w:p>
        </w:tc>
        <w:tc>
          <w:tcPr>
            <w:tcW w:w="43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Depreciation</w:t>
            </w:r>
          </w:p>
        </w:tc>
        <w:tc>
          <w:tcPr>
            <w:tcW w:w="6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22</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4,482</w:t>
            </w: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4,504</w:t>
            </w:r>
          </w:p>
        </w:tc>
      </w:tr>
      <w:tr>
        <w:trPr>
          <w:trHeight w:val="149"/>
        </w:trPr>
        <w:tc>
          <w:tcPr>
            <w:tcW w:w="20" w:type="dxa"/>
            <w:vAlign w:val="bottom"/>
          </w:tcPr>
          <w:p>
            <w:pPr>
              <w:spacing w:after="0"/>
              <w:rPr>
                <w:sz w:val="12"/>
                <w:szCs w:val="12"/>
                <w:color w:val="auto"/>
              </w:rPr>
            </w:pPr>
          </w:p>
        </w:tc>
        <w:tc>
          <w:tcPr>
            <w:tcW w:w="434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6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1,132</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1,134</w:t>
            </w:r>
          </w:p>
        </w:tc>
      </w:tr>
      <w:tr>
        <w:trPr>
          <w:trHeight w:val="142"/>
        </w:trPr>
        <w:tc>
          <w:tcPr>
            <w:tcW w:w="20" w:type="dxa"/>
            <w:vAlign w:val="bottom"/>
          </w:tcPr>
          <w:p>
            <w:pPr>
              <w:spacing w:after="0"/>
              <w:rPr>
                <w:sz w:val="12"/>
                <w:szCs w:val="12"/>
                <w:color w:val="auto"/>
              </w:rPr>
            </w:pPr>
          </w:p>
        </w:tc>
        <w:tc>
          <w:tcPr>
            <w:tcW w:w="434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345</w:t>
            </w:r>
          </w:p>
        </w:tc>
        <w:tc>
          <w:tcPr>
            <w:tcW w:w="24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574</w:t>
            </w:r>
          </w:p>
        </w:tc>
        <w:tc>
          <w:tcPr>
            <w:tcW w:w="24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353</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5</w:t>
            </w:r>
          </w:p>
        </w:tc>
        <w:tc>
          <w:tcPr>
            <w:tcW w:w="32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33,245</w:t>
            </w:r>
          </w:p>
        </w:tc>
        <w:tc>
          <w:tcPr>
            <w:tcW w:w="260" w:type="dxa"/>
            <w:vAlign w:val="bottom"/>
            <w:tcBorders>
              <w:bottom w:val="single" w:sz="8" w:color="auto"/>
            </w:tcBorders>
            <w:shd w:val="clear" w:color="auto" w:fill="E5E5E5"/>
          </w:tcPr>
          <w:p>
            <w:pPr>
              <w:spacing w:after="0"/>
              <w:rPr>
                <w:sz w:val="12"/>
                <w:szCs w:val="12"/>
                <w:color w:val="auto"/>
              </w:rPr>
            </w:pPr>
          </w:p>
        </w:tc>
        <w:tc>
          <w:tcPr>
            <w:tcW w:w="920" w:type="dxa"/>
            <w:vAlign w:val="bottom"/>
            <w:tcBorders>
              <w:bottom w:val="single" w:sz="8" w:color="auto"/>
            </w:tcBorders>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(1,525)</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32,997</w:t>
            </w:r>
          </w:p>
        </w:tc>
      </w:tr>
      <w:tr>
        <w:trPr>
          <w:trHeight w:val="142"/>
        </w:trPr>
        <w:tc>
          <w:tcPr>
            <w:tcW w:w="20" w:type="dxa"/>
            <w:vAlign w:val="bottom"/>
          </w:tcPr>
          <w:p>
            <w:pPr>
              <w:spacing w:after="0"/>
              <w:rPr>
                <w:sz w:val="12"/>
                <w:szCs w:val="12"/>
                <w:color w:val="auto"/>
              </w:rPr>
            </w:pPr>
          </w:p>
        </w:tc>
        <w:tc>
          <w:tcPr>
            <w:tcW w:w="4340" w:type="dxa"/>
            <w:vAlign w:val="bottom"/>
          </w:tcPr>
          <w:p>
            <w:pPr>
              <w:spacing w:after="0" w:line="142" w:lineRule="exact"/>
              <w:rPr>
                <w:sz w:val="20"/>
                <w:szCs w:val="20"/>
                <w:color w:val="auto"/>
              </w:rPr>
            </w:pPr>
            <w:r>
              <w:rPr>
                <w:rFonts w:ascii="Arial" w:cs="Arial" w:eastAsia="Arial" w:hAnsi="Arial"/>
                <w:sz w:val="14"/>
                <w:szCs w:val="14"/>
                <w:color w:val="auto"/>
              </w:rPr>
              <w:t>Operating income (loss)</w:t>
            </w:r>
          </w:p>
        </w:tc>
        <w:tc>
          <w:tcPr>
            <w:tcW w:w="600" w:type="dxa"/>
            <w:vAlign w:val="bottom"/>
          </w:tcPr>
          <w:p>
            <w:pPr>
              <w:spacing w:after="0"/>
              <w:rPr>
                <w:sz w:val="12"/>
                <w:szCs w:val="12"/>
                <w:color w:val="auto"/>
              </w:rPr>
            </w:pPr>
          </w:p>
        </w:tc>
        <w:tc>
          <w:tcPr>
            <w:tcW w:w="60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253</w:t>
            </w:r>
          </w:p>
        </w:tc>
        <w:tc>
          <w:tcPr>
            <w:tcW w:w="240" w:type="dxa"/>
            <w:vAlign w:val="bottom"/>
          </w:tcPr>
          <w:p>
            <w:pPr>
              <w:spacing w:after="0"/>
              <w:rPr>
                <w:sz w:val="12"/>
                <w:szCs w:val="12"/>
                <w:color w:val="auto"/>
              </w:rPr>
            </w:pPr>
          </w:p>
        </w:tc>
        <w:tc>
          <w:tcPr>
            <w:tcW w:w="54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(5)</w:t>
            </w:r>
          </w:p>
        </w:tc>
        <w:tc>
          <w:tcPr>
            <w:tcW w:w="320" w:type="dxa"/>
            <w:vAlign w:val="bottom"/>
          </w:tcPr>
          <w:p>
            <w:pPr>
              <w:spacing w:after="0"/>
              <w:rPr>
                <w:sz w:val="12"/>
                <w:szCs w:val="12"/>
                <w:color w:val="auto"/>
              </w:rPr>
            </w:pPr>
          </w:p>
        </w:tc>
        <w:tc>
          <w:tcPr>
            <w:tcW w:w="74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7,555</w:t>
            </w:r>
          </w:p>
        </w:tc>
        <w:tc>
          <w:tcPr>
            <w:tcW w:w="260" w:type="dxa"/>
            <w:vAlign w:val="bottom"/>
          </w:tcPr>
          <w:p>
            <w:pPr>
              <w:spacing w:after="0"/>
              <w:rPr>
                <w:sz w:val="12"/>
                <w:szCs w:val="12"/>
                <w:color w:val="auto"/>
              </w:rPr>
            </w:pPr>
          </w:p>
        </w:tc>
        <w:tc>
          <w:tcPr>
            <w:tcW w:w="92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ind w:right="12"/>
              <w:spacing w:after="0" w:line="142" w:lineRule="exact"/>
              <w:rPr>
                <w:sz w:val="20"/>
                <w:szCs w:val="20"/>
                <w:color w:val="auto"/>
              </w:rPr>
            </w:pPr>
            <w:r>
              <w:rPr>
                <w:rFonts w:ascii="Arial" w:cs="Arial" w:eastAsia="Arial" w:hAnsi="Arial"/>
                <w:sz w:val="14"/>
                <w:szCs w:val="14"/>
                <w:color w:val="auto"/>
              </w:rPr>
              <w:t>7,803</w:t>
            </w:r>
          </w:p>
        </w:tc>
      </w:tr>
      <w:tr>
        <w:trPr>
          <w:trHeight w:val="149"/>
        </w:trPr>
        <w:tc>
          <w:tcPr>
            <w:tcW w:w="20" w:type="dxa"/>
            <w:vAlign w:val="bottom"/>
          </w:tcPr>
          <w:p>
            <w:pPr>
              <w:spacing w:after="0"/>
              <w:rPr>
                <w:sz w:val="12"/>
                <w:szCs w:val="12"/>
                <w:color w:val="auto"/>
              </w:rPr>
            </w:pPr>
          </w:p>
        </w:tc>
        <w:tc>
          <w:tcPr>
            <w:tcW w:w="4340" w:type="dxa"/>
            <w:vAlign w:val="bottom"/>
            <w:shd w:val="clear" w:color="auto" w:fill="E5E5E5"/>
          </w:tcPr>
          <w:p>
            <w:pPr>
              <w:spacing w:after="0" w:line="149" w:lineRule="exact"/>
              <w:rPr>
                <w:sz w:val="20"/>
                <w:szCs w:val="20"/>
                <w:color w:val="auto"/>
              </w:rPr>
            </w:pPr>
            <w:r>
              <w:rPr>
                <w:rFonts w:ascii="Arial" w:cs="Arial" w:eastAsia="Arial" w:hAnsi="Arial"/>
                <w:sz w:val="14"/>
                <w:szCs w:val="14"/>
                <w:b w:val="1"/>
                <w:bCs w:val="1"/>
                <w:color w:val="auto"/>
              </w:rPr>
              <w:t>Other Income (Expense):</w:t>
            </w:r>
          </w:p>
        </w:tc>
        <w:tc>
          <w:tcPr>
            <w:tcW w:w="60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4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60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0"/>
              </w:rPr>
              <w:t>(1,077)</w:t>
            </w:r>
          </w:p>
        </w:tc>
        <w:tc>
          <w:tcPr>
            <w:tcW w:w="24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(255)</w:t>
            </w:r>
          </w:p>
        </w:tc>
        <w:tc>
          <w:tcPr>
            <w:tcW w:w="240" w:type="dxa"/>
            <w:vAlign w:val="bottom"/>
          </w:tcPr>
          <w:p>
            <w:pPr>
              <w:spacing w:after="0"/>
              <w:rPr>
                <w:sz w:val="12"/>
                <w:szCs w:val="12"/>
                <w:color w:val="auto"/>
              </w:rPr>
            </w:pP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(129)</w:t>
            </w:r>
          </w:p>
        </w:tc>
        <w:tc>
          <w:tcPr>
            <w:tcW w:w="30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w:t>
            </w:r>
          </w:p>
        </w:tc>
        <w:tc>
          <w:tcPr>
            <w:tcW w:w="32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(378)</w:t>
            </w:r>
          </w:p>
        </w:tc>
        <w:tc>
          <w:tcPr>
            <w:tcW w:w="260" w:type="dxa"/>
            <w:vAlign w:val="bottom"/>
          </w:tcPr>
          <w:p>
            <w:pPr>
              <w:spacing w:after="0"/>
              <w:rPr>
                <w:sz w:val="12"/>
                <w:szCs w:val="12"/>
                <w:color w:val="auto"/>
              </w:rPr>
            </w:pP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(1,863)</w:t>
            </w:r>
          </w:p>
        </w:tc>
      </w:tr>
      <w:tr>
        <w:trPr>
          <w:trHeight w:val="149"/>
        </w:trPr>
        <w:tc>
          <w:tcPr>
            <w:tcW w:w="20" w:type="dxa"/>
            <w:vAlign w:val="bottom"/>
          </w:tcPr>
          <w:p>
            <w:pPr>
              <w:spacing w:after="0"/>
              <w:rPr>
                <w:sz w:val="12"/>
                <w:szCs w:val="12"/>
                <w:color w:val="auto"/>
              </w:rPr>
            </w:pPr>
          </w:p>
        </w:tc>
        <w:tc>
          <w:tcPr>
            <w:tcW w:w="43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6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4</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w:t>
            </w: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3</w:t>
            </w:r>
          </w:p>
        </w:tc>
      </w:tr>
      <w:tr>
        <w:trPr>
          <w:trHeight w:val="149"/>
        </w:trPr>
        <w:tc>
          <w:tcPr>
            <w:tcW w:w="20" w:type="dxa"/>
            <w:vAlign w:val="bottom"/>
          </w:tcPr>
          <w:p>
            <w:pPr>
              <w:spacing w:after="0"/>
              <w:rPr>
                <w:sz w:val="12"/>
                <w:szCs w:val="12"/>
                <w:color w:val="auto"/>
              </w:rPr>
            </w:pPr>
          </w:p>
        </w:tc>
        <w:tc>
          <w:tcPr>
            <w:tcW w:w="434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6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3,419</w:t>
            </w:r>
          </w:p>
        </w:tc>
        <w:tc>
          <w:tcPr>
            <w:tcW w:w="240" w:type="dxa"/>
            <w:vAlign w:val="bottom"/>
          </w:tcPr>
          <w:p>
            <w:pPr>
              <w:spacing w:after="0"/>
              <w:rPr>
                <w:sz w:val="12"/>
                <w:szCs w:val="12"/>
                <w:color w:val="auto"/>
              </w:rPr>
            </w:pP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85"/>
              </w:rPr>
              <w:t>4,028</w:t>
            </w:r>
          </w:p>
        </w:tc>
        <w:tc>
          <w:tcPr>
            <w:tcW w:w="240" w:type="dxa"/>
            <w:vAlign w:val="bottom"/>
          </w:tcPr>
          <w:p>
            <w:pPr>
              <w:spacing w:after="0"/>
              <w:rPr>
                <w:sz w:val="12"/>
                <w:szCs w:val="12"/>
                <w:color w:val="auto"/>
              </w:rPr>
            </w:pP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2,386</w:t>
            </w:r>
          </w:p>
        </w:tc>
        <w:tc>
          <w:tcPr>
            <w:tcW w:w="3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4,054</w:t>
            </w:r>
          </w:p>
        </w:tc>
        <w:tc>
          <w:tcPr>
            <w:tcW w:w="32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(40)</w:t>
            </w:r>
          </w:p>
        </w:tc>
        <w:tc>
          <w:tcPr>
            <w:tcW w:w="26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(13,887)</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r>
      <w:tr>
        <w:trPr>
          <w:trHeight w:val="149"/>
        </w:trPr>
        <w:tc>
          <w:tcPr>
            <w:tcW w:w="20" w:type="dxa"/>
            <w:vAlign w:val="bottom"/>
          </w:tcPr>
          <w:p>
            <w:pPr>
              <w:spacing w:after="0"/>
              <w:rPr>
                <w:sz w:val="12"/>
                <w:szCs w:val="12"/>
                <w:color w:val="auto"/>
              </w:rPr>
            </w:pPr>
          </w:p>
        </w:tc>
        <w:tc>
          <w:tcPr>
            <w:tcW w:w="434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 income (expense), net</w:t>
            </w:r>
          </w:p>
        </w:tc>
        <w:tc>
          <w:tcPr>
            <w:tcW w:w="6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(19)</w:t>
            </w:r>
          </w:p>
        </w:tc>
        <w:tc>
          <w:tcPr>
            <w:tcW w:w="24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(64)</w:t>
            </w:r>
          </w:p>
        </w:tc>
        <w:tc>
          <w:tcPr>
            <w:tcW w:w="260" w:type="dxa"/>
            <w:vAlign w:val="bottom"/>
            <w:tcBorders>
              <w:bottom w:val="single" w:sz="8" w:color="auto"/>
            </w:tcBorders>
            <w:shd w:val="clear" w:color="auto" w:fill="E5E5E5"/>
          </w:tcPr>
          <w:p>
            <w:pPr>
              <w:spacing w:after="0"/>
              <w:rPr>
                <w:sz w:val="12"/>
                <w:szCs w:val="12"/>
                <w:color w:val="auto"/>
              </w:rPr>
            </w:pPr>
          </w:p>
        </w:tc>
        <w:tc>
          <w:tcPr>
            <w:tcW w:w="92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(82)</w:t>
            </w:r>
          </w:p>
        </w:tc>
      </w:tr>
      <w:tr>
        <w:trPr>
          <w:trHeight w:val="142"/>
        </w:trPr>
        <w:tc>
          <w:tcPr>
            <w:tcW w:w="20" w:type="dxa"/>
            <w:vAlign w:val="bottom"/>
          </w:tcPr>
          <w:p>
            <w:pPr>
              <w:spacing w:after="0"/>
              <w:rPr>
                <w:sz w:val="12"/>
                <w:szCs w:val="12"/>
                <w:color w:val="auto"/>
              </w:rPr>
            </w:pPr>
          </w:p>
        </w:tc>
        <w:tc>
          <w:tcPr>
            <w:tcW w:w="4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2,327</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w w:val="85"/>
              </w:rPr>
              <w:t>3,773</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2,257</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4,031</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(483)</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(13,887)</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(1,982)</w:t>
            </w:r>
          </w:p>
        </w:tc>
      </w:tr>
      <w:tr>
        <w:trPr>
          <w:trHeight w:val="142"/>
        </w:trPr>
        <w:tc>
          <w:tcPr>
            <w:tcW w:w="20" w:type="dxa"/>
            <w:vAlign w:val="bottom"/>
          </w:tcPr>
          <w:p>
            <w:pPr>
              <w:spacing w:after="0"/>
              <w:rPr>
                <w:sz w:val="12"/>
                <w:szCs w:val="12"/>
                <w:color w:val="auto"/>
              </w:rPr>
            </w:pPr>
          </w:p>
        </w:tc>
        <w:tc>
          <w:tcPr>
            <w:tcW w:w="434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Income (loss) before income taxes</w:t>
            </w:r>
          </w:p>
        </w:tc>
        <w:tc>
          <w:tcPr>
            <w:tcW w:w="6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2,580</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85"/>
              </w:rPr>
              <w:t>3,773</w:t>
            </w: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2,257</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4,026</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7,072</w:t>
            </w: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(13,887)</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5,821</w:t>
            </w:r>
          </w:p>
        </w:tc>
      </w:tr>
      <w:tr>
        <w:trPr>
          <w:trHeight w:val="149"/>
        </w:trPr>
        <w:tc>
          <w:tcPr>
            <w:tcW w:w="20" w:type="dxa"/>
            <w:vAlign w:val="bottom"/>
          </w:tcPr>
          <w:p>
            <w:pPr>
              <w:spacing w:after="0"/>
              <w:rPr>
                <w:sz w:val="12"/>
                <w:szCs w:val="12"/>
                <w:color w:val="auto"/>
              </w:rPr>
            </w:pPr>
          </w:p>
        </w:tc>
        <w:tc>
          <w:tcPr>
            <w:tcW w:w="43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Income tax (expense) benefit</w:t>
            </w:r>
          </w:p>
        </w:tc>
        <w:tc>
          <w:tcPr>
            <w:tcW w:w="6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293</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89</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45</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10</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(2,686)</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(2,249)</w:t>
            </w:r>
          </w:p>
        </w:tc>
      </w:tr>
      <w:tr>
        <w:trPr>
          <w:trHeight w:val="142"/>
        </w:trPr>
        <w:tc>
          <w:tcPr>
            <w:tcW w:w="20" w:type="dxa"/>
            <w:vAlign w:val="bottom"/>
          </w:tcPr>
          <w:p>
            <w:pPr>
              <w:spacing w:after="0"/>
              <w:rPr>
                <w:sz w:val="12"/>
                <w:szCs w:val="12"/>
                <w:color w:val="auto"/>
              </w:rPr>
            </w:pPr>
          </w:p>
        </w:tc>
        <w:tc>
          <w:tcPr>
            <w:tcW w:w="434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Net income (loss)</w:t>
            </w:r>
          </w:p>
        </w:tc>
        <w:tc>
          <w:tcPr>
            <w:tcW w:w="6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2,873</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85"/>
              </w:rPr>
              <w:t>3,862</w:t>
            </w: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2,302</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4,036</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4,386</w:t>
            </w: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(13,887)</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3,572</w:t>
            </w:r>
          </w:p>
        </w:tc>
      </w:tr>
      <w:tr>
        <w:trPr>
          <w:trHeight w:val="149"/>
        </w:trPr>
        <w:tc>
          <w:tcPr>
            <w:tcW w:w="20" w:type="dxa"/>
            <w:vAlign w:val="bottom"/>
          </w:tcPr>
          <w:p>
            <w:pPr>
              <w:spacing w:after="0"/>
              <w:rPr>
                <w:sz w:val="12"/>
                <w:szCs w:val="12"/>
                <w:color w:val="auto"/>
              </w:rPr>
            </w:pPr>
          </w:p>
        </w:tc>
        <w:tc>
          <w:tcPr>
            <w:tcW w:w="43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(income) loss attributable to noncontrolling interests</w:t>
            </w:r>
          </w:p>
        </w:tc>
        <w:tc>
          <w:tcPr>
            <w:tcW w:w="6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(699)</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(699)</w:t>
            </w:r>
          </w:p>
        </w:tc>
      </w:tr>
      <w:tr>
        <w:trPr>
          <w:trHeight w:val="149"/>
        </w:trPr>
        <w:tc>
          <w:tcPr>
            <w:tcW w:w="20" w:type="dxa"/>
            <w:vAlign w:val="bottom"/>
          </w:tcPr>
          <w:p>
            <w:pPr>
              <w:spacing w:after="0"/>
              <w:rPr>
                <w:sz w:val="12"/>
                <w:szCs w:val="12"/>
                <w:color w:val="auto"/>
              </w:rPr>
            </w:pPr>
          </w:p>
        </w:tc>
        <w:tc>
          <w:tcPr>
            <w:tcW w:w="434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Net income (loss) attributable to Comcast Corporation</w:t>
            </w:r>
          </w:p>
        </w:tc>
        <w:tc>
          <w:tcPr>
            <w:tcW w:w="600" w:type="dxa"/>
            <w:vAlign w:val="bottom"/>
            <w:tcBorders>
              <w:bottom w:val="single" w:sz="8" w:color="auto"/>
            </w:tcBorders>
            <w:shd w:val="clear" w:color="auto" w:fill="E5E5E5"/>
          </w:tcPr>
          <w:p>
            <w:pPr>
              <w:ind w:left="520"/>
              <w:spacing w:after="0" w:line="142"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2,873</w:t>
            </w:r>
          </w:p>
        </w:tc>
        <w:tc>
          <w:tcPr>
            <w:tcW w:w="24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w w:val="85"/>
              </w:rPr>
              <w:t>3,862</w:t>
            </w:r>
          </w:p>
        </w:tc>
        <w:tc>
          <w:tcPr>
            <w:tcW w:w="240" w:type="dxa"/>
            <w:vAlign w:val="bottom"/>
            <w:tcBorders>
              <w:bottom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2,302</w:t>
            </w:r>
          </w:p>
        </w:tc>
        <w:tc>
          <w:tcPr>
            <w:tcW w:w="30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4,036</w:t>
            </w:r>
          </w:p>
        </w:tc>
        <w:tc>
          <w:tcPr>
            <w:tcW w:w="32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3,687</w:t>
            </w:r>
          </w:p>
        </w:tc>
        <w:tc>
          <w:tcPr>
            <w:tcW w:w="26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E5E5E5"/>
          </w:tcPr>
          <w:p>
            <w:pPr>
              <w:jc w:val="right"/>
              <w:ind w:right="112"/>
              <w:spacing w:after="0" w:line="142" w:lineRule="exact"/>
              <w:rPr>
                <w:sz w:val="20"/>
                <w:szCs w:val="20"/>
                <w:color w:val="auto"/>
              </w:rPr>
            </w:pPr>
            <w:r>
              <w:rPr>
                <w:rFonts w:ascii="Arial" w:cs="Arial" w:eastAsia="Arial" w:hAnsi="Arial"/>
                <w:sz w:val="14"/>
                <w:szCs w:val="14"/>
                <w:b w:val="1"/>
                <w:bCs w:val="1"/>
                <w:color w:val="auto"/>
              </w:rPr>
              <w:t>(13,887)</w:t>
            </w:r>
          </w:p>
        </w:tc>
        <w:tc>
          <w:tcPr>
            <w:tcW w:w="28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b w:val="1"/>
                <w:bCs w:val="1"/>
                <w:color w:val="auto"/>
              </w:rPr>
              <w:t>2,873</w:t>
            </w:r>
          </w:p>
        </w:tc>
      </w:tr>
      <w:tr>
        <w:trPr>
          <w:trHeight w:val="156"/>
        </w:trPr>
        <w:tc>
          <w:tcPr>
            <w:tcW w:w="20" w:type="dxa"/>
            <w:vAlign w:val="bottom"/>
            <w:tcBorders>
              <w:bottom w:val="single" w:sz="8" w:color="auto"/>
            </w:tcBorders>
          </w:tcPr>
          <w:p>
            <w:pPr>
              <w:spacing w:after="0"/>
              <w:rPr>
                <w:sz w:val="13"/>
                <w:szCs w:val="13"/>
                <w:color w:val="auto"/>
              </w:rPr>
            </w:pPr>
          </w:p>
        </w:tc>
        <w:tc>
          <w:tcPr>
            <w:tcW w:w="43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97"/>
              </w:rPr>
              <w:t>Comprehensive income (loss) attributable to Comcast Corporation</w:t>
            </w:r>
          </w:p>
        </w:tc>
        <w:tc>
          <w:tcPr>
            <w:tcW w:w="600" w:type="dxa"/>
            <w:vAlign w:val="bottom"/>
            <w:tcBorders>
              <w:bottom w:val="single" w:sz="8" w:color="auto"/>
            </w:tcBorders>
          </w:tcPr>
          <w:p>
            <w:pPr>
              <w:ind w:left="520"/>
              <w:spacing w:after="0" w:line="149"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rPr>
              <w:t>2,825</w:t>
            </w:r>
          </w:p>
        </w:tc>
        <w:tc>
          <w:tcPr>
            <w:tcW w:w="24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w w:val="85"/>
              </w:rPr>
              <w:t>3,869</w:t>
            </w:r>
          </w:p>
        </w:tc>
        <w:tc>
          <w:tcPr>
            <w:tcW w:w="24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rPr>
              <w:t>2,302</w:t>
            </w:r>
          </w:p>
        </w:tc>
        <w:tc>
          <w:tcPr>
            <w:tcW w:w="30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rPr>
              <w:t>4,036</w:t>
            </w:r>
          </w:p>
        </w:tc>
        <w:tc>
          <w:tcPr>
            <w:tcW w:w="32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rPr>
              <w:t>3,680</w:t>
            </w:r>
          </w:p>
        </w:tc>
        <w:tc>
          <w:tcPr>
            <w:tcW w:w="26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b w:val="1"/>
                <w:bCs w:val="1"/>
                <w:color w:val="auto"/>
              </w:rPr>
              <w:t>(13,887)</w:t>
            </w:r>
          </w:p>
        </w:tc>
        <w:tc>
          <w:tcPr>
            <w:tcW w:w="28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2,825</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center"/>
              <w:ind w:right="252"/>
              <w:spacing w:after="0"/>
              <w:rPr>
                <w:sz w:val="20"/>
                <w:szCs w:val="20"/>
                <w:color w:val="auto"/>
              </w:rPr>
            </w:pPr>
            <w:r>
              <w:rPr>
                <w:rFonts w:ascii="Arial" w:cs="Arial" w:eastAsia="Arial" w:hAnsi="Arial"/>
                <w:sz w:val="14"/>
                <w:szCs w:val="14"/>
                <w:color w:val="auto"/>
                <w:w w:val="93"/>
              </w:rPr>
              <w:t>Elimination</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Combined</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Non-</w:t>
            </w:r>
          </w:p>
        </w:tc>
        <w:tc>
          <w:tcPr>
            <w:tcW w:w="320" w:type="dxa"/>
            <w:vAlign w:val="bottom"/>
          </w:tcPr>
          <w:p>
            <w:pPr>
              <w:spacing w:after="0"/>
              <w:rPr>
                <w:sz w:val="12"/>
                <w:szCs w:val="12"/>
                <w:color w:val="auto"/>
              </w:rPr>
            </w:pPr>
          </w:p>
        </w:tc>
        <w:tc>
          <w:tcPr>
            <w:tcW w:w="960" w:type="dxa"/>
            <w:vAlign w:val="bottom"/>
          </w:tcPr>
          <w:p>
            <w:pPr>
              <w:jc w:val="center"/>
              <w:ind w:right="272"/>
              <w:spacing w:after="0" w:line="149" w:lineRule="exact"/>
              <w:rPr>
                <w:sz w:val="20"/>
                <w:szCs w:val="20"/>
                <w:color w:val="auto"/>
              </w:rPr>
            </w:pPr>
            <w:r>
              <w:rPr>
                <w:rFonts w:ascii="Arial" w:cs="Arial" w:eastAsia="Arial" w:hAnsi="Arial"/>
                <w:sz w:val="14"/>
                <w:szCs w:val="14"/>
                <w:color w:val="auto"/>
                <w:w w:val="76"/>
              </w:rPr>
              <w:t>and</w:t>
            </w:r>
          </w:p>
        </w:tc>
        <w:tc>
          <w:tcPr>
            <w:tcW w:w="106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1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Comcast</w:t>
            </w:r>
          </w:p>
        </w:tc>
        <w:tc>
          <w:tcPr>
            <w:tcW w:w="9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CCCL</w:t>
            </w:r>
          </w:p>
        </w:tc>
        <w:tc>
          <w:tcPr>
            <w:tcW w:w="110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CCHMO</w:t>
            </w:r>
          </w:p>
        </w:tc>
        <w:tc>
          <w:tcPr>
            <w:tcW w:w="10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Comcast</w:t>
            </w:r>
          </w:p>
        </w:tc>
        <w:tc>
          <w:tcPr>
            <w:tcW w:w="118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Guarantor</w:t>
            </w:r>
          </w:p>
        </w:tc>
        <w:tc>
          <w:tcPr>
            <w:tcW w:w="128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Consolidation</w:t>
            </w:r>
          </w:p>
        </w:tc>
        <w:tc>
          <w:tcPr>
            <w:tcW w:w="36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37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120" w:type="dxa"/>
            <w:vAlign w:val="bottom"/>
            <w:gridSpan w:val="2"/>
          </w:tcPr>
          <w:p>
            <w:pPr>
              <w:jc w:val="right"/>
              <w:ind w:right="272"/>
              <w:spacing w:after="0" w:line="159" w:lineRule="exact"/>
              <w:rPr>
                <w:sz w:val="20"/>
                <w:szCs w:val="20"/>
                <w:color w:val="auto"/>
              </w:rPr>
            </w:pPr>
            <w:r>
              <w:rPr>
                <w:rFonts w:ascii="Arial" w:cs="Arial" w:eastAsia="Arial" w:hAnsi="Arial"/>
                <w:sz w:val="14"/>
                <w:szCs w:val="14"/>
                <w:color w:val="auto"/>
              </w:rPr>
              <w:t>Parent</w:t>
            </w:r>
          </w:p>
        </w:tc>
        <w:tc>
          <w:tcPr>
            <w:tcW w:w="90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Parent</w:t>
            </w:r>
          </w:p>
        </w:tc>
        <w:tc>
          <w:tcPr>
            <w:tcW w:w="320" w:type="dxa"/>
            <w:vAlign w:val="bottom"/>
          </w:tcPr>
          <w:p>
            <w:pPr>
              <w:spacing w:after="0"/>
              <w:rPr>
                <w:sz w:val="13"/>
                <w:szCs w:val="13"/>
                <w:color w:val="auto"/>
              </w:rPr>
            </w:pPr>
          </w:p>
        </w:tc>
        <w:tc>
          <w:tcPr>
            <w:tcW w:w="780" w:type="dxa"/>
            <w:vAlign w:val="bottom"/>
          </w:tcPr>
          <w:p>
            <w:pPr>
              <w:jc w:val="right"/>
              <w:ind w:right="312"/>
              <w:spacing w:after="0" w:line="159" w:lineRule="exact"/>
              <w:rPr>
                <w:sz w:val="20"/>
                <w:szCs w:val="20"/>
                <w:color w:val="auto"/>
              </w:rPr>
            </w:pPr>
            <w:r>
              <w:rPr>
                <w:rFonts w:ascii="Arial" w:cs="Arial" w:eastAsia="Arial" w:hAnsi="Arial"/>
                <w:sz w:val="14"/>
                <w:szCs w:val="14"/>
                <w:color w:val="auto"/>
                <w:w w:val="78"/>
              </w:rPr>
              <w:t>Parents</w:t>
            </w:r>
          </w:p>
        </w:tc>
        <w:tc>
          <w:tcPr>
            <w:tcW w:w="102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Holdings</w:t>
            </w:r>
          </w:p>
        </w:tc>
        <w:tc>
          <w:tcPr>
            <w:tcW w:w="118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Subsidiaries</w:t>
            </w:r>
          </w:p>
        </w:tc>
        <w:tc>
          <w:tcPr>
            <w:tcW w:w="128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106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Corporation</w:t>
            </w:r>
          </w:p>
        </w:tc>
      </w:tr>
      <w:tr>
        <w:trPr>
          <w:trHeight w:val="142"/>
        </w:trPr>
        <w:tc>
          <w:tcPr>
            <w:tcW w:w="20" w:type="dxa"/>
            <w:vAlign w:val="bottom"/>
          </w:tcPr>
          <w:p>
            <w:pPr>
              <w:spacing w:after="0"/>
              <w:rPr>
                <w:sz w:val="12"/>
                <w:szCs w:val="12"/>
                <w:color w:val="auto"/>
              </w:rPr>
            </w:pPr>
          </w:p>
        </w:tc>
        <w:tc>
          <w:tcPr>
            <w:tcW w:w="3740" w:type="dxa"/>
            <w:vAlign w:val="bottom"/>
            <w:tcBorders>
              <w:top w:val="single" w:sz="8" w:color="auto"/>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460" w:type="dxa"/>
            <w:vAlign w:val="bottom"/>
            <w:tcBorders>
              <w:top w:val="single" w:sz="8" w:color="auto"/>
              <w:bottom w:val="single" w:sz="8" w:color="auto"/>
            </w:tcBorders>
            <w:shd w:val="clear" w:color="auto" w:fill="E5E5E5"/>
          </w:tcPr>
          <w:p>
            <w:pPr>
              <w:ind w:left="36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(393)</w:t>
            </w:r>
          </w:p>
        </w:tc>
        <w:tc>
          <w:tcPr>
            <w:tcW w:w="380" w:type="dxa"/>
            <w:vAlign w:val="bottom"/>
            <w:tcBorders>
              <w:top w:val="single" w:sz="8" w:color="auto"/>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(39)</w:t>
            </w:r>
          </w:p>
        </w:tc>
        <w:tc>
          <w:tcPr>
            <w:tcW w:w="320" w:type="dxa"/>
            <w:vAlign w:val="bottom"/>
            <w:tcBorders>
              <w:top w:val="single" w:sz="8" w:color="auto"/>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(122)</w:t>
            </w:r>
          </w:p>
        </w:tc>
        <w:tc>
          <w:tcPr>
            <w:tcW w:w="400" w:type="dxa"/>
            <w:vAlign w:val="bottom"/>
            <w:tcBorders>
              <w:top w:val="single" w:sz="8" w:color="auto"/>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(4)</w:t>
            </w:r>
          </w:p>
        </w:tc>
        <w:tc>
          <w:tcPr>
            <w:tcW w:w="360" w:type="dxa"/>
            <w:vAlign w:val="bottom"/>
            <w:tcBorders>
              <w:top w:val="single" w:sz="8" w:color="auto"/>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11,797</w:t>
            </w:r>
          </w:p>
        </w:tc>
        <w:tc>
          <w:tcPr>
            <w:tcW w:w="320" w:type="dxa"/>
            <w:vAlign w:val="bottom"/>
            <w:tcBorders>
              <w:top w:val="single" w:sz="8" w:color="auto"/>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E5E5E5"/>
          </w:tcPr>
          <w:p>
            <w:pPr>
              <w:ind w:left="26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11,239</w:t>
            </w:r>
          </w:p>
        </w:tc>
      </w:tr>
      <w:tr>
        <w:trPr>
          <w:trHeight w:val="142"/>
        </w:trPr>
        <w:tc>
          <w:tcPr>
            <w:tcW w:w="20" w:type="dxa"/>
            <w:vAlign w:val="bottom"/>
          </w:tcPr>
          <w:p>
            <w:pPr>
              <w:spacing w:after="0"/>
              <w:rPr>
                <w:sz w:val="12"/>
                <w:szCs w:val="12"/>
                <w:color w:val="auto"/>
              </w:rPr>
            </w:pPr>
          </w:p>
        </w:tc>
        <w:tc>
          <w:tcPr>
            <w:tcW w:w="3740" w:type="dxa"/>
            <w:vAlign w:val="bottom"/>
          </w:tcPr>
          <w:p>
            <w:pPr>
              <w:spacing w:after="0" w:line="142" w:lineRule="exact"/>
              <w:rPr>
                <w:sz w:val="20"/>
                <w:szCs w:val="20"/>
                <w:color w:val="auto"/>
              </w:rPr>
            </w:pPr>
            <w:r>
              <w:rPr>
                <w:rFonts w:ascii="Arial" w:cs="Arial" w:eastAsia="Arial" w:hAnsi="Arial"/>
                <w:sz w:val="14"/>
                <w:szCs w:val="14"/>
                <w:b w:val="1"/>
                <w:bCs w:val="1"/>
                <w:color w:val="auto"/>
              </w:rPr>
              <w:t>Investing Activities:</w:t>
            </w: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Net transactions with affiliates</w:t>
            </w:r>
          </w:p>
        </w:tc>
        <w:tc>
          <w:tcPr>
            <w:tcW w:w="46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3,015</w:t>
            </w:r>
          </w:p>
        </w:tc>
        <w:tc>
          <w:tcPr>
            <w:tcW w:w="38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39</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675</w:t>
            </w:r>
          </w:p>
        </w:tc>
        <w:tc>
          <w:tcPr>
            <w:tcW w:w="40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205</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(3,934)</w:t>
            </w: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46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(8)</w:t>
            </w:r>
          </w:p>
        </w:tc>
        <w:tc>
          <w:tcPr>
            <w:tcW w:w="380" w:type="dxa"/>
            <w:vAlign w:val="bottom"/>
          </w:tcPr>
          <w:p>
            <w:pPr>
              <w:spacing w:after="0"/>
              <w:rPr>
                <w:sz w:val="12"/>
                <w:szCs w:val="12"/>
                <w:color w:val="auto"/>
              </w:rPr>
            </w:pPr>
          </w:p>
        </w:tc>
        <w:tc>
          <w:tcPr>
            <w:tcW w:w="5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(4,035)</w:t>
            </w:r>
          </w:p>
        </w:tc>
        <w:tc>
          <w:tcPr>
            <w:tcW w:w="32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(4,043)</w:t>
            </w:r>
          </w:p>
        </w:tc>
      </w:tr>
      <w:tr>
        <w:trPr>
          <w:trHeight w:val="149"/>
        </w:trPr>
        <w:tc>
          <w:tcPr>
            <w:tcW w:w="20" w:type="dxa"/>
            <w:vAlign w:val="bottom"/>
          </w:tcPr>
          <w:p>
            <w:pPr>
              <w:spacing w:after="0"/>
              <w:rPr>
                <w:sz w:val="12"/>
                <w:szCs w:val="12"/>
                <w:color w:val="auto"/>
              </w:rPr>
            </w:pPr>
          </w:p>
        </w:tc>
        <w:tc>
          <w:tcPr>
            <w:tcW w:w="37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46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(4)</w:t>
            </w:r>
          </w:p>
        </w:tc>
        <w:tc>
          <w:tcPr>
            <w:tcW w:w="38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(601)</w:t>
            </w: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(605)</w:t>
            </w: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Acquisitions, net of cash acquired</w:t>
            </w:r>
          </w:p>
        </w:tc>
        <w:tc>
          <w:tcPr>
            <w:tcW w:w="460" w:type="dxa"/>
            <w:vAlign w:val="bottom"/>
          </w:tcPr>
          <w:p>
            <w:pPr>
              <w:spacing w:after="0"/>
              <w:rPr>
                <w:sz w:val="12"/>
                <w:szCs w:val="12"/>
                <w:color w:val="auto"/>
              </w:rPr>
            </w:pPr>
          </w:p>
        </w:tc>
        <w:tc>
          <w:tcPr>
            <w:tcW w:w="6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5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(95)</w:t>
            </w:r>
          </w:p>
        </w:tc>
        <w:tc>
          <w:tcPr>
            <w:tcW w:w="32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r>
      <w:tr>
        <w:trPr>
          <w:trHeight w:val="149"/>
        </w:trPr>
        <w:tc>
          <w:tcPr>
            <w:tcW w:w="20" w:type="dxa"/>
            <w:vAlign w:val="bottom"/>
          </w:tcPr>
          <w:p>
            <w:pPr>
              <w:spacing w:after="0"/>
              <w:rPr>
                <w:sz w:val="12"/>
                <w:szCs w:val="12"/>
                <w:color w:val="auto"/>
              </w:rPr>
            </w:pPr>
          </w:p>
        </w:tc>
        <w:tc>
          <w:tcPr>
            <w:tcW w:w="37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Proceeds from sales of businesses and investments</w:t>
            </w:r>
          </w:p>
        </w:tc>
        <w:tc>
          <w:tcPr>
            <w:tcW w:w="46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3,095</w:t>
            </w: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3,095</w:t>
            </w: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Return of capital from investees</w:t>
            </w:r>
          </w:p>
        </w:tc>
        <w:tc>
          <w:tcPr>
            <w:tcW w:w="460" w:type="dxa"/>
            <w:vAlign w:val="bottom"/>
          </w:tcPr>
          <w:p>
            <w:pPr>
              <w:spacing w:after="0"/>
              <w:rPr>
                <w:sz w:val="12"/>
                <w:szCs w:val="12"/>
                <w:color w:val="auto"/>
              </w:rPr>
            </w:pPr>
          </w:p>
        </w:tc>
        <w:tc>
          <w:tcPr>
            <w:tcW w:w="6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5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2,281</w:t>
            </w:r>
          </w:p>
        </w:tc>
        <w:tc>
          <w:tcPr>
            <w:tcW w:w="32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2,281</w:t>
            </w:r>
          </w:p>
        </w:tc>
      </w:tr>
      <w:tr>
        <w:trPr>
          <w:trHeight w:val="149"/>
        </w:trPr>
        <w:tc>
          <w:tcPr>
            <w:tcW w:w="20" w:type="dxa"/>
            <w:vAlign w:val="bottom"/>
          </w:tcPr>
          <w:p>
            <w:pPr>
              <w:spacing w:after="0"/>
              <w:rPr>
                <w:sz w:val="12"/>
                <w:szCs w:val="12"/>
                <w:color w:val="auto"/>
              </w:rPr>
            </w:pPr>
          </w:p>
        </w:tc>
        <w:tc>
          <w:tcPr>
            <w:tcW w:w="37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Purchases of investments</w:t>
            </w:r>
          </w:p>
        </w:tc>
        <w:tc>
          <w:tcPr>
            <w:tcW w:w="46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(191)</w:t>
            </w: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(191)</w:t>
            </w:r>
          </w:p>
        </w:tc>
      </w:tr>
      <w:tr>
        <w:trPr>
          <w:trHeight w:val="149"/>
        </w:trPr>
        <w:tc>
          <w:tcPr>
            <w:tcW w:w="20" w:type="dxa"/>
            <w:vAlign w:val="bottom"/>
          </w:tcPr>
          <w:p>
            <w:pPr>
              <w:spacing w:after="0"/>
              <w:rPr>
                <w:sz w:val="12"/>
                <w:szCs w:val="12"/>
                <w:color w:val="auto"/>
              </w:rPr>
            </w:pPr>
          </w:p>
        </w:tc>
        <w:tc>
          <w:tcPr>
            <w:tcW w:w="374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1</w:t>
            </w: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67</w:t>
            </w: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68</w:t>
            </w:r>
          </w:p>
        </w:tc>
      </w:tr>
      <w:tr>
        <w:trPr>
          <w:trHeight w:val="142"/>
        </w:trPr>
        <w:tc>
          <w:tcPr>
            <w:tcW w:w="20" w:type="dxa"/>
            <w:vAlign w:val="bottom"/>
          </w:tcPr>
          <w:p>
            <w:pPr>
              <w:spacing w:after="0"/>
              <w:rPr>
                <w:sz w:val="12"/>
                <w:szCs w:val="12"/>
                <w:color w:val="auto"/>
              </w:rPr>
            </w:pPr>
          </w:p>
        </w:tc>
        <w:tc>
          <w:tcPr>
            <w:tcW w:w="3740" w:type="dxa"/>
            <w:vAlign w:val="bottom"/>
            <w:tcBorders>
              <w:bottom w:val="single" w:sz="8" w:color="auto"/>
            </w:tcBorders>
            <w:shd w:val="clear" w:color="auto" w:fill="E5E5E5"/>
          </w:tcPr>
          <w:p>
            <w:pPr>
              <w:ind w:left="20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46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3,003</w:t>
            </w:r>
          </w:p>
        </w:tc>
        <w:tc>
          <w:tcPr>
            <w:tcW w:w="38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39</w:t>
            </w:r>
          </w:p>
        </w:tc>
        <w:tc>
          <w:tcPr>
            <w:tcW w:w="32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232"/>
              <w:spacing w:after="0" w:line="142" w:lineRule="exact"/>
              <w:rPr>
                <w:sz w:val="20"/>
                <w:szCs w:val="20"/>
                <w:color w:val="auto"/>
              </w:rPr>
            </w:pPr>
            <w:r>
              <w:rPr>
                <w:rFonts w:ascii="Arial" w:cs="Arial" w:eastAsia="Arial" w:hAnsi="Arial"/>
                <w:sz w:val="14"/>
                <w:szCs w:val="14"/>
                <w:color w:val="auto"/>
              </w:rPr>
              <w:t>675</w:t>
            </w:r>
          </w:p>
        </w:tc>
        <w:tc>
          <w:tcPr>
            <w:tcW w:w="40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206</w:t>
            </w:r>
          </w:p>
        </w:tc>
        <w:tc>
          <w:tcPr>
            <w:tcW w:w="36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(3,413)</w:t>
            </w:r>
          </w:p>
        </w:tc>
        <w:tc>
          <w:tcPr>
            <w:tcW w:w="32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510</w:t>
            </w:r>
          </w:p>
        </w:tc>
      </w:tr>
      <w:tr>
        <w:trPr>
          <w:trHeight w:val="142"/>
        </w:trPr>
        <w:tc>
          <w:tcPr>
            <w:tcW w:w="20" w:type="dxa"/>
            <w:vAlign w:val="bottom"/>
          </w:tcPr>
          <w:p>
            <w:pPr>
              <w:spacing w:after="0"/>
              <w:rPr>
                <w:sz w:val="12"/>
                <w:szCs w:val="12"/>
                <w:color w:val="auto"/>
              </w:rPr>
            </w:pPr>
          </w:p>
        </w:tc>
        <w:tc>
          <w:tcPr>
            <w:tcW w:w="3740" w:type="dxa"/>
            <w:vAlign w:val="bottom"/>
          </w:tcPr>
          <w:p>
            <w:pPr>
              <w:spacing w:after="0" w:line="142" w:lineRule="exact"/>
              <w:rPr>
                <w:sz w:val="20"/>
                <w:szCs w:val="20"/>
                <w:color w:val="auto"/>
              </w:rPr>
            </w:pPr>
            <w:r>
              <w:rPr>
                <w:rFonts w:ascii="Arial" w:cs="Arial" w:eastAsia="Arial" w:hAnsi="Arial"/>
                <w:sz w:val="14"/>
                <w:szCs w:val="14"/>
                <w:b w:val="1"/>
                <w:bCs w:val="1"/>
                <w:color w:val="auto"/>
              </w:rPr>
              <w:t>Financing Activities:</w:t>
            </w: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w w:val="97"/>
              </w:rPr>
              <w:t>Proceeds from (repayments of) short-term borrowings, net</w:t>
            </w:r>
          </w:p>
        </w:tc>
        <w:tc>
          <w:tcPr>
            <w:tcW w:w="46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(1)</w:t>
            </w:r>
          </w:p>
        </w:tc>
        <w:tc>
          <w:tcPr>
            <w:tcW w:w="38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(554)</w:t>
            </w: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(555)</w:t>
            </w: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Proceeds from borrowings</w:t>
            </w:r>
          </w:p>
        </w:tc>
        <w:tc>
          <w:tcPr>
            <w:tcW w:w="460" w:type="dxa"/>
            <w:vAlign w:val="bottom"/>
          </w:tcPr>
          <w:p>
            <w:pPr>
              <w:spacing w:after="0"/>
              <w:rPr>
                <w:sz w:val="12"/>
                <w:szCs w:val="12"/>
                <w:color w:val="auto"/>
              </w:rPr>
            </w:pPr>
          </w:p>
        </w:tc>
        <w:tc>
          <w:tcPr>
            <w:tcW w:w="6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2,248</w:t>
            </w:r>
          </w:p>
        </w:tc>
        <w:tc>
          <w:tcPr>
            <w:tcW w:w="380" w:type="dxa"/>
            <w:vAlign w:val="bottom"/>
          </w:tcPr>
          <w:p>
            <w:pPr>
              <w:spacing w:after="0"/>
              <w:rPr>
                <w:sz w:val="12"/>
                <w:szCs w:val="12"/>
                <w:color w:val="auto"/>
              </w:rPr>
            </w:pPr>
          </w:p>
        </w:tc>
        <w:tc>
          <w:tcPr>
            <w:tcW w:w="5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2,248</w:t>
            </w:r>
          </w:p>
        </w:tc>
      </w:tr>
      <w:tr>
        <w:trPr>
          <w:trHeight w:val="149"/>
        </w:trPr>
        <w:tc>
          <w:tcPr>
            <w:tcW w:w="20" w:type="dxa"/>
            <w:vAlign w:val="bottom"/>
          </w:tcPr>
          <w:p>
            <w:pPr>
              <w:spacing w:after="0"/>
              <w:rPr>
                <w:sz w:val="12"/>
                <w:szCs w:val="12"/>
                <w:color w:val="auto"/>
              </w:rPr>
            </w:pPr>
          </w:p>
        </w:tc>
        <w:tc>
          <w:tcPr>
            <w:tcW w:w="37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Repurchases and repayments of debt</w:t>
            </w:r>
          </w:p>
        </w:tc>
        <w:tc>
          <w:tcPr>
            <w:tcW w:w="46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w w:val="90"/>
              </w:rPr>
              <w:t>(1,726)</w:t>
            </w:r>
          </w:p>
        </w:tc>
        <w:tc>
          <w:tcPr>
            <w:tcW w:w="38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(553)</w:t>
            </w:r>
          </w:p>
        </w:tc>
        <w:tc>
          <w:tcPr>
            <w:tcW w:w="40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(202)</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(24)</w:t>
            </w: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(2,505)</w:t>
            </w: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46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0"/>
              </w:rPr>
              <w:t>(2,250)</w:t>
            </w:r>
          </w:p>
        </w:tc>
        <w:tc>
          <w:tcPr>
            <w:tcW w:w="380" w:type="dxa"/>
            <w:vAlign w:val="bottom"/>
          </w:tcPr>
          <w:p>
            <w:pPr>
              <w:spacing w:after="0"/>
              <w:rPr>
                <w:sz w:val="12"/>
                <w:szCs w:val="12"/>
                <w:color w:val="auto"/>
              </w:rPr>
            </w:pPr>
          </w:p>
        </w:tc>
        <w:tc>
          <w:tcPr>
            <w:tcW w:w="5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(2,250)</w:t>
            </w:r>
          </w:p>
        </w:tc>
      </w:tr>
      <w:tr>
        <w:trPr>
          <w:trHeight w:val="149"/>
        </w:trPr>
        <w:tc>
          <w:tcPr>
            <w:tcW w:w="20" w:type="dxa"/>
            <w:vAlign w:val="bottom"/>
          </w:tcPr>
          <w:p>
            <w:pPr>
              <w:spacing w:after="0"/>
              <w:rPr>
                <w:sz w:val="12"/>
                <w:szCs w:val="12"/>
                <w:color w:val="auto"/>
              </w:rPr>
            </w:pPr>
          </w:p>
        </w:tc>
        <w:tc>
          <w:tcPr>
            <w:tcW w:w="37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Dividends paid</w:t>
            </w:r>
          </w:p>
        </w:tc>
        <w:tc>
          <w:tcPr>
            <w:tcW w:w="46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w w:val="90"/>
              </w:rPr>
              <w:t>(1,176)</w:t>
            </w:r>
          </w:p>
        </w:tc>
        <w:tc>
          <w:tcPr>
            <w:tcW w:w="38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(1,176)</w:t>
            </w: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Issuances of common stock</w:t>
            </w:r>
          </w:p>
        </w:tc>
        <w:tc>
          <w:tcPr>
            <w:tcW w:w="460" w:type="dxa"/>
            <w:vAlign w:val="bottom"/>
          </w:tcPr>
          <w:p>
            <w:pPr>
              <w:spacing w:after="0"/>
              <w:rPr>
                <w:sz w:val="12"/>
                <w:szCs w:val="12"/>
                <w:color w:val="auto"/>
              </w:rPr>
            </w:pPr>
          </w:p>
        </w:tc>
        <w:tc>
          <w:tcPr>
            <w:tcW w:w="6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215</w:t>
            </w:r>
          </w:p>
        </w:tc>
        <w:tc>
          <w:tcPr>
            <w:tcW w:w="380" w:type="dxa"/>
            <w:vAlign w:val="bottom"/>
          </w:tcPr>
          <w:p>
            <w:pPr>
              <w:spacing w:after="0"/>
              <w:rPr>
                <w:sz w:val="12"/>
                <w:szCs w:val="12"/>
                <w:color w:val="auto"/>
              </w:rPr>
            </w:pPr>
          </w:p>
        </w:tc>
        <w:tc>
          <w:tcPr>
            <w:tcW w:w="5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215</w:t>
            </w:r>
          </w:p>
        </w:tc>
      </w:tr>
      <w:tr>
        <w:trPr>
          <w:trHeight w:val="149"/>
        </w:trPr>
        <w:tc>
          <w:tcPr>
            <w:tcW w:w="20" w:type="dxa"/>
            <w:vAlign w:val="bottom"/>
          </w:tcPr>
          <w:p>
            <w:pPr>
              <w:spacing w:after="0"/>
              <w:rPr>
                <w:sz w:val="12"/>
                <w:szCs w:val="12"/>
                <w:color w:val="auto"/>
              </w:rPr>
            </w:pPr>
          </w:p>
        </w:tc>
        <w:tc>
          <w:tcPr>
            <w:tcW w:w="37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Distributions (to) from noncontrolling interests</w:t>
            </w:r>
          </w:p>
        </w:tc>
        <w:tc>
          <w:tcPr>
            <w:tcW w:w="46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(497)</w:t>
            </w: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(497)</w:t>
            </w:r>
          </w:p>
        </w:tc>
      </w:tr>
      <w:tr>
        <w:trPr>
          <w:trHeight w:val="149"/>
        </w:trPr>
        <w:tc>
          <w:tcPr>
            <w:tcW w:w="20" w:type="dxa"/>
            <w:vAlign w:val="bottom"/>
          </w:tcPr>
          <w:p>
            <w:pPr>
              <w:spacing w:after="0"/>
              <w:rPr>
                <w:sz w:val="12"/>
                <w:szCs w:val="12"/>
                <w:color w:val="auto"/>
              </w:rPr>
            </w:pPr>
          </w:p>
        </w:tc>
        <w:tc>
          <w:tcPr>
            <w:tcW w:w="374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80</w:t>
            </w:r>
          </w:p>
        </w:tc>
        <w:tc>
          <w:tcPr>
            <w:tcW w:w="3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(30)</w:t>
            </w: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50</w:t>
            </w:r>
          </w:p>
        </w:tc>
      </w:tr>
      <w:tr>
        <w:trPr>
          <w:trHeight w:val="142"/>
        </w:trPr>
        <w:tc>
          <w:tcPr>
            <w:tcW w:w="20" w:type="dxa"/>
            <w:vAlign w:val="bottom"/>
          </w:tcPr>
          <w:p>
            <w:pPr>
              <w:spacing w:after="0"/>
              <w:rPr>
                <w:sz w:val="12"/>
                <w:szCs w:val="12"/>
                <w:color w:val="auto"/>
              </w:rPr>
            </w:pPr>
          </w:p>
        </w:tc>
        <w:tc>
          <w:tcPr>
            <w:tcW w:w="3740" w:type="dxa"/>
            <w:vAlign w:val="bottom"/>
            <w:tcBorders>
              <w:bottom w:val="single" w:sz="8" w:color="auto"/>
            </w:tcBorders>
            <w:shd w:val="clear" w:color="auto" w:fill="E5E5E5"/>
          </w:tcPr>
          <w:p>
            <w:pPr>
              <w:ind w:left="20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46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w w:val="90"/>
              </w:rPr>
              <w:t>(2,610)</w:t>
            </w:r>
          </w:p>
        </w:tc>
        <w:tc>
          <w:tcPr>
            <w:tcW w:w="38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(553)</w:t>
            </w:r>
          </w:p>
        </w:tc>
        <w:tc>
          <w:tcPr>
            <w:tcW w:w="40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(202)</w:t>
            </w:r>
          </w:p>
        </w:tc>
        <w:tc>
          <w:tcPr>
            <w:tcW w:w="36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(1,105)</w:t>
            </w:r>
          </w:p>
        </w:tc>
        <w:tc>
          <w:tcPr>
            <w:tcW w:w="32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(4,470)</w:t>
            </w:r>
          </w:p>
        </w:tc>
      </w:tr>
      <w:tr>
        <w:trPr>
          <w:trHeight w:val="142"/>
        </w:trPr>
        <w:tc>
          <w:tcPr>
            <w:tcW w:w="20" w:type="dxa"/>
            <w:vAlign w:val="bottom"/>
          </w:tcPr>
          <w:p>
            <w:pPr>
              <w:spacing w:after="0"/>
              <w:rPr>
                <w:sz w:val="12"/>
                <w:szCs w:val="12"/>
                <w:color w:val="auto"/>
              </w:rPr>
            </w:pPr>
          </w:p>
        </w:tc>
        <w:tc>
          <w:tcPr>
            <w:tcW w:w="3740" w:type="dxa"/>
            <w:vAlign w:val="bottom"/>
          </w:tcPr>
          <w:p>
            <w:pPr>
              <w:spacing w:after="0" w:line="142" w:lineRule="exact"/>
              <w:rPr>
                <w:sz w:val="20"/>
                <w:szCs w:val="20"/>
                <w:color w:val="auto"/>
              </w:rPr>
            </w:pPr>
            <w:r>
              <w:rPr>
                <w:rFonts w:ascii="Arial" w:cs="Arial" w:eastAsia="Arial" w:hAnsi="Arial"/>
                <w:sz w:val="14"/>
                <w:szCs w:val="14"/>
                <w:color w:val="auto"/>
              </w:rPr>
              <w:t>Increase (decrease) in cash and cash equivalents</w:t>
            </w:r>
          </w:p>
        </w:tc>
        <w:tc>
          <w:tcPr>
            <w:tcW w:w="460" w:type="dxa"/>
            <w:vAlign w:val="bottom"/>
          </w:tcPr>
          <w:p>
            <w:pPr>
              <w:spacing w:after="0"/>
              <w:rPr>
                <w:sz w:val="12"/>
                <w:szCs w:val="12"/>
                <w:color w:val="auto"/>
              </w:rPr>
            </w:pPr>
          </w:p>
        </w:tc>
        <w:tc>
          <w:tcPr>
            <w:tcW w:w="66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52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32"/>
              <w:spacing w:after="0" w:line="142"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2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7,279</w:t>
            </w:r>
          </w:p>
        </w:tc>
        <w:tc>
          <w:tcPr>
            <w:tcW w:w="320" w:type="dxa"/>
            <w:vAlign w:val="bottom"/>
          </w:tcPr>
          <w:p>
            <w:pPr>
              <w:spacing w:after="0"/>
              <w:rPr>
                <w:sz w:val="12"/>
                <w:szCs w:val="12"/>
                <w:color w:val="auto"/>
              </w:rPr>
            </w:pPr>
          </w:p>
        </w:tc>
        <w:tc>
          <w:tcPr>
            <w:tcW w:w="96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ind w:right="12"/>
              <w:spacing w:after="0" w:line="142" w:lineRule="exact"/>
              <w:rPr>
                <w:sz w:val="20"/>
                <w:szCs w:val="20"/>
                <w:color w:val="auto"/>
              </w:rPr>
            </w:pPr>
            <w:r>
              <w:rPr>
                <w:rFonts w:ascii="Arial" w:cs="Arial" w:eastAsia="Arial" w:hAnsi="Arial"/>
                <w:sz w:val="14"/>
                <w:szCs w:val="14"/>
                <w:color w:val="auto"/>
              </w:rPr>
              <w:t>7,279</w:t>
            </w:r>
          </w:p>
        </w:tc>
      </w:tr>
      <w:tr>
        <w:trPr>
          <w:trHeight w:val="149"/>
        </w:trPr>
        <w:tc>
          <w:tcPr>
            <w:tcW w:w="20" w:type="dxa"/>
            <w:vAlign w:val="bottom"/>
          </w:tcPr>
          <w:p>
            <w:pPr>
              <w:spacing w:after="0"/>
              <w:rPr>
                <w:sz w:val="12"/>
                <w:szCs w:val="12"/>
                <w:color w:val="auto"/>
              </w:rPr>
            </w:pPr>
          </w:p>
        </w:tc>
        <w:tc>
          <w:tcPr>
            <w:tcW w:w="374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46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1,620</w:t>
            </w:r>
          </w:p>
        </w:tc>
        <w:tc>
          <w:tcPr>
            <w:tcW w:w="32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1,620</w:t>
            </w:r>
          </w:p>
        </w:tc>
      </w:tr>
      <w:tr>
        <w:trPr>
          <w:trHeight w:val="149"/>
        </w:trPr>
        <w:tc>
          <w:tcPr>
            <w:tcW w:w="20" w:type="dxa"/>
            <w:vAlign w:val="bottom"/>
            <w:tcBorders>
              <w:bottom w:val="single" w:sz="8" w:color="auto"/>
            </w:tcBorders>
          </w:tcPr>
          <w:p>
            <w:pPr>
              <w:spacing w:after="0"/>
              <w:rPr>
                <w:sz w:val="12"/>
                <w:szCs w:val="12"/>
                <w:color w:val="auto"/>
              </w:rPr>
            </w:pPr>
          </w:p>
        </w:tc>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Cash and cash equivalents, end of period</w:t>
            </w:r>
          </w:p>
        </w:tc>
        <w:tc>
          <w:tcPr>
            <w:tcW w:w="46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8,899</w:t>
            </w: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8,899</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center"/>
              <w:ind w:right="252"/>
              <w:spacing w:after="0"/>
              <w:rPr>
                <w:sz w:val="20"/>
                <w:szCs w:val="20"/>
                <w:color w:val="auto"/>
              </w:rPr>
            </w:pPr>
            <w:r>
              <w:rPr>
                <w:rFonts w:ascii="Arial" w:cs="Arial" w:eastAsia="Arial" w:hAnsi="Arial"/>
                <w:sz w:val="14"/>
                <w:szCs w:val="14"/>
                <w:color w:val="auto"/>
                <w:w w:val="93"/>
              </w:rPr>
              <w:t>Elimination</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Combined</w:t>
            </w: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Non-</w:t>
            </w:r>
          </w:p>
        </w:tc>
        <w:tc>
          <w:tcPr>
            <w:tcW w:w="320" w:type="dxa"/>
            <w:vAlign w:val="bottom"/>
          </w:tcPr>
          <w:p>
            <w:pPr>
              <w:spacing w:after="0"/>
              <w:rPr>
                <w:sz w:val="12"/>
                <w:szCs w:val="12"/>
                <w:color w:val="auto"/>
              </w:rPr>
            </w:pPr>
          </w:p>
        </w:tc>
        <w:tc>
          <w:tcPr>
            <w:tcW w:w="960" w:type="dxa"/>
            <w:vAlign w:val="bottom"/>
          </w:tcPr>
          <w:p>
            <w:pPr>
              <w:jc w:val="center"/>
              <w:ind w:right="272"/>
              <w:spacing w:after="0" w:line="149" w:lineRule="exact"/>
              <w:rPr>
                <w:sz w:val="20"/>
                <w:szCs w:val="20"/>
                <w:color w:val="auto"/>
              </w:rPr>
            </w:pPr>
            <w:r>
              <w:rPr>
                <w:rFonts w:ascii="Arial" w:cs="Arial" w:eastAsia="Arial" w:hAnsi="Arial"/>
                <w:sz w:val="14"/>
                <w:szCs w:val="14"/>
                <w:color w:val="auto"/>
                <w:w w:val="76"/>
              </w:rPr>
              <w:t>and</w:t>
            </w:r>
          </w:p>
        </w:tc>
        <w:tc>
          <w:tcPr>
            <w:tcW w:w="106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1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Comcast</w:t>
            </w:r>
          </w:p>
        </w:tc>
        <w:tc>
          <w:tcPr>
            <w:tcW w:w="94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CCCL</w:t>
            </w:r>
          </w:p>
        </w:tc>
        <w:tc>
          <w:tcPr>
            <w:tcW w:w="110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CCHMO</w:t>
            </w:r>
          </w:p>
        </w:tc>
        <w:tc>
          <w:tcPr>
            <w:tcW w:w="10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Comcast</w:t>
            </w:r>
          </w:p>
        </w:tc>
        <w:tc>
          <w:tcPr>
            <w:tcW w:w="118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Guarantor</w:t>
            </w:r>
          </w:p>
        </w:tc>
        <w:tc>
          <w:tcPr>
            <w:tcW w:w="128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Consolidation</w:t>
            </w:r>
          </w:p>
        </w:tc>
        <w:tc>
          <w:tcPr>
            <w:tcW w:w="36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372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120" w:type="dxa"/>
            <w:vAlign w:val="bottom"/>
            <w:gridSpan w:val="2"/>
          </w:tcPr>
          <w:p>
            <w:pPr>
              <w:jc w:val="right"/>
              <w:ind w:right="292"/>
              <w:spacing w:after="0" w:line="159" w:lineRule="exact"/>
              <w:rPr>
                <w:sz w:val="20"/>
                <w:szCs w:val="20"/>
                <w:color w:val="auto"/>
              </w:rPr>
            </w:pPr>
            <w:r>
              <w:rPr>
                <w:rFonts w:ascii="Arial" w:cs="Arial" w:eastAsia="Arial" w:hAnsi="Arial"/>
                <w:sz w:val="14"/>
                <w:szCs w:val="14"/>
                <w:color w:val="auto"/>
              </w:rPr>
              <w:t>Parent</w:t>
            </w:r>
          </w:p>
        </w:tc>
        <w:tc>
          <w:tcPr>
            <w:tcW w:w="940" w:type="dxa"/>
            <w:vAlign w:val="bottom"/>
            <w:gridSpan w:val="2"/>
          </w:tcPr>
          <w:p>
            <w:pPr>
              <w:jc w:val="right"/>
              <w:ind w:right="252"/>
              <w:spacing w:after="0" w:line="159" w:lineRule="exact"/>
              <w:rPr>
                <w:sz w:val="20"/>
                <w:szCs w:val="20"/>
                <w:color w:val="auto"/>
              </w:rPr>
            </w:pPr>
            <w:r>
              <w:rPr>
                <w:rFonts w:ascii="Arial" w:cs="Arial" w:eastAsia="Arial" w:hAnsi="Arial"/>
                <w:sz w:val="14"/>
                <w:szCs w:val="14"/>
                <w:color w:val="auto"/>
              </w:rPr>
              <w:t>Parent</w:t>
            </w:r>
          </w:p>
        </w:tc>
        <w:tc>
          <w:tcPr>
            <w:tcW w:w="320" w:type="dxa"/>
            <w:vAlign w:val="bottom"/>
          </w:tcPr>
          <w:p>
            <w:pPr>
              <w:spacing w:after="0"/>
              <w:rPr>
                <w:sz w:val="13"/>
                <w:szCs w:val="13"/>
                <w:color w:val="auto"/>
              </w:rPr>
            </w:pPr>
          </w:p>
        </w:tc>
        <w:tc>
          <w:tcPr>
            <w:tcW w:w="780" w:type="dxa"/>
            <w:vAlign w:val="bottom"/>
          </w:tcPr>
          <w:p>
            <w:pPr>
              <w:jc w:val="right"/>
              <w:ind w:right="312"/>
              <w:spacing w:after="0" w:line="159" w:lineRule="exact"/>
              <w:rPr>
                <w:sz w:val="20"/>
                <w:szCs w:val="20"/>
                <w:color w:val="auto"/>
              </w:rPr>
            </w:pPr>
            <w:r>
              <w:rPr>
                <w:rFonts w:ascii="Arial" w:cs="Arial" w:eastAsia="Arial" w:hAnsi="Arial"/>
                <w:sz w:val="14"/>
                <w:szCs w:val="14"/>
                <w:color w:val="auto"/>
                <w:w w:val="78"/>
              </w:rPr>
              <w:t>Parents</w:t>
            </w:r>
          </w:p>
        </w:tc>
        <w:tc>
          <w:tcPr>
            <w:tcW w:w="102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Holdings</w:t>
            </w:r>
          </w:p>
        </w:tc>
        <w:tc>
          <w:tcPr>
            <w:tcW w:w="118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Subsidiaries</w:t>
            </w:r>
          </w:p>
        </w:tc>
        <w:tc>
          <w:tcPr>
            <w:tcW w:w="128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106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Corporation</w:t>
            </w:r>
          </w:p>
        </w:tc>
      </w:tr>
      <w:tr>
        <w:trPr>
          <w:trHeight w:val="142"/>
        </w:trPr>
        <w:tc>
          <w:tcPr>
            <w:tcW w:w="20" w:type="dxa"/>
            <w:vAlign w:val="bottom"/>
          </w:tcPr>
          <w:p>
            <w:pPr>
              <w:spacing w:after="0"/>
              <w:rPr>
                <w:sz w:val="12"/>
                <w:szCs w:val="12"/>
                <w:color w:val="auto"/>
              </w:rPr>
            </w:pPr>
          </w:p>
        </w:tc>
        <w:tc>
          <w:tcPr>
            <w:tcW w:w="3700" w:type="dxa"/>
            <w:vAlign w:val="bottom"/>
            <w:tcBorders>
              <w:top w:val="single" w:sz="8" w:color="auto"/>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440" w:type="dxa"/>
            <w:vAlign w:val="bottom"/>
            <w:tcBorders>
              <w:top w:val="single" w:sz="8" w:color="auto"/>
              <w:bottom w:val="single" w:sz="8" w:color="auto"/>
            </w:tcBorders>
            <w:shd w:val="clear" w:color="auto" w:fill="E5E5E5"/>
          </w:tcPr>
          <w:p>
            <w:pPr>
              <w:ind w:left="360"/>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(476)</w:t>
            </w:r>
          </w:p>
        </w:tc>
        <w:tc>
          <w:tcPr>
            <w:tcW w:w="300" w:type="dxa"/>
            <w:vAlign w:val="bottom"/>
            <w:tcBorders>
              <w:top w:val="single" w:sz="8" w:color="auto"/>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(60)</w:t>
            </w:r>
          </w:p>
        </w:tc>
        <w:tc>
          <w:tcPr>
            <w:tcW w:w="320" w:type="dxa"/>
            <w:vAlign w:val="bottom"/>
            <w:tcBorders>
              <w:top w:val="single" w:sz="8" w:color="auto"/>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(141)</w:t>
            </w:r>
          </w:p>
        </w:tc>
        <w:tc>
          <w:tcPr>
            <w:tcW w:w="420" w:type="dxa"/>
            <w:vAlign w:val="bottom"/>
            <w:tcBorders>
              <w:top w:val="single" w:sz="8" w:color="auto"/>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(19)</w:t>
            </w:r>
          </w:p>
        </w:tc>
        <w:tc>
          <w:tcPr>
            <w:tcW w:w="360" w:type="dxa"/>
            <w:vAlign w:val="bottom"/>
            <w:tcBorders>
              <w:top w:val="single" w:sz="8" w:color="auto"/>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10,902</w:t>
            </w:r>
          </w:p>
        </w:tc>
        <w:tc>
          <w:tcPr>
            <w:tcW w:w="320" w:type="dxa"/>
            <w:vAlign w:val="bottom"/>
            <w:tcBorders>
              <w:top w:val="single" w:sz="8" w:color="auto"/>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E5E5E5"/>
          </w:tcPr>
          <w:p>
            <w:pPr>
              <w:ind w:left="26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10,206</w:t>
            </w:r>
          </w:p>
        </w:tc>
      </w:tr>
      <w:tr>
        <w:trPr>
          <w:trHeight w:val="142"/>
        </w:trPr>
        <w:tc>
          <w:tcPr>
            <w:tcW w:w="20" w:type="dxa"/>
            <w:vAlign w:val="bottom"/>
          </w:tcPr>
          <w:p>
            <w:pPr>
              <w:spacing w:after="0"/>
              <w:rPr>
                <w:sz w:val="12"/>
                <w:szCs w:val="12"/>
                <w:color w:val="auto"/>
              </w:rPr>
            </w:pPr>
          </w:p>
        </w:tc>
        <w:tc>
          <w:tcPr>
            <w:tcW w:w="3700" w:type="dxa"/>
            <w:vAlign w:val="bottom"/>
          </w:tcPr>
          <w:p>
            <w:pPr>
              <w:spacing w:after="0" w:line="142" w:lineRule="exact"/>
              <w:rPr>
                <w:sz w:val="20"/>
                <w:szCs w:val="20"/>
                <w:color w:val="auto"/>
              </w:rPr>
            </w:pPr>
            <w:r>
              <w:rPr>
                <w:rFonts w:ascii="Arial" w:cs="Arial" w:eastAsia="Arial" w:hAnsi="Arial"/>
                <w:sz w:val="14"/>
                <w:szCs w:val="14"/>
                <w:b w:val="1"/>
                <w:bCs w:val="1"/>
                <w:color w:val="auto"/>
              </w:rPr>
              <w:t>Investing Activities:</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Net transactions with affiliates</w:t>
            </w:r>
          </w:p>
        </w:tc>
        <w:tc>
          <w:tcPr>
            <w:tcW w:w="44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3,066</w:t>
            </w:r>
          </w:p>
        </w:tc>
        <w:tc>
          <w:tcPr>
            <w:tcW w:w="30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760</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141</w:t>
            </w:r>
          </w:p>
        </w:tc>
        <w:tc>
          <w:tcPr>
            <w:tcW w:w="42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19</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(3,986)</w:t>
            </w: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70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440" w:type="dxa"/>
            <w:vAlign w:val="bottom"/>
          </w:tcPr>
          <w:p>
            <w:pPr>
              <w:spacing w:after="0"/>
              <w:rPr>
                <w:sz w:val="12"/>
                <w:szCs w:val="12"/>
                <w:color w:val="auto"/>
              </w:rPr>
            </w:pPr>
          </w:p>
        </w:tc>
        <w:tc>
          <w:tcPr>
            <w:tcW w:w="6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w:t>
            </w:r>
          </w:p>
        </w:tc>
        <w:tc>
          <w:tcPr>
            <w:tcW w:w="300" w:type="dxa"/>
            <w:vAlign w:val="bottom"/>
          </w:tcPr>
          <w:p>
            <w:pPr>
              <w:spacing w:after="0"/>
              <w:rPr>
                <w:sz w:val="12"/>
                <w:szCs w:val="12"/>
                <w:color w:val="auto"/>
              </w:rPr>
            </w:pPr>
          </w:p>
        </w:tc>
        <w:tc>
          <w:tcPr>
            <w:tcW w:w="6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6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(3,781)</w:t>
            </w:r>
          </w:p>
        </w:tc>
        <w:tc>
          <w:tcPr>
            <w:tcW w:w="32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(3,785)</w:t>
            </w:r>
          </w:p>
        </w:tc>
      </w:tr>
      <w:tr>
        <w:trPr>
          <w:trHeight w:val="149"/>
        </w:trPr>
        <w:tc>
          <w:tcPr>
            <w:tcW w:w="20" w:type="dxa"/>
            <w:vAlign w:val="bottom"/>
          </w:tcPr>
          <w:p>
            <w:pPr>
              <w:spacing w:after="0"/>
              <w:rPr>
                <w:sz w:val="12"/>
                <w:szCs w:val="12"/>
                <w:color w:val="auto"/>
              </w:rPr>
            </w:pPr>
          </w:p>
        </w:tc>
        <w:tc>
          <w:tcPr>
            <w:tcW w:w="370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44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(2)</w:t>
            </w:r>
          </w:p>
        </w:tc>
        <w:tc>
          <w:tcPr>
            <w:tcW w:w="30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(503)</w:t>
            </w: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(505)</w:t>
            </w:r>
          </w:p>
        </w:tc>
      </w:tr>
      <w:tr>
        <w:trPr>
          <w:trHeight w:val="149"/>
        </w:trPr>
        <w:tc>
          <w:tcPr>
            <w:tcW w:w="20" w:type="dxa"/>
            <w:vAlign w:val="bottom"/>
          </w:tcPr>
          <w:p>
            <w:pPr>
              <w:spacing w:after="0"/>
              <w:rPr>
                <w:sz w:val="12"/>
                <w:szCs w:val="12"/>
                <w:color w:val="auto"/>
              </w:rPr>
            </w:pPr>
          </w:p>
        </w:tc>
        <w:tc>
          <w:tcPr>
            <w:tcW w:w="3700" w:type="dxa"/>
            <w:vAlign w:val="bottom"/>
          </w:tcPr>
          <w:p>
            <w:pPr>
              <w:ind w:left="200"/>
              <w:spacing w:after="0" w:line="149" w:lineRule="exact"/>
              <w:rPr>
                <w:sz w:val="20"/>
                <w:szCs w:val="20"/>
                <w:color w:val="auto"/>
              </w:rPr>
            </w:pPr>
            <w:r>
              <w:rPr>
                <w:rFonts w:ascii="Arial" w:cs="Arial" w:eastAsia="Arial" w:hAnsi="Arial"/>
                <w:sz w:val="14"/>
                <w:szCs w:val="14"/>
                <w:color w:val="auto"/>
              </w:rPr>
              <w:t>Acquisitions, net of cash acquired</w:t>
            </w:r>
          </w:p>
        </w:tc>
        <w:tc>
          <w:tcPr>
            <w:tcW w:w="440" w:type="dxa"/>
            <w:vAlign w:val="bottom"/>
          </w:tcPr>
          <w:p>
            <w:pPr>
              <w:spacing w:after="0"/>
              <w:rPr>
                <w:sz w:val="12"/>
                <w:szCs w:val="12"/>
                <w:color w:val="auto"/>
              </w:rPr>
            </w:pPr>
          </w:p>
        </w:tc>
        <w:tc>
          <w:tcPr>
            <w:tcW w:w="6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6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(6,407)</w:t>
            </w:r>
          </w:p>
        </w:tc>
        <w:tc>
          <w:tcPr>
            <w:tcW w:w="32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(6,407)</w:t>
            </w:r>
          </w:p>
        </w:tc>
      </w:tr>
      <w:tr>
        <w:trPr>
          <w:trHeight w:val="149"/>
        </w:trPr>
        <w:tc>
          <w:tcPr>
            <w:tcW w:w="20" w:type="dxa"/>
            <w:vAlign w:val="bottom"/>
          </w:tcPr>
          <w:p>
            <w:pPr>
              <w:spacing w:after="0"/>
              <w:rPr>
                <w:sz w:val="12"/>
                <w:szCs w:val="12"/>
                <w:color w:val="auto"/>
              </w:rPr>
            </w:pPr>
          </w:p>
        </w:tc>
        <w:tc>
          <w:tcPr>
            <w:tcW w:w="370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Proceeds from sales of businesses and investments</w:t>
            </w:r>
          </w:p>
        </w:tc>
        <w:tc>
          <w:tcPr>
            <w:tcW w:w="44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154</w:t>
            </w: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154</w:t>
            </w:r>
          </w:p>
        </w:tc>
      </w:tr>
      <w:tr>
        <w:trPr>
          <w:trHeight w:val="149"/>
        </w:trPr>
        <w:tc>
          <w:tcPr>
            <w:tcW w:w="20" w:type="dxa"/>
            <w:vAlign w:val="bottom"/>
          </w:tcPr>
          <w:p>
            <w:pPr>
              <w:spacing w:after="0"/>
              <w:rPr>
                <w:sz w:val="12"/>
                <w:szCs w:val="12"/>
                <w:color w:val="auto"/>
              </w:rPr>
            </w:pPr>
          </w:p>
        </w:tc>
        <w:tc>
          <w:tcPr>
            <w:tcW w:w="3700" w:type="dxa"/>
            <w:vAlign w:val="bottom"/>
          </w:tcPr>
          <w:p>
            <w:pPr>
              <w:ind w:left="200"/>
              <w:spacing w:after="0" w:line="149" w:lineRule="exact"/>
              <w:rPr>
                <w:sz w:val="20"/>
                <w:szCs w:val="20"/>
                <w:color w:val="auto"/>
              </w:rPr>
            </w:pPr>
            <w:r>
              <w:rPr>
                <w:rFonts w:ascii="Arial" w:cs="Arial" w:eastAsia="Arial" w:hAnsi="Arial"/>
                <w:sz w:val="14"/>
                <w:szCs w:val="14"/>
                <w:color w:val="auto"/>
              </w:rPr>
              <w:t>Return of capital from investees</w:t>
            </w:r>
          </w:p>
        </w:tc>
        <w:tc>
          <w:tcPr>
            <w:tcW w:w="440" w:type="dxa"/>
            <w:vAlign w:val="bottom"/>
          </w:tcPr>
          <w:p>
            <w:pPr>
              <w:spacing w:after="0"/>
              <w:rPr>
                <w:sz w:val="12"/>
                <w:szCs w:val="12"/>
                <w:color w:val="auto"/>
              </w:rPr>
            </w:pPr>
          </w:p>
        </w:tc>
        <w:tc>
          <w:tcPr>
            <w:tcW w:w="6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6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w:t>
            </w:r>
          </w:p>
        </w:tc>
        <w:tc>
          <w:tcPr>
            <w:tcW w:w="32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w:t>
            </w:r>
          </w:p>
        </w:tc>
      </w:tr>
      <w:tr>
        <w:trPr>
          <w:trHeight w:val="149"/>
        </w:trPr>
        <w:tc>
          <w:tcPr>
            <w:tcW w:w="20" w:type="dxa"/>
            <w:vAlign w:val="bottom"/>
          </w:tcPr>
          <w:p>
            <w:pPr>
              <w:spacing w:after="0"/>
              <w:rPr>
                <w:sz w:val="12"/>
                <w:szCs w:val="12"/>
                <w:color w:val="auto"/>
              </w:rPr>
            </w:pPr>
          </w:p>
        </w:tc>
        <w:tc>
          <w:tcPr>
            <w:tcW w:w="370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Purchases of investments</w:t>
            </w:r>
          </w:p>
        </w:tc>
        <w:tc>
          <w:tcPr>
            <w:tcW w:w="44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(85)</w:t>
            </w: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(85)</w:t>
            </w:r>
          </w:p>
        </w:tc>
      </w:tr>
      <w:tr>
        <w:trPr>
          <w:trHeight w:val="149"/>
        </w:trPr>
        <w:tc>
          <w:tcPr>
            <w:tcW w:w="20" w:type="dxa"/>
            <w:vAlign w:val="bottom"/>
          </w:tcPr>
          <w:p>
            <w:pPr>
              <w:spacing w:after="0"/>
              <w:rPr>
                <w:sz w:val="12"/>
                <w:szCs w:val="12"/>
                <w:color w:val="auto"/>
              </w:rPr>
            </w:pPr>
          </w:p>
        </w:tc>
        <w:tc>
          <w:tcPr>
            <w:tcW w:w="37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(39)</w:t>
            </w: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w:t>
            </w:r>
          </w:p>
        </w:tc>
      </w:tr>
      <w:tr>
        <w:trPr>
          <w:trHeight w:val="142"/>
        </w:trPr>
        <w:tc>
          <w:tcPr>
            <w:tcW w:w="20" w:type="dxa"/>
            <w:vAlign w:val="bottom"/>
          </w:tcPr>
          <w:p>
            <w:pPr>
              <w:spacing w:after="0"/>
              <w:rPr>
                <w:sz w:val="12"/>
                <w:szCs w:val="12"/>
                <w:color w:val="auto"/>
              </w:rPr>
            </w:pPr>
          </w:p>
        </w:tc>
        <w:tc>
          <w:tcPr>
            <w:tcW w:w="3700" w:type="dxa"/>
            <w:vAlign w:val="bottom"/>
            <w:tcBorders>
              <w:bottom w:val="single" w:sz="8" w:color="auto"/>
            </w:tcBorders>
            <w:shd w:val="clear" w:color="auto" w:fill="E5E5E5"/>
          </w:tcPr>
          <w:p>
            <w:pPr>
              <w:ind w:left="20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440" w:type="dxa"/>
            <w:vAlign w:val="bottom"/>
            <w:tcBorders>
              <w:bottom w:val="single" w:sz="8" w:color="auto"/>
            </w:tcBorders>
            <w:shd w:val="clear" w:color="auto" w:fill="E5E5E5"/>
          </w:tcPr>
          <w:p>
            <w:pPr>
              <w:spacing w:after="0"/>
              <w:rPr>
                <w:sz w:val="12"/>
                <w:szCs w:val="12"/>
                <w:color w:val="auto"/>
              </w:rPr>
            </w:pPr>
          </w:p>
        </w:tc>
        <w:tc>
          <w:tcPr>
            <w:tcW w:w="680" w:type="dxa"/>
            <w:vAlign w:val="bottom"/>
            <w:tcBorders>
              <w:bottom w:val="single" w:sz="8" w:color="auto"/>
            </w:tcBorders>
            <w:shd w:val="clear" w:color="auto" w:fill="E5E5E5"/>
          </w:tcPr>
          <w:p>
            <w:pPr>
              <w:jc w:val="right"/>
              <w:ind w:right="232"/>
              <w:spacing w:after="0" w:line="142" w:lineRule="exact"/>
              <w:rPr>
                <w:sz w:val="20"/>
                <w:szCs w:val="20"/>
                <w:color w:val="auto"/>
              </w:rPr>
            </w:pPr>
            <w:r>
              <w:rPr>
                <w:rFonts w:ascii="Arial" w:cs="Arial" w:eastAsia="Arial" w:hAnsi="Arial"/>
                <w:sz w:val="14"/>
                <w:szCs w:val="14"/>
                <w:color w:val="auto"/>
              </w:rPr>
              <w:t>3,060</w:t>
            </w:r>
          </w:p>
        </w:tc>
        <w:tc>
          <w:tcPr>
            <w:tcW w:w="30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760</w:t>
            </w:r>
          </w:p>
        </w:tc>
        <w:tc>
          <w:tcPr>
            <w:tcW w:w="32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232"/>
              <w:spacing w:after="0" w:line="142" w:lineRule="exact"/>
              <w:rPr>
                <w:sz w:val="20"/>
                <w:szCs w:val="20"/>
                <w:color w:val="auto"/>
              </w:rPr>
            </w:pPr>
            <w:r>
              <w:rPr>
                <w:rFonts w:ascii="Arial" w:cs="Arial" w:eastAsia="Arial" w:hAnsi="Arial"/>
                <w:sz w:val="14"/>
                <w:szCs w:val="14"/>
                <w:color w:val="auto"/>
              </w:rPr>
              <w:t>141</w:t>
            </w:r>
          </w:p>
        </w:tc>
        <w:tc>
          <w:tcPr>
            <w:tcW w:w="42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19</w:t>
            </w:r>
          </w:p>
        </w:tc>
        <w:tc>
          <w:tcPr>
            <w:tcW w:w="36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(14,641)</w:t>
            </w:r>
          </w:p>
        </w:tc>
        <w:tc>
          <w:tcPr>
            <w:tcW w:w="32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(10,661)</w:t>
            </w:r>
          </w:p>
        </w:tc>
      </w:tr>
      <w:tr>
        <w:trPr>
          <w:trHeight w:val="142"/>
        </w:trPr>
        <w:tc>
          <w:tcPr>
            <w:tcW w:w="20" w:type="dxa"/>
            <w:vAlign w:val="bottom"/>
          </w:tcPr>
          <w:p>
            <w:pPr>
              <w:spacing w:after="0"/>
              <w:rPr>
                <w:sz w:val="12"/>
                <w:szCs w:val="12"/>
                <w:color w:val="auto"/>
              </w:rPr>
            </w:pPr>
          </w:p>
        </w:tc>
        <w:tc>
          <w:tcPr>
            <w:tcW w:w="3700" w:type="dxa"/>
            <w:vAlign w:val="bottom"/>
          </w:tcPr>
          <w:p>
            <w:pPr>
              <w:spacing w:after="0" w:line="142" w:lineRule="exact"/>
              <w:rPr>
                <w:sz w:val="20"/>
                <w:szCs w:val="20"/>
                <w:color w:val="auto"/>
              </w:rPr>
            </w:pPr>
            <w:r>
              <w:rPr>
                <w:rFonts w:ascii="Arial" w:cs="Arial" w:eastAsia="Arial" w:hAnsi="Arial"/>
                <w:sz w:val="14"/>
                <w:szCs w:val="14"/>
                <w:b w:val="1"/>
                <w:bCs w:val="1"/>
                <w:color w:val="auto"/>
              </w:rPr>
              <w:t>Financing Activities:</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w w:val="96"/>
              </w:rPr>
              <w:t>Proceeds from (repayments of) short-term borrowings, net</w:t>
            </w:r>
          </w:p>
        </w:tc>
        <w:tc>
          <w:tcPr>
            <w:tcW w:w="44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397</w:t>
            </w:r>
          </w:p>
        </w:tc>
        <w:tc>
          <w:tcPr>
            <w:tcW w:w="30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300</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945</w:t>
            </w: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1,642</w:t>
            </w:r>
          </w:p>
        </w:tc>
      </w:tr>
      <w:tr>
        <w:trPr>
          <w:trHeight w:val="162"/>
        </w:trPr>
        <w:tc>
          <w:tcPr>
            <w:tcW w:w="20" w:type="dxa"/>
            <w:vAlign w:val="bottom"/>
          </w:tcPr>
          <w:p>
            <w:pPr>
              <w:spacing w:after="0"/>
              <w:rPr>
                <w:sz w:val="14"/>
                <w:szCs w:val="14"/>
                <w:color w:val="auto"/>
              </w:rPr>
            </w:pPr>
          </w:p>
        </w:tc>
        <w:tc>
          <w:tcPr>
            <w:tcW w:w="3700" w:type="dxa"/>
            <w:vAlign w:val="bottom"/>
          </w:tcPr>
          <w:p>
            <w:pPr>
              <w:ind w:left="200"/>
              <w:spacing w:after="0"/>
              <w:rPr>
                <w:sz w:val="20"/>
                <w:szCs w:val="20"/>
                <w:color w:val="auto"/>
              </w:rPr>
            </w:pPr>
            <w:r>
              <w:rPr>
                <w:rFonts w:ascii="Arial" w:cs="Arial" w:eastAsia="Arial" w:hAnsi="Arial"/>
                <w:sz w:val="14"/>
                <w:szCs w:val="14"/>
                <w:color w:val="auto"/>
              </w:rPr>
              <w:t>Repurchases and repayments of debt</w:t>
            </w:r>
          </w:p>
        </w:tc>
        <w:tc>
          <w:tcPr>
            <w:tcW w:w="440" w:type="dxa"/>
            <w:vAlign w:val="bottom"/>
          </w:tcPr>
          <w:p>
            <w:pPr>
              <w:spacing w:after="0"/>
              <w:rPr>
                <w:sz w:val="14"/>
                <w:szCs w:val="14"/>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color w:val="auto"/>
              </w:rPr>
              <w:t>(750)</w:t>
            </w:r>
          </w:p>
        </w:tc>
        <w:tc>
          <w:tcPr>
            <w:tcW w:w="30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color w:val="auto"/>
                <w:w w:val="85"/>
              </w:rPr>
              <w:t>(1,000)</w:t>
            </w:r>
          </w:p>
        </w:tc>
        <w:tc>
          <w:tcPr>
            <w:tcW w:w="320" w:type="dxa"/>
            <w:vAlign w:val="bottom"/>
          </w:tcPr>
          <w:p>
            <w:pPr>
              <w:spacing w:after="0"/>
              <w:rPr>
                <w:sz w:val="14"/>
                <w:szCs w:val="14"/>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60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820" w:type="dxa"/>
            <w:vAlign w:val="bottom"/>
          </w:tcPr>
          <w:p>
            <w:pPr>
              <w:jc w:val="right"/>
              <w:ind w:right="172"/>
              <w:spacing w:after="0"/>
              <w:rPr>
                <w:sz w:val="20"/>
                <w:szCs w:val="20"/>
                <w:color w:val="auto"/>
              </w:rPr>
            </w:pPr>
            <w:r>
              <w:rPr>
                <w:rFonts w:ascii="Arial" w:cs="Arial" w:eastAsia="Arial" w:hAnsi="Arial"/>
                <w:sz w:val="14"/>
                <w:szCs w:val="14"/>
                <w:color w:val="auto"/>
              </w:rPr>
              <w:t>(1,063)</w:t>
            </w:r>
          </w:p>
        </w:tc>
        <w:tc>
          <w:tcPr>
            <w:tcW w:w="320" w:type="dxa"/>
            <w:vAlign w:val="bottom"/>
          </w:tcPr>
          <w:p>
            <w:pPr>
              <w:spacing w:after="0"/>
              <w:rPr>
                <w:sz w:val="14"/>
                <w:szCs w:val="14"/>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(2,813)</w:t>
            </w:r>
          </w:p>
        </w:tc>
      </w:tr>
      <w:tr>
        <w:trPr>
          <w:trHeight w:val="162"/>
        </w:trPr>
        <w:tc>
          <w:tcPr>
            <w:tcW w:w="20" w:type="dxa"/>
            <w:vAlign w:val="bottom"/>
          </w:tcPr>
          <w:p>
            <w:pPr>
              <w:spacing w:after="0"/>
              <w:rPr>
                <w:sz w:val="14"/>
                <w:szCs w:val="14"/>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4"/>
                <w:szCs w:val="14"/>
                <w:color w:val="auto"/>
              </w:rPr>
              <w:t>Repurchases and retirements of common stock</w:t>
            </w:r>
          </w:p>
        </w:tc>
        <w:tc>
          <w:tcPr>
            <w:tcW w:w="440" w:type="dxa"/>
            <w:vAlign w:val="bottom"/>
            <w:shd w:val="clear" w:color="auto" w:fill="E5E5E5"/>
          </w:tcPr>
          <w:p>
            <w:pPr>
              <w:spacing w:after="0"/>
              <w:rPr>
                <w:sz w:val="14"/>
                <w:szCs w:val="14"/>
                <w:color w:val="auto"/>
              </w:rPr>
            </w:pPr>
          </w:p>
        </w:tc>
        <w:tc>
          <w:tcPr>
            <w:tcW w:w="680" w:type="dxa"/>
            <w:vAlign w:val="bottom"/>
            <w:shd w:val="clear" w:color="auto" w:fill="E5E5E5"/>
          </w:tcPr>
          <w:p>
            <w:pPr>
              <w:jc w:val="right"/>
              <w:ind w:right="172"/>
              <w:spacing w:after="0"/>
              <w:rPr>
                <w:sz w:val="20"/>
                <w:szCs w:val="20"/>
                <w:color w:val="auto"/>
              </w:rPr>
            </w:pPr>
            <w:r>
              <w:rPr>
                <w:rFonts w:ascii="Arial" w:cs="Arial" w:eastAsia="Arial" w:hAnsi="Arial"/>
                <w:sz w:val="14"/>
                <w:szCs w:val="14"/>
                <w:color w:val="auto"/>
                <w:w w:val="94"/>
              </w:rPr>
              <w:t>(1,650)</w:t>
            </w:r>
          </w:p>
        </w:tc>
        <w:tc>
          <w:tcPr>
            <w:tcW w:w="300" w:type="dxa"/>
            <w:vAlign w:val="bottom"/>
            <w:shd w:val="clear" w:color="auto" w:fill="E5E5E5"/>
          </w:tcPr>
          <w:p>
            <w:pPr>
              <w:spacing w:after="0"/>
              <w:rPr>
                <w:sz w:val="14"/>
                <w:szCs w:val="14"/>
                <w:color w:val="auto"/>
              </w:rPr>
            </w:pPr>
          </w:p>
        </w:tc>
        <w:tc>
          <w:tcPr>
            <w:tcW w:w="640" w:type="dxa"/>
            <w:vAlign w:val="bottom"/>
            <w:shd w:val="clear" w:color="auto" w:fill="E5E5E5"/>
          </w:tcPr>
          <w:p>
            <w:pPr>
              <w:jc w:val="right"/>
              <w:ind w:right="212"/>
              <w:spacing w:after="0"/>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4"/>
                <w:szCs w:val="14"/>
                <w:color w:val="auto"/>
              </w:rPr>
            </w:pPr>
          </w:p>
        </w:tc>
        <w:tc>
          <w:tcPr>
            <w:tcW w:w="780" w:type="dxa"/>
            <w:vAlign w:val="bottom"/>
            <w:shd w:val="clear" w:color="auto" w:fill="E5E5E5"/>
          </w:tcPr>
          <w:p>
            <w:pPr>
              <w:jc w:val="right"/>
              <w:ind w:right="232"/>
              <w:spacing w:after="0"/>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14"/>
                <w:szCs w:val="14"/>
                <w:color w:val="auto"/>
              </w:rPr>
            </w:pPr>
          </w:p>
        </w:tc>
        <w:tc>
          <w:tcPr>
            <w:tcW w:w="600" w:type="dxa"/>
            <w:vAlign w:val="bottom"/>
            <w:shd w:val="clear" w:color="auto" w:fill="E5E5E5"/>
          </w:tcPr>
          <w:p>
            <w:pPr>
              <w:jc w:val="right"/>
              <w:ind w:right="212"/>
              <w:spacing w:after="0"/>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4"/>
                <w:szCs w:val="14"/>
                <w:color w:val="auto"/>
              </w:rPr>
            </w:pPr>
          </w:p>
        </w:tc>
        <w:tc>
          <w:tcPr>
            <w:tcW w:w="820" w:type="dxa"/>
            <w:vAlign w:val="bottom"/>
            <w:shd w:val="clear" w:color="auto" w:fill="E5E5E5"/>
          </w:tcPr>
          <w:p>
            <w:pPr>
              <w:jc w:val="right"/>
              <w:ind w:right="212"/>
              <w:spacing w:after="0"/>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4"/>
                <w:szCs w:val="14"/>
                <w:color w:val="auto"/>
              </w:rPr>
            </w:pPr>
          </w:p>
        </w:tc>
        <w:tc>
          <w:tcPr>
            <w:tcW w:w="960" w:type="dxa"/>
            <w:vAlign w:val="bottom"/>
            <w:shd w:val="clear" w:color="auto" w:fill="E5E5E5"/>
          </w:tcPr>
          <w:p>
            <w:pPr>
              <w:jc w:val="right"/>
              <w:ind w:right="192"/>
              <w:spacing w:after="0"/>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4"/>
                <w:szCs w:val="14"/>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(1,650)</w:t>
            </w:r>
          </w:p>
        </w:tc>
      </w:tr>
      <w:tr>
        <w:trPr>
          <w:trHeight w:val="162"/>
        </w:trPr>
        <w:tc>
          <w:tcPr>
            <w:tcW w:w="20" w:type="dxa"/>
            <w:vAlign w:val="bottom"/>
          </w:tcPr>
          <w:p>
            <w:pPr>
              <w:spacing w:after="0"/>
              <w:rPr>
                <w:sz w:val="14"/>
                <w:szCs w:val="14"/>
                <w:color w:val="auto"/>
              </w:rPr>
            </w:pPr>
          </w:p>
        </w:tc>
        <w:tc>
          <w:tcPr>
            <w:tcW w:w="3700" w:type="dxa"/>
            <w:vAlign w:val="bottom"/>
          </w:tcPr>
          <w:p>
            <w:pPr>
              <w:ind w:left="200"/>
              <w:spacing w:after="0"/>
              <w:rPr>
                <w:sz w:val="20"/>
                <w:szCs w:val="20"/>
                <w:color w:val="auto"/>
              </w:rPr>
            </w:pPr>
            <w:r>
              <w:rPr>
                <w:rFonts w:ascii="Arial" w:cs="Arial" w:eastAsia="Arial" w:hAnsi="Arial"/>
                <w:sz w:val="14"/>
                <w:szCs w:val="14"/>
                <w:color w:val="auto"/>
              </w:rPr>
              <w:t>Dividends paid</w:t>
            </w:r>
          </w:p>
        </w:tc>
        <w:tc>
          <w:tcPr>
            <w:tcW w:w="440" w:type="dxa"/>
            <w:vAlign w:val="bottom"/>
          </w:tcPr>
          <w:p>
            <w:pPr>
              <w:spacing w:after="0"/>
              <w:rPr>
                <w:sz w:val="14"/>
                <w:szCs w:val="14"/>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color w:val="auto"/>
              </w:rPr>
              <w:t>(881)</w:t>
            </w:r>
          </w:p>
        </w:tc>
        <w:tc>
          <w:tcPr>
            <w:tcW w:w="300" w:type="dxa"/>
            <w:vAlign w:val="bottom"/>
          </w:tcPr>
          <w:p>
            <w:pPr>
              <w:spacing w:after="0"/>
              <w:rPr>
                <w:sz w:val="14"/>
                <w:szCs w:val="14"/>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60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(881)</w:t>
            </w:r>
          </w:p>
        </w:tc>
      </w:tr>
      <w:tr>
        <w:trPr>
          <w:trHeight w:val="162"/>
        </w:trPr>
        <w:tc>
          <w:tcPr>
            <w:tcW w:w="20" w:type="dxa"/>
            <w:vAlign w:val="bottom"/>
          </w:tcPr>
          <w:p>
            <w:pPr>
              <w:spacing w:after="0"/>
              <w:rPr>
                <w:sz w:val="14"/>
                <w:szCs w:val="14"/>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4"/>
                <w:szCs w:val="14"/>
                <w:color w:val="auto"/>
              </w:rPr>
              <w:t>Issuances of common stock</w:t>
            </w:r>
          </w:p>
        </w:tc>
        <w:tc>
          <w:tcPr>
            <w:tcW w:w="440" w:type="dxa"/>
            <w:vAlign w:val="bottom"/>
            <w:shd w:val="clear" w:color="auto" w:fill="E5E5E5"/>
          </w:tcPr>
          <w:p>
            <w:pPr>
              <w:spacing w:after="0"/>
              <w:rPr>
                <w:sz w:val="14"/>
                <w:szCs w:val="14"/>
                <w:color w:val="auto"/>
              </w:rPr>
            </w:pPr>
          </w:p>
        </w:tc>
        <w:tc>
          <w:tcPr>
            <w:tcW w:w="680" w:type="dxa"/>
            <w:vAlign w:val="bottom"/>
            <w:shd w:val="clear" w:color="auto" w:fill="E5E5E5"/>
          </w:tcPr>
          <w:p>
            <w:pPr>
              <w:jc w:val="right"/>
              <w:ind w:right="232"/>
              <w:spacing w:after="0"/>
              <w:rPr>
                <w:sz w:val="20"/>
                <w:szCs w:val="20"/>
                <w:color w:val="auto"/>
              </w:rPr>
            </w:pPr>
            <w:r>
              <w:rPr>
                <w:rFonts w:ascii="Arial" w:cs="Arial" w:eastAsia="Arial" w:hAnsi="Arial"/>
                <w:sz w:val="14"/>
                <w:szCs w:val="14"/>
                <w:color w:val="auto"/>
              </w:rPr>
              <w:t>252</w:t>
            </w:r>
          </w:p>
        </w:tc>
        <w:tc>
          <w:tcPr>
            <w:tcW w:w="300" w:type="dxa"/>
            <w:vAlign w:val="bottom"/>
            <w:shd w:val="clear" w:color="auto" w:fill="E5E5E5"/>
          </w:tcPr>
          <w:p>
            <w:pPr>
              <w:spacing w:after="0"/>
              <w:rPr>
                <w:sz w:val="14"/>
                <w:szCs w:val="14"/>
                <w:color w:val="auto"/>
              </w:rPr>
            </w:pPr>
          </w:p>
        </w:tc>
        <w:tc>
          <w:tcPr>
            <w:tcW w:w="640" w:type="dxa"/>
            <w:vAlign w:val="bottom"/>
            <w:shd w:val="clear" w:color="auto" w:fill="E5E5E5"/>
          </w:tcPr>
          <w:p>
            <w:pPr>
              <w:jc w:val="right"/>
              <w:ind w:right="212"/>
              <w:spacing w:after="0"/>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4"/>
                <w:szCs w:val="14"/>
                <w:color w:val="auto"/>
              </w:rPr>
            </w:pPr>
          </w:p>
        </w:tc>
        <w:tc>
          <w:tcPr>
            <w:tcW w:w="780" w:type="dxa"/>
            <w:vAlign w:val="bottom"/>
            <w:shd w:val="clear" w:color="auto" w:fill="E5E5E5"/>
          </w:tcPr>
          <w:p>
            <w:pPr>
              <w:jc w:val="right"/>
              <w:ind w:right="232"/>
              <w:spacing w:after="0"/>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14"/>
                <w:szCs w:val="14"/>
                <w:color w:val="auto"/>
              </w:rPr>
            </w:pPr>
          </w:p>
        </w:tc>
        <w:tc>
          <w:tcPr>
            <w:tcW w:w="600" w:type="dxa"/>
            <w:vAlign w:val="bottom"/>
            <w:shd w:val="clear" w:color="auto" w:fill="E5E5E5"/>
          </w:tcPr>
          <w:p>
            <w:pPr>
              <w:jc w:val="right"/>
              <w:ind w:right="212"/>
              <w:spacing w:after="0"/>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4"/>
                <w:szCs w:val="14"/>
                <w:color w:val="auto"/>
              </w:rPr>
            </w:pPr>
          </w:p>
        </w:tc>
        <w:tc>
          <w:tcPr>
            <w:tcW w:w="820" w:type="dxa"/>
            <w:vAlign w:val="bottom"/>
            <w:shd w:val="clear" w:color="auto" w:fill="E5E5E5"/>
          </w:tcPr>
          <w:p>
            <w:pPr>
              <w:jc w:val="right"/>
              <w:ind w:right="212"/>
              <w:spacing w:after="0"/>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4"/>
                <w:szCs w:val="14"/>
                <w:color w:val="auto"/>
              </w:rPr>
            </w:pPr>
          </w:p>
        </w:tc>
        <w:tc>
          <w:tcPr>
            <w:tcW w:w="960" w:type="dxa"/>
            <w:vAlign w:val="bottom"/>
            <w:shd w:val="clear" w:color="auto" w:fill="E5E5E5"/>
          </w:tcPr>
          <w:p>
            <w:pPr>
              <w:jc w:val="right"/>
              <w:ind w:right="192"/>
              <w:spacing w:after="0"/>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4"/>
                <w:szCs w:val="14"/>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4"/>
                <w:szCs w:val="14"/>
                <w:color w:val="auto"/>
              </w:rPr>
              <w:t>252</w:t>
            </w:r>
          </w:p>
        </w:tc>
      </w:tr>
      <w:tr>
        <w:trPr>
          <w:trHeight w:val="162"/>
        </w:trPr>
        <w:tc>
          <w:tcPr>
            <w:tcW w:w="20" w:type="dxa"/>
            <w:vAlign w:val="bottom"/>
          </w:tcPr>
          <w:p>
            <w:pPr>
              <w:spacing w:after="0"/>
              <w:rPr>
                <w:sz w:val="14"/>
                <w:szCs w:val="14"/>
                <w:color w:val="auto"/>
              </w:rPr>
            </w:pPr>
          </w:p>
        </w:tc>
        <w:tc>
          <w:tcPr>
            <w:tcW w:w="3700" w:type="dxa"/>
            <w:vAlign w:val="bottom"/>
          </w:tcPr>
          <w:p>
            <w:pPr>
              <w:ind w:left="200"/>
              <w:spacing w:after="0"/>
              <w:rPr>
                <w:sz w:val="20"/>
                <w:szCs w:val="20"/>
                <w:color w:val="auto"/>
              </w:rPr>
            </w:pPr>
            <w:r>
              <w:rPr>
                <w:rFonts w:ascii="Arial" w:cs="Arial" w:eastAsia="Arial" w:hAnsi="Arial"/>
                <w:sz w:val="14"/>
                <w:szCs w:val="14"/>
                <w:color w:val="auto"/>
              </w:rPr>
              <w:t>Distributions (to) from noncontrolling interests</w:t>
            </w:r>
          </w:p>
        </w:tc>
        <w:tc>
          <w:tcPr>
            <w:tcW w:w="440" w:type="dxa"/>
            <w:vAlign w:val="bottom"/>
          </w:tcPr>
          <w:p>
            <w:pPr>
              <w:spacing w:after="0"/>
              <w:rPr>
                <w:sz w:val="14"/>
                <w:szCs w:val="14"/>
                <w:color w:val="auto"/>
              </w:rPr>
            </w:pPr>
          </w:p>
        </w:tc>
        <w:tc>
          <w:tcPr>
            <w:tcW w:w="68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60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820" w:type="dxa"/>
            <w:vAlign w:val="bottom"/>
          </w:tcPr>
          <w:p>
            <w:pPr>
              <w:jc w:val="right"/>
              <w:ind w:right="172"/>
              <w:spacing w:after="0"/>
              <w:rPr>
                <w:sz w:val="20"/>
                <w:szCs w:val="20"/>
                <w:color w:val="auto"/>
              </w:rPr>
            </w:pPr>
            <w:r>
              <w:rPr>
                <w:rFonts w:ascii="Arial" w:cs="Arial" w:eastAsia="Arial" w:hAnsi="Arial"/>
                <w:sz w:val="14"/>
                <w:szCs w:val="14"/>
                <w:color w:val="auto"/>
              </w:rPr>
              <w:t>(237)</w:t>
            </w:r>
          </w:p>
        </w:tc>
        <w:tc>
          <w:tcPr>
            <w:tcW w:w="320" w:type="dxa"/>
            <w:vAlign w:val="bottom"/>
          </w:tcPr>
          <w:p>
            <w:pPr>
              <w:spacing w:after="0"/>
              <w:rPr>
                <w:sz w:val="14"/>
                <w:szCs w:val="14"/>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(237)</w:t>
            </w:r>
          </w:p>
        </w:tc>
      </w:tr>
      <w:tr>
        <w:trPr>
          <w:trHeight w:val="162"/>
        </w:trPr>
        <w:tc>
          <w:tcPr>
            <w:tcW w:w="20" w:type="dxa"/>
            <w:vAlign w:val="bottom"/>
          </w:tcPr>
          <w:p>
            <w:pPr>
              <w:spacing w:after="0"/>
              <w:rPr>
                <w:sz w:val="14"/>
                <w:szCs w:val="14"/>
                <w:color w:val="auto"/>
              </w:rPr>
            </w:pPr>
          </w:p>
        </w:tc>
        <w:tc>
          <w:tcPr>
            <w:tcW w:w="37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4"/>
                <w:szCs w:val="14"/>
                <w:color w:val="auto"/>
              </w:rPr>
              <w:t>Other</w:t>
            </w:r>
          </w:p>
        </w:tc>
        <w:tc>
          <w:tcPr>
            <w:tcW w:w="440" w:type="dxa"/>
            <w:vAlign w:val="bottom"/>
            <w:tcBorders>
              <w:bottom w:val="single" w:sz="8" w:color="auto"/>
            </w:tcBorders>
            <w:shd w:val="clear" w:color="auto" w:fill="E5E5E5"/>
          </w:tcPr>
          <w:p>
            <w:pPr>
              <w:spacing w:after="0"/>
              <w:rPr>
                <w:sz w:val="14"/>
                <w:szCs w:val="14"/>
                <w:color w:val="auto"/>
              </w:rPr>
            </w:pPr>
          </w:p>
        </w:tc>
        <w:tc>
          <w:tcPr>
            <w:tcW w:w="68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4"/>
                <w:szCs w:val="14"/>
                <w:color w:val="auto"/>
              </w:rPr>
              <w:t>48</w:t>
            </w:r>
          </w:p>
        </w:tc>
        <w:tc>
          <w:tcPr>
            <w:tcW w:w="300" w:type="dxa"/>
            <w:vAlign w:val="bottom"/>
            <w:tcBorders>
              <w:bottom w:val="single" w:sz="8" w:color="auto"/>
            </w:tcBorders>
            <w:shd w:val="clear" w:color="auto" w:fill="E5E5E5"/>
          </w:tcPr>
          <w:p>
            <w:pPr>
              <w:spacing w:after="0"/>
              <w:rPr>
                <w:sz w:val="14"/>
                <w:szCs w:val="14"/>
                <w:color w:val="auto"/>
              </w:rPr>
            </w:pPr>
          </w:p>
        </w:tc>
        <w:tc>
          <w:tcPr>
            <w:tcW w:w="64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4"/>
                <w:szCs w:val="14"/>
                <w:color w:val="auto"/>
              </w:rPr>
            </w:pPr>
          </w:p>
        </w:tc>
        <w:tc>
          <w:tcPr>
            <w:tcW w:w="78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E5E5E5"/>
          </w:tcPr>
          <w:p>
            <w:pPr>
              <w:spacing w:after="0"/>
              <w:rPr>
                <w:sz w:val="14"/>
                <w:szCs w:val="14"/>
                <w:color w:val="auto"/>
              </w:rPr>
            </w:pPr>
          </w:p>
        </w:tc>
        <w:tc>
          <w:tcPr>
            <w:tcW w:w="60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spacing w:after="0"/>
              <w:rPr>
                <w:sz w:val="14"/>
                <w:szCs w:val="14"/>
                <w:color w:val="auto"/>
              </w:rPr>
            </w:pPr>
          </w:p>
        </w:tc>
        <w:tc>
          <w:tcPr>
            <w:tcW w:w="8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4"/>
                <w:szCs w:val="14"/>
                <w:color w:val="auto"/>
              </w:rPr>
              <w:t>(84)</w:t>
            </w:r>
          </w:p>
        </w:tc>
        <w:tc>
          <w:tcPr>
            <w:tcW w:w="320" w:type="dxa"/>
            <w:vAlign w:val="bottom"/>
            <w:tcBorders>
              <w:bottom w:val="single" w:sz="8" w:color="auto"/>
            </w:tcBorders>
            <w:shd w:val="clear" w:color="auto" w:fill="E5E5E5"/>
          </w:tcPr>
          <w:p>
            <w:pPr>
              <w:spacing w:after="0"/>
              <w:rPr>
                <w:sz w:val="14"/>
                <w:szCs w:val="14"/>
                <w:color w:val="auto"/>
              </w:rPr>
            </w:pPr>
          </w:p>
        </w:tc>
        <w:tc>
          <w:tcPr>
            <w:tcW w:w="96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spacing w:after="0"/>
              <w:rPr>
                <w:sz w:val="14"/>
                <w:szCs w:val="14"/>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(36)</w:t>
            </w:r>
          </w:p>
        </w:tc>
      </w:tr>
      <w:tr>
        <w:trPr>
          <w:trHeight w:val="156"/>
        </w:trPr>
        <w:tc>
          <w:tcPr>
            <w:tcW w:w="20" w:type="dxa"/>
            <w:vAlign w:val="bottom"/>
          </w:tcPr>
          <w:p>
            <w:pPr>
              <w:spacing w:after="0"/>
              <w:rPr>
                <w:sz w:val="13"/>
                <w:szCs w:val="13"/>
                <w:color w:val="auto"/>
              </w:rPr>
            </w:pPr>
          </w:p>
        </w:tc>
        <w:tc>
          <w:tcPr>
            <w:tcW w:w="370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w w:val="94"/>
              </w:rPr>
              <w:t>(2,584)</w:t>
            </w: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(700)</w:t>
            </w: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(439)</w:t>
            </w: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(3,723)</w:t>
            </w:r>
          </w:p>
        </w:tc>
      </w:tr>
      <w:tr>
        <w:trPr>
          <w:trHeight w:val="156"/>
        </w:trPr>
        <w:tc>
          <w:tcPr>
            <w:tcW w:w="20" w:type="dxa"/>
            <w:vAlign w:val="bottom"/>
          </w:tcPr>
          <w:p>
            <w:pPr>
              <w:spacing w:after="0"/>
              <w:rPr>
                <w:sz w:val="13"/>
                <w:szCs w:val="13"/>
                <w:color w:val="auto"/>
              </w:rPr>
            </w:pPr>
          </w:p>
        </w:tc>
        <w:tc>
          <w:tcPr>
            <w:tcW w:w="3700" w:type="dxa"/>
            <w:vAlign w:val="bottom"/>
            <w:shd w:val="clear" w:color="auto" w:fill="E5E5E5"/>
          </w:tcPr>
          <w:p>
            <w:pPr>
              <w:spacing w:after="0" w:line="155" w:lineRule="exact"/>
              <w:rPr>
                <w:sz w:val="20"/>
                <w:szCs w:val="20"/>
                <w:color w:val="auto"/>
              </w:rPr>
            </w:pPr>
            <w:r>
              <w:rPr>
                <w:rFonts w:ascii="Arial" w:cs="Arial" w:eastAsia="Arial" w:hAnsi="Arial"/>
                <w:sz w:val="14"/>
                <w:szCs w:val="14"/>
                <w:color w:val="auto"/>
              </w:rPr>
              <w:t>Increase (decrease) in cash and cash equivalents</w:t>
            </w:r>
          </w:p>
        </w:tc>
        <w:tc>
          <w:tcPr>
            <w:tcW w:w="440" w:type="dxa"/>
            <w:vAlign w:val="bottom"/>
            <w:shd w:val="clear" w:color="auto" w:fill="E5E5E5"/>
          </w:tcPr>
          <w:p>
            <w:pPr>
              <w:spacing w:after="0"/>
              <w:rPr>
                <w:sz w:val="13"/>
                <w:szCs w:val="13"/>
                <w:color w:val="auto"/>
              </w:rPr>
            </w:pPr>
          </w:p>
        </w:tc>
        <w:tc>
          <w:tcPr>
            <w:tcW w:w="680" w:type="dxa"/>
            <w:vAlign w:val="bottom"/>
            <w:shd w:val="clear" w:color="auto" w:fill="E5E5E5"/>
          </w:tcPr>
          <w:p>
            <w:pPr>
              <w:jc w:val="right"/>
              <w:ind w:right="232"/>
              <w:spacing w:after="0" w:line="155"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3"/>
                <w:szCs w:val="13"/>
                <w:color w:val="auto"/>
              </w:rPr>
            </w:pPr>
          </w:p>
        </w:tc>
        <w:tc>
          <w:tcPr>
            <w:tcW w:w="640" w:type="dxa"/>
            <w:vAlign w:val="bottom"/>
            <w:shd w:val="clear" w:color="auto" w:fill="E5E5E5"/>
          </w:tcPr>
          <w:p>
            <w:pPr>
              <w:jc w:val="right"/>
              <w:ind w:right="212"/>
              <w:spacing w:after="0" w:line="155"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3"/>
                <w:szCs w:val="13"/>
                <w:color w:val="auto"/>
              </w:rPr>
            </w:pPr>
          </w:p>
        </w:tc>
        <w:tc>
          <w:tcPr>
            <w:tcW w:w="780" w:type="dxa"/>
            <w:vAlign w:val="bottom"/>
            <w:shd w:val="clear" w:color="auto" w:fill="E5E5E5"/>
          </w:tcPr>
          <w:p>
            <w:pPr>
              <w:jc w:val="right"/>
              <w:ind w:right="232"/>
              <w:spacing w:after="0" w:line="155" w:lineRule="exact"/>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13"/>
                <w:szCs w:val="13"/>
                <w:color w:val="auto"/>
              </w:rPr>
            </w:pPr>
          </w:p>
        </w:tc>
        <w:tc>
          <w:tcPr>
            <w:tcW w:w="600" w:type="dxa"/>
            <w:vAlign w:val="bottom"/>
            <w:shd w:val="clear" w:color="auto" w:fill="E5E5E5"/>
          </w:tcPr>
          <w:p>
            <w:pPr>
              <w:jc w:val="right"/>
              <w:ind w:right="212"/>
              <w:spacing w:after="0" w:line="155"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3"/>
                <w:szCs w:val="13"/>
                <w:color w:val="auto"/>
              </w:rPr>
            </w:pPr>
          </w:p>
        </w:tc>
        <w:tc>
          <w:tcPr>
            <w:tcW w:w="820" w:type="dxa"/>
            <w:vAlign w:val="bottom"/>
            <w:shd w:val="clear" w:color="auto" w:fill="E5E5E5"/>
          </w:tcPr>
          <w:p>
            <w:pPr>
              <w:jc w:val="right"/>
              <w:ind w:right="172"/>
              <w:spacing w:after="0" w:line="155" w:lineRule="exact"/>
              <w:rPr>
                <w:sz w:val="20"/>
                <w:szCs w:val="20"/>
                <w:color w:val="auto"/>
              </w:rPr>
            </w:pPr>
            <w:r>
              <w:rPr>
                <w:rFonts w:ascii="Arial" w:cs="Arial" w:eastAsia="Arial" w:hAnsi="Arial"/>
                <w:sz w:val="14"/>
                <w:szCs w:val="14"/>
                <w:color w:val="auto"/>
              </w:rPr>
              <w:t>(4,178)</w:t>
            </w:r>
          </w:p>
        </w:tc>
        <w:tc>
          <w:tcPr>
            <w:tcW w:w="320" w:type="dxa"/>
            <w:vAlign w:val="bottom"/>
            <w:shd w:val="clear" w:color="auto" w:fill="E5E5E5"/>
          </w:tcPr>
          <w:p>
            <w:pPr>
              <w:spacing w:after="0"/>
              <w:rPr>
                <w:sz w:val="13"/>
                <w:szCs w:val="13"/>
                <w:color w:val="auto"/>
              </w:rPr>
            </w:pPr>
          </w:p>
        </w:tc>
        <w:tc>
          <w:tcPr>
            <w:tcW w:w="960" w:type="dxa"/>
            <w:vAlign w:val="bottom"/>
            <w:shd w:val="clear" w:color="auto" w:fill="E5E5E5"/>
          </w:tcPr>
          <w:p>
            <w:pPr>
              <w:jc w:val="right"/>
              <w:ind w:right="192"/>
              <w:spacing w:after="0" w:line="155"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3"/>
                <w:szCs w:val="13"/>
                <w:color w:val="auto"/>
              </w:rPr>
            </w:pPr>
          </w:p>
        </w:tc>
        <w:tc>
          <w:tcPr>
            <w:tcW w:w="700" w:type="dxa"/>
            <w:vAlign w:val="bottom"/>
            <w:shd w:val="clear" w:color="auto" w:fill="E5E5E5"/>
          </w:tcPr>
          <w:p>
            <w:pPr>
              <w:jc w:val="right"/>
              <w:spacing w:after="0" w:line="155" w:lineRule="exact"/>
              <w:rPr>
                <w:sz w:val="20"/>
                <w:szCs w:val="20"/>
                <w:color w:val="auto"/>
              </w:rPr>
            </w:pPr>
            <w:r>
              <w:rPr>
                <w:rFonts w:ascii="Arial" w:cs="Arial" w:eastAsia="Arial" w:hAnsi="Arial"/>
                <w:sz w:val="14"/>
                <w:szCs w:val="14"/>
                <w:color w:val="auto"/>
              </w:rPr>
              <w:t>(4,178)</w:t>
            </w:r>
          </w:p>
        </w:tc>
      </w:tr>
      <w:tr>
        <w:trPr>
          <w:trHeight w:val="162"/>
        </w:trPr>
        <w:tc>
          <w:tcPr>
            <w:tcW w:w="20" w:type="dxa"/>
            <w:vAlign w:val="bottom"/>
          </w:tcPr>
          <w:p>
            <w:pPr>
              <w:spacing w:after="0"/>
              <w:rPr>
                <w:sz w:val="14"/>
                <w:szCs w:val="1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Cash and cash equivalents, beginning of period</w:t>
            </w: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5,984</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5,984</w:t>
            </w:r>
          </w:p>
        </w:tc>
      </w:tr>
      <w:tr>
        <w:trPr>
          <w:trHeight w:val="163"/>
        </w:trPr>
        <w:tc>
          <w:tcPr>
            <w:tcW w:w="20" w:type="dxa"/>
            <w:vAlign w:val="bottom"/>
          </w:tcPr>
          <w:p>
            <w:pPr>
              <w:spacing w:after="0"/>
              <w:rPr>
                <w:sz w:val="14"/>
                <w:szCs w:val="14"/>
                <w:color w:val="auto"/>
              </w:rPr>
            </w:pPr>
          </w:p>
        </w:tc>
        <w:tc>
          <w:tcPr>
            <w:tcW w:w="3700" w:type="dxa"/>
            <w:vAlign w:val="bottom"/>
            <w:tcBorders>
              <w:bottom w:val="single" w:sz="8" w:color="auto"/>
            </w:tcBorders>
            <w:shd w:val="clear" w:color="auto" w:fill="E5E5E5"/>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440" w:type="dxa"/>
            <w:vAlign w:val="bottom"/>
            <w:tcBorders>
              <w:bottom w:val="single" w:sz="8" w:color="auto"/>
            </w:tcBorders>
            <w:shd w:val="clear" w:color="auto" w:fill="E5E5E5"/>
          </w:tcPr>
          <w:p>
            <w:pPr>
              <w:ind w:left="360"/>
              <w:spacing w:after="0" w:line="155"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shd w:val="clear" w:color="auto" w:fill="E5E5E5"/>
          </w:tcPr>
          <w:p>
            <w:pPr>
              <w:jc w:val="right"/>
              <w:ind w:right="232"/>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shd w:val="clear" w:color="auto" w:fill="E5E5E5"/>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E5E5E5"/>
          </w:tcPr>
          <w:p>
            <w:pPr>
              <w:jc w:val="right"/>
              <w:ind w:right="212"/>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shd w:val="clear" w:color="auto" w:fill="E5E5E5"/>
          </w:tcPr>
          <w:p>
            <w:pPr>
              <w:ind w:left="240"/>
              <w:spacing w:after="0" w:line="155"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E5E5E5"/>
          </w:tcPr>
          <w:p>
            <w:pPr>
              <w:jc w:val="right"/>
              <w:ind w:right="232"/>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shd w:val="clear" w:color="auto" w:fill="E5E5E5"/>
          </w:tcPr>
          <w:p>
            <w:pPr>
              <w:ind w:left="240"/>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5E5E5"/>
          </w:tcPr>
          <w:p>
            <w:pPr>
              <w:jc w:val="right"/>
              <w:ind w:right="212"/>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shd w:val="clear" w:color="auto" w:fill="E5E5E5"/>
          </w:tcPr>
          <w:p>
            <w:pPr>
              <w:ind w:left="240"/>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E5E5E5"/>
          </w:tcPr>
          <w:p>
            <w:pPr>
              <w:jc w:val="right"/>
              <w:ind w:right="212"/>
              <w:spacing w:after="0" w:line="155" w:lineRule="exact"/>
              <w:rPr>
                <w:sz w:val="20"/>
                <w:szCs w:val="20"/>
                <w:color w:val="auto"/>
              </w:rPr>
            </w:pPr>
            <w:r>
              <w:rPr>
                <w:rFonts w:ascii="Arial" w:cs="Arial" w:eastAsia="Arial" w:hAnsi="Arial"/>
                <w:sz w:val="14"/>
                <w:szCs w:val="14"/>
                <w:b w:val="1"/>
                <w:bCs w:val="1"/>
                <w:color w:val="auto"/>
              </w:rPr>
              <w:t>1,806</w:t>
            </w:r>
          </w:p>
        </w:tc>
        <w:tc>
          <w:tcPr>
            <w:tcW w:w="320" w:type="dxa"/>
            <w:vAlign w:val="bottom"/>
            <w:tcBorders>
              <w:bottom w:val="single" w:sz="8" w:color="auto"/>
            </w:tcBorders>
            <w:shd w:val="clear" w:color="auto" w:fill="E5E5E5"/>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E5E5E5"/>
          </w:tcPr>
          <w:p>
            <w:pPr>
              <w:jc w:val="right"/>
              <w:ind w:right="192"/>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shd w:val="clear" w:color="auto" w:fill="E5E5E5"/>
          </w:tcPr>
          <w:p>
            <w:pPr>
              <w:ind w:left="260"/>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E5E5E5"/>
          </w:tcPr>
          <w:p>
            <w:pPr>
              <w:jc w:val="right"/>
              <w:ind w:right="12"/>
              <w:spacing w:after="0" w:line="155" w:lineRule="exact"/>
              <w:rPr>
                <w:sz w:val="20"/>
                <w:szCs w:val="20"/>
                <w:color w:val="auto"/>
              </w:rPr>
            </w:pPr>
            <w:r>
              <w:rPr>
                <w:rFonts w:ascii="Arial" w:cs="Arial" w:eastAsia="Arial" w:hAnsi="Arial"/>
                <w:sz w:val="14"/>
                <w:szCs w:val="14"/>
                <w:b w:val="1"/>
                <w:bCs w:val="1"/>
                <w:color w:val="auto"/>
              </w:rPr>
              <w:t>1,806</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We are a leading provider of entertainment, information and communication products and services. On January 28, 2011, we closed the NBCUniversal transaction in which we acquired control of the businesses of NBCUniversal, and on July 1, 2011, we closed the Universal Orlando transaction in which we acquired the remaining 50% equity interest in Universal Orlando that we did not already own. We report our operations as the following five reportable business segments.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one of the nation’s leading providers of video, high-speed Internet and voice services to residential and business customers. As of September 30, 2012, our cable systems served 22 million video customers, 19 million high-speed Internet customers and 9.8 million voice customers and passed more than 52 million homes and businesses in 39 states and the District of Columbia. Our Cable Communications segment generates revenue primarily from subscriptions to our cable services, which we market individually and in packages, and from the sale of advertising. During the nine months ended September 30, 2012, our Cable Communications segment generated 63% of our consolidated revenue and more than 80% of our operating income before depreciation and amortization.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NBCUniversal is a leading media and entertainment company that develops, produces and distributes entertainment, news and information, sports and other content for global audiences.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Cable Networks segment consists primarily of our national cable networks, which provide entertainment, news and information, and sports programming, our regional sports and news networks, our international cable networks, our cable television production studio, and our related digital media properties. Our Cable Networks segment generates revenue primarily from the distribution of our cable network programming to multichannel video providers, the sale of advertising, and the licensing and sale of our owned programming.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television stations, our broadcast television production operations, and our related digital media properties. Our Broadcast Television segment generates revenue primarily from the sale of advertising and the licensing and sale of our owned programming.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Filmed Entertainment segment consists of the operations of Universal Pictures, including Focus Features, which produces, acquires, markets and distributes filmed entertainment worldwide in various media formats for theatrical, home entertainment, television and other distribution platforms. We also develop, produce and license stage plays. Our Filmed Entertainment segment generates revenue primarily from the worldwide theatrical release of our owned and acquired films, content licensing and home entertainment.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Theme Parks segment consists primarily of our Universal theme parks in Orlando and Hollywood. We also receive fees related to intellectual property licenses and other services from third parties that own and operate Universal Studios Japan and Universal Studios Singapore. Our Theme Parks segment generates revenue primarily from theme park attendance and per capita spending, as well as from licensing and other fees. Per capita spending includes ticket price and in-park spending on food, beverage and merchandise.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 large, multipurpose arena in Philadelphia. Comcast-Spectacor also owns Global Spectrum, which provides venue management services, and Ovations Food Services, which provides food services for sporting events, concerts and other events.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more significant developments in our businesses during the nine months ended September 30, 2012:</w:t>
      </w:r>
    </w:p>
    <w:p>
      <w:pPr>
        <w:spacing w:after="0" w:line="77" w:lineRule="exact"/>
        <w:rPr>
          <w:sz w:val="20"/>
          <w:szCs w:val="20"/>
          <w:color w:val="auto"/>
        </w:rPr>
      </w:pPr>
    </w:p>
    <w:p>
      <w:pPr>
        <w:ind w:left="1020" w:right="1240" w:hanging="215"/>
        <w:spacing w:after="0" w:line="26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broadcasts of the 2012 Super Bowl and 2012 London Olympics, which resulted in a combined increase in Broadcast Television segment revenue of $1.4 billion</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completion of SpectrumCo’s transaction to sell its AWS spectrum licenses to Verizon Wireless for $3.6 billion, of which our portion of the proceeds was $2.3 billion</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redemption by A&amp;E Television Networks of NBCUniversal’s 15.8% equity interest in A&amp;E Television Networks for $3 billion in cash proceeds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gridSpan w:val="3"/>
          </w:tcPr>
          <w:p>
            <w:pPr>
              <w:jc w:val="right"/>
              <w:ind w:right="374"/>
              <w:spacing w:after="0"/>
              <w:rPr>
                <w:sz w:val="20"/>
                <w:szCs w:val="20"/>
                <w:color w:val="auto"/>
              </w:rPr>
            </w:pPr>
            <w:r>
              <w:rPr>
                <w:rFonts w:ascii="Arial" w:cs="Arial" w:eastAsia="Arial" w:hAnsi="Arial"/>
                <w:sz w:val="14"/>
                <w:szCs w:val="14"/>
                <w:color w:val="auto"/>
                <w:w w:val="94"/>
              </w:rPr>
              <w:t>Three Months Ended</w:t>
            </w:r>
          </w:p>
        </w:tc>
        <w:tc>
          <w:tcPr>
            <w:tcW w:w="1140" w:type="dxa"/>
            <w:vAlign w:val="bottom"/>
          </w:tcPr>
          <w:p>
            <w:pPr>
              <w:jc w:val="right"/>
              <w:ind w:right="335"/>
              <w:spacing w:after="0"/>
              <w:rPr>
                <w:sz w:val="20"/>
                <w:szCs w:val="20"/>
                <w:color w:val="auto"/>
              </w:rPr>
            </w:pPr>
            <w:r>
              <w:rPr>
                <w:rFonts w:ascii="Arial" w:cs="Arial" w:eastAsia="Arial" w:hAnsi="Arial"/>
                <w:sz w:val="14"/>
                <w:szCs w:val="14"/>
                <w:color w:val="auto"/>
              </w:rPr>
              <w:t>Increase/</w:t>
            </w:r>
          </w:p>
        </w:tc>
        <w:tc>
          <w:tcPr>
            <w:tcW w:w="280" w:type="dxa"/>
            <w:vAlign w:val="bottom"/>
          </w:tcPr>
          <w:p>
            <w:pPr>
              <w:spacing w:after="0"/>
              <w:rPr>
                <w:sz w:val="14"/>
                <w:szCs w:val="14"/>
                <w:color w:val="auto"/>
              </w:rPr>
            </w:pPr>
          </w:p>
        </w:tc>
        <w:tc>
          <w:tcPr>
            <w:tcW w:w="1720" w:type="dxa"/>
            <w:vAlign w:val="bottom"/>
            <w:gridSpan w:val="3"/>
          </w:tcPr>
          <w:p>
            <w:pPr>
              <w:jc w:val="right"/>
              <w:ind w:right="394"/>
              <w:spacing w:after="0"/>
              <w:rPr>
                <w:sz w:val="20"/>
                <w:szCs w:val="20"/>
                <w:color w:val="auto"/>
              </w:rPr>
            </w:pPr>
            <w:r>
              <w:rPr>
                <w:rFonts w:ascii="Arial" w:cs="Arial" w:eastAsia="Arial" w:hAnsi="Arial"/>
                <w:sz w:val="14"/>
                <w:szCs w:val="14"/>
                <w:color w:val="auto"/>
                <w:w w:val="99"/>
              </w:rPr>
              <w:t>Nine Months Ended</w:t>
            </w:r>
          </w:p>
        </w:tc>
        <w:tc>
          <w:tcPr>
            <w:tcW w:w="1000" w:type="dxa"/>
            <w:vAlign w:val="bottom"/>
          </w:tcPr>
          <w:p>
            <w:pPr>
              <w:jc w:val="right"/>
              <w:ind w:right="195"/>
              <w:spacing w:after="0"/>
              <w:rPr>
                <w:sz w:val="20"/>
                <w:szCs w:val="20"/>
                <w:color w:val="auto"/>
              </w:rPr>
            </w:pPr>
            <w:r>
              <w:rPr>
                <w:rFonts w:ascii="Arial" w:cs="Arial" w:eastAsia="Arial" w:hAnsi="Arial"/>
                <w:sz w:val="14"/>
                <w:szCs w:val="14"/>
                <w:color w:val="auto"/>
              </w:rPr>
              <w:t>Increase/</w:t>
            </w:r>
          </w:p>
        </w:tc>
      </w:tr>
      <w:tr>
        <w:trPr>
          <w:trHeight w:val="159"/>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ind w:right="574"/>
              <w:spacing w:after="0" w:line="159" w:lineRule="exact"/>
              <w:rPr>
                <w:sz w:val="20"/>
                <w:szCs w:val="20"/>
                <w:color w:val="auto"/>
              </w:rPr>
            </w:pPr>
            <w:r>
              <w:rPr>
                <w:rFonts w:ascii="Arial" w:cs="Arial" w:eastAsia="Arial" w:hAnsi="Arial"/>
                <w:sz w:val="14"/>
                <w:szCs w:val="14"/>
                <w:color w:val="auto"/>
              </w:rPr>
              <w:t>September 30</w:t>
            </w:r>
          </w:p>
        </w:tc>
        <w:tc>
          <w:tcPr>
            <w:tcW w:w="1140" w:type="dxa"/>
            <w:vAlign w:val="bottom"/>
            <w:tcBorders>
              <w:bottom w:val="single" w:sz="8" w:color="auto"/>
            </w:tcBorders>
          </w:tcPr>
          <w:p>
            <w:pPr>
              <w:jc w:val="right"/>
              <w:ind w:right="275"/>
              <w:spacing w:after="0" w:line="159" w:lineRule="exact"/>
              <w:rPr>
                <w:sz w:val="20"/>
                <w:szCs w:val="20"/>
                <w:color w:val="auto"/>
              </w:rPr>
            </w:pPr>
            <w:r>
              <w:rPr>
                <w:rFonts w:ascii="Arial" w:cs="Arial" w:eastAsia="Arial" w:hAnsi="Arial"/>
                <w:sz w:val="14"/>
                <w:szCs w:val="14"/>
                <w:color w:val="auto"/>
              </w:rPr>
              <w:t>(Decrease)</w:t>
            </w:r>
          </w:p>
        </w:tc>
        <w:tc>
          <w:tcPr>
            <w:tcW w:w="2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ind w:right="574"/>
              <w:spacing w:after="0" w:line="159" w:lineRule="exact"/>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jc w:val="right"/>
              <w:ind w:right="155"/>
              <w:spacing w:after="0" w:line="159" w:lineRule="exact"/>
              <w:rPr>
                <w:sz w:val="20"/>
                <w:szCs w:val="20"/>
                <w:color w:val="auto"/>
              </w:rPr>
            </w:pPr>
            <w:r>
              <w:rPr>
                <w:rFonts w:ascii="Arial" w:cs="Arial" w:eastAsia="Arial" w:hAnsi="Arial"/>
                <w:sz w:val="14"/>
                <w:szCs w:val="14"/>
                <w:color w:val="auto"/>
              </w:rPr>
              <w:t>(Decrease)</w:t>
            </w:r>
          </w:p>
        </w:tc>
      </w:tr>
      <w:tr>
        <w:trPr>
          <w:trHeight w:val="237"/>
        </w:trPr>
        <w:tc>
          <w:tcPr>
            <w:tcW w:w="51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720" w:type="dxa"/>
            <w:vAlign w:val="bottom"/>
          </w:tcPr>
          <w:p>
            <w:pPr>
              <w:jc w:val="right"/>
              <w:ind w:right="317"/>
              <w:spacing w:after="0"/>
              <w:rPr>
                <w:sz w:val="20"/>
                <w:szCs w:val="20"/>
                <w:color w:val="auto"/>
              </w:rPr>
            </w:pPr>
            <w:r>
              <w:rPr>
                <w:rFonts w:ascii="Arial" w:cs="Arial" w:eastAsia="Arial" w:hAnsi="Arial"/>
                <w:sz w:val="14"/>
                <w:szCs w:val="14"/>
                <w:color w:val="auto"/>
                <w:w w:val="96"/>
              </w:rPr>
              <w:t>2012</w:t>
            </w:r>
          </w:p>
        </w:tc>
        <w:tc>
          <w:tcPr>
            <w:tcW w:w="280" w:type="dxa"/>
            <w:vAlign w:val="bottom"/>
          </w:tcPr>
          <w:p>
            <w:pPr>
              <w:spacing w:after="0"/>
              <w:rPr>
                <w:sz w:val="20"/>
                <w:szCs w:val="20"/>
                <w:color w:val="auto"/>
              </w:rPr>
            </w:pPr>
          </w:p>
        </w:tc>
        <w:tc>
          <w:tcPr>
            <w:tcW w:w="720" w:type="dxa"/>
            <w:vAlign w:val="bottom"/>
          </w:tcPr>
          <w:p>
            <w:pPr>
              <w:jc w:val="right"/>
              <w:ind w:right="314"/>
              <w:spacing w:after="0"/>
              <w:rPr>
                <w:sz w:val="20"/>
                <w:szCs w:val="20"/>
                <w:color w:val="auto"/>
              </w:rPr>
            </w:pPr>
            <w:r>
              <w:rPr>
                <w:rFonts w:ascii="Arial" w:cs="Arial" w:eastAsia="Arial" w:hAnsi="Arial"/>
                <w:sz w:val="14"/>
                <w:szCs w:val="14"/>
                <w:color w:val="auto"/>
                <w:w w:val="96"/>
              </w:rPr>
              <w:t>2011</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317"/>
              <w:spacing w:after="0"/>
              <w:rPr>
                <w:sz w:val="20"/>
                <w:szCs w:val="20"/>
                <w:color w:val="auto"/>
              </w:rPr>
            </w:pPr>
            <w:r>
              <w:rPr>
                <w:rFonts w:ascii="Arial" w:cs="Arial" w:eastAsia="Arial" w:hAnsi="Arial"/>
                <w:sz w:val="14"/>
                <w:szCs w:val="14"/>
                <w:color w:val="auto"/>
                <w:w w:val="96"/>
              </w:rPr>
              <w:t>2012</w:t>
            </w:r>
          </w:p>
        </w:tc>
        <w:tc>
          <w:tcPr>
            <w:tcW w:w="260" w:type="dxa"/>
            <w:vAlign w:val="bottom"/>
          </w:tcPr>
          <w:p>
            <w:pPr>
              <w:spacing w:after="0"/>
              <w:rPr>
                <w:sz w:val="20"/>
                <w:szCs w:val="20"/>
                <w:color w:val="auto"/>
              </w:rPr>
            </w:pPr>
          </w:p>
        </w:tc>
        <w:tc>
          <w:tcPr>
            <w:tcW w:w="740" w:type="dxa"/>
            <w:vAlign w:val="bottom"/>
          </w:tcPr>
          <w:p>
            <w:pPr>
              <w:jc w:val="right"/>
              <w:ind w:right="314"/>
              <w:spacing w:after="0"/>
              <w:rPr>
                <w:sz w:val="20"/>
                <w:szCs w:val="20"/>
                <w:color w:val="auto"/>
              </w:rPr>
            </w:pPr>
            <w:r>
              <w:rPr>
                <w:rFonts w:ascii="Arial" w:cs="Arial" w:eastAsia="Arial" w:hAnsi="Arial"/>
                <w:sz w:val="14"/>
                <w:szCs w:val="14"/>
                <w:color w:val="auto"/>
              </w:rPr>
              <w:t>2011</w:t>
            </w:r>
          </w:p>
        </w:tc>
        <w:tc>
          <w:tcPr>
            <w:tcW w:w="10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w w:val="83"/>
              </w:rPr>
              <w:t>16,544</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w w:val="83"/>
              </w:rPr>
              <w:t>14,339</w:t>
            </w:r>
          </w:p>
        </w:tc>
        <w:tc>
          <w:tcPr>
            <w:tcW w:w="1140" w:type="dxa"/>
            <w:vAlign w:val="bottom"/>
            <w:tcBorders>
              <w:top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15.4%</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w w:val="83"/>
              </w:rPr>
              <w:t>46,633</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w w:val="87"/>
              </w:rPr>
              <w:t>40,800</w:t>
            </w:r>
          </w:p>
        </w:tc>
        <w:tc>
          <w:tcPr>
            <w:tcW w:w="10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Costs and Expenses:</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w w:val="83"/>
              </w:rPr>
              <w:t>11,536</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9,765</w:t>
            </w:r>
          </w:p>
        </w:tc>
        <w:tc>
          <w:tcPr>
            <w:tcW w:w="114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18.1</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w w:val="83"/>
              </w:rPr>
              <w:t>31,933</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w w:val="87"/>
              </w:rPr>
              <w:t>27,359</w:t>
            </w:r>
          </w:p>
        </w:tc>
        <w:tc>
          <w:tcPr>
            <w:tcW w:w="10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16.7</w:t>
            </w: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18"/>
                <w:szCs w:val="18"/>
                <w:color w:val="auto"/>
              </w:rPr>
            </w:pPr>
          </w:p>
        </w:tc>
        <w:tc>
          <w:tcPr>
            <w:tcW w:w="720" w:type="dxa"/>
            <w:vAlign w:val="bottom"/>
          </w:tcPr>
          <w:p>
            <w:pPr>
              <w:jc w:val="right"/>
              <w:ind w:right="157"/>
              <w:spacing w:after="0"/>
              <w:rPr>
                <w:sz w:val="20"/>
                <w:szCs w:val="20"/>
                <w:color w:val="auto"/>
              </w:rPr>
            </w:pPr>
            <w:r>
              <w:rPr>
                <w:rFonts w:ascii="Arial" w:cs="Arial" w:eastAsia="Arial" w:hAnsi="Arial"/>
                <w:sz w:val="18"/>
                <w:szCs w:val="18"/>
                <w:color w:val="auto"/>
              </w:rPr>
              <w:t>1,549</w:t>
            </w:r>
          </w:p>
        </w:tc>
        <w:tc>
          <w:tcPr>
            <w:tcW w:w="28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1,540</w:t>
            </w:r>
          </w:p>
        </w:tc>
        <w:tc>
          <w:tcPr>
            <w:tcW w:w="1140" w:type="dxa"/>
            <w:vAlign w:val="bottom"/>
          </w:tcPr>
          <w:p>
            <w:pPr>
              <w:jc w:val="right"/>
              <w:ind w:right="275"/>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8"/>
                <w:szCs w:val="18"/>
                <w:color w:val="auto"/>
              </w:rPr>
            </w:pPr>
          </w:p>
        </w:tc>
        <w:tc>
          <w:tcPr>
            <w:tcW w:w="720" w:type="dxa"/>
            <w:vAlign w:val="bottom"/>
          </w:tcPr>
          <w:p>
            <w:pPr>
              <w:jc w:val="right"/>
              <w:ind w:right="157"/>
              <w:spacing w:after="0"/>
              <w:rPr>
                <w:sz w:val="20"/>
                <w:szCs w:val="20"/>
                <w:color w:val="auto"/>
              </w:rPr>
            </w:pPr>
            <w:r>
              <w:rPr>
                <w:rFonts w:ascii="Arial" w:cs="Arial" w:eastAsia="Arial" w:hAnsi="Arial"/>
                <w:sz w:val="18"/>
                <w:szCs w:val="18"/>
                <w:color w:val="auto"/>
              </w:rPr>
              <w:t>4,594</w:t>
            </w:r>
          </w:p>
        </w:tc>
        <w:tc>
          <w:tcPr>
            <w:tcW w:w="26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4,504</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51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411</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393</w:t>
            </w:r>
          </w:p>
        </w:tc>
        <w:tc>
          <w:tcPr>
            <w:tcW w:w="114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4.9</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1,221</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1,134</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7.8</w:t>
            </w: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400" w:type="dxa"/>
            <w:vAlign w:val="bottom"/>
          </w:tcPr>
          <w:p>
            <w:pPr>
              <w:spacing w:after="0"/>
              <w:rPr>
                <w:sz w:val="18"/>
                <w:szCs w:val="18"/>
                <w:color w:val="auto"/>
              </w:rPr>
            </w:pPr>
          </w:p>
        </w:tc>
        <w:tc>
          <w:tcPr>
            <w:tcW w:w="720" w:type="dxa"/>
            <w:vAlign w:val="bottom"/>
          </w:tcPr>
          <w:p>
            <w:pPr>
              <w:jc w:val="right"/>
              <w:ind w:right="157"/>
              <w:spacing w:after="0"/>
              <w:rPr>
                <w:sz w:val="20"/>
                <w:szCs w:val="20"/>
                <w:color w:val="auto"/>
              </w:rPr>
            </w:pPr>
            <w:r>
              <w:rPr>
                <w:rFonts w:ascii="Arial" w:cs="Arial" w:eastAsia="Arial" w:hAnsi="Arial"/>
                <w:sz w:val="18"/>
                <w:szCs w:val="18"/>
                <w:color w:val="auto"/>
              </w:rPr>
              <w:t>3,048</w:t>
            </w:r>
          </w:p>
        </w:tc>
        <w:tc>
          <w:tcPr>
            <w:tcW w:w="28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2,641</w:t>
            </w:r>
          </w:p>
        </w:tc>
        <w:tc>
          <w:tcPr>
            <w:tcW w:w="1140" w:type="dxa"/>
            <w:vAlign w:val="bottom"/>
          </w:tcPr>
          <w:p>
            <w:pPr>
              <w:jc w:val="right"/>
              <w:ind w:right="275"/>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18"/>
                <w:szCs w:val="18"/>
                <w:color w:val="auto"/>
              </w:rPr>
            </w:pPr>
          </w:p>
        </w:tc>
        <w:tc>
          <w:tcPr>
            <w:tcW w:w="720" w:type="dxa"/>
            <w:vAlign w:val="bottom"/>
          </w:tcPr>
          <w:p>
            <w:pPr>
              <w:jc w:val="right"/>
              <w:ind w:right="157"/>
              <w:spacing w:after="0"/>
              <w:rPr>
                <w:sz w:val="20"/>
                <w:szCs w:val="20"/>
                <w:color w:val="auto"/>
              </w:rPr>
            </w:pPr>
            <w:r>
              <w:rPr>
                <w:rFonts w:ascii="Arial" w:cs="Arial" w:eastAsia="Arial" w:hAnsi="Arial"/>
                <w:sz w:val="18"/>
                <w:szCs w:val="18"/>
                <w:color w:val="auto"/>
              </w:rPr>
              <w:t>8,885</w:t>
            </w:r>
          </w:p>
        </w:tc>
        <w:tc>
          <w:tcPr>
            <w:tcW w:w="26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7,803</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13.9</w:t>
            </w:r>
          </w:p>
        </w:tc>
      </w:tr>
      <w:tr>
        <w:trPr>
          <w:trHeight w:val="216"/>
        </w:trPr>
        <w:tc>
          <w:tcPr>
            <w:tcW w:w="20" w:type="dxa"/>
            <w:vAlign w:val="bottom"/>
          </w:tcPr>
          <w:p>
            <w:pPr>
              <w:spacing w:after="0"/>
              <w:rPr>
                <w:sz w:val="18"/>
                <w:szCs w:val="18"/>
                <w:color w:val="auto"/>
              </w:rPr>
            </w:pPr>
          </w:p>
        </w:tc>
        <w:tc>
          <w:tcPr>
            <w:tcW w:w="51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1,335</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(836)</w:t>
            </w:r>
          </w:p>
        </w:tc>
        <w:tc>
          <w:tcPr>
            <w:tcW w:w="114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139</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4"/>
              </w:rPr>
              <w:t>(1,982)</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107.1</w:t>
            </w: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00" w:type="dxa"/>
            <w:vAlign w:val="bottom"/>
          </w:tcPr>
          <w:p>
            <w:pPr>
              <w:spacing w:after="0"/>
              <w:rPr>
                <w:sz w:val="18"/>
                <w:szCs w:val="18"/>
                <w:color w:val="auto"/>
              </w:rPr>
            </w:pPr>
          </w:p>
        </w:tc>
        <w:tc>
          <w:tcPr>
            <w:tcW w:w="720" w:type="dxa"/>
            <w:vAlign w:val="bottom"/>
          </w:tcPr>
          <w:p>
            <w:pPr>
              <w:jc w:val="right"/>
              <w:ind w:right="157"/>
              <w:spacing w:after="0"/>
              <w:rPr>
                <w:sz w:val="20"/>
                <w:szCs w:val="20"/>
                <w:color w:val="auto"/>
              </w:rPr>
            </w:pPr>
            <w:r>
              <w:rPr>
                <w:rFonts w:ascii="Arial" w:cs="Arial" w:eastAsia="Arial" w:hAnsi="Arial"/>
                <w:sz w:val="18"/>
                <w:szCs w:val="18"/>
                <w:color w:val="auto"/>
              </w:rPr>
              <w:t>4,383</w:t>
            </w:r>
          </w:p>
        </w:tc>
        <w:tc>
          <w:tcPr>
            <w:tcW w:w="28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1,805</w:t>
            </w:r>
          </w:p>
        </w:tc>
        <w:tc>
          <w:tcPr>
            <w:tcW w:w="1140" w:type="dxa"/>
            <w:vAlign w:val="bottom"/>
          </w:tcPr>
          <w:p>
            <w:pPr>
              <w:jc w:val="right"/>
              <w:ind w:right="275"/>
              <w:spacing w:after="0"/>
              <w:rPr>
                <w:sz w:val="20"/>
                <w:szCs w:val="20"/>
                <w:color w:val="auto"/>
              </w:rPr>
            </w:pPr>
            <w:r>
              <w:rPr>
                <w:rFonts w:ascii="Arial" w:cs="Arial" w:eastAsia="Arial" w:hAnsi="Arial"/>
                <w:sz w:val="18"/>
                <w:szCs w:val="18"/>
                <w:color w:val="auto"/>
              </w:rPr>
              <w:t>142.8</w:t>
            </w:r>
          </w:p>
        </w:tc>
        <w:tc>
          <w:tcPr>
            <w:tcW w:w="280" w:type="dxa"/>
            <w:vAlign w:val="bottom"/>
          </w:tcPr>
          <w:p>
            <w:pPr>
              <w:spacing w:after="0"/>
              <w:rPr>
                <w:sz w:val="18"/>
                <w:szCs w:val="18"/>
                <w:color w:val="auto"/>
              </w:rPr>
            </w:pPr>
          </w:p>
        </w:tc>
        <w:tc>
          <w:tcPr>
            <w:tcW w:w="720" w:type="dxa"/>
            <w:vAlign w:val="bottom"/>
          </w:tcPr>
          <w:p>
            <w:pPr>
              <w:jc w:val="right"/>
              <w:ind w:right="157"/>
              <w:spacing w:after="0"/>
              <w:rPr>
                <w:sz w:val="20"/>
                <w:szCs w:val="20"/>
                <w:color w:val="auto"/>
              </w:rPr>
            </w:pPr>
            <w:r>
              <w:rPr>
                <w:rFonts w:ascii="Arial" w:cs="Arial" w:eastAsia="Arial" w:hAnsi="Arial"/>
                <w:sz w:val="18"/>
                <w:szCs w:val="18"/>
                <w:color w:val="auto"/>
              </w:rPr>
              <w:t>9,024</w:t>
            </w:r>
          </w:p>
        </w:tc>
        <w:tc>
          <w:tcPr>
            <w:tcW w:w="26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5,821</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55.0</w:t>
            </w:r>
          </w:p>
        </w:tc>
      </w:tr>
      <w:tr>
        <w:trPr>
          <w:trHeight w:val="216"/>
        </w:trPr>
        <w:tc>
          <w:tcPr>
            <w:tcW w:w="20" w:type="dxa"/>
            <w:vAlign w:val="bottom"/>
          </w:tcPr>
          <w:p>
            <w:pPr>
              <w:spacing w:after="0"/>
              <w:rPr>
                <w:sz w:val="18"/>
                <w:szCs w:val="18"/>
                <w:color w:val="auto"/>
              </w:rPr>
            </w:pPr>
          </w:p>
        </w:tc>
        <w:tc>
          <w:tcPr>
            <w:tcW w:w="51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w w:val="91"/>
              </w:rPr>
              <w:t>(1,405)</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(639)</w:t>
            </w:r>
          </w:p>
        </w:tc>
        <w:tc>
          <w:tcPr>
            <w:tcW w:w="114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120.0</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w w:val="91"/>
              </w:rPr>
              <w:t>(2,966)</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4"/>
              </w:rPr>
              <w:t>(2,249)</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31.9</w:t>
            </w: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tcPr>
          <w:p>
            <w:pPr>
              <w:spacing w:after="0"/>
              <w:rPr>
                <w:sz w:val="18"/>
                <w:szCs w:val="18"/>
                <w:color w:val="auto"/>
              </w:rPr>
            </w:pPr>
          </w:p>
        </w:tc>
        <w:tc>
          <w:tcPr>
            <w:tcW w:w="720" w:type="dxa"/>
            <w:vAlign w:val="bottom"/>
          </w:tcPr>
          <w:p>
            <w:pPr>
              <w:jc w:val="right"/>
              <w:ind w:right="157"/>
              <w:spacing w:after="0"/>
              <w:rPr>
                <w:sz w:val="20"/>
                <w:szCs w:val="20"/>
                <w:color w:val="auto"/>
              </w:rPr>
            </w:pPr>
            <w:r>
              <w:rPr>
                <w:rFonts w:ascii="Arial" w:cs="Arial" w:eastAsia="Arial" w:hAnsi="Arial"/>
                <w:sz w:val="18"/>
                <w:szCs w:val="18"/>
                <w:color w:val="auto"/>
              </w:rPr>
              <w:t>2,978</w:t>
            </w:r>
          </w:p>
        </w:tc>
        <w:tc>
          <w:tcPr>
            <w:tcW w:w="28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1,166</w:t>
            </w:r>
          </w:p>
        </w:tc>
        <w:tc>
          <w:tcPr>
            <w:tcW w:w="1140" w:type="dxa"/>
            <w:vAlign w:val="bottom"/>
          </w:tcPr>
          <w:p>
            <w:pPr>
              <w:jc w:val="right"/>
              <w:ind w:right="275"/>
              <w:spacing w:after="0"/>
              <w:rPr>
                <w:sz w:val="20"/>
                <w:szCs w:val="20"/>
                <w:color w:val="auto"/>
              </w:rPr>
            </w:pPr>
            <w:r>
              <w:rPr>
                <w:rFonts w:ascii="Arial" w:cs="Arial" w:eastAsia="Arial" w:hAnsi="Arial"/>
                <w:sz w:val="18"/>
                <w:szCs w:val="18"/>
                <w:color w:val="auto"/>
              </w:rPr>
              <w:t>155.4</w:t>
            </w:r>
          </w:p>
        </w:tc>
        <w:tc>
          <w:tcPr>
            <w:tcW w:w="280" w:type="dxa"/>
            <w:vAlign w:val="bottom"/>
          </w:tcPr>
          <w:p>
            <w:pPr>
              <w:spacing w:after="0"/>
              <w:rPr>
                <w:sz w:val="18"/>
                <w:szCs w:val="18"/>
                <w:color w:val="auto"/>
              </w:rPr>
            </w:pPr>
          </w:p>
        </w:tc>
        <w:tc>
          <w:tcPr>
            <w:tcW w:w="720" w:type="dxa"/>
            <w:vAlign w:val="bottom"/>
          </w:tcPr>
          <w:p>
            <w:pPr>
              <w:jc w:val="right"/>
              <w:ind w:right="157"/>
              <w:spacing w:after="0"/>
              <w:rPr>
                <w:sz w:val="20"/>
                <w:szCs w:val="20"/>
                <w:color w:val="auto"/>
              </w:rPr>
            </w:pPr>
            <w:r>
              <w:rPr>
                <w:rFonts w:ascii="Arial" w:cs="Arial" w:eastAsia="Arial" w:hAnsi="Arial"/>
                <w:sz w:val="18"/>
                <w:szCs w:val="18"/>
                <w:color w:val="auto"/>
              </w:rPr>
              <w:t>6,058</w:t>
            </w:r>
          </w:p>
        </w:tc>
        <w:tc>
          <w:tcPr>
            <w:tcW w:w="26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3,572</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69.6</w:t>
            </w:r>
          </w:p>
        </w:tc>
      </w:tr>
      <w:tr>
        <w:trPr>
          <w:trHeight w:val="216"/>
        </w:trPr>
        <w:tc>
          <w:tcPr>
            <w:tcW w:w="20" w:type="dxa"/>
            <w:vAlign w:val="bottom"/>
          </w:tcPr>
          <w:p>
            <w:pPr>
              <w:spacing w:after="0"/>
              <w:rPr>
                <w:sz w:val="18"/>
                <w:szCs w:val="18"/>
                <w:color w:val="auto"/>
              </w:rPr>
            </w:pPr>
          </w:p>
        </w:tc>
        <w:tc>
          <w:tcPr>
            <w:tcW w:w="51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rPr>
              <w:t>(865)</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(258)</w:t>
            </w:r>
          </w:p>
        </w:tc>
        <w:tc>
          <w:tcPr>
            <w:tcW w:w="114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w w:val="91"/>
              </w:rPr>
              <w:t>(1,373)</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(699)</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96.5</w:t>
            </w:r>
          </w:p>
        </w:tc>
      </w:tr>
      <w:tr>
        <w:trPr>
          <w:trHeight w:val="217"/>
        </w:trPr>
        <w:tc>
          <w:tcPr>
            <w:tcW w:w="20" w:type="dxa"/>
            <w:vAlign w:val="bottom"/>
            <w:tcBorders>
              <w:bottom w:val="single" w:sz="8" w:color="auto"/>
            </w:tcBorders>
          </w:tcPr>
          <w:p>
            <w:pPr>
              <w:spacing w:after="0"/>
              <w:rPr>
                <w:sz w:val="18"/>
                <w:szCs w:val="18"/>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2,113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908</w:t>
            </w: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132.8%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4,685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2,873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63.0%</w:t>
            </w: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comparability of our consolidated results of operations was impacted by the NBCUniversal transaction, which closed on January 28, 2011, and the Universal Orlando transaction, which closed on July 1, 2011. NBCUniversal’s and Universal Orlando’s results of operations are included in our consolidated financial statements following their respective acquisition dates.</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incurred transaction costs directly related to the NBCUniversal transaction in 2011. Incremental expenses were primarily related to legal, accounting and valuation services and investment banking fees. In addition, NBCUniversal incurred transaction-related costs associated with severance and other related compensation charges. Total transaction-related expenses incurred during the three and nine months ended September 30, 2011 were $14 million and $143 million, respectively.</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a more complete discussion of the NBCUniversal and Universal Orlando transactions, refer to our consolidated financial statements included in our 2011 Annual Report on Form 10-K.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Each of our businesses is subject to seasonal and cyclical variations. Revenue and operating costs and expenses in our Broadcast Television segment are cyclical as a result of our periodic broadcasts of the Olympic Games and the Super Bowl. Because we broadcasted the 2012 Super Bowl in February 2012 and the 2012 London Olympics in July and August 2012, during the nine months ended September 30, 2012, our advertising revenue increased as a result of increased demand for advertising time and our operating costs and expenses also increased as a result of our programming and production costs and amortization of the related rights fees. All of the revenue and operating costs and expenses associated with our broadcasts of the 2012 Super Bowl and the 2012 London Olympics are reported in our Broadcast Television segment.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Cable Communications segment and the NBCUniversal segments accounted for substantially all of the increases in consolidated revenue for the three and nine months ended September 30, 2012 compared to the same periods in 2011. The remaining changes in consolidated revenue related to our other business activities, primarily Comcast-Spectacor. Revenue for our Cable Communications and NBCUniversal segments is discussed separately under the heading “Segment Operating Results.”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Costs and Expenses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Cable Communications segment and the NBCUniversal segments accounted for substantially all of the increases in consolidated operating costs and expenses for the three and nine months ended September 30, 2012 compared to the same periods in 2011. The remaining changes in consolidated operating costs and expenses related to our other business activities, primarily Comcast-Spectacor. Operating costs and expenses for our Cable Communications and NBCUniversal segments are discussed separately under the heading “Segment Operating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Depreciation and Amortization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depreciation and amortization increased slightly for the three months ended September 30, 2012 compared to the same period in 2011. Consolidated depreciation and amortization increased for the nine months ended September 30, 2012 compared to the same period in 2011 primarily due to the impact of consolidating NBCUniversal and Universal Orlando following the close of each transaction.</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GAAP, in Note 15 to our condensed consolidated financial statements. This measure should not be considered a substitute for operating income (loss), net income attributable to Comcast Corporation, net cash provided by operating activities, or other measures of performance or liquidity we have reported in accordance with GAAP.</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2"/>
          </w:tcPr>
          <w:p>
            <w:pPr>
              <w:jc w:val="right"/>
              <w:ind w:right="374"/>
              <w:spacing w:after="0"/>
              <w:rPr>
                <w:sz w:val="20"/>
                <w:szCs w:val="20"/>
                <w:color w:val="auto"/>
              </w:rPr>
            </w:pPr>
            <w:r>
              <w:rPr>
                <w:rFonts w:ascii="Arial" w:cs="Arial" w:eastAsia="Arial" w:hAnsi="Arial"/>
                <w:sz w:val="14"/>
                <w:szCs w:val="14"/>
                <w:color w:val="auto"/>
              </w:rPr>
              <w:t>Three Months Ended</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jc w:val="right"/>
              <w:ind w:right="716"/>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686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2360" w:type="dxa"/>
            <w:vAlign w:val="bottom"/>
            <w:tcBorders>
              <w:bottom w:val="single" w:sz="8" w:color="auto"/>
            </w:tcBorders>
            <w:gridSpan w:val="2"/>
          </w:tcPr>
          <w:p>
            <w:pPr>
              <w:jc w:val="right"/>
              <w:ind w:right="574"/>
              <w:spacing w:after="0" w:line="159" w:lineRule="exact"/>
              <w:rPr>
                <w:sz w:val="20"/>
                <w:szCs w:val="20"/>
                <w:color w:val="auto"/>
              </w:rPr>
            </w:pPr>
            <w:r>
              <w:rPr>
                <w:rFonts w:ascii="Arial" w:cs="Arial" w:eastAsia="Arial" w:hAnsi="Arial"/>
                <w:sz w:val="14"/>
                <w:szCs w:val="14"/>
                <w:color w:val="auto"/>
              </w:rPr>
              <w:t>September 30</w:t>
            </w: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76"/>
              <w:spacing w:after="0" w:line="159" w:lineRule="exact"/>
              <w:rPr>
                <w:sz w:val="20"/>
                <w:szCs w:val="20"/>
                <w:color w:val="auto"/>
              </w:rPr>
            </w:pPr>
            <w:r>
              <w:rPr>
                <w:rFonts w:ascii="Arial" w:cs="Arial" w:eastAsia="Arial" w:hAnsi="Arial"/>
                <w:sz w:val="14"/>
                <w:szCs w:val="14"/>
                <w:color w:val="auto"/>
                <w:w w:val="92"/>
              </w:rPr>
              <w:t>(Decrease)</w:t>
            </w:r>
          </w:p>
        </w:tc>
        <w:tc>
          <w:tcPr>
            <w:tcW w:w="0" w:type="dxa"/>
            <w:vAlign w:val="bottom"/>
          </w:tcPr>
          <w:p>
            <w:pPr>
              <w:spacing w:after="0"/>
              <w:rPr>
                <w:sz w:val="1"/>
                <w:szCs w:val="1"/>
                <w:color w:val="auto"/>
              </w:rPr>
            </w:pPr>
          </w:p>
        </w:tc>
      </w:tr>
      <w:tr>
        <w:trPr>
          <w:trHeight w:val="142"/>
        </w:trPr>
        <w:tc>
          <w:tcPr>
            <w:tcW w:w="6860" w:type="dxa"/>
            <w:vAlign w:val="bottom"/>
            <w:gridSpan w:val="3"/>
            <w:vMerge w:val="continue"/>
          </w:tcPr>
          <w:p>
            <w:pPr>
              <w:spacing w:after="0"/>
              <w:rPr>
                <w:sz w:val="12"/>
                <w:szCs w:val="12"/>
                <w:color w:val="auto"/>
              </w:rPr>
            </w:pPr>
          </w:p>
        </w:tc>
        <w:tc>
          <w:tcPr>
            <w:tcW w:w="1240" w:type="dxa"/>
            <w:vAlign w:val="bottom"/>
          </w:tcPr>
          <w:p>
            <w:pPr>
              <w:jc w:val="right"/>
              <w:ind w:right="236"/>
              <w:spacing w:after="0" w:line="142" w:lineRule="exact"/>
              <w:rPr>
                <w:sz w:val="20"/>
                <w:szCs w:val="20"/>
                <w:color w:val="auto"/>
              </w:rPr>
            </w:pPr>
            <w:r>
              <w:rPr>
                <w:rFonts w:ascii="Arial" w:cs="Arial" w:eastAsia="Arial" w:hAnsi="Arial"/>
                <w:sz w:val="14"/>
                <w:szCs w:val="14"/>
                <w:color w:val="auto"/>
              </w:rPr>
              <w:t>2012</w:t>
            </w:r>
          </w:p>
        </w:tc>
        <w:tc>
          <w:tcPr>
            <w:tcW w:w="1120" w:type="dxa"/>
            <w:vAlign w:val="bottom"/>
          </w:tcPr>
          <w:p>
            <w:pPr>
              <w:jc w:val="right"/>
              <w:ind w:right="274"/>
              <w:spacing w:after="0" w:line="142" w:lineRule="exact"/>
              <w:rPr>
                <w:sz w:val="20"/>
                <w:szCs w:val="20"/>
                <w:color w:val="auto"/>
              </w:rPr>
            </w:pPr>
            <w:r>
              <w:rPr>
                <w:rFonts w:ascii="Arial" w:cs="Arial" w:eastAsia="Arial" w:hAnsi="Arial"/>
                <w:sz w:val="14"/>
                <w:szCs w:val="14"/>
                <w:color w:val="auto"/>
              </w:rPr>
              <w:t>2011</w:t>
            </w:r>
          </w:p>
        </w:tc>
        <w:tc>
          <w:tcPr>
            <w:tcW w:w="300" w:type="dxa"/>
            <w:vAlign w:val="bottom"/>
          </w:tcPr>
          <w:p>
            <w:pPr>
              <w:spacing w:after="0"/>
              <w:rPr>
                <w:sz w:val="12"/>
                <w:szCs w:val="12"/>
                <w:color w:val="auto"/>
              </w:rPr>
            </w:pPr>
          </w:p>
        </w:tc>
        <w:tc>
          <w:tcPr>
            <w:tcW w:w="480" w:type="dxa"/>
            <w:vAlign w:val="bottom"/>
          </w:tcPr>
          <w:p>
            <w:pPr>
              <w:jc w:val="right"/>
              <w:ind w:right="134"/>
              <w:spacing w:after="0" w:line="142" w:lineRule="exact"/>
              <w:rPr>
                <w:sz w:val="20"/>
                <w:szCs w:val="20"/>
                <w:color w:val="auto"/>
              </w:rPr>
            </w:pPr>
            <w:r>
              <w:rPr>
                <w:rFonts w:ascii="Arial" w:cs="Arial" w:eastAsia="Arial" w:hAnsi="Arial"/>
                <w:sz w:val="14"/>
                <w:szCs w:val="14"/>
                <w:color w:val="auto"/>
              </w:rPr>
              <w:t>$</w:t>
            </w:r>
          </w:p>
        </w:tc>
        <w:tc>
          <w:tcPr>
            <w:tcW w:w="1420" w:type="dxa"/>
            <w:vAlign w:val="bottom"/>
          </w:tcPr>
          <w:p>
            <w:pPr>
              <w:jc w:val="right"/>
              <w:ind w:right="416"/>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240" w:type="dxa"/>
            <w:vAlign w:val="bottom"/>
            <w:tcBorders>
              <w:top w:val="single" w:sz="8" w:color="auto"/>
            </w:tcBorders>
            <w:shd w:val="clear" w:color="auto" w:fill="E5E5E5"/>
          </w:tcPr>
          <w:p>
            <w:pPr>
              <w:spacing w:after="0"/>
              <w:rPr>
                <w:sz w:val="18"/>
                <w:szCs w:val="18"/>
                <w:color w:val="auto"/>
              </w:rPr>
            </w:pPr>
          </w:p>
        </w:tc>
        <w:tc>
          <w:tcPr>
            <w:tcW w:w="112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14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Residential:</w:t>
            </w: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E5E5E5"/>
          </w:tcPr>
          <w:p>
            <w:pPr>
              <w:ind w:left="860"/>
              <w:spacing w:after="0"/>
              <w:rPr>
                <w:sz w:val="20"/>
                <w:szCs w:val="20"/>
                <w:color w:val="auto"/>
              </w:rPr>
            </w:pPr>
            <w:r>
              <w:rPr>
                <w:rFonts w:ascii="Arial" w:cs="Arial" w:eastAsia="Arial" w:hAnsi="Arial"/>
                <w:sz w:val="18"/>
                <w:szCs w:val="18"/>
                <w:color w:val="auto"/>
              </w:rPr>
              <w:t>Video</w:t>
            </w:r>
          </w:p>
        </w:tc>
        <w:tc>
          <w:tcPr>
            <w:tcW w:w="124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$ 5,021</w:t>
            </w:r>
          </w:p>
        </w:tc>
        <w:tc>
          <w:tcPr>
            <w:tcW w:w="11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$ 4,892</w:t>
            </w:r>
          </w:p>
        </w:tc>
        <w:tc>
          <w:tcPr>
            <w:tcW w:w="3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4"/>
              </w:rPr>
              <w:t>$129</w:t>
            </w:r>
          </w:p>
        </w:tc>
        <w:tc>
          <w:tcPr>
            <w:tcW w:w="1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860"/>
              <w:spacing w:after="0"/>
              <w:rPr>
                <w:sz w:val="20"/>
                <w:szCs w:val="20"/>
                <w:color w:val="auto"/>
              </w:rPr>
            </w:pPr>
            <w:r>
              <w:rPr>
                <w:rFonts w:ascii="Arial" w:cs="Arial" w:eastAsia="Arial" w:hAnsi="Arial"/>
                <w:sz w:val="18"/>
                <w:szCs w:val="18"/>
                <w:color w:val="auto"/>
              </w:rPr>
              <w:t>High-speed Internet</w:t>
            </w:r>
          </w:p>
        </w:tc>
        <w:tc>
          <w:tcPr>
            <w:tcW w:w="1240" w:type="dxa"/>
            <w:vAlign w:val="bottom"/>
          </w:tcPr>
          <w:p>
            <w:pPr>
              <w:jc w:val="right"/>
              <w:ind w:right="116"/>
              <w:spacing w:after="0"/>
              <w:rPr>
                <w:sz w:val="20"/>
                <w:szCs w:val="20"/>
                <w:color w:val="auto"/>
              </w:rPr>
            </w:pPr>
            <w:r>
              <w:rPr>
                <w:rFonts w:ascii="Arial" w:cs="Arial" w:eastAsia="Arial" w:hAnsi="Arial"/>
                <w:sz w:val="18"/>
                <w:szCs w:val="18"/>
                <w:color w:val="auto"/>
              </w:rPr>
              <w:t>2,403</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2,209</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194</w:t>
            </w:r>
          </w:p>
        </w:tc>
        <w:tc>
          <w:tcPr>
            <w:tcW w:w="1420" w:type="dxa"/>
            <w:vAlign w:val="bottom"/>
          </w:tcPr>
          <w:p>
            <w:pPr>
              <w:jc w:val="right"/>
              <w:ind w:right="136"/>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E5E5E5"/>
          </w:tcPr>
          <w:p>
            <w:pPr>
              <w:ind w:left="860"/>
              <w:spacing w:after="0"/>
              <w:rPr>
                <w:sz w:val="20"/>
                <w:szCs w:val="20"/>
                <w:color w:val="auto"/>
              </w:rPr>
            </w:pPr>
            <w:r>
              <w:rPr>
                <w:rFonts w:ascii="Arial" w:cs="Arial" w:eastAsia="Arial" w:hAnsi="Arial"/>
                <w:sz w:val="18"/>
                <w:szCs w:val="18"/>
                <w:color w:val="auto"/>
              </w:rPr>
              <w:t>Voice</w:t>
            </w:r>
          </w:p>
        </w:tc>
        <w:tc>
          <w:tcPr>
            <w:tcW w:w="124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895</w:t>
            </w:r>
          </w:p>
        </w:tc>
        <w:tc>
          <w:tcPr>
            <w:tcW w:w="11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883</w:t>
            </w:r>
          </w:p>
        </w:tc>
        <w:tc>
          <w:tcPr>
            <w:tcW w:w="3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w:t>
            </w:r>
          </w:p>
        </w:tc>
        <w:tc>
          <w:tcPr>
            <w:tcW w:w="14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Business services</w:t>
            </w:r>
          </w:p>
        </w:tc>
        <w:tc>
          <w:tcPr>
            <w:tcW w:w="1240" w:type="dxa"/>
            <w:vAlign w:val="bottom"/>
          </w:tcPr>
          <w:p>
            <w:pPr>
              <w:jc w:val="right"/>
              <w:ind w:right="116"/>
              <w:spacing w:after="0"/>
              <w:rPr>
                <w:sz w:val="20"/>
                <w:szCs w:val="20"/>
                <w:color w:val="auto"/>
              </w:rPr>
            </w:pPr>
            <w:r>
              <w:rPr>
                <w:rFonts w:ascii="Arial" w:cs="Arial" w:eastAsia="Arial" w:hAnsi="Arial"/>
                <w:sz w:val="18"/>
                <w:szCs w:val="18"/>
                <w:color w:val="auto"/>
              </w:rPr>
              <w:t>621</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464</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157</w:t>
            </w:r>
          </w:p>
        </w:tc>
        <w:tc>
          <w:tcPr>
            <w:tcW w:w="1420" w:type="dxa"/>
            <w:vAlign w:val="bottom"/>
          </w:tcPr>
          <w:p>
            <w:pPr>
              <w:jc w:val="right"/>
              <w:ind w:right="136"/>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124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607</w:t>
            </w:r>
          </w:p>
        </w:tc>
        <w:tc>
          <w:tcPr>
            <w:tcW w:w="11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492</w:t>
            </w:r>
          </w:p>
        </w:tc>
        <w:tc>
          <w:tcPr>
            <w:tcW w:w="3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115</w:t>
            </w:r>
          </w:p>
        </w:tc>
        <w:tc>
          <w:tcPr>
            <w:tcW w:w="14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429</w:t>
            </w: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391</w:t>
            </w: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124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9,976</w:t>
            </w:r>
          </w:p>
        </w:tc>
        <w:tc>
          <w:tcPr>
            <w:tcW w:w="11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9,331</w:t>
            </w:r>
          </w:p>
        </w:tc>
        <w:tc>
          <w:tcPr>
            <w:tcW w:w="3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645</w:t>
            </w:r>
          </w:p>
        </w:tc>
        <w:tc>
          <w:tcPr>
            <w:tcW w:w="14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Programming</w:t>
            </w:r>
          </w:p>
        </w:tc>
        <w:tc>
          <w:tcPr>
            <w:tcW w:w="124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2,095</w:t>
            </w:r>
          </w:p>
        </w:tc>
        <w:tc>
          <w:tcPr>
            <w:tcW w:w="11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1,960</w:t>
            </w:r>
          </w:p>
        </w:tc>
        <w:tc>
          <w:tcPr>
            <w:tcW w:w="3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135</w:t>
            </w:r>
          </w:p>
        </w:tc>
        <w:tc>
          <w:tcPr>
            <w:tcW w:w="14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Technical labor</w:t>
            </w:r>
          </w:p>
        </w:tc>
        <w:tc>
          <w:tcPr>
            <w:tcW w:w="1240" w:type="dxa"/>
            <w:vAlign w:val="bottom"/>
          </w:tcPr>
          <w:p>
            <w:pPr>
              <w:jc w:val="right"/>
              <w:ind w:right="116"/>
              <w:spacing w:after="0"/>
              <w:rPr>
                <w:sz w:val="20"/>
                <w:szCs w:val="20"/>
                <w:color w:val="auto"/>
              </w:rPr>
            </w:pPr>
            <w:r>
              <w:rPr>
                <w:rFonts w:ascii="Arial" w:cs="Arial" w:eastAsia="Arial" w:hAnsi="Arial"/>
                <w:sz w:val="18"/>
                <w:szCs w:val="18"/>
                <w:color w:val="auto"/>
              </w:rPr>
              <w:t>590</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597</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420" w:type="dxa"/>
            <w:vAlign w:val="bottom"/>
          </w:tcPr>
          <w:p>
            <w:pPr>
              <w:jc w:val="right"/>
              <w:ind w:right="9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Customer service</w:t>
            </w:r>
          </w:p>
        </w:tc>
        <w:tc>
          <w:tcPr>
            <w:tcW w:w="124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485</w:t>
            </w:r>
          </w:p>
        </w:tc>
        <w:tc>
          <w:tcPr>
            <w:tcW w:w="11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474</w:t>
            </w:r>
          </w:p>
        </w:tc>
        <w:tc>
          <w:tcPr>
            <w:tcW w:w="3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w:t>
            </w:r>
          </w:p>
        </w:tc>
        <w:tc>
          <w:tcPr>
            <w:tcW w:w="14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Marketing</w:t>
            </w:r>
          </w:p>
        </w:tc>
        <w:tc>
          <w:tcPr>
            <w:tcW w:w="1240" w:type="dxa"/>
            <w:vAlign w:val="bottom"/>
          </w:tcPr>
          <w:p>
            <w:pPr>
              <w:jc w:val="right"/>
              <w:ind w:right="116"/>
              <w:spacing w:after="0"/>
              <w:rPr>
                <w:sz w:val="20"/>
                <w:szCs w:val="20"/>
                <w:color w:val="auto"/>
              </w:rPr>
            </w:pPr>
            <w:r>
              <w:rPr>
                <w:rFonts w:ascii="Arial" w:cs="Arial" w:eastAsia="Arial" w:hAnsi="Arial"/>
                <w:sz w:val="18"/>
                <w:szCs w:val="18"/>
                <w:color w:val="auto"/>
              </w:rPr>
              <w:t>729</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649</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1420" w:type="dxa"/>
            <w:vAlign w:val="bottom"/>
          </w:tcPr>
          <w:p>
            <w:pPr>
              <w:jc w:val="right"/>
              <w:ind w:right="136"/>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auto"/>
            </w:tcBorders>
            <w:gridSpan w:val="2"/>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2,079</w:t>
            </w:r>
          </w:p>
        </w:tc>
        <w:tc>
          <w:tcPr>
            <w:tcW w:w="11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1,937</w:t>
            </w:r>
          </w:p>
        </w:tc>
        <w:tc>
          <w:tcPr>
            <w:tcW w:w="3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142</w:t>
            </w:r>
          </w:p>
        </w:tc>
        <w:tc>
          <w:tcPr>
            <w:tcW w:w="142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operating costs and expenses</w:t>
            </w: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5,978</w:t>
            </w: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5,617</w:t>
            </w: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4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124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b w:val="1"/>
                <w:bCs w:val="1"/>
                <w:color w:val="auto"/>
              </w:rPr>
              <w:t>$ 3,998</w:t>
            </w:r>
          </w:p>
        </w:tc>
        <w:tc>
          <w:tcPr>
            <w:tcW w:w="11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$ 3,714</w:t>
            </w:r>
          </w:p>
        </w:tc>
        <w:tc>
          <w:tcPr>
            <w:tcW w:w="3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4"/>
              </w:rPr>
              <w:t>$284</w:t>
            </w:r>
          </w:p>
        </w:tc>
        <w:tc>
          <w:tcPr>
            <w:tcW w:w="1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60" w:type="dxa"/>
            <w:vAlign w:val="bottom"/>
            <w:gridSpan w:val="2"/>
          </w:tcPr>
          <w:p>
            <w:pPr>
              <w:jc w:val="right"/>
              <w:ind w:right="574"/>
              <w:spacing w:after="0"/>
              <w:rPr>
                <w:sz w:val="20"/>
                <w:szCs w:val="20"/>
                <w:color w:val="auto"/>
              </w:rPr>
            </w:pPr>
            <w:r>
              <w:rPr>
                <w:rFonts w:ascii="Arial" w:cs="Arial" w:eastAsia="Arial" w:hAnsi="Arial"/>
                <w:sz w:val="14"/>
                <w:szCs w:val="14"/>
                <w:color w:val="auto"/>
              </w:rPr>
              <w:t>Nine Months Ended</w:t>
            </w: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20" w:type="dxa"/>
            <w:vAlign w:val="bottom"/>
          </w:tcPr>
          <w:p>
            <w:pPr>
              <w:jc w:val="right"/>
              <w:ind w:right="796"/>
              <w:spacing w:after="0"/>
              <w:rPr>
                <w:sz w:val="20"/>
                <w:szCs w:val="20"/>
                <w:color w:val="auto"/>
              </w:rPr>
            </w:pPr>
            <w:r>
              <w:rPr>
                <w:rFonts w:ascii="Arial" w:cs="Arial" w:eastAsia="Arial" w:hAnsi="Arial"/>
                <w:sz w:val="14"/>
                <w:szCs w:val="14"/>
                <w:color w:val="auto"/>
                <w:w w:val="90"/>
              </w:rPr>
              <w:t>Increase/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2"/>
          </w:tcPr>
          <w:p>
            <w:pPr>
              <w:jc w:val="right"/>
              <w:ind w:right="754"/>
              <w:spacing w:after="0" w:line="159" w:lineRule="exact"/>
              <w:rPr>
                <w:sz w:val="20"/>
                <w:szCs w:val="20"/>
                <w:color w:val="auto"/>
              </w:rPr>
            </w:pPr>
            <w:r>
              <w:rPr>
                <w:rFonts w:ascii="Arial" w:cs="Arial" w:eastAsia="Arial" w:hAnsi="Arial"/>
                <w:sz w:val="14"/>
                <w:szCs w:val="14"/>
                <w:color w:val="auto"/>
              </w:rPr>
              <w:t>September 30</w:t>
            </w: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36"/>
              <w:spacing w:after="0" w:line="159" w:lineRule="exact"/>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42"/>
        </w:trPr>
        <w:tc>
          <w:tcPr>
            <w:tcW w:w="666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1240" w:type="dxa"/>
            <w:vAlign w:val="bottom"/>
          </w:tcPr>
          <w:p>
            <w:pPr>
              <w:jc w:val="right"/>
              <w:ind w:right="436"/>
              <w:spacing w:after="0" w:line="142" w:lineRule="exact"/>
              <w:rPr>
                <w:sz w:val="20"/>
                <w:szCs w:val="20"/>
                <w:color w:val="auto"/>
              </w:rPr>
            </w:pPr>
            <w:r>
              <w:rPr>
                <w:rFonts w:ascii="Arial" w:cs="Arial" w:eastAsia="Arial" w:hAnsi="Arial"/>
                <w:sz w:val="14"/>
                <w:szCs w:val="14"/>
                <w:color w:val="auto"/>
              </w:rPr>
              <w:t>2012</w:t>
            </w:r>
          </w:p>
        </w:tc>
        <w:tc>
          <w:tcPr>
            <w:tcW w:w="1120" w:type="dxa"/>
            <w:vAlign w:val="bottom"/>
          </w:tcPr>
          <w:p>
            <w:pPr>
              <w:jc w:val="right"/>
              <w:ind w:right="434"/>
              <w:spacing w:after="0" w:line="142" w:lineRule="exact"/>
              <w:rPr>
                <w:sz w:val="20"/>
                <w:szCs w:val="20"/>
                <w:color w:val="auto"/>
              </w:rPr>
            </w:pPr>
            <w:r>
              <w:rPr>
                <w:rFonts w:ascii="Arial" w:cs="Arial" w:eastAsia="Arial" w:hAnsi="Arial"/>
                <w:sz w:val="14"/>
                <w:szCs w:val="14"/>
                <w:color w:val="auto"/>
              </w:rPr>
              <w:t>2011</w:t>
            </w:r>
          </w:p>
        </w:tc>
        <w:tc>
          <w:tcPr>
            <w:tcW w:w="300" w:type="dxa"/>
            <w:vAlign w:val="bottom"/>
          </w:tcPr>
          <w:p>
            <w:pPr>
              <w:spacing w:after="0"/>
              <w:rPr>
                <w:sz w:val="12"/>
                <w:szCs w:val="12"/>
                <w:color w:val="auto"/>
              </w:rPr>
            </w:pPr>
          </w:p>
        </w:tc>
        <w:tc>
          <w:tcPr>
            <w:tcW w:w="480" w:type="dxa"/>
            <w:vAlign w:val="bottom"/>
          </w:tcPr>
          <w:p>
            <w:pPr>
              <w:jc w:val="right"/>
              <w:ind w:right="214"/>
              <w:spacing w:after="0" w:line="142" w:lineRule="exact"/>
              <w:rPr>
                <w:sz w:val="20"/>
                <w:szCs w:val="20"/>
                <w:color w:val="auto"/>
              </w:rPr>
            </w:pPr>
            <w:r>
              <w:rPr>
                <w:rFonts w:ascii="Arial" w:cs="Arial" w:eastAsia="Arial" w:hAnsi="Arial"/>
                <w:sz w:val="14"/>
                <w:szCs w:val="14"/>
                <w:color w:val="auto"/>
              </w:rPr>
              <w:t>$</w:t>
            </w:r>
          </w:p>
        </w:tc>
        <w:tc>
          <w:tcPr>
            <w:tcW w:w="1420" w:type="dxa"/>
            <w:vAlign w:val="bottom"/>
          </w:tcPr>
          <w:p>
            <w:pPr>
              <w:jc w:val="right"/>
              <w:ind w:right="416"/>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240" w:type="dxa"/>
            <w:vAlign w:val="bottom"/>
            <w:tcBorders>
              <w:top w:val="single" w:sz="8" w:color="auto"/>
            </w:tcBorders>
            <w:shd w:val="clear" w:color="auto" w:fill="E5E5E5"/>
          </w:tcPr>
          <w:p>
            <w:pPr>
              <w:spacing w:after="0"/>
              <w:rPr>
                <w:sz w:val="18"/>
                <w:szCs w:val="18"/>
                <w:color w:val="auto"/>
              </w:rPr>
            </w:pPr>
          </w:p>
        </w:tc>
        <w:tc>
          <w:tcPr>
            <w:tcW w:w="112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14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Residential:</w:t>
            </w: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E5E5E5"/>
          </w:tcPr>
          <w:p>
            <w:pPr>
              <w:ind w:left="860"/>
              <w:spacing w:after="0"/>
              <w:rPr>
                <w:sz w:val="20"/>
                <w:szCs w:val="20"/>
                <w:color w:val="auto"/>
              </w:rPr>
            </w:pPr>
            <w:r>
              <w:rPr>
                <w:rFonts w:ascii="Arial" w:cs="Arial" w:eastAsia="Arial" w:hAnsi="Arial"/>
                <w:sz w:val="18"/>
                <w:szCs w:val="18"/>
                <w:color w:val="auto"/>
              </w:rPr>
              <w:t>Video</w:t>
            </w:r>
          </w:p>
        </w:tc>
        <w:tc>
          <w:tcPr>
            <w:tcW w:w="124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$15,069</w:t>
            </w:r>
          </w:p>
        </w:tc>
        <w:tc>
          <w:tcPr>
            <w:tcW w:w="112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$14,724</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345</w:t>
            </w:r>
          </w:p>
        </w:tc>
        <w:tc>
          <w:tcPr>
            <w:tcW w:w="1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860"/>
              <w:spacing w:after="0"/>
              <w:rPr>
                <w:sz w:val="20"/>
                <w:szCs w:val="20"/>
                <w:color w:val="auto"/>
              </w:rPr>
            </w:pPr>
            <w:r>
              <w:rPr>
                <w:rFonts w:ascii="Arial" w:cs="Arial" w:eastAsia="Arial" w:hAnsi="Arial"/>
                <w:sz w:val="18"/>
                <w:szCs w:val="18"/>
                <w:color w:val="auto"/>
              </w:rPr>
              <w:t>High-speed Internet</w:t>
            </w:r>
          </w:p>
        </w:tc>
        <w:tc>
          <w:tcPr>
            <w:tcW w:w="1240" w:type="dxa"/>
            <w:vAlign w:val="bottom"/>
          </w:tcPr>
          <w:p>
            <w:pPr>
              <w:jc w:val="right"/>
              <w:ind w:right="276"/>
              <w:spacing w:after="0"/>
              <w:rPr>
                <w:sz w:val="20"/>
                <w:szCs w:val="20"/>
                <w:color w:val="auto"/>
              </w:rPr>
            </w:pPr>
            <w:r>
              <w:rPr>
                <w:rFonts w:ascii="Arial" w:cs="Arial" w:eastAsia="Arial" w:hAnsi="Arial"/>
                <w:sz w:val="18"/>
                <w:szCs w:val="18"/>
                <w:color w:val="auto"/>
              </w:rPr>
              <w:t>7,106</w:t>
            </w:r>
          </w:p>
        </w:tc>
        <w:tc>
          <w:tcPr>
            <w:tcW w:w="1120" w:type="dxa"/>
            <w:vAlign w:val="bottom"/>
          </w:tcPr>
          <w:p>
            <w:pPr>
              <w:jc w:val="right"/>
              <w:ind w:right="274"/>
              <w:spacing w:after="0"/>
              <w:rPr>
                <w:sz w:val="20"/>
                <w:szCs w:val="20"/>
                <w:color w:val="auto"/>
              </w:rPr>
            </w:pPr>
            <w:r>
              <w:rPr>
                <w:rFonts w:ascii="Arial" w:cs="Arial" w:eastAsia="Arial" w:hAnsi="Arial"/>
                <w:sz w:val="18"/>
                <w:szCs w:val="18"/>
                <w:color w:val="auto"/>
              </w:rPr>
              <w:t>6,501</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605</w:t>
            </w:r>
          </w:p>
        </w:tc>
        <w:tc>
          <w:tcPr>
            <w:tcW w:w="1420" w:type="dxa"/>
            <w:vAlign w:val="bottom"/>
          </w:tcPr>
          <w:p>
            <w:pPr>
              <w:jc w:val="right"/>
              <w:ind w:right="136"/>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E5E5E5"/>
          </w:tcPr>
          <w:p>
            <w:pPr>
              <w:ind w:left="860"/>
              <w:spacing w:after="0"/>
              <w:rPr>
                <w:sz w:val="20"/>
                <w:szCs w:val="20"/>
                <w:color w:val="auto"/>
              </w:rPr>
            </w:pPr>
            <w:r>
              <w:rPr>
                <w:rFonts w:ascii="Arial" w:cs="Arial" w:eastAsia="Arial" w:hAnsi="Arial"/>
                <w:sz w:val="18"/>
                <w:szCs w:val="18"/>
                <w:color w:val="auto"/>
              </w:rPr>
              <w:t>Voice</w:t>
            </w:r>
          </w:p>
        </w:tc>
        <w:tc>
          <w:tcPr>
            <w:tcW w:w="124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2,662</w:t>
            </w:r>
          </w:p>
        </w:tc>
        <w:tc>
          <w:tcPr>
            <w:tcW w:w="112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2,621</w:t>
            </w:r>
          </w:p>
        </w:tc>
        <w:tc>
          <w:tcPr>
            <w:tcW w:w="3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w:t>
            </w:r>
          </w:p>
        </w:tc>
        <w:tc>
          <w:tcPr>
            <w:tcW w:w="14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Business services</w:t>
            </w:r>
          </w:p>
        </w:tc>
        <w:tc>
          <w:tcPr>
            <w:tcW w:w="1240" w:type="dxa"/>
            <w:vAlign w:val="bottom"/>
          </w:tcPr>
          <w:p>
            <w:pPr>
              <w:jc w:val="right"/>
              <w:ind w:right="276"/>
              <w:spacing w:after="0"/>
              <w:rPr>
                <w:sz w:val="20"/>
                <w:szCs w:val="20"/>
                <w:color w:val="auto"/>
              </w:rPr>
            </w:pPr>
            <w:r>
              <w:rPr>
                <w:rFonts w:ascii="Arial" w:cs="Arial" w:eastAsia="Arial" w:hAnsi="Arial"/>
                <w:sz w:val="18"/>
                <w:szCs w:val="18"/>
                <w:color w:val="auto"/>
              </w:rPr>
              <w:t>1,744</w:t>
            </w:r>
          </w:p>
        </w:tc>
        <w:tc>
          <w:tcPr>
            <w:tcW w:w="1120" w:type="dxa"/>
            <w:vAlign w:val="bottom"/>
          </w:tcPr>
          <w:p>
            <w:pPr>
              <w:jc w:val="right"/>
              <w:ind w:right="274"/>
              <w:spacing w:after="0"/>
              <w:rPr>
                <w:sz w:val="20"/>
                <w:szCs w:val="20"/>
                <w:color w:val="auto"/>
              </w:rPr>
            </w:pPr>
            <w:r>
              <w:rPr>
                <w:rFonts w:ascii="Arial" w:cs="Arial" w:eastAsia="Arial" w:hAnsi="Arial"/>
                <w:sz w:val="18"/>
                <w:szCs w:val="18"/>
                <w:color w:val="auto"/>
              </w:rPr>
              <w:t>1,293</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451</w:t>
            </w:r>
          </w:p>
        </w:tc>
        <w:tc>
          <w:tcPr>
            <w:tcW w:w="1420" w:type="dxa"/>
            <w:vAlign w:val="bottom"/>
          </w:tcPr>
          <w:p>
            <w:pPr>
              <w:jc w:val="right"/>
              <w:ind w:right="136"/>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124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1,635</w:t>
            </w:r>
          </w:p>
        </w:tc>
        <w:tc>
          <w:tcPr>
            <w:tcW w:w="112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1,459</w:t>
            </w:r>
          </w:p>
        </w:tc>
        <w:tc>
          <w:tcPr>
            <w:tcW w:w="3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176</w:t>
            </w:r>
          </w:p>
        </w:tc>
        <w:tc>
          <w:tcPr>
            <w:tcW w:w="14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1,256</w:t>
            </w: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1,158</w:t>
            </w: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4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124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29,472</w:t>
            </w:r>
          </w:p>
        </w:tc>
        <w:tc>
          <w:tcPr>
            <w:tcW w:w="112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27,756</w:t>
            </w:r>
          </w:p>
        </w:tc>
        <w:tc>
          <w:tcPr>
            <w:tcW w:w="3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1,716</w:t>
            </w:r>
          </w:p>
        </w:tc>
        <w:tc>
          <w:tcPr>
            <w:tcW w:w="14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Programming</w:t>
            </w:r>
          </w:p>
        </w:tc>
        <w:tc>
          <w:tcPr>
            <w:tcW w:w="124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6,280</w:t>
            </w:r>
          </w:p>
        </w:tc>
        <w:tc>
          <w:tcPr>
            <w:tcW w:w="112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5,882</w:t>
            </w:r>
          </w:p>
        </w:tc>
        <w:tc>
          <w:tcPr>
            <w:tcW w:w="3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398</w:t>
            </w:r>
          </w:p>
        </w:tc>
        <w:tc>
          <w:tcPr>
            <w:tcW w:w="14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Technical labor</w:t>
            </w:r>
          </w:p>
        </w:tc>
        <w:tc>
          <w:tcPr>
            <w:tcW w:w="1240" w:type="dxa"/>
            <w:vAlign w:val="bottom"/>
          </w:tcPr>
          <w:p>
            <w:pPr>
              <w:jc w:val="right"/>
              <w:ind w:right="276"/>
              <w:spacing w:after="0"/>
              <w:rPr>
                <w:sz w:val="20"/>
                <w:szCs w:val="20"/>
                <w:color w:val="auto"/>
              </w:rPr>
            </w:pPr>
            <w:r>
              <w:rPr>
                <w:rFonts w:ascii="Arial" w:cs="Arial" w:eastAsia="Arial" w:hAnsi="Arial"/>
                <w:sz w:val="18"/>
                <w:szCs w:val="18"/>
                <w:color w:val="auto"/>
              </w:rPr>
              <w:t>1,757</w:t>
            </w:r>
          </w:p>
        </w:tc>
        <w:tc>
          <w:tcPr>
            <w:tcW w:w="1120" w:type="dxa"/>
            <w:vAlign w:val="bottom"/>
          </w:tcPr>
          <w:p>
            <w:pPr>
              <w:jc w:val="right"/>
              <w:ind w:right="274"/>
              <w:spacing w:after="0"/>
              <w:rPr>
                <w:sz w:val="20"/>
                <w:szCs w:val="20"/>
                <w:color w:val="auto"/>
              </w:rPr>
            </w:pPr>
            <w:r>
              <w:rPr>
                <w:rFonts w:ascii="Arial" w:cs="Arial" w:eastAsia="Arial" w:hAnsi="Arial"/>
                <w:sz w:val="18"/>
                <w:szCs w:val="18"/>
                <w:color w:val="auto"/>
              </w:rPr>
              <w:t>1,758</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420" w:type="dxa"/>
            <w:vAlign w:val="bottom"/>
          </w:tcPr>
          <w:p>
            <w:pPr>
              <w:jc w:val="right"/>
              <w:ind w:right="96"/>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Customer service</w:t>
            </w:r>
          </w:p>
        </w:tc>
        <w:tc>
          <w:tcPr>
            <w:tcW w:w="124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1,460</w:t>
            </w:r>
          </w:p>
        </w:tc>
        <w:tc>
          <w:tcPr>
            <w:tcW w:w="112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1,403</w:t>
            </w:r>
          </w:p>
        </w:tc>
        <w:tc>
          <w:tcPr>
            <w:tcW w:w="3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57</w:t>
            </w:r>
          </w:p>
        </w:tc>
        <w:tc>
          <w:tcPr>
            <w:tcW w:w="14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Marketing</w:t>
            </w:r>
          </w:p>
        </w:tc>
        <w:tc>
          <w:tcPr>
            <w:tcW w:w="1240" w:type="dxa"/>
            <w:vAlign w:val="bottom"/>
          </w:tcPr>
          <w:p>
            <w:pPr>
              <w:jc w:val="right"/>
              <w:ind w:right="276"/>
              <w:spacing w:after="0"/>
              <w:rPr>
                <w:sz w:val="20"/>
                <w:szCs w:val="20"/>
                <w:color w:val="auto"/>
              </w:rPr>
            </w:pPr>
            <w:r>
              <w:rPr>
                <w:rFonts w:ascii="Arial" w:cs="Arial" w:eastAsia="Arial" w:hAnsi="Arial"/>
                <w:sz w:val="18"/>
                <w:szCs w:val="18"/>
                <w:color w:val="auto"/>
              </w:rPr>
              <w:t>2,024</w:t>
            </w:r>
          </w:p>
        </w:tc>
        <w:tc>
          <w:tcPr>
            <w:tcW w:w="1120" w:type="dxa"/>
            <w:vAlign w:val="bottom"/>
          </w:tcPr>
          <w:p>
            <w:pPr>
              <w:jc w:val="right"/>
              <w:ind w:right="274"/>
              <w:spacing w:after="0"/>
              <w:rPr>
                <w:sz w:val="20"/>
                <w:szCs w:val="20"/>
                <w:color w:val="auto"/>
              </w:rPr>
            </w:pPr>
            <w:r>
              <w:rPr>
                <w:rFonts w:ascii="Arial" w:cs="Arial" w:eastAsia="Arial" w:hAnsi="Arial"/>
                <w:sz w:val="18"/>
                <w:szCs w:val="18"/>
                <w:color w:val="auto"/>
              </w:rPr>
              <w:t>1,819</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205</w:t>
            </w:r>
          </w:p>
        </w:tc>
        <w:tc>
          <w:tcPr>
            <w:tcW w:w="1420" w:type="dxa"/>
            <w:vAlign w:val="bottom"/>
          </w:tcPr>
          <w:p>
            <w:pPr>
              <w:jc w:val="right"/>
              <w:ind w:right="136"/>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auto"/>
            </w:tcBorders>
            <w:gridSpan w:val="2"/>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auto"/>
            </w:tcBorders>
            <w:shd w:val="clear" w:color="auto" w:fill="E5E5E5"/>
          </w:tcPr>
          <w:p>
            <w:pPr>
              <w:jc w:val="right"/>
              <w:ind w:right="276"/>
              <w:spacing w:after="0"/>
              <w:rPr>
                <w:sz w:val="20"/>
                <w:szCs w:val="20"/>
                <w:color w:val="auto"/>
              </w:rPr>
            </w:pPr>
            <w:r>
              <w:rPr>
                <w:rFonts w:ascii="Arial" w:cs="Arial" w:eastAsia="Arial" w:hAnsi="Arial"/>
                <w:sz w:val="18"/>
                <w:szCs w:val="18"/>
                <w:color w:val="auto"/>
              </w:rPr>
              <w:t>5,897</w:t>
            </w:r>
          </w:p>
        </w:tc>
        <w:tc>
          <w:tcPr>
            <w:tcW w:w="1120" w:type="dxa"/>
            <w:vAlign w:val="bottom"/>
            <w:tcBorders>
              <w:bottom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rPr>
              <w:t>5,545</w:t>
            </w:r>
          </w:p>
        </w:tc>
        <w:tc>
          <w:tcPr>
            <w:tcW w:w="3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352</w:t>
            </w:r>
          </w:p>
        </w:tc>
        <w:tc>
          <w:tcPr>
            <w:tcW w:w="142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operating costs and expenses</w:t>
            </w:r>
          </w:p>
        </w:tc>
        <w:tc>
          <w:tcPr>
            <w:tcW w:w="124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17,418</w:t>
            </w: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16,407</w:t>
            </w: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1,011</w:t>
            </w:r>
          </w:p>
        </w:tc>
        <w:tc>
          <w:tcPr>
            <w:tcW w:w="14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1240" w:type="dxa"/>
            <w:vAlign w:val="bottom"/>
            <w:tcBorders>
              <w:bottom w:val="single" w:sz="8" w:color="auto"/>
            </w:tcBorders>
            <w:shd w:val="clear" w:color="auto" w:fill="E5E5E5"/>
          </w:tcPr>
          <w:p>
            <w:pPr>
              <w:jc w:val="right"/>
              <w:ind w:right="276"/>
              <w:spacing w:after="0"/>
              <w:rPr>
                <w:sz w:val="20"/>
                <w:szCs w:val="20"/>
                <w:color w:val="auto"/>
              </w:rPr>
            </w:pPr>
            <w:r>
              <w:rPr>
                <w:rFonts w:ascii="Arial" w:cs="Arial" w:eastAsia="Arial" w:hAnsi="Arial"/>
                <w:sz w:val="18"/>
                <w:szCs w:val="18"/>
                <w:b w:val="1"/>
                <w:bCs w:val="1"/>
                <w:color w:val="auto"/>
              </w:rPr>
              <w:t>$12,054</w:t>
            </w:r>
          </w:p>
        </w:tc>
        <w:tc>
          <w:tcPr>
            <w:tcW w:w="1120" w:type="dxa"/>
            <w:vAlign w:val="bottom"/>
            <w:tcBorders>
              <w:bottom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b w:val="1"/>
                <w:bCs w:val="1"/>
                <w:color w:val="auto"/>
              </w:rPr>
              <w:t>$ 11,349</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705</w:t>
            </w:r>
          </w:p>
        </w:tc>
        <w:tc>
          <w:tcPr>
            <w:tcW w:w="1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3500" w:type="dxa"/>
            <w:vAlign w:val="bottom"/>
            <w:gridSpan w:val="3"/>
          </w:tcPr>
          <w:p>
            <w:pPr>
              <w:ind w:left="1260"/>
              <w:spacing w:after="0"/>
              <w:rPr>
                <w:sz w:val="20"/>
                <w:szCs w:val="20"/>
                <w:color w:val="auto"/>
              </w:rPr>
            </w:pPr>
            <w:r>
              <w:rPr>
                <w:rFonts w:ascii="Arial" w:cs="Arial" w:eastAsia="Arial" w:hAnsi="Arial"/>
                <w:sz w:val="14"/>
                <w:szCs w:val="14"/>
                <w:color w:val="auto"/>
              </w:rPr>
              <w:t>Total Customers</w:t>
            </w:r>
          </w:p>
        </w:tc>
        <w:tc>
          <w:tcPr>
            <w:tcW w:w="3640" w:type="dxa"/>
            <w:vAlign w:val="bottom"/>
            <w:gridSpan w:val="2"/>
          </w:tcPr>
          <w:p>
            <w:pPr>
              <w:jc w:val="right"/>
              <w:ind w:right="797"/>
              <w:spacing w:after="0"/>
              <w:rPr>
                <w:sz w:val="20"/>
                <w:szCs w:val="20"/>
                <w:color w:val="auto"/>
              </w:rPr>
            </w:pPr>
            <w:r>
              <w:rPr>
                <w:rFonts w:ascii="Arial" w:cs="Arial" w:eastAsia="Arial" w:hAnsi="Arial"/>
                <w:sz w:val="14"/>
                <w:szCs w:val="14"/>
                <w:color w:val="auto"/>
              </w:rPr>
              <w:t>Net Additional Customers</w:t>
            </w:r>
          </w:p>
        </w:tc>
      </w:tr>
      <w:tr>
        <w:trPr>
          <w:trHeight w:val="131"/>
        </w:trPr>
        <w:tc>
          <w:tcPr>
            <w:tcW w:w="4280" w:type="dxa"/>
            <w:vAlign w:val="bottom"/>
          </w:tcPr>
          <w:p>
            <w:pPr>
              <w:spacing w:after="0"/>
              <w:rPr>
                <w:sz w:val="11"/>
                <w:szCs w:val="11"/>
                <w:color w:val="auto"/>
              </w:rPr>
            </w:pPr>
          </w:p>
        </w:tc>
        <w:tc>
          <w:tcPr>
            <w:tcW w:w="1700" w:type="dxa"/>
            <w:vAlign w:val="bottom"/>
            <w:tcBorders>
              <w:top w:val="single" w:sz="8" w:color="auto"/>
            </w:tcBorders>
          </w:tcPr>
          <w:p>
            <w:pPr>
              <w:jc w:val="right"/>
              <w:ind w:right="242"/>
              <w:spacing w:after="0" w:line="131" w:lineRule="exact"/>
              <w:rPr>
                <w:sz w:val="20"/>
                <w:szCs w:val="20"/>
                <w:color w:val="auto"/>
              </w:rPr>
            </w:pPr>
            <w:r>
              <w:rPr>
                <w:rFonts w:ascii="Arial" w:cs="Arial" w:eastAsia="Arial" w:hAnsi="Arial"/>
                <w:sz w:val="14"/>
                <w:szCs w:val="14"/>
                <w:color w:val="auto"/>
              </w:rPr>
              <w:t>September 30,</w:t>
            </w:r>
          </w:p>
        </w:tc>
        <w:tc>
          <w:tcPr>
            <w:tcW w:w="11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September 30,</w:t>
            </w:r>
          </w:p>
        </w:tc>
        <w:tc>
          <w:tcPr>
            <w:tcW w:w="640" w:type="dxa"/>
            <w:vAlign w:val="bottom"/>
          </w:tcPr>
          <w:p>
            <w:pPr>
              <w:spacing w:after="0"/>
              <w:rPr>
                <w:sz w:val="11"/>
                <w:szCs w:val="11"/>
                <w:color w:val="auto"/>
              </w:rPr>
            </w:pPr>
          </w:p>
        </w:tc>
        <w:tc>
          <w:tcPr>
            <w:tcW w:w="2120" w:type="dxa"/>
            <w:vAlign w:val="bottom"/>
            <w:tcBorders>
              <w:top w:val="single" w:sz="8" w:color="auto"/>
            </w:tcBorders>
          </w:tcPr>
          <w:p>
            <w:pPr>
              <w:jc w:val="right"/>
              <w:ind w:right="302"/>
              <w:spacing w:after="0" w:line="131" w:lineRule="exact"/>
              <w:rPr>
                <w:sz w:val="20"/>
                <w:szCs w:val="20"/>
                <w:color w:val="auto"/>
              </w:rPr>
            </w:pPr>
            <w:r>
              <w:rPr>
                <w:rFonts w:ascii="Arial" w:cs="Arial" w:eastAsia="Arial" w:hAnsi="Arial"/>
                <w:sz w:val="14"/>
                <w:szCs w:val="14"/>
                <w:color w:val="auto"/>
              </w:rPr>
              <w:t>Three Months Ended</w:t>
            </w:r>
          </w:p>
        </w:tc>
        <w:tc>
          <w:tcPr>
            <w:tcW w:w="1520" w:type="dxa"/>
            <w:vAlign w:val="bottom"/>
            <w:tcBorders>
              <w:top w:val="single" w:sz="8" w:color="auto"/>
            </w:tcBorders>
          </w:tcPr>
          <w:p>
            <w:pPr>
              <w:jc w:val="right"/>
              <w:ind w:right="37"/>
              <w:spacing w:after="0" w:line="131" w:lineRule="exact"/>
              <w:rPr>
                <w:sz w:val="20"/>
                <w:szCs w:val="20"/>
                <w:color w:val="auto"/>
              </w:rPr>
            </w:pPr>
            <w:r>
              <w:rPr>
                <w:rFonts w:ascii="Arial" w:cs="Arial" w:eastAsia="Arial" w:hAnsi="Arial"/>
                <w:sz w:val="14"/>
                <w:szCs w:val="14"/>
                <w:color w:val="auto"/>
              </w:rPr>
              <w:t>Nine Months Ended</w:t>
            </w:r>
          </w:p>
        </w:tc>
      </w:tr>
      <w:tr>
        <w:trPr>
          <w:trHeight w:val="159"/>
        </w:trPr>
        <w:tc>
          <w:tcPr>
            <w:tcW w:w="42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thousands)</w:t>
            </w:r>
          </w:p>
        </w:tc>
        <w:tc>
          <w:tcPr>
            <w:tcW w:w="1700" w:type="dxa"/>
            <w:vAlign w:val="bottom"/>
            <w:tcBorders>
              <w:bottom w:val="single" w:sz="8" w:color="auto"/>
            </w:tcBorders>
          </w:tcPr>
          <w:p>
            <w:pPr>
              <w:jc w:val="right"/>
              <w:ind w:right="502"/>
              <w:spacing w:after="0" w:line="159" w:lineRule="exact"/>
              <w:rPr>
                <w:sz w:val="20"/>
                <w:szCs w:val="20"/>
                <w:color w:val="auto"/>
              </w:rPr>
            </w:pPr>
            <w:r>
              <w:rPr>
                <w:rFonts w:ascii="Arial" w:cs="Arial" w:eastAsia="Arial" w:hAnsi="Arial"/>
                <w:sz w:val="14"/>
                <w:szCs w:val="14"/>
                <w:color w:val="auto"/>
              </w:rPr>
              <w:t>2012</w:t>
            </w:r>
          </w:p>
        </w:tc>
        <w:tc>
          <w:tcPr>
            <w:tcW w:w="1160" w:type="dxa"/>
            <w:vAlign w:val="bottom"/>
            <w:tcBorders>
              <w:bottom w:val="single" w:sz="8" w:color="auto"/>
            </w:tcBorders>
          </w:tcPr>
          <w:p>
            <w:pPr>
              <w:jc w:val="right"/>
              <w:ind w:right="240"/>
              <w:spacing w:after="0" w:line="159" w:lineRule="exact"/>
              <w:rPr>
                <w:sz w:val="20"/>
                <w:szCs w:val="20"/>
                <w:color w:val="auto"/>
              </w:rPr>
            </w:pPr>
            <w:r>
              <w:rPr>
                <w:rFonts w:ascii="Arial" w:cs="Arial" w:eastAsia="Arial" w:hAnsi="Arial"/>
                <w:sz w:val="14"/>
                <w:szCs w:val="14"/>
                <w:color w:val="auto"/>
              </w:rPr>
              <w:t>2011</w:t>
            </w:r>
          </w:p>
        </w:tc>
        <w:tc>
          <w:tcPr>
            <w:tcW w:w="640" w:type="dxa"/>
            <w:vAlign w:val="bottom"/>
            <w:tcBorders>
              <w:bottom w:val="single" w:sz="8" w:color="E5E5E5"/>
            </w:tcBorders>
          </w:tcPr>
          <w:p>
            <w:pPr>
              <w:spacing w:after="0"/>
              <w:rPr>
                <w:sz w:val="13"/>
                <w:szCs w:val="13"/>
                <w:color w:val="auto"/>
              </w:rPr>
            </w:pPr>
          </w:p>
        </w:tc>
        <w:tc>
          <w:tcPr>
            <w:tcW w:w="3640" w:type="dxa"/>
            <w:vAlign w:val="bottom"/>
            <w:tcBorders>
              <w:bottom w:val="single" w:sz="8" w:color="auto"/>
            </w:tcBorders>
            <w:gridSpan w:val="2"/>
          </w:tcPr>
          <w:p>
            <w:pPr>
              <w:jc w:val="right"/>
              <w:ind w:right="957"/>
              <w:spacing w:after="0" w:line="159" w:lineRule="exact"/>
              <w:rPr>
                <w:sz w:val="20"/>
                <w:szCs w:val="20"/>
                <w:color w:val="auto"/>
              </w:rPr>
            </w:pPr>
            <w:r>
              <w:rPr>
                <w:rFonts w:ascii="Arial" w:cs="Arial" w:eastAsia="Arial" w:hAnsi="Arial"/>
                <w:sz w:val="14"/>
                <w:szCs w:val="14"/>
                <w:color w:val="auto"/>
              </w:rPr>
              <w:t>September 30, 2012</w:t>
            </w:r>
          </w:p>
        </w:tc>
      </w:tr>
      <w:tr>
        <w:trPr>
          <w:trHeight w:val="210"/>
        </w:trPr>
        <w:tc>
          <w:tcPr>
            <w:tcW w:w="4280" w:type="dxa"/>
            <w:vAlign w:val="bottom"/>
            <w:shd w:val="clear" w:color="auto" w:fill="E5E5E5"/>
          </w:tcPr>
          <w:p>
            <w:pPr>
              <w:spacing w:after="0"/>
              <w:rPr>
                <w:sz w:val="20"/>
                <w:szCs w:val="20"/>
                <w:color w:val="auto"/>
              </w:rPr>
            </w:pPr>
            <w:r>
              <w:rPr>
                <w:rFonts w:ascii="Arial" w:cs="Arial" w:eastAsia="Arial" w:hAnsi="Arial"/>
                <w:sz w:val="18"/>
                <w:szCs w:val="18"/>
                <w:color w:val="auto"/>
              </w:rPr>
              <w:t>Video customers</w:t>
            </w:r>
          </w:p>
        </w:tc>
        <w:tc>
          <w:tcPr>
            <w:tcW w:w="1700" w:type="dxa"/>
            <w:vAlign w:val="bottom"/>
            <w:shd w:val="clear" w:color="auto" w:fill="E5E5E5"/>
          </w:tcPr>
          <w:p>
            <w:pPr>
              <w:jc w:val="right"/>
              <w:ind w:right="242"/>
              <w:spacing w:after="0"/>
              <w:rPr>
                <w:sz w:val="20"/>
                <w:szCs w:val="20"/>
                <w:color w:val="auto"/>
              </w:rPr>
            </w:pPr>
            <w:r>
              <w:rPr>
                <w:rFonts w:ascii="Arial" w:cs="Arial" w:eastAsia="Arial" w:hAnsi="Arial"/>
                <w:sz w:val="18"/>
                <w:szCs w:val="18"/>
                <w:color w:val="auto"/>
              </w:rPr>
              <w:t>22,002</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22,348</w:t>
            </w:r>
          </w:p>
        </w:tc>
        <w:tc>
          <w:tcPr>
            <w:tcW w:w="640" w:type="dxa"/>
            <w:vAlign w:val="bottom"/>
            <w:shd w:val="clear" w:color="auto" w:fill="E5E5E5"/>
          </w:tcPr>
          <w:p>
            <w:pPr>
              <w:spacing w:after="0"/>
              <w:rPr>
                <w:sz w:val="18"/>
                <w:szCs w:val="18"/>
                <w:color w:val="auto"/>
              </w:rPr>
            </w:pPr>
          </w:p>
        </w:tc>
        <w:tc>
          <w:tcPr>
            <w:tcW w:w="2120" w:type="dxa"/>
            <w:vAlign w:val="bottom"/>
            <w:shd w:val="clear" w:color="auto" w:fill="E5E5E5"/>
          </w:tcPr>
          <w:p>
            <w:pPr>
              <w:jc w:val="right"/>
              <w:ind w:right="242"/>
              <w:spacing w:after="0"/>
              <w:rPr>
                <w:sz w:val="20"/>
                <w:szCs w:val="20"/>
                <w:color w:val="auto"/>
              </w:rPr>
            </w:pPr>
            <w:r>
              <w:rPr>
                <w:rFonts w:ascii="Arial" w:cs="Arial" w:eastAsia="Arial" w:hAnsi="Arial"/>
                <w:sz w:val="18"/>
                <w:szCs w:val="18"/>
                <w:color w:val="auto"/>
              </w:rPr>
              <w:t>(117)</w:t>
            </w:r>
          </w:p>
        </w:tc>
        <w:tc>
          <w:tcPr>
            <w:tcW w:w="1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High-speed Internet customers</w:t>
            </w:r>
          </w:p>
        </w:tc>
        <w:tc>
          <w:tcPr>
            <w:tcW w:w="1700" w:type="dxa"/>
            <w:vAlign w:val="bottom"/>
          </w:tcPr>
          <w:p>
            <w:pPr>
              <w:jc w:val="right"/>
              <w:ind w:right="242"/>
              <w:spacing w:after="0"/>
              <w:rPr>
                <w:sz w:val="20"/>
                <w:szCs w:val="20"/>
                <w:color w:val="auto"/>
              </w:rPr>
            </w:pPr>
            <w:r>
              <w:rPr>
                <w:rFonts w:ascii="Arial" w:cs="Arial" w:eastAsia="Arial" w:hAnsi="Arial"/>
                <w:sz w:val="18"/>
                <w:szCs w:val="18"/>
                <w:color w:val="auto"/>
              </w:rPr>
              <w:t>19,025</w:t>
            </w:r>
          </w:p>
        </w:tc>
        <w:tc>
          <w:tcPr>
            <w:tcW w:w="1160" w:type="dxa"/>
            <w:vAlign w:val="bottom"/>
          </w:tcPr>
          <w:p>
            <w:pPr>
              <w:jc w:val="right"/>
              <w:spacing w:after="0"/>
              <w:rPr>
                <w:sz w:val="20"/>
                <w:szCs w:val="20"/>
                <w:color w:val="auto"/>
              </w:rPr>
            </w:pPr>
            <w:r>
              <w:rPr>
                <w:rFonts w:ascii="Arial" w:cs="Arial" w:eastAsia="Arial" w:hAnsi="Arial"/>
                <w:sz w:val="18"/>
                <w:szCs w:val="18"/>
                <w:color w:val="auto"/>
              </w:rPr>
              <w:t>17,808</w:t>
            </w:r>
          </w:p>
        </w:tc>
        <w:tc>
          <w:tcPr>
            <w:tcW w:w="640" w:type="dxa"/>
            <w:vAlign w:val="bottom"/>
          </w:tcPr>
          <w:p>
            <w:pPr>
              <w:spacing w:after="0"/>
              <w:rPr>
                <w:sz w:val="18"/>
                <w:szCs w:val="18"/>
                <w:color w:val="auto"/>
              </w:rPr>
            </w:pPr>
          </w:p>
        </w:tc>
        <w:tc>
          <w:tcPr>
            <w:tcW w:w="2120" w:type="dxa"/>
            <w:vAlign w:val="bottom"/>
          </w:tcPr>
          <w:p>
            <w:pPr>
              <w:jc w:val="right"/>
              <w:ind w:right="302"/>
              <w:spacing w:after="0"/>
              <w:rPr>
                <w:sz w:val="20"/>
                <w:szCs w:val="20"/>
                <w:color w:val="auto"/>
              </w:rPr>
            </w:pPr>
            <w:r>
              <w:rPr>
                <w:rFonts w:ascii="Arial" w:cs="Arial" w:eastAsia="Arial" w:hAnsi="Arial"/>
                <w:sz w:val="18"/>
                <w:szCs w:val="18"/>
                <w:color w:val="auto"/>
              </w:rPr>
              <w:t>287</w:t>
            </w: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882</w:t>
            </w:r>
          </w:p>
        </w:tc>
      </w:tr>
      <w:tr>
        <w:trPr>
          <w:trHeight w:val="216"/>
        </w:trPr>
        <w:tc>
          <w:tcPr>
            <w:tcW w:w="4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Voice customers</w:t>
            </w:r>
          </w:p>
        </w:tc>
        <w:tc>
          <w:tcPr>
            <w:tcW w:w="1700" w:type="dxa"/>
            <w:vAlign w:val="bottom"/>
            <w:tcBorders>
              <w:bottom w:val="single" w:sz="8" w:color="auto"/>
            </w:tcBorders>
            <w:shd w:val="clear" w:color="auto" w:fill="E5E5E5"/>
          </w:tcPr>
          <w:p>
            <w:pPr>
              <w:jc w:val="right"/>
              <w:ind w:right="242"/>
              <w:spacing w:after="0"/>
              <w:rPr>
                <w:sz w:val="20"/>
                <w:szCs w:val="20"/>
                <w:color w:val="auto"/>
              </w:rPr>
            </w:pPr>
            <w:r>
              <w:rPr>
                <w:rFonts w:ascii="Arial" w:cs="Arial" w:eastAsia="Arial" w:hAnsi="Arial"/>
                <w:sz w:val="18"/>
                <w:szCs w:val="18"/>
                <w:color w:val="auto"/>
              </w:rPr>
              <w:t>9,787</w:t>
            </w: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9,196</w:t>
            </w:r>
          </w:p>
        </w:tc>
        <w:tc>
          <w:tcPr>
            <w:tcW w:w="640" w:type="dxa"/>
            <w:vAlign w:val="bottom"/>
            <w:tcBorders>
              <w:bottom w:val="single" w:sz="8" w:color="auto"/>
            </w:tcBorders>
            <w:shd w:val="clear" w:color="auto" w:fill="E5E5E5"/>
          </w:tcPr>
          <w:p>
            <w:pPr>
              <w:spacing w:after="0"/>
              <w:rPr>
                <w:sz w:val="18"/>
                <w:szCs w:val="18"/>
                <w:color w:val="auto"/>
              </w:rPr>
            </w:pPr>
          </w:p>
        </w:tc>
        <w:tc>
          <w:tcPr>
            <w:tcW w:w="2120" w:type="dxa"/>
            <w:vAlign w:val="bottom"/>
            <w:tcBorders>
              <w:bottom w:val="single" w:sz="8" w:color="auto"/>
            </w:tcBorders>
            <w:shd w:val="clear" w:color="auto" w:fill="E5E5E5"/>
          </w:tcPr>
          <w:p>
            <w:pPr>
              <w:jc w:val="right"/>
              <w:ind w:right="302"/>
              <w:spacing w:after="0"/>
              <w:rPr>
                <w:sz w:val="20"/>
                <w:szCs w:val="20"/>
                <w:color w:val="auto"/>
              </w:rPr>
            </w:pPr>
            <w:r>
              <w:rPr>
                <w:rFonts w:ascii="Arial" w:cs="Arial" w:eastAsia="Arial" w:hAnsi="Arial"/>
                <w:sz w:val="18"/>
                <w:szCs w:val="18"/>
                <w:color w:val="auto"/>
              </w:rPr>
              <w:t>123</w:t>
            </w:r>
          </w:p>
        </w:tc>
        <w:tc>
          <w:tcPr>
            <w:tcW w:w="15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445</w:t>
            </w: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Customer data includes residential and business customers.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Segment—Revenue</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average monthly total revenue per video customer for the three months ended September 30, 2012 increased to $151 from $139 for the three months ended September 30, 2011. Our average monthly total revenue per video customer for the nine months ended September 30, 2012 increased to $148 from $137 for the nine months ended September 30, 2011. The increases in average monthly total revenue per video customer were primarily due to increases in the number of residential customers receiving multiple services, rate adjustments, higher contributions from business services and declines in the total number of video customers.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video revenue increased for the three and nine months ended September 30, 2012 compared to the same periods in 2011 primarily due to rate adjustments and additional residential customers receiving higher levels of video service, which were partially offset by declines in the number of residential video customers. For the three and nine months ended September 30, 2012, the number of video customers decreased primarily due to competitive pressures in our service areas. We may experience further declines in the number of residential video customers. As of September 30, 2012, 54% of our digital video customers subscribed to at least one of our high-definition television (“HDTV”) or digital video recorder (“DVR”) services.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high-speed Internet revenue increased for the three and nine months ended September 30, 2012 compared to the same periods in 2011 primarily due to increases in the number of residential customers, rate adjustments and additional residential customers receiving higher levels of service.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voice revenue increased slightly for the three and nine months ended September 30, 2012 compared to the same periods in 2011 primarily due to increases in the number of residential customers, including those receiving multiple services as part of promotional offers.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business services revenue increased for the three and nine months ended September 30, 2012 compared to the same periods in 2011 primarily due to increases in the number of business customers.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advertising revenue increased for the three and nine months ended September 30, 2012 compared to the same periods in 2011 primarily due to increases in political and automotive advertising revenue and improvements in the local and regional advertising markets.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other revenue increased for the three and nine months ended September 30, 2012 compared to the same periods in 2011 primarily due to increases in franchise and other regulatory fees.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Costs and Expenses</w:t>
      </w:r>
    </w:p>
    <w:p>
      <w:pPr>
        <w:spacing w:after="0" w:line="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Programming expenses increased for the three and nine months ended September 30, 2012 compared to the same periods in 2011 primarily due to increases in fees charged by programming networks and fees incurred to secure rights for additional programming options for our customers. Technical labor expenses decreased slightly for the three months ended September 30, 2012 and remained flat for the nine months ended September 30, 2012 compared to the same periods in 2011 primarily due to an increase in customer self-installation activities. Customer service expenses increased for the three and nine months ended September 30, 2012 compared to the same periods in 2011 primarily due to increases in labor costs associated with higher levels of customer service activity. Marketing expenses increased for the three and nine months ended September 30, 2012 compared to the same periods in 2011 primarily due to increases in the number of sales employees and media spending for residential and business services. Other operating costs and expenses increased for the three and nine months ended September 30, 2012 compared to the same periods in 2011 primarily due to increases in activity related to business services, advertising, network operations, and franchise and other regulatory fees.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Overview</w:t>
      </w:r>
    </w:p>
    <w:p>
      <w:pPr>
        <w:spacing w:after="0" w:line="8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discussion below compares the NBCUniversal segments’ actual results for the three months ended September 30, 2012 to the actual results for the same period in 2011, and the actual results for the nine months ended September 30, 2012 to pro forma combined results for the same period in 2011. Management believes reviewing our operating results by combining actual and pro forma results for the NBCUniversal segments for 2011 is more useful in identifying trends in, or reaching conclusions regarding, the overall operating performance of these segments for the current period. Our pro forma amounts presented in the tables below include adjustments as if the NBCUniversal and Universal Orlando transactions had occurred on January 1, 2010. Our pro forma data was also adjusted for the effects of acquisition accounting and the elimination of costs and expenses directly related to the transactions but does not include adjustments for costs related to integration activities, cost savings or synergies that have been or may be achieved by the combined businesses. Pro forma amounts are not necessarily indicative of what our results would have been had we operated the NBCUniversal contributed businesses or Universal Orlando since January 1, 2010, nor of our future results.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operating results of the NBCUniversal segments for the three and nine months ended September 30, 2012 and 2011 are presented in the table below.</w:t>
      </w:r>
    </w:p>
    <w:p>
      <w:pPr>
        <w:sectPr>
          <w:pgSz w:w="11900" w:h="16838" w:orient="portrait"/>
          <w:cols w:equalWidth="0" w:num="1">
            <w:col w:w="11420"/>
          </w:cols>
          <w:pgMar w:left="240" w:top="459" w:right="239" w:bottom="1440" w:gutter="0" w:footer="0" w:header="0"/>
        </w:sectPr>
      </w:pP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left="357"/>
              <w:spacing w:after="0"/>
              <w:rPr>
                <w:sz w:val="20"/>
                <w:szCs w:val="20"/>
                <w:color w:val="auto"/>
              </w:rPr>
            </w:pPr>
            <w:r>
              <w:rPr>
                <w:rFonts w:ascii="Arial" w:cs="Arial" w:eastAsia="Arial" w:hAnsi="Arial"/>
                <w:sz w:val="14"/>
                <w:szCs w:val="14"/>
                <w:color w:val="auto"/>
                <w:w w:val="92"/>
              </w:rPr>
              <w:t>Actual</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00" w:type="dxa"/>
            <w:vAlign w:val="bottom"/>
            <w:gridSpan w:val="3"/>
          </w:tcPr>
          <w:p>
            <w:pPr>
              <w:jc w:val="center"/>
              <w:ind w:right="114"/>
              <w:spacing w:after="0" w:line="131" w:lineRule="exact"/>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59"/>
        </w:trPr>
        <w:tc>
          <w:tcPr>
            <w:tcW w:w="51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2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center"/>
              <w:ind w:right="134"/>
              <w:spacing w:after="0" w:line="159" w:lineRule="exact"/>
              <w:rPr>
                <w:sz w:val="20"/>
                <w:szCs w:val="20"/>
                <w:color w:val="auto"/>
              </w:rPr>
            </w:pPr>
            <w:r>
              <w:rPr>
                <w:rFonts w:ascii="Arial" w:cs="Arial" w:eastAsia="Arial" w:hAnsi="Arial"/>
                <w:sz w:val="14"/>
                <w:szCs w:val="14"/>
                <w:color w:val="auto"/>
                <w:w w:val="86"/>
              </w:rPr>
              <w:t>September 30</w:t>
            </w:r>
          </w:p>
        </w:tc>
        <w:tc>
          <w:tcPr>
            <w:tcW w:w="0" w:type="dxa"/>
            <w:vAlign w:val="bottom"/>
          </w:tcPr>
          <w:p>
            <w:pPr>
              <w:spacing w:after="0"/>
              <w:rPr>
                <w:sz w:val="1"/>
                <w:szCs w:val="1"/>
                <w:color w:val="auto"/>
              </w:rPr>
            </w:pPr>
          </w:p>
        </w:tc>
      </w:tr>
      <w:tr>
        <w:trPr>
          <w:trHeight w:val="142"/>
        </w:trPr>
        <w:tc>
          <w:tcPr>
            <w:tcW w:w="5100" w:type="dxa"/>
            <w:vAlign w:val="bottom"/>
            <w:tcBorders>
              <w:bottom w:val="single" w:sz="8" w:color="auto"/>
            </w:tcBorders>
            <w:gridSpan w:val="2"/>
            <w:vMerge w:val="continue"/>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color w:val="auto"/>
                <w:w w:val="89"/>
              </w:rPr>
              <w:t>2012</w:t>
            </w: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w w:val="89"/>
              </w:rPr>
              <w:t>2011</w:t>
            </w:r>
          </w:p>
        </w:tc>
        <w:tc>
          <w:tcPr>
            <w:tcW w:w="0" w:type="dxa"/>
            <w:vAlign w:val="bottom"/>
          </w:tcPr>
          <w:p>
            <w:pPr>
              <w:spacing w:after="0"/>
              <w:rPr>
                <w:sz w:val="1"/>
                <w:szCs w:val="1"/>
                <w:color w:val="auto"/>
              </w:rPr>
            </w:pPr>
          </w:p>
        </w:tc>
      </w:tr>
      <w:tr>
        <w:trPr>
          <w:trHeight w:val="201"/>
        </w:trPr>
        <w:tc>
          <w:tcPr>
            <w:tcW w:w="51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Revenue</w:t>
            </w:r>
          </w:p>
        </w:tc>
        <w:tc>
          <w:tcPr>
            <w:tcW w:w="2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Cable Networks</w:t>
            </w:r>
          </w:p>
        </w:tc>
        <w:tc>
          <w:tcPr>
            <w:tcW w:w="2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7"/>
              <w:spacing w:after="0"/>
              <w:rPr>
                <w:sz w:val="20"/>
                <w:szCs w:val="20"/>
                <w:color w:val="auto"/>
              </w:rPr>
            </w:pPr>
            <w:r>
              <w:rPr>
                <w:rFonts w:ascii="Arial" w:cs="Arial" w:eastAsia="Arial" w:hAnsi="Arial"/>
                <w:sz w:val="18"/>
                <w:szCs w:val="18"/>
                <w:color w:val="auto"/>
                <w:w w:val="93"/>
              </w:rPr>
              <w:t>2,165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2,097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Broadcast Television</w:t>
            </w:r>
          </w:p>
        </w:tc>
        <w:tc>
          <w:tcPr>
            <w:tcW w:w="2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317"/>
              <w:spacing w:after="0"/>
              <w:rPr>
                <w:sz w:val="20"/>
                <w:szCs w:val="20"/>
                <w:color w:val="auto"/>
              </w:rPr>
            </w:pPr>
            <w:r>
              <w:rPr>
                <w:rFonts w:ascii="Arial" w:cs="Arial" w:eastAsia="Arial" w:hAnsi="Arial"/>
                <w:sz w:val="18"/>
                <w:szCs w:val="18"/>
                <w:color w:val="auto"/>
                <w:w w:val="93"/>
              </w:rPr>
              <w:t>2,777</w:t>
            </w:r>
          </w:p>
        </w:tc>
        <w:tc>
          <w:tcPr>
            <w:tcW w:w="12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Filmed Entertainment</w:t>
            </w:r>
          </w:p>
        </w:tc>
        <w:tc>
          <w:tcPr>
            <w:tcW w:w="2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317"/>
              <w:spacing w:after="0"/>
              <w:rPr>
                <w:sz w:val="20"/>
                <w:szCs w:val="20"/>
                <w:color w:val="auto"/>
              </w:rPr>
            </w:pPr>
            <w:r>
              <w:rPr>
                <w:rFonts w:ascii="Arial" w:cs="Arial" w:eastAsia="Arial" w:hAnsi="Arial"/>
                <w:sz w:val="18"/>
                <w:szCs w:val="18"/>
                <w:color w:val="auto"/>
                <w:w w:val="93"/>
              </w:rPr>
              <w:t>1,355</w:t>
            </w:r>
          </w:p>
        </w:tc>
        <w:tc>
          <w:tcPr>
            <w:tcW w:w="12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Theme Parks</w:t>
            </w:r>
          </w:p>
        </w:tc>
        <w:tc>
          <w:tcPr>
            <w:tcW w:w="2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317"/>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Headquarters, other and eliminations</w:t>
            </w:r>
          </w:p>
        </w:tc>
        <w:tc>
          <w:tcPr>
            <w:tcW w:w="2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revenue</w:t>
            </w:r>
          </w:p>
        </w:tc>
        <w:tc>
          <w:tcPr>
            <w:tcW w:w="2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8"/>
                <w:szCs w:val="18"/>
                <w:b w:val="1"/>
                <w:bCs w:val="1"/>
                <w:color w:val="auto"/>
                <w:w w:val="93"/>
              </w:rPr>
              <w:t>6,822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3"/>
              </w:rPr>
              <w:t>5,200</w:t>
            </w:r>
          </w:p>
        </w:tc>
        <w:tc>
          <w:tcPr>
            <w:tcW w:w="0" w:type="dxa"/>
            <w:vAlign w:val="bottom"/>
          </w:tcPr>
          <w:p>
            <w:pPr>
              <w:spacing w:after="0"/>
              <w:rPr>
                <w:sz w:val="1"/>
                <w:szCs w:val="1"/>
                <w:color w:val="auto"/>
              </w:rPr>
            </w:pPr>
          </w:p>
        </w:tc>
      </w:tr>
      <w:tr>
        <w:trPr>
          <w:trHeight w:val="208"/>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Cable Networks</w:t>
            </w:r>
          </w:p>
        </w:tc>
        <w:tc>
          <w:tcPr>
            <w:tcW w:w="2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7"/>
              <w:spacing w:after="0"/>
              <w:rPr>
                <w:sz w:val="20"/>
                <w:szCs w:val="20"/>
                <w:color w:val="auto"/>
              </w:rPr>
            </w:pPr>
            <w:r>
              <w:rPr>
                <w:rFonts w:ascii="Arial" w:cs="Arial" w:eastAsia="Arial" w:hAnsi="Arial"/>
                <w:sz w:val="18"/>
                <w:szCs w:val="18"/>
                <w:color w:val="auto"/>
              </w:rPr>
              <w:t>809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Broadcast Television</w:t>
            </w:r>
          </w:p>
        </w:tc>
        <w:tc>
          <w:tcPr>
            <w:tcW w:w="2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317"/>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Filmed Entertainment</w:t>
            </w:r>
          </w:p>
        </w:tc>
        <w:tc>
          <w:tcPr>
            <w:tcW w:w="2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317"/>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Theme Parks</w:t>
            </w:r>
          </w:p>
        </w:tc>
        <w:tc>
          <w:tcPr>
            <w:tcW w:w="2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317"/>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Headquarters, other and eliminations</w:t>
            </w:r>
          </w:p>
        </w:tc>
        <w:tc>
          <w:tcPr>
            <w:tcW w:w="2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Total operating income before depreciation and amortization</w:t>
            </w:r>
          </w:p>
        </w:tc>
        <w:tc>
          <w:tcPr>
            <w:tcW w:w="2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8"/>
                <w:szCs w:val="18"/>
                <w:b w:val="1"/>
                <w:bCs w:val="1"/>
                <w:color w:val="auto"/>
                <w:w w:val="93"/>
              </w:rPr>
              <w:t>1,140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951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200" w:type="dxa"/>
            <w:vAlign w:val="bottom"/>
          </w:tcPr>
          <w:p>
            <w:pPr>
              <w:jc w:val="right"/>
              <w:ind w:right="1392"/>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-1927860</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-1652905</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-1378585</wp:posOffset>
            </wp:positionV>
            <wp:extent cx="72466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-1078865</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-803910</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-2210435</wp:posOffset>
            </wp:positionV>
            <wp:extent cx="72466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Increase/</w:t>
      </w:r>
    </w:p>
    <w:p>
      <w:pPr>
        <w:jc w:val="center"/>
        <w:ind w:right="-99"/>
        <w:spacing w:after="0"/>
        <w:rPr>
          <w:sz w:val="20"/>
          <w:szCs w:val="20"/>
          <w:color w:val="auto"/>
        </w:rPr>
      </w:pPr>
      <w:r>
        <w:rPr>
          <w:rFonts w:ascii="Arial" w:cs="Arial" w:eastAsia="Arial" w:hAnsi="Arial"/>
          <w:sz w:val="14"/>
          <w:szCs w:val="14"/>
          <w:color w:val="auto"/>
        </w:rPr>
        <w:t>(Decrease)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11747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ind w:left="1380" w:hanging="844"/>
        <w:spacing w:after="0"/>
        <w:tabs>
          <w:tab w:leader="none" w:pos="1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68</w:t>
            </w: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2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1,266</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83.8</w:t>
            </w:r>
          </w:p>
        </w:tc>
      </w:tr>
      <w:tr>
        <w:trPr>
          <w:trHeight w:val="216"/>
        </w:trPr>
        <w:tc>
          <w:tcPr>
            <w:tcW w:w="42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259</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23.6</w:t>
            </w:r>
          </w:p>
        </w:tc>
      </w:tr>
      <w:tr>
        <w:trPr>
          <w:trHeight w:val="216"/>
        </w:trPr>
        <w:tc>
          <w:tcPr>
            <w:tcW w:w="42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34</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5.8</w:t>
            </w:r>
          </w:p>
        </w:tc>
      </w:tr>
      <w:tr>
        <w:trPr>
          <w:trHeight w:val="223"/>
        </w:trPr>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(5.5)</w:t>
            </w:r>
          </w:p>
        </w:tc>
      </w:tr>
      <w:tr>
        <w:trPr>
          <w:trHeight w:val="218"/>
        </w:trPr>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84"/>
              </w:rPr>
              <w:t>1,622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w:t>
            </w:r>
          </w:p>
        </w:tc>
      </w:tr>
      <w:tr>
        <w:trPr>
          <w:trHeight w:val="424"/>
        </w:trPr>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58</w:t>
            </w: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42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95</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NM</w:t>
            </w:r>
          </w:p>
        </w:tc>
      </w:tr>
      <w:tr>
        <w:trPr>
          <w:trHeight w:val="216"/>
        </w:trPr>
        <w:tc>
          <w:tcPr>
            <w:tcW w:w="42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18</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31.1</w:t>
            </w:r>
          </w:p>
        </w:tc>
      </w:tr>
      <w:tr>
        <w:trPr>
          <w:trHeight w:val="216"/>
        </w:trPr>
        <w:tc>
          <w:tcPr>
            <w:tcW w:w="42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31</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11.2</w:t>
            </w:r>
          </w:p>
        </w:tc>
      </w:tr>
      <w:tr>
        <w:trPr>
          <w:trHeight w:val="223"/>
        </w:trPr>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(8.6)</w:t>
            </w:r>
          </w:p>
        </w:tc>
      </w:tr>
      <w:tr>
        <w:trPr>
          <w:trHeight w:val="218"/>
        </w:trPr>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189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w:t>
            </w:r>
          </w:p>
        </w:tc>
      </w:tr>
    </w:tbl>
    <w:p>
      <w:pPr>
        <w:sectPr>
          <w:pgSz w:w="11900" w:h="16838" w:orient="portrait"/>
          <w:cols w:equalWidth="0" w:num="2">
            <w:col w:w="9220" w:space="340"/>
            <w:col w:w="186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color w:val="auto"/>
                <w:w w:val="89"/>
              </w:rPr>
              <w:t>2012</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31"/>
        </w:trPr>
        <w:tc>
          <w:tcPr>
            <w:tcW w:w="4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center"/>
              <w:ind w:right="118"/>
              <w:spacing w:after="0" w:line="131" w:lineRule="exact"/>
              <w:rPr>
                <w:sz w:val="20"/>
                <w:szCs w:val="20"/>
                <w:color w:val="auto"/>
              </w:rPr>
            </w:pPr>
            <w:r>
              <w:rPr>
                <w:rFonts w:ascii="Arial" w:cs="Arial" w:eastAsia="Arial" w:hAnsi="Arial"/>
                <w:sz w:val="14"/>
                <w:szCs w:val="14"/>
                <w:color w:val="auto"/>
                <w:w w:val="87"/>
              </w:rPr>
              <w:t>Pro Forma</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tcPr>
          <w:p>
            <w:pPr>
              <w:jc w:val="center"/>
              <w:ind w:right="460"/>
              <w:spacing w:after="0" w:line="159" w:lineRule="exact"/>
              <w:rPr>
                <w:sz w:val="20"/>
                <w:szCs w:val="20"/>
                <w:color w:val="auto"/>
              </w:rPr>
            </w:pPr>
            <w:r>
              <w:rPr>
                <w:rFonts w:ascii="Arial" w:cs="Arial" w:eastAsia="Arial" w:hAnsi="Arial"/>
                <w:sz w:val="14"/>
                <w:szCs w:val="14"/>
                <w:color w:val="auto"/>
                <w:w w:val="92"/>
              </w:rPr>
              <w:t>Actual</w:t>
            </w:r>
          </w:p>
        </w:tc>
        <w:tc>
          <w:tcPr>
            <w:tcW w:w="340" w:type="dxa"/>
            <w:vAlign w:val="bottom"/>
          </w:tcPr>
          <w:p>
            <w:pPr>
              <w:spacing w:after="0"/>
              <w:rPr>
                <w:sz w:val="13"/>
                <w:szCs w:val="13"/>
                <w:color w:val="auto"/>
              </w:rPr>
            </w:pPr>
          </w:p>
        </w:tc>
        <w:tc>
          <w:tcPr>
            <w:tcW w:w="900" w:type="dxa"/>
            <w:vAlign w:val="bottom"/>
          </w:tcPr>
          <w:p>
            <w:pPr>
              <w:jc w:val="center"/>
              <w:ind w:right="257"/>
              <w:spacing w:after="0" w:line="159" w:lineRule="exact"/>
              <w:rPr>
                <w:sz w:val="20"/>
                <w:szCs w:val="20"/>
                <w:color w:val="auto"/>
              </w:rPr>
            </w:pPr>
            <w:r>
              <w:rPr>
                <w:rFonts w:ascii="Arial" w:cs="Arial" w:eastAsia="Arial" w:hAnsi="Arial"/>
                <w:sz w:val="14"/>
                <w:szCs w:val="14"/>
                <w:color w:val="auto"/>
                <w:w w:val="92"/>
              </w:rPr>
              <w:t>Actual</w:t>
            </w:r>
          </w:p>
        </w:tc>
        <w:tc>
          <w:tcPr>
            <w:tcW w:w="200" w:type="dxa"/>
            <w:vAlign w:val="bottom"/>
          </w:tcPr>
          <w:p>
            <w:pPr>
              <w:spacing w:after="0"/>
              <w:rPr>
                <w:sz w:val="13"/>
                <w:szCs w:val="13"/>
                <w:color w:val="auto"/>
              </w:rPr>
            </w:pPr>
          </w:p>
        </w:tc>
        <w:tc>
          <w:tcPr>
            <w:tcW w:w="880" w:type="dxa"/>
            <w:vAlign w:val="bottom"/>
          </w:tcPr>
          <w:p>
            <w:pPr>
              <w:jc w:val="right"/>
              <w:ind w:right="195"/>
              <w:spacing w:after="0" w:line="159" w:lineRule="exact"/>
              <w:rPr>
                <w:sz w:val="20"/>
                <w:szCs w:val="20"/>
                <w:color w:val="auto"/>
              </w:rPr>
            </w:pPr>
            <w:r>
              <w:rPr>
                <w:rFonts w:ascii="Arial" w:cs="Arial" w:eastAsia="Arial" w:hAnsi="Arial"/>
                <w:sz w:val="14"/>
                <w:szCs w:val="14"/>
                <w:color w:val="auto"/>
                <w:w w:val="87"/>
              </w:rPr>
              <w:t>Pro Forma</w:t>
            </w:r>
          </w:p>
        </w:tc>
        <w:tc>
          <w:tcPr>
            <w:tcW w:w="200" w:type="dxa"/>
            <w:vAlign w:val="bottom"/>
          </w:tcPr>
          <w:p>
            <w:pPr>
              <w:spacing w:after="0"/>
              <w:rPr>
                <w:sz w:val="13"/>
                <w:szCs w:val="13"/>
                <w:color w:val="auto"/>
              </w:rPr>
            </w:pPr>
          </w:p>
        </w:tc>
        <w:tc>
          <w:tcPr>
            <w:tcW w:w="1000" w:type="dxa"/>
            <w:vAlign w:val="bottom"/>
            <w:gridSpan w:val="2"/>
          </w:tcPr>
          <w:p>
            <w:pPr>
              <w:jc w:val="center"/>
              <w:ind w:right="400"/>
              <w:spacing w:after="0" w:line="159" w:lineRule="exact"/>
              <w:rPr>
                <w:sz w:val="20"/>
                <w:szCs w:val="20"/>
                <w:color w:val="auto"/>
              </w:rPr>
            </w:pPr>
            <w:r>
              <w:rPr>
                <w:rFonts w:ascii="Arial" w:cs="Arial" w:eastAsia="Arial" w:hAnsi="Arial"/>
                <w:sz w:val="14"/>
                <w:szCs w:val="14"/>
                <w:color w:val="auto"/>
                <w:w w:val="87"/>
              </w:rPr>
              <w:t>Combined</w:t>
            </w:r>
          </w:p>
        </w:tc>
        <w:tc>
          <w:tcPr>
            <w:tcW w:w="260" w:type="dxa"/>
            <w:vAlign w:val="bottom"/>
          </w:tcPr>
          <w:p>
            <w:pPr>
              <w:spacing w:after="0"/>
              <w:rPr>
                <w:sz w:val="13"/>
                <w:szCs w:val="13"/>
                <w:color w:val="auto"/>
              </w:rPr>
            </w:pPr>
          </w:p>
        </w:tc>
        <w:tc>
          <w:tcPr>
            <w:tcW w:w="1480" w:type="dxa"/>
            <w:vAlign w:val="bottom"/>
            <w:gridSpan w:val="2"/>
          </w:tcPr>
          <w:p>
            <w:pPr>
              <w:jc w:val="right"/>
              <w:ind w:right="294"/>
              <w:spacing w:after="0" w:line="159" w:lineRule="exact"/>
              <w:rPr>
                <w:sz w:val="20"/>
                <w:szCs w:val="20"/>
                <w:color w:val="auto"/>
              </w:rPr>
            </w:pPr>
            <w:r>
              <w:rPr>
                <w:rFonts w:ascii="Arial" w:cs="Arial" w:eastAsia="Arial" w:hAnsi="Arial"/>
                <w:sz w:val="14"/>
                <w:szCs w:val="14"/>
                <w:color w:val="auto"/>
                <w:w w:val="85"/>
              </w:rPr>
              <w:t>Increase/(Decrease)</w:t>
            </w:r>
          </w:p>
        </w:tc>
      </w:tr>
      <w:tr>
        <w:trPr>
          <w:trHeight w:val="131"/>
        </w:trPr>
        <w:tc>
          <w:tcPr>
            <w:tcW w:w="48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158"/>
              <w:spacing w:after="0" w:line="131" w:lineRule="exact"/>
              <w:rPr>
                <w:sz w:val="20"/>
                <w:szCs w:val="20"/>
                <w:color w:val="auto"/>
              </w:rPr>
            </w:pPr>
            <w:r>
              <w:rPr>
                <w:rFonts w:ascii="Arial" w:cs="Arial" w:eastAsia="Arial" w:hAnsi="Arial"/>
                <w:sz w:val="14"/>
                <w:szCs w:val="14"/>
                <w:color w:val="auto"/>
                <w:w w:val="90"/>
              </w:rPr>
              <w:t>Nine</w:t>
            </w:r>
          </w:p>
        </w:tc>
        <w:tc>
          <w:tcPr>
            <w:tcW w:w="2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257"/>
              <w:spacing w:after="0" w:line="131" w:lineRule="exact"/>
              <w:rPr>
                <w:sz w:val="20"/>
                <w:szCs w:val="20"/>
                <w:color w:val="auto"/>
              </w:rPr>
            </w:pPr>
            <w:r>
              <w:rPr>
                <w:rFonts w:ascii="Arial" w:cs="Arial" w:eastAsia="Arial" w:hAnsi="Arial"/>
                <w:sz w:val="14"/>
                <w:szCs w:val="14"/>
                <w:color w:val="auto"/>
                <w:w w:val="97"/>
              </w:rPr>
              <w:t>Nine</w:t>
            </w: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118"/>
              <w:spacing w:after="0" w:line="131" w:lineRule="exact"/>
              <w:rPr>
                <w:sz w:val="20"/>
                <w:szCs w:val="20"/>
                <w:color w:val="auto"/>
              </w:rPr>
            </w:pPr>
            <w:r>
              <w:rPr>
                <w:rFonts w:ascii="Arial" w:cs="Arial" w:eastAsia="Arial" w:hAnsi="Arial"/>
                <w:sz w:val="14"/>
                <w:szCs w:val="14"/>
                <w:color w:val="auto"/>
                <w:w w:val="90"/>
              </w:rPr>
              <w:t>Nine</w:t>
            </w:r>
          </w:p>
        </w:tc>
        <w:tc>
          <w:tcPr>
            <w:tcW w:w="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r>
      <w:tr>
        <w:trPr>
          <w:trHeight w:val="149"/>
        </w:trPr>
        <w:tc>
          <w:tcPr>
            <w:tcW w:w="4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Months</w:t>
            </w:r>
          </w:p>
        </w:tc>
        <w:tc>
          <w:tcPr>
            <w:tcW w:w="340" w:type="dxa"/>
            <w:vAlign w:val="bottom"/>
          </w:tcPr>
          <w:p>
            <w:pPr>
              <w:spacing w:after="0"/>
              <w:rPr>
                <w:sz w:val="12"/>
                <w:szCs w:val="12"/>
                <w:color w:val="auto"/>
              </w:rPr>
            </w:pPr>
          </w:p>
        </w:tc>
        <w:tc>
          <w:tcPr>
            <w:tcW w:w="900" w:type="dxa"/>
            <w:vAlign w:val="bottom"/>
          </w:tcPr>
          <w:p>
            <w:pPr>
              <w:jc w:val="center"/>
              <w:ind w:right="257"/>
              <w:spacing w:after="0" w:line="149" w:lineRule="exact"/>
              <w:rPr>
                <w:sz w:val="20"/>
                <w:szCs w:val="20"/>
                <w:color w:val="auto"/>
              </w:rPr>
            </w:pPr>
            <w:r>
              <w:rPr>
                <w:rFonts w:ascii="Arial" w:cs="Arial" w:eastAsia="Arial" w:hAnsi="Arial"/>
                <w:sz w:val="14"/>
                <w:szCs w:val="14"/>
                <w:color w:val="auto"/>
                <w:w w:val="87"/>
              </w:rPr>
              <w:t>Months</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1"/>
              </w:rPr>
              <w:t>Months</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6"/>
        </w:trPr>
        <w:tc>
          <w:tcPr>
            <w:tcW w:w="4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center"/>
              <w:ind w:right="440"/>
              <w:spacing w:after="0" w:line="146" w:lineRule="exact"/>
              <w:rPr>
                <w:sz w:val="20"/>
                <w:szCs w:val="20"/>
                <w:color w:val="auto"/>
              </w:rPr>
            </w:pPr>
            <w:r>
              <w:rPr>
                <w:rFonts w:ascii="Arial" w:cs="Arial" w:eastAsia="Arial" w:hAnsi="Arial"/>
                <w:sz w:val="14"/>
                <w:szCs w:val="14"/>
                <w:color w:val="auto"/>
                <w:w w:val="83"/>
              </w:rPr>
              <w:t>Ended</w:t>
            </w:r>
          </w:p>
        </w:tc>
        <w:tc>
          <w:tcPr>
            <w:tcW w:w="340" w:type="dxa"/>
            <w:vAlign w:val="bottom"/>
          </w:tcPr>
          <w:p>
            <w:pPr>
              <w:spacing w:after="0"/>
              <w:rPr>
                <w:sz w:val="12"/>
                <w:szCs w:val="12"/>
                <w:color w:val="auto"/>
              </w:rPr>
            </w:pPr>
          </w:p>
        </w:tc>
        <w:tc>
          <w:tcPr>
            <w:tcW w:w="900" w:type="dxa"/>
            <w:vAlign w:val="bottom"/>
          </w:tcPr>
          <w:p>
            <w:pPr>
              <w:jc w:val="center"/>
              <w:ind w:right="257"/>
              <w:spacing w:after="0" w:line="146" w:lineRule="exact"/>
              <w:rPr>
                <w:sz w:val="20"/>
                <w:szCs w:val="20"/>
                <w:color w:val="auto"/>
              </w:rPr>
            </w:pPr>
            <w:r>
              <w:rPr>
                <w:rFonts w:ascii="Arial" w:cs="Arial" w:eastAsia="Arial" w:hAnsi="Arial"/>
                <w:sz w:val="14"/>
                <w:szCs w:val="14"/>
                <w:color w:val="auto"/>
                <w:w w:val="88"/>
              </w:rPr>
              <w:t>Ended</w:t>
            </w:r>
          </w:p>
        </w:tc>
        <w:tc>
          <w:tcPr>
            <w:tcW w:w="108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00" w:type="dxa"/>
            <w:vAlign w:val="bottom"/>
            <w:gridSpan w:val="2"/>
          </w:tcPr>
          <w:p>
            <w:pPr>
              <w:jc w:val="center"/>
              <w:ind w:right="420"/>
              <w:spacing w:after="0" w:line="146" w:lineRule="exact"/>
              <w:rPr>
                <w:sz w:val="20"/>
                <w:szCs w:val="20"/>
                <w:color w:val="auto"/>
              </w:rPr>
            </w:pPr>
            <w:r>
              <w:rPr>
                <w:rFonts w:ascii="Arial" w:cs="Arial" w:eastAsia="Arial" w:hAnsi="Arial"/>
                <w:sz w:val="14"/>
                <w:szCs w:val="14"/>
                <w:color w:val="auto"/>
                <w:w w:val="83"/>
              </w:rPr>
              <w:t>Ended</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6"/>
        </w:trPr>
        <w:tc>
          <w:tcPr>
            <w:tcW w:w="4820" w:type="dxa"/>
            <w:vAlign w:val="bottom"/>
          </w:tcPr>
          <w:p>
            <w:pPr>
              <w:spacing w:after="0"/>
              <w:rPr>
                <w:sz w:val="20"/>
                <w:szCs w:val="20"/>
                <w:color w:val="auto"/>
              </w:rPr>
            </w:pPr>
            <w:r>
              <w:rPr>
                <w:rFonts w:ascii="Arial" w:cs="Arial" w:eastAsia="Arial" w:hAnsi="Arial"/>
                <w:sz w:val="14"/>
                <w:szCs w:val="14"/>
                <w:color w:val="auto"/>
              </w:rPr>
              <w:t>(in millions)</w:t>
            </w:r>
          </w:p>
        </w:tc>
        <w:tc>
          <w:tcPr>
            <w:tcW w:w="1340" w:type="dxa"/>
            <w:vAlign w:val="bottom"/>
            <w:gridSpan w:val="3"/>
          </w:tcPr>
          <w:p>
            <w:pPr>
              <w:ind w:left="280"/>
              <w:spacing w:after="0"/>
              <w:rPr>
                <w:sz w:val="20"/>
                <w:szCs w:val="20"/>
                <w:color w:val="auto"/>
              </w:rPr>
            </w:pPr>
            <w:r>
              <w:rPr>
                <w:rFonts w:ascii="Arial" w:cs="Arial" w:eastAsia="Arial" w:hAnsi="Arial"/>
                <w:sz w:val="14"/>
                <w:szCs w:val="14"/>
                <w:color w:val="auto"/>
              </w:rPr>
              <w:t>September 30</w:t>
            </w:r>
          </w:p>
        </w:tc>
        <w:tc>
          <w:tcPr>
            <w:tcW w:w="1240" w:type="dxa"/>
            <w:vAlign w:val="bottom"/>
            <w:gridSpan w:val="2"/>
          </w:tcPr>
          <w:p>
            <w:pPr>
              <w:ind w:left="180"/>
              <w:spacing w:after="0" w:line="176" w:lineRule="exact"/>
              <w:rPr>
                <w:sz w:val="20"/>
                <w:szCs w:val="20"/>
                <w:color w:val="auto"/>
              </w:rPr>
            </w:pPr>
            <w:r>
              <w:rPr>
                <w:rFonts w:ascii="Arial" w:cs="Arial" w:eastAsia="Arial" w:hAnsi="Arial"/>
                <w:sz w:val="13"/>
                <w:szCs w:val="13"/>
                <w:color w:val="auto"/>
              </w:rPr>
              <w:t>September 30</w:t>
            </w:r>
            <w:r>
              <w:rPr>
                <w:rFonts w:ascii="Arial" w:cs="Arial" w:eastAsia="Arial" w:hAnsi="Arial"/>
                <w:sz w:val="20"/>
                <w:szCs w:val="20"/>
                <w:color w:val="auto"/>
                <w:vertAlign w:val="superscript"/>
              </w:rPr>
              <w:t>(a)</w:t>
            </w:r>
          </w:p>
        </w:tc>
        <w:tc>
          <w:tcPr>
            <w:tcW w:w="1080" w:type="dxa"/>
            <w:vAlign w:val="bottom"/>
            <w:gridSpan w:val="2"/>
          </w:tcPr>
          <w:p>
            <w:pPr>
              <w:jc w:val="right"/>
              <w:ind w:right="115"/>
              <w:spacing w:after="0" w:line="176" w:lineRule="exact"/>
              <w:rPr>
                <w:sz w:val="20"/>
                <w:szCs w:val="20"/>
                <w:color w:val="auto"/>
              </w:rPr>
            </w:pPr>
            <w:r>
              <w:rPr>
                <w:rFonts w:ascii="Arial" w:cs="Arial" w:eastAsia="Arial" w:hAnsi="Arial"/>
                <w:sz w:val="13"/>
                <w:szCs w:val="13"/>
                <w:color w:val="auto"/>
              </w:rPr>
              <w:t>Businesses</w:t>
            </w:r>
            <w:r>
              <w:rPr>
                <w:rFonts w:ascii="Arial" w:cs="Arial" w:eastAsia="Arial" w:hAnsi="Arial"/>
                <w:sz w:val="20"/>
                <w:szCs w:val="20"/>
                <w:color w:val="auto"/>
                <w:vertAlign w:val="superscript"/>
              </w:rPr>
              <w:t>(b)</w:t>
            </w:r>
          </w:p>
        </w:tc>
        <w:tc>
          <w:tcPr>
            <w:tcW w:w="1200" w:type="dxa"/>
            <w:vAlign w:val="bottom"/>
            <w:gridSpan w:val="3"/>
          </w:tcPr>
          <w:p>
            <w:pPr>
              <w:ind w:left="120"/>
              <w:spacing w:after="0"/>
              <w:rPr>
                <w:sz w:val="20"/>
                <w:szCs w:val="20"/>
                <w:color w:val="auto"/>
              </w:rPr>
            </w:pPr>
            <w:r>
              <w:rPr>
                <w:rFonts w:ascii="Arial" w:cs="Arial" w:eastAsia="Arial" w:hAnsi="Arial"/>
                <w:sz w:val="14"/>
                <w:szCs w:val="14"/>
                <w:color w:val="auto"/>
              </w:rPr>
              <w:t>September 30</w:t>
            </w:r>
          </w:p>
        </w:tc>
        <w:tc>
          <w:tcPr>
            <w:tcW w:w="260" w:type="dxa"/>
            <w:vAlign w:val="bottom"/>
          </w:tcPr>
          <w:p>
            <w:pPr>
              <w:spacing w:after="0"/>
              <w:rPr>
                <w:sz w:val="15"/>
                <w:szCs w:val="15"/>
                <w:color w:val="auto"/>
              </w:rPr>
            </w:pPr>
          </w:p>
        </w:tc>
        <w:tc>
          <w:tcPr>
            <w:tcW w:w="680" w:type="dxa"/>
            <w:vAlign w:val="bottom"/>
          </w:tcPr>
          <w:p>
            <w:pPr>
              <w:jc w:val="right"/>
              <w:ind w:right="395"/>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74"/>
              <w:spacing w:after="0"/>
              <w:rPr>
                <w:sz w:val="20"/>
                <w:szCs w:val="20"/>
                <w:color w:val="auto"/>
              </w:rPr>
            </w:pPr>
            <w:r>
              <w:rPr>
                <w:rFonts w:ascii="Arial" w:cs="Arial" w:eastAsia="Arial" w:hAnsi="Arial"/>
                <w:sz w:val="14"/>
                <w:szCs w:val="14"/>
                <w:color w:val="auto"/>
              </w:rPr>
              <w:t>%</w:t>
            </w:r>
          </w:p>
        </w:tc>
      </w:tr>
      <w:tr>
        <w:trPr>
          <w:trHeight w:val="210"/>
        </w:trPr>
        <w:tc>
          <w:tcPr>
            <w:tcW w:w="48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0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E5E5E5"/>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88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E5E5E5"/>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8"/>
              <w:spacing w:after="0"/>
              <w:rPr>
                <w:sz w:val="20"/>
                <w:szCs w:val="20"/>
                <w:color w:val="auto"/>
              </w:rPr>
            </w:pPr>
            <w:r>
              <w:rPr>
                <w:rFonts w:ascii="Arial" w:cs="Arial" w:eastAsia="Arial" w:hAnsi="Arial"/>
                <w:sz w:val="18"/>
                <w:szCs w:val="18"/>
                <w:color w:val="auto"/>
              </w:rPr>
              <w:t>6,555</w:t>
            </w:r>
          </w:p>
        </w:tc>
        <w:tc>
          <w:tcPr>
            <w:tcW w:w="200" w:type="dxa"/>
            <w:vAlign w:val="bottom"/>
          </w:tcPr>
          <w:p>
            <w:pPr>
              <w:spacing w:after="0"/>
              <w:rPr>
                <w:sz w:val="18"/>
                <w:szCs w:val="18"/>
                <w:color w:val="auto"/>
              </w:rPr>
            </w:pP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7"/>
              <w:spacing w:after="0"/>
              <w:rPr>
                <w:sz w:val="20"/>
                <w:szCs w:val="20"/>
                <w:color w:val="auto"/>
              </w:rPr>
            </w:pPr>
            <w:r>
              <w:rPr>
                <w:rFonts w:ascii="Arial" w:cs="Arial" w:eastAsia="Arial" w:hAnsi="Arial"/>
                <w:sz w:val="18"/>
                <w:szCs w:val="18"/>
                <w:color w:val="auto"/>
              </w:rPr>
              <w:t>5,902</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388</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6,290</w:t>
            </w: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5"/>
              <w:spacing w:after="0"/>
              <w:rPr>
                <w:sz w:val="20"/>
                <w:szCs w:val="20"/>
                <w:color w:val="auto"/>
              </w:rPr>
            </w:pPr>
            <w:r>
              <w:rPr>
                <w:rFonts w:ascii="Arial" w:cs="Arial" w:eastAsia="Arial" w:hAnsi="Arial"/>
                <w:sz w:val="18"/>
                <w:szCs w:val="18"/>
                <w:color w:val="auto"/>
              </w:rPr>
              <w:t>265</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4.2%</w:t>
            </w:r>
          </w:p>
        </w:tc>
      </w:tr>
      <w:tr>
        <w:trPr>
          <w:trHeight w:val="216"/>
        </w:trPr>
        <w:tc>
          <w:tcPr>
            <w:tcW w:w="48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4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8"/>
              <w:spacing w:after="0"/>
              <w:rPr>
                <w:sz w:val="20"/>
                <w:szCs w:val="20"/>
                <w:color w:val="auto"/>
              </w:rPr>
            </w:pPr>
            <w:r>
              <w:rPr>
                <w:rFonts w:ascii="Arial" w:cs="Arial" w:eastAsia="Arial" w:hAnsi="Arial"/>
                <w:sz w:val="18"/>
                <w:szCs w:val="18"/>
                <w:color w:val="auto"/>
              </w:rPr>
              <w:t>6,168</w:t>
            </w:r>
          </w:p>
        </w:tc>
        <w:tc>
          <w:tcPr>
            <w:tcW w:w="2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4,094</w:t>
            </w:r>
          </w:p>
        </w:tc>
        <w:tc>
          <w:tcPr>
            <w:tcW w:w="20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464</w:t>
            </w:r>
          </w:p>
        </w:tc>
        <w:tc>
          <w:tcPr>
            <w:tcW w:w="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8"/>
              <w:spacing w:after="0"/>
              <w:rPr>
                <w:sz w:val="20"/>
                <w:szCs w:val="20"/>
                <w:color w:val="auto"/>
              </w:rPr>
            </w:pPr>
            <w:r>
              <w:rPr>
                <w:rFonts w:ascii="Arial" w:cs="Arial" w:eastAsia="Arial" w:hAnsi="Arial"/>
                <w:sz w:val="18"/>
                <w:szCs w:val="18"/>
                <w:color w:val="auto"/>
              </w:rPr>
              <w:t>4,558</w:t>
            </w:r>
          </w:p>
        </w:tc>
        <w:tc>
          <w:tcPr>
            <w:tcW w:w="2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w w:val="88"/>
              </w:rPr>
              <w:t>1,610</w:t>
            </w:r>
          </w:p>
        </w:tc>
        <w:tc>
          <w:tcPr>
            <w:tcW w:w="80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35.3</w:t>
            </w: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400" w:type="dxa"/>
            <w:vAlign w:val="bottom"/>
          </w:tcPr>
          <w:p>
            <w:pPr>
              <w:spacing w:after="0"/>
              <w:rPr>
                <w:sz w:val="18"/>
                <w:szCs w:val="18"/>
                <w:color w:val="auto"/>
              </w:rPr>
            </w:pPr>
          </w:p>
        </w:tc>
        <w:tc>
          <w:tcPr>
            <w:tcW w:w="740" w:type="dxa"/>
            <w:vAlign w:val="bottom"/>
          </w:tcPr>
          <w:p>
            <w:pPr>
              <w:jc w:val="right"/>
              <w:ind w:right="38"/>
              <w:spacing w:after="0"/>
              <w:rPr>
                <w:sz w:val="20"/>
                <w:szCs w:val="20"/>
                <w:color w:val="auto"/>
              </w:rPr>
            </w:pPr>
            <w:r>
              <w:rPr>
                <w:rFonts w:ascii="Arial" w:cs="Arial" w:eastAsia="Arial" w:hAnsi="Arial"/>
                <w:sz w:val="18"/>
                <w:szCs w:val="18"/>
                <w:color w:val="auto"/>
              </w:rPr>
              <w:t>3,778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97"/>
              <w:spacing w:after="0"/>
              <w:rPr>
                <w:sz w:val="20"/>
                <w:szCs w:val="20"/>
                <w:color w:val="auto"/>
              </w:rPr>
            </w:pPr>
            <w:r>
              <w:rPr>
                <w:rFonts w:ascii="Arial" w:cs="Arial" w:eastAsia="Arial" w:hAnsi="Arial"/>
                <w:sz w:val="18"/>
                <w:szCs w:val="18"/>
                <w:color w:val="auto"/>
              </w:rPr>
              <w:t>2,972</w:t>
            </w:r>
          </w:p>
        </w:tc>
        <w:tc>
          <w:tcPr>
            <w:tcW w:w="200" w:type="dxa"/>
            <w:vAlign w:val="bottom"/>
          </w:tcPr>
          <w:p>
            <w:pPr>
              <w:spacing w:after="0"/>
              <w:rPr>
                <w:sz w:val="18"/>
                <w:szCs w:val="18"/>
                <w:color w:val="auto"/>
              </w:rPr>
            </w:pP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353</w:t>
            </w:r>
          </w:p>
        </w:tc>
        <w:tc>
          <w:tcPr>
            <w:tcW w:w="200" w:type="dxa"/>
            <w:vAlign w:val="bottom"/>
          </w:tcPr>
          <w:p>
            <w:pPr>
              <w:spacing w:after="0"/>
              <w:rPr>
                <w:sz w:val="18"/>
                <w:szCs w:val="18"/>
                <w:color w:val="auto"/>
              </w:rPr>
            </w:pP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3,325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175"/>
              <w:spacing w:after="0"/>
              <w:rPr>
                <w:sz w:val="20"/>
                <w:szCs w:val="20"/>
                <w:color w:val="auto"/>
              </w:rPr>
            </w:pPr>
            <w:r>
              <w:rPr>
                <w:rFonts w:ascii="Arial" w:cs="Arial" w:eastAsia="Arial" w:hAnsi="Arial"/>
                <w:sz w:val="18"/>
                <w:szCs w:val="18"/>
                <w:color w:val="auto"/>
              </w:rPr>
              <w:t>453</w:t>
            </w:r>
          </w:p>
        </w:tc>
        <w:tc>
          <w:tcPr>
            <w:tcW w:w="800" w:type="dxa"/>
            <w:vAlign w:val="bottom"/>
          </w:tcPr>
          <w:p>
            <w:pPr>
              <w:jc w:val="right"/>
              <w:ind w:right="174"/>
              <w:spacing w:after="0"/>
              <w:rPr>
                <w:sz w:val="20"/>
                <w:szCs w:val="20"/>
                <w:color w:val="auto"/>
              </w:rPr>
            </w:pPr>
            <w:r>
              <w:rPr>
                <w:rFonts w:ascii="Arial" w:cs="Arial" w:eastAsia="Arial" w:hAnsi="Arial"/>
                <w:sz w:val="18"/>
                <w:szCs w:val="18"/>
                <w:color w:val="auto"/>
              </w:rPr>
              <w:t>13.6</w:t>
            </w:r>
          </w:p>
        </w:tc>
      </w:tr>
      <w:tr>
        <w:trPr>
          <w:trHeight w:val="216"/>
        </w:trPr>
        <w:tc>
          <w:tcPr>
            <w:tcW w:w="48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4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8"/>
              <w:spacing w:after="0"/>
              <w:rPr>
                <w:sz w:val="20"/>
                <w:szCs w:val="20"/>
                <w:color w:val="auto"/>
              </w:rPr>
            </w:pPr>
            <w:r>
              <w:rPr>
                <w:rFonts w:ascii="Arial" w:cs="Arial" w:eastAsia="Arial" w:hAnsi="Arial"/>
                <w:sz w:val="18"/>
                <w:szCs w:val="18"/>
                <w:color w:val="auto"/>
              </w:rPr>
              <w:t>1,565</w:t>
            </w:r>
          </w:p>
        </w:tc>
        <w:tc>
          <w:tcPr>
            <w:tcW w:w="2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1,376</w:t>
            </w:r>
          </w:p>
        </w:tc>
        <w:tc>
          <w:tcPr>
            <w:tcW w:w="20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8"/>
              <w:spacing w:after="0"/>
              <w:rPr>
                <w:sz w:val="20"/>
                <w:szCs w:val="20"/>
                <w:color w:val="auto"/>
              </w:rPr>
            </w:pPr>
            <w:r>
              <w:rPr>
                <w:rFonts w:ascii="Arial" w:cs="Arial" w:eastAsia="Arial" w:hAnsi="Arial"/>
                <w:sz w:val="18"/>
                <w:szCs w:val="18"/>
                <w:color w:val="auto"/>
              </w:rPr>
              <w:t>1,491</w:t>
            </w:r>
          </w:p>
        </w:tc>
        <w:tc>
          <w:tcPr>
            <w:tcW w:w="2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74</w:t>
            </w:r>
          </w:p>
        </w:tc>
        <w:tc>
          <w:tcPr>
            <w:tcW w:w="80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4.9</w:t>
            </w:r>
          </w:p>
        </w:tc>
      </w:tr>
      <w:tr>
        <w:trPr>
          <w:trHeight w:val="216"/>
        </w:trPr>
        <w:tc>
          <w:tcPr>
            <w:tcW w:w="48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Borders>
              <w:bottom w:val="single" w:sz="8" w:color="E5E5E5"/>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(822)</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544</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20" w:type="dxa"/>
            <w:vAlign w:val="bottom"/>
            <w:tcBorders>
              <w:bottom w:val="single" w:sz="8" w:color="E5E5E5"/>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10</w:t>
            </w: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3.8</w:t>
            </w:r>
          </w:p>
        </w:tc>
      </w:tr>
      <w:tr>
        <w:trPr>
          <w:trHeight w:val="217"/>
        </w:trPr>
        <w:tc>
          <w:tcPr>
            <w:tcW w:w="48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40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38"/>
              <w:spacing w:after="0"/>
              <w:rPr>
                <w:sz w:val="20"/>
                <w:szCs w:val="20"/>
                <w:color w:val="auto"/>
              </w:rPr>
            </w:pPr>
            <w:r>
              <w:rPr>
                <w:rFonts w:ascii="Arial" w:cs="Arial" w:eastAsia="Arial" w:hAnsi="Arial"/>
                <w:sz w:val="18"/>
                <w:szCs w:val="18"/>
                <w:b w:val="1"/>
                <w:bCs w:val="1"/>
                <w:color w:val="auto"/>
              </w:rPr>
              <w:t>17,798</w:t>
            </w:r>
          </w:p>
        </w:tc>
        <w:tc>
          <w:tcPr>
            <w:tcW w:w="200" w:type="dxa"/>
            <w:vAlign w:val="bottom"/>
            <w:tcBorders>
              <w:bottom w:val="single" w:sz="8" w:color="E5E5E5"/>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b w:val="1"/>
                <w:bCs w:val="1"/>
                <w:color w:val="auto"/>
              </w:rPr>
              <w:t>13,522</w:t>
            </w:r>
          </w:p>
        </w:tc>
        <w:tc>
          <w:tcPr>
            <w:tcW w:w="20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b w:val="1"/>
                <w:bCs w:val="1"/>
                <w:color w:val="auto"/>
              </w:rPr>
              <w:t>1,864</w:t>
            </w:r>
          </w:p>
        </w:tc>
        <w:tc>
          <w:tcPr>
            <w:tcW w:w="20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shd w:val="clear" w:color="auto" w:fill="E5E5E5"/>
          </w:tcPr>
          <w:p>
            <w:pPr>
              <w:jc w:val="right"/>
              <w:ind w:right="18"/>
              <w:spacing w:after="0"/>
              <w:rPr>
                <w:sz w:val="20"/>
                <w:szCs w:val="20"/>
                <w:color w:val="auto"/>
              </w:rPr>
            </w:pPr>
            <w:r>
              <w:rPr>
                <w:rFonts w:ascii="Arial" w:cs="Arial" w:eastAsia="Arial" w:hAnsi="Arial"/>
                <w:sz w:val="18"/>
                <w:szCs w:val="18"/>
                <w:b w:val="1"/>
                <w:bCs w:val="1"/>
                <w:color w:val="auto"/>
              </w:rPr>
              <w:t>15,386</w:t>
            </w:r>
          </w:p>
        </w:tc>
        <w:tc>
          <w:tcPr>
            <w:tcW w:w="220" w:type="dxa"/>
            <w:vAlign w:val="bottom"/>
            <w:tcBorders>
              <w:bottom w:val="single" w:sz="8" w:color="E5E5E5"/>
            </w:tcBorders>
            <w:shd w:val="clear" w:color="auto" w:fill="E5E5E5"/>
          </w:tcPr>
          <w:p>
            <w:pPr>
              <w:spacing w:after="0"/>
              <w:rPr>
                <w:sz w:val="18"/>
                <w:szCs w:val="18"/>
                <w:color w:val="auto"/>
              </w:rPr>
            </w:pPr>
          </w:p>
        </w:tc>
        <w:tc>
          <w:tcPr>
            <w:tcW w:w="940" w:type="dxa"/>
            <w:vAlign w:val="bottom"/>
            <w:tcBorders>
              <w:bottom w:val="single" w:sz="8" w:color="auto"/>
            </w:tcBorders>
            <w:gridSpan w:val="2"/>
            <w:shd w:val="clear" w:color="auto" w:fill="E5E5E5"/>
          </w:tcPr>
          <w:p>
            <w:pPr>
              <w:jc w:val="right"/>
              <w:ind w:right="175"/>
              <w:spacing w:after="0"/>
              <w:rPr>
                <w:sz w:val="20"/>
                <w:szCs w:val="20"/>
                <w:color w:val="auto"/>
              </w:rPr>
            </w:pPr>
            <w:r>
              <w:rPr>
                <w:rFonts w:ascii="Arial" w:cs="Arial" w:eastAsia="Arial" w:hAnsi="Arial"/>
                <w:sz w:val="18"/>
                <w:szCs w:val="18"/>
                <w:b w:val="1"/>
                <w:bCs w:val="1"/>
                <w:color w:val="auto"/>
              </w:rPr>
              <w:t>$2,412</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15.7%</w:t>
            </w:r>
          </w:p>
        </w:tc>
      </w:tr>
      <w:tr>
        <w:trPr>
          <w:trHeight w:val="216"/>
        </w:trPr>
        <w:tc>
          <w:tcPr>
            <w:tcW w:w="4820" w:type="dxa"/>
            <w:vAlign w:val="bottom"/>
          </w:tcPr>
          <w:p>
            <w:pPr>
              <w:spacing w:after="0"/>
              <w:rPr>
                <w:sz w:val="20"/>
                <w:szCs w:val="20"/>
                <w:color w:val="auto"/>
              </w:rPr>
            </w:pPr>
            <w:r>
              <w:rPr>
                <w:rFonts w:ascii="Arial" w:cs="Arial" w:eastAsia="Arial" w:hAnsi="Arial"/>
                <w:sz w:val="18"/>
                <w:szCs w:val="18"/>
                <w:b w:val="1"/>
                <w:bCs w:val="1"/>
                <w:color w:val="auto"/>
                <w:w w:val="99"/>
              </w:rPr>
              <w:t>Operating Income Before Depreciation and Amortization</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8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40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38"/>
              <w:spacing w:after="0"/>
              <w:rPr>
                <w:sz w:val="20"/>
                <w:szCs w:val="20"/>
                <w:color w:val="auto"/>
              </w:rPr>
            </w:pPr>
            <w:r>
              <w:rPr>
                <w:rFonts w:ascii="Arial" w:cs="Arial" w:eastAsia="Arial" w:hAnsi="Arial"/>
                <w:sz w:val="18"/>
                <w:szCs w:val="18"/>
                <w:color w:val="auto"/>
              </w:rPr>
              <w:t>2,402</w:t>
            </w:r>
          </w:p>
        </w:tc>
        <w:tc>
          <w:tcPr>
            <w:tcW w:w="200" w:type="dxa"/>
            <w:vAlign w:val="bottom"/>
            <w:shd w:val="clear" w:color="auto" w:fill="E5E5E5"/>
          </w:tcPr>
          <w:p>
            <w:pPr>
              <w:spacing w:after="0"/>
              <w:rPr>
                <w:sz w:val="18"/>
                <w:szCs w:val="18"/>
                <w:color w:val="auto"/>
              </w:rPr>
            </w:pPr>
          </w:p>
        </w:tc>
        <w:tc>
          <w:tcPr>
            <w:tcW w:w="340" w:type="dxa"/>
            <w:vAlign w:val="bottom"/>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2,262</w:t>
            </w:r>
          </w:p>
        </w:tc>
        <w:tc>
          <w:tcPr>
            <w:tcW w:w="200" w:type="dxa"/>
            <w:vAlign w:val="bottom"/>
            <w:shd w:val="clear" w:color="auto" w:fill="E5E5E5"/>
          </w:tcPr>
          <w:p>
            <w:pPr>
              <w:ind w:left="1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E5E5E5"/>
          </w:tcPr>
          <w:p>
            <w:pPr>
              <w:ind w:left="12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5E5E5"/>
          </w:tcPr>
          <w:p>
            <w:pPr>
              <w:jc w:val="right"/>
              <w:ind w:right="18"/>
              <w:spacing w:after="0"/>
              <w:rPr>
                <w:sz w:val="20"/>
                <w:szCs w:val="20"/>
                <w:color w:val="auto"/>
              </w:rPr>
            </w:pPr>
            <w:r>
              <w:rPr>
                <w:rFonts w:ascii="Arial" w:cs="Arial" w:eastAsia="Arial" w:hAnsi="Arial"/>
                <w:sz w:val="18"/>
                <w:szCs w:val="18"/>
                <w:color w:val="auto"/>
              </w:rPr>
              <w:t>2,414</w:t>
            </w:r>
          </w:p>
        </w:tc>
        <w:tc>
          <w:tcPr>
            <w:tcW w:w="220" w:type="dxa"/>
            <w:vAlign w:val="bottom"/>
            <w:shd w:val="clear" w:color="auto" w:fill="E5E5E5"/>
          </w:tcPr>
          <w:p>
            <w:pPr>
              <w:spacing w:after="0"/>
              <w:rPr>
                <w:sz w:val="18"/>
                <w:szCs w:val="18"/>
                <w:color w:val="auto"/>
              </w:rPr>
            </w:pP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(12)</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400" w:type="dxa"/>
            <w:vAlign w:val="bottom"/>
          </w:tcPr>
          <w:p>
            <w:pPr>
              <w:spacing w:after="0"/>
              <w:rPr>
                <w:sz w:val="18"/>
                <w:szCs w:val="18"/>
                <w:color w:val="auto"/>
              </w:rPr>
            </w:pPr>
          </w:p>
        </w:tc>
        <w:tc>
          <w:tcPr>
            <w:tcW w:w="740" w:type="dxa"/>
            <w:vAlign w:val="bottom"/>
          </w:tcPr>
          <w:p>
            <w:pPr>
              <w:jc w:val="right"/>
              <w:ind w:right="38"/>
              <w:spacing w:after="0"/>
              <w:rPr>
                <w:sz w:val="20"/>
                <w:szCs w:val="20"/>
                <w:color w:val="auto"/>
              </w:rPr>
            </w:pPr>
            <w:r>
              <w:rPr>
                <w:rFonts w:ascii="Arial" w:cs="Arial" w:eastAsia="Arial" w:hAnsi="Arial"/>
                <w:sz w:val="18"/>
                <w:szCs w:val="18"/>
                <w:color w:val="auto"/>
              </w:rPr>
              <w:t>274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97"/>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175"/>
              <w:spacing w:after="0"/>
              <w:rPr>
                <w:sz w:val="20"/>
                <w:szCs w:val="20"/>
                <w:color w:val="auto"/>
              </w:rPr>
            </w:pPr>
            <w:r>
              <w:rPr>
                <w:rFonts w:ascii="Arial" w:cs="Arial" w:eastAsia="Arial" w:hAnsi="Arial"/>
                <w:sz w:val="18"/>
                <w:szCs w:val="18"/>
                <w:color w:val="auto"/>
              </w:rPr>
              <w:t>71</w:t>
            </w:r>
          </w:p>
        </w:tc>
        <w:tc>
          <w:tcPr>
            <w:tcW w:w="800" w:type="dxa"/>
            <w:vAlign w:val="bottom"/>
          </w:tcPr>
          <w:p>
            <w:pPr>
              <w:jc w:val="right"/>
              <w:ind w:right="174"/>
              <w:spacing w:after="0"/>
              <w:rPr>
                <w:sz w:val="20"/>
                <w:szCs w:val="20"/>
                <w:color w:val="auto"/>
              </w:rPr>
            </w:pPr>
            <w:r>
              <w:rPr>
                <w:rFonts w:ascii="Arial" w:cs="Arial" w:eastAsia="Arial" w:hAnsi="Arial"/>
                <w:sz w:val="18"/>
                <w:szCs w:val="18"/>
                <w:color w:val="auto"/>
              </w:rPr>
              <w:t>35.2</w:t>
            </w:r>
          </w:p>
        </w:tc>
      </w:tr>
      <w:tr>
        <w:trPr>
          <w:trHeight w:val="216"/>
        </w:trPr>
        <w:tc>
          <w:tcPr>
            <w:tcW w:w="48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40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(62)</w:t>
            </w:r>
          </w:p>
        </w:tc>
        <w:tc>
          <w:tcPr>
            <w:tcW w:w="20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w:t>
            </w:r>
          </w:p>
        </w:tc>
        <w:tc>
          <w:tcPr>
            <w:tcW w:w="200" w:type="dxa"/>
            <w:vAlign w:val="bottom"/>
            <w:shd w:val="clear" w:color="auto" w:fill="E5E5E5"/>
          </w:tcPr>
          <w:p>
            <w:pPr>
              <w:spacing w:after="0"/>
              <w:rPr>
                <w:sz w:val="18"/>
                <w:szCs w:val="18"/>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60</w:t>
            </w:r>
          </w:p>
        </w:tc>
        <w:tc>
          <w:tcPr>
            <w:tcW w:w="80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92.2</w:t>
            </w: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400" w:type="dxa"/>
            <w:vAlign w:val="bottom"/>
          </w:tcPr>
          <w:p>
            <w:pPr>
              <w:spacing w:after="0"/>
              <w:rPr>
                <w:sz w:val="18"/>
                <w:szCs w:val="18"/>
                <w:color w:val="auto"/>
              </w:rPr>
            </w:pPr>
          </w:p>
        </w:tc>
        <w:tc>
          <w:tcPr>
            <w:tcW w:w="740" w:type="dxa"/>
            <w:vAlign w:val="bottom"/>
          </w:tcPr>
          <w:p>
            <w:pPr>
              <w:jc w:val="right"/>
              <w:ind w:right="38"/>
              <w:spacing w:after="0"/>
              <w:rPr>
                <w:sz w:val="20"/>
                <w:szCs w:val="20"/>
                <w:color w:val="auto"/>
              </w:rPr>
            </w:pPr>
            <w:r>
              <w:rPr>
                <w:rFonts w:ascii="Arial" w:cs="Arial" w:eastAsia="Arial" w:hAnsi="Arial"/>
                <w:sz w:val="18"/>
                <w:szCs w:val="18"/>
                <w:color w:val="auto"/>
              </w:rPr>
              <w:t>708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97"/>
              <w:spacing w:after="0"/>
              <w:rPr>
                <w:sz w:val="20"/>
                <w:szCs w:val="20"/>
                <w:color w:val="auto"/>
              </w:rPr>
            </w:pPr>
            <w:r>
              <w:rPr>
                <w:rFonts w:ascii="Arial" w:cs="Arial" w:eastAsia="Arial" w:hAnsi="Arial"/>
                <w:sz w:val="18"/>
                <w:szCs w:val="18"/>
                <w:color w:val="auto"/>
              </w:rPr>
              <w:t>607</w:t>
            </w:r>
          </w:p>
        </w:tc>
        <w:tc>
          <w:tcPr>
            <w:tcW w:w="200" w:type="dxa"/>
            <w:vAlign w:val="bottom"/>
          </w:tcPr>
          <w:p>
            <w:pPr>
              <w:spacing w:after="0"/>
              <w:rPr>
                <w:sz w:val="18"/>
                <w:szCs w:val="18"/>
                <w:color w:val="auto"/>
              </w:rPr>
            </w:pP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644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175"/>
              <w:spacing w:after="0"/>
              <w:rPr>
                <w:sz w:val="20"/>
                <w:szCs w:val="20"/>
                <w:color w:val="auto"/>
              </w:rPr>
            </w:pPr>
            <w:r>
              <w:rPr>
                <w:rFonts w:ascii="Arial" w:cs="Arial" w:eastAsia="Arial" w:hAnsi="Arial"/>
                <w:sz w:val="18"/>
                <w:szCs w:val="18"/>
                <w:color w:val="auto"/>
              </w:rPr>
              <w:t>64</w:t>
            </w:r>
          </w:p>
        </w:tc>
        <w:tc>
          <w:tcPr>
            <w:tcW w:w="800" w:type="dxa"/>
            <w:vAlign w:val="bottom"/>
          </w:tcPr>
          <w:p>
            <w:pPr>
              <w:jc w:val="right"/>
              <w:ind w:right="174"/>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Headquarters, other and eliminations</w:t>
            </w:r>
          </w:p>
        </w:tc>
        <w:tc>
          <w:tcPr>
            <w:tcW w:w="4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(444)</w:t>
            </w:r>
          </w:p>
        </w:tc>
        <w:tc>
          <w:tcPr>
            <w:tcW w:w="200" w:type="dxa"/>
            <w:vAlign w:val="bottom"/>
            <w:tcBorders>
              <w:bottom w:val="single" w:sz="8" w:color="E5E5E5"/>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color w:val="auto"/>
              </w:rPr>
              <w:t>(615)</w:t>
            </w:r>
          </w:p>
        </w:tc>
        <w:tc>
          <w:tcPr>
            <w:tcW w:w="20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color w:val="auto"/>
              </w:rPr>
              <w:t>136</w:t>
            </w:r>
          </w:p>
        </w:tc>
        <w:tc>
          <w:tcPr>
            <w:tcW w:w="2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Borders>
              <w:bottom w:val="single" w:sz="8" w:color="E5E5E5"/>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rPr>
              <w:t>35</w:t>
            </w:r>
          </w:p>
        </w:tc>
        <w:tc>
          <w:tcPr>
            <w:tcW w:w="80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7.5</w:t>
            </w:r>
          </w:p>
        </w:tc>
      </w:tr>
      <w:tr>
        <w:trPr>
          <w:trHeight w:val="217"/>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Total operating income before depreciation and amortization</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2,935</w:t>
            </w:r>
          </w:p>
        </w:tc>
        <w:tc>
          <w:tcPr>
            <w:tcW w:w="200" w:type="dxa"/>
            <w:vAlign w:val="bottom"/>
          </w:tcPr>
          <w:p>
            <w:pPr>
              <w:spacing w:after="0"/>
              <w:rPr>
                <w:sz w:val="18"/>
                <w:szCs w:val="18"/>
                <w:color w:val="auto"/>
              </w:rPr>
            </w:pP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2,410</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307</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2,717</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218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r>
    </w:tbl>
    <w:p>
      <w:pPr>
        <w:spacing w:after="0" w:line="57" w:lineRule="exact"/>
        <w:rPr>
          <w:sz w:val="20"/>
          <w:szCs w:val="20"/>
          <w:color w:val="auto"/>
        </w:rPr>
      </w:pPr>
    </w:p>
    <w:p>
      <w:pPr>
        <w:jc w:val="both"/>
        <w:ind w:left="340" w:hanging="332"/>
        <w:spacing w:after="0" w:line="230"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Actual amounts include the results of operations of the businesses we contributed to NBCUniversal for the nine months ended September 30, 2011, as well as the results of operations for the NBCUniversal acquired businesses and Universal Orlando for the period January 29, 2011 through September 30, 2011. Headquarters, other and eliminations includes the elimination of the results of operations for Universal Orlando for the period January 29, 2011 through June 30, 2011 in order to reconcile to our condensed consolidated financial statements because Universal Orlando was recorded as an equity method investment during that period.</w:t>
      </w:r>
    </w:p>
    <w:p>
      <w:pPr>
        <w:spacing w:after="0" w:line="44"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 forma amounts include the results of operations for the NBCUniversal acquired businesses for the period January 1, 2011 through January 28, 2011 and Universal Orlando for the six months ended June 30, 2011 and other pro forma adjustments that include the effects of acquisition accounting.</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Segment—Actual and Pro Forma Results of Operations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color w:val="auto"/>
                <w:w w:val="92"/>
              </w:rPr>
              <w:t>Actual</w:t>
            </w:r>
          </w:p>
        </w:tc>
        <w:tc>
          <w:tcPr>
            <w:tcW w:w="480" w:type="dxa"/>
            <w:vAlign w:val="bottom"/>
            <w:tcBorders>
              <w:bottom w:val="single" w:sz="8" w:color="auto"/>
            </w:tcBorders>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80" w:type="dxa"/>
            <w:vAlign w:val="bottom"/>
            <w:gridSpan w:val="3"/>
          </w:tcPr>
          <w:p>
            <w:pPr>
              <w:jc w:val="center"/>
              <w:ind w:right="95"/>
              <w:spacing w:after="0" w:line="131" w:lineRule="exact"/>
              <w:rPr>
                <w:sz w:val="20"/>
                <w:szCs w:val="20"/>
                <w:color w:val="auto"/>
              </w:rPr>
            </w:pPr>
            <w:r>
              <w:rPr>
                <w:rFonts w:ascii="Arial" w:cs="Arial" w:eastAsia="Arial" w:hAnsi="Arial"/>
                <w:sz w:val="14"/>
                <w:szCs w:val="14"/>
                <w:color w:val="auto"/>
                <w:w w:val="87"/>
              </w:rPr>
              <w:t>Three Months</w:t>
            </w: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jc w:val="center"/>
              <w:ind w:right="42"/>
              <w:spacing w:after="0" w:line="149" w:lineRule="exact"/>
              <w:rPr>
                <w:sz w:val="20"/>
                <w:szCs w:val="20"/>
                <w:color w:val="auto"/>
              </w:rPr>
            </w:pPr>
            <w:r>
              <w:rPr>
                <w:rFonts w:ascii="Arial" w:cs="Arial" w:eastAsia="Arial" w:hAnsi="Arial"/>
                <w:sz w:val="14"/>
                <w:szCs w:val="14"/>
                <w:color w:val="auto"/>
                <w:w w:val="88"/>
              </w:rPr>
              <w:t>Ended</w:t>
            </w:r>
          </w:p>
        </w:tc>
        <w:tc>
          <w:tcPr>
            <w:tcW w:w="48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95"/>
              <w:spacing w:after="0"/>
              <w:rPr>
                <w:sz w:val="20"/>
                <w:szCs w:val="20"/>
                <w:color w:val="auto"/>
              </w:rPr>
            </w:pPr>
            <w:r>
              <w:rPr>
                <w:rFonts w:ascii="Arial" w:cs="Arial" w:eastAsia="Arial" w:hAnsi="Arial"/>
                <w:sz w:val="14"/>
                <w:szCs w:val="14"/>
                <w:color w:val="auto"/>
                <w:w w:val="86"/>
              </w:rPr>
              <w:t>September 30</w:t>
            </w:r>
          </w:p>
        </w:tc>
      </w:tr>
      <w:tr>
        <w:trPr>
          <w:trHeight w:val="143"/>
        </w:trPr>
        <w:tc>
          <w:tcPr>
            <w:tcW w:w="4900" w:type="dxa"/>
            <w:vAlign w:val="bottom"/>
            <w:tcBorders>
              <w:bottom w:val="single" w:sz="8" w:color="auto"/>
            </w:tcBorders>
            <w:gridSpan w:val="2"/>
          </w:tcPr>
          <w:p>
            <w:pPr>
              <w:spacing w:after="0" w:line="143" w:lineRule="exact"/>
              <w:rPr>
                <w:sz w:val="20"/>
                <w:szCs w:val="20"/>
                <w:color w:val="auto"/>
              </w:rPr>
            </w:pPr>
            <w:r>
              <w:rPr>
                <w:rFonts w:ascii="Arial" w:cs="Arial" w:eastAsia="Arial" w:hAnsi="Arial"/>
                <w:sz w:val="14"/>
                <w:szCs w:val="14"/>
                <w:color w:val="auto"/>
              </w:rPr>
              <w:t>(in millions)</w:t>
            </w:r>
          </w:p>
        </w:tc>
        <w:tc>
          <w:tcPr>
            <w:tcW w:w="25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9"/>
              <w:spacing w:after="0" w:line="143" w:lineRule="exact"/>
              <w:rPr>
                <w:sz w:val="20"/>
                <w:szCs w:val="20"/>
                <w:color w:val="auto"/>
              </w:rPr>
            </w:pPr>
            <w:r>
              <w:rPr>
                <w:rFonts w:ascii="Arial" w:cs="Arial" w:eastAsia="Arial" w:hAnsi="Arial"/>
                <w:sz w:val="14"/>
                <w:szCs w:val="14"/>
                <w:color w:val="auto"/>
                <w:w w:val="83"/>
              </w:rPr>
              <w:t>2012</w:t>
            </w:r>
          </w:p>
        </w:tc>
        <w:tc>
          <w:tcPr>
            <w:tcW w:w="4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5"/>
              <w:spacing w:after="0" w:line="143" w:lineRule="exact"/>
              <w:rPr>
                <w:sz w:val="20"/>
                <w:szCs w:val="20"/>
                <w:color w:val="auto"/>
              </w:rPr>
            </w:pPr>
            <w:r>
              <w:rPr>
                <w:rFonts w:ascii="Arial" w:cs="Arial" w:eastAsia="Arial" w:hAnsi="Arial"/>
                <w:sz w:val="14"/>
                <w:szCs w:val="14"/>
                <w:color w:val="auto"/>
                <w:w w:val="83"/>
              </w:rPr>
              <w:t>2011</w:t>
            </w:r>
          </w:p>
        </w:tc>
      </w:tr>
      <w:tr>
        <w:trPr>
          <w:trHeight w:val="201"/>
        </w:trPr>
        <w:tc>
          <w:tcPr>
            <w:tcW w:w="49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Revenue</w:t>
            </w:r>
          </w:p>
        </w:tc>
        <w:tc>
          <w:tcPr>
            <w:tcW w:w="2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Distribution</w:t>
            </w:r>
          </w:p>
        </w:tc>
        <w:tc>
          <w:tcPr>
            <w:tcW w:w="2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1,157</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1,095</w:t>
            </w: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2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807</w:t>
            </w:r>
          </w:p>
        </w:tc>
        <w:tc>
          <w:tcPr>
            <w:tcW w:w="4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803</w:t>
            </w:r>
          </w:p>
        </w:tc>
      </w:tr>
      <w:tr>
        <w:trPr>
          <w:trHeight w:val="222"/>
        </w:trPr>
        <w:tc>
          <w:tcPr>
            <w:tcW w:w="20" w:type="dxa"/>
            <w:vAlign w:val="bottom"/>
          </w:tcPr>
          <w:p>
            <w:pPr>
              <w:spacing w:after="0"/>
              <w:rPr>
                <w:sz w:val="19"/>
                <w:szCs w:val="19"/>
                <w:color w:val="auto"/>
              </w:rPr>
            </w:pPr>
          </w:p>
        </w:tc>
        <w:tc>
          <w:tcPr>
            <w:tcW w:w="48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Content licensing and other</w:t>
            </w:r>
          </w:p>
        </w:tc>
        <w:tc>
          <w:tcPr>
            <w:tcW w:w="2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4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r>
      <w:tr>
        <w:trPr>
          <w:trHeight w:val="203"/>
        </w:trPr>
        <w:tc>
          <w:tcPr>
            <w:tcW w:w="20" w:type="dxa"/>
            <w:vAlign w:val="bottom"/>
          </w:tcPr>
          <w:p>
            <w:pPr>
              <w:spacing w:after="0"/>
              <w:rPr>
                <w:sz w:val="17"/>
                <w:szCs w:val="17"/>
                <w:color w:val="auto"/>
              </w:rPr>
            </w:pPr>
          </w:p>
        </w:tc>
        <w:tc>
          <w:tcPr>
            <w:tcW w:w="4880" w:type="dxa"/>
            <w:vAlign w:val="bottom"/>
          </w:tcPr>
          <w:p>
            <w:pPr>
              <w:spacing w:after="0" w:line="203" w:lineRule="exact"/>
              <w:rPr>
                <w:sz w:val="20"/>
                <w:szCs w:val="20"/>
                <w:color w:val="auto"/>
              </w:rPr>
            </w:pPr>
            <w:r>
              <w:rPr>
                <w:rFonts w:ascii="Arial" w:cs="Arial" w:eastAsia="Arial" w:hAnsi="Arial"/>
                <w:sz w:val="18"/>
                <w:szCs w:val="18"/>
                <w:b w:val="1"/>
                <w:bCs w:val="1"/>
                <w:color w:val="auto"/>
              </w:rPr>
              <w:t>Total revenue</w:t>
            </w:r>
          </w:p>
        </w:tc>
        <w:tc>
          <w:tcPr>
            <w:tcW w:w="2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Arial" w:cs="Arial" w:eastAsia="Arial" w:hAnsi="Arial"/>
                <w:sz w:val="18"/>
                <w:szCs w:val="18"/>
                <w:color w:val="auto"/>
                <w:w w:val="88"/>
              </w:rPr>
              <w:t>2,165</w:t>
            </w:r>
          </w:p>
        </w:tc>
        <w:tc>
          <w:tcPr>
            <w:tcW w:w="48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w w:val="88"/>
              </w:rPr>
              <w:t>2,097</w:t>
            </w:r>
          </w:p>
        </w:tc>
      </w:tr>
      <w:tr>
        <w:trPr>
          <w:trHeight w:val="223"/>
        </w:trPr>
        <w:tc>
          <w:tcPr>
            <w:tcW w:w="4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Operating costs and expenses</w:t>
            </w:r>
          </w:p>
        </w:tc>
        <w:tc>
          <w:tcPr>
            <w:tcW w:w="2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1,356</w:t>
            </w:r>
          </w:p>
        </w:tc>
        <w:tc>
          <w:tcPr>
            <w:tcW w:w="4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1,346</w:t>
            </w:r>
          </w:p>
        </w:tc>
      </w:tr>
      <w:tr>
        <w:trPr>
          <w:trHeight w:val="218"/>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809</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751</w:t>
            </w:r>
          </w:p>
        </w:tc>
      </w:tr>
      <w:tr>
        <w:trPr>
          <w:trHeight w:val="363"/>
        </w:trPr>
        <w:tc>
          <w:tcPr>
            <w:tcW w:w="20" w:type="dxa"/>
            <w:vAlign w:val="bottom"/>
          </w:tcPr>
          <w:p>
            <w:pPr>
              <w:spacing w:after="0"/>
              <w:rPr>
                <w:sz w:val="24"/>
                <w:szCs w:val="24"/>
                <w:color w:val="auto"/>
              </w:rPr>
            </w:pPr>
          </w:p>
        </w:tc>
        <w:tc>
          <w:tcPr>
            <w:tcW w:w="4880" w:type="dxa"/>
            <w:vAlign w:val="bottom"/>
            <w:tcBorders>
              <w:top w:val="single" w:sz="8" w:color="auto"/>
            </w:tcBorders>
          </w:tcPr>
          <w:p>
            <w:pPr>
              <w:spacing w:after="0"/>
              <w:rPr>
                <w:sz w:val="24"/>
                <w:szCs w:val="24"/>
                <w:color w:val="auto"/>
              </w:rPr>
            </w:pPr>
          </w:p>
        </w:tc>
        <w:tc>
          <w:tcPr>
            <w:tcW w:w="2500" w:type="dxa"/>
            <w:vAlign w:val="bottom"/>
            <w:tcBorders>
              <w:top w:val="single" w:sz="8" w:color="auto"/>
            </w:tcBorders>
          </w:tcPr>
          <w:p>
            <w:pPr>
              <w:jc w:val="right"/>
              <w:ind w:right="1492"/>
              <w:spacing w:after="0"/>
              <w:rPr>
                <w:sz w:val="20"/>
                <w:szCs w:val="20"/>
                <w:color w:val="auto"/>
              </w:rPr>
            </w:pPr>
            <w:r>
              <w:rPr>
                <w:rFonts w:ascii="Arial" w:cs="Arial" w:eastAsia="Arial" w:hAnsi="Arial"/>
                <w:sz w:val="18"/>
                <w:szCs w:val="18"/>
                <w:color w:val="auto"/>
              </w:rPr>
              <w:t>34</w:t>
            </w:r>
          </w:p>
        </w:tc>
        <w:tc>
          <w:tcPr>
            <w:tcW w:w="4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-949960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-675640</wp:posOffset>
            </wp:positionV>
            <wp:extent cx="72466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-1233170</wp:posOffset>
            </wp:positionV>
            <wp:extent cx="72466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Increase/(Decrease)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-635</wp:posOffset>
            </wp:positionV>
            <wp:extent cx="11747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880" w:hanging="824"/>
        <w:spacing w:after="0"/>
        <w:tabs>
          <w:tab w:leader="none" w:pos="8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t>
      </w:r>
    </w:p>
    <w:p>
      <w:pPr>
        <w:spacing w:after="0" w:line="220"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color w:val="auto"/>
        </w:rPr>
        <w:t>5.7%</w:t>
      </w:r>
    </w:p>
    <w:p>
      <w:pPr>
        <w:spacing w:after="0" w:line="15" w:lineRule="exact"/>
        <w:rPr>
          <w:sz w:val="20"/>
          <w:szCs w:val="20"/>
          <w:color w:val="auto"/>
        </w:rPr>
      </w:pPr>
    </w:p>
    <w:p>
      <w:pPr>
        <w:ind w:left="980" w:hanging="76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0.6</w:t>
      </w:r>
    </w:p>
    <w:p>
      <w:pPr>
        <w:spacing w:after="0" w:line="9" w:lineRule="exact"/>
        <w:rPr>
          <w:sz w:val="20"/>
          <w:szCs w:val="20"/>
          <w:color w:val="auto"/>
        </w:rPr>
      </w:pPr>
    </w:p>
    <w:p>
      <w:pPr>
        <w:ind w:left="980" w:hanging="76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0.6</w:t>
      </w:r>
    </w:p>
    <w:p>
      <w:pPr>
        <w:spacing w:after="0" w:line="16" w:lineRule="exact"/>
        <w:rPr>
          <w:sz w:val="20"/>
          <w:szCs w:val="20"/>
          <w:color w:val="auto"/>
        </w:rPr>
      </w:pPr>
    </w:p>
    <w:p>
      <w:pPr>
        <w:ind w:left="980" w:hanging="857"/>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3.2</w:t>
      </w:r>
    </w:p>
    <w:p>
      <w:pPr>
        <w:spacing w:after="0" w:line="15" w:lineRule="exact"/>
        <w:rPr>
          <w:rFonts w:ascii="Arial" w:cs="Arial" w:eastAsia="Arial" w:hAnsi="Arial"/>
          <w:sz w:val="18"/>
          <w:szCs w:val="18"/>
          <w:color w:val="auto"/>
        </w:rPr>
      </w:pPr>
    </w:p>
    <w:p>
      <w:pPr>
        <w:ind w:left="980" w:hanging="857"/>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0.8</w:t>
      </w:r>
    </w:p>
    <w:p>
      <w:pPr>
        <w:spacing w:after="0" w:line="10"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6"/>
          <w:szCs w:val="16"/>
          <w:b w:val="1"/>
          <w:bCs w:val="1"/>
          <w:color w:val="auto"/>
        </w:rPr>
        <w:t>7.6%</w:t>
      </w:r>
    </w:p>
    <w:p>
      <w:pPr>
        <w:sectPr>
          <w:pgSz w:w="11900" w:h="16838" w:orient="portrait"/>
          <w:cols w:equalWidth="0" w:num="2">
            <w:col w:w="9280" w:space="720"/>
            <w:col w:w="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color w:val="auto"/>
                <w:w w:val="83"/>
              </w:rPr>
              <w:t>2012</w:t>
            </w:r>
          </w:p>
        </w:tc>
        <w:tc>
          <w:tcPr>
            <w:tcW w:w="3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color w:val="auto"/>
              </w:rPr>
              <w:t>2011</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31"/>
        </w:trPr>
        <w:tc>
          <w:tcPr>
            <w:tcW w:w="3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center"/>
              <w:ind w:right="59"/>
              <w:spacing w:after="0" w:line="131" w:lineRule="exact"/>
              <w:rPr>
                <w:sz w:val="20"/>
                <w:szCs w:val="20"/>
                <w:color w:val="auto"/>
              </w:rPr>
            </w:pPr>
            <w:r>
              <w:rPr>
                <w:rFonts w:ascii="Arial" w:cs="Arial" w:eastAsia="Arial" w:hAnsi="Arial"/>
                <w:sz w:val="14"/>
                <w:szCs w:val="14"/>
                <w:color w:val="auto"/>
                <w:w w:val="87"/>
              </w:rPr>
              <w:t>Pro Forma</w:t>
            </w: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59"/>
        </w:trPr>
        <w:tc>
          <w:tcPr>
            <w:tcW w:w="3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gridSpan w:val="2"/>
          </w:tcPr>
          <w:p>
            <w:pPr>
              <w:jc w:val="center"/>
              <w:ind w:right="600"/>
              <w:spacing w:after="0" w:line="159" w:lineRule="exact"/>
              <w:rPr>
                <w:sz w:val="20"/>
                <w:szCs w:val="20"/>
                <w:color w:val="auto"/>
              </w:rPr>
            </w:pPr>
            <w:r>
              <w:rPr>
                <w:rFonts w:ascii="Arial" w:cs="Arial" w:eastAsia="Arial" w:hAnsi="Arial"/>
                <w:sz w:val="14"/>
                <w:szCs w:val="14"/>
                <w:color w:val="auto"/>
                <w:w w:val="92"/>
              </w:rPr>
              <w:t>Actual</w:t>
            </w:r>
          </w:p>
        </w:tc>
        <w:tc>
          <w:tcPr>
            <w:tcW w:w="520" w:type="dxa"/>
            <w:vAlign w:val="bottom"/>
          </w:tcPr>
          <w:p>
            <w:pPr>
              <w:spacing w:after="0"/>
              <w:rPr>
                <w:sz w:val="13"/>
                <w:szCs w:val="13"/>
                <w:color w:val="auto"/>
              </w:rPr>
            </w:pPr>
          </w:p>
        </w:tc>
        <w:tc>
          <w:tcPr>
            <w:tcW w:w="900" w:type="dxa"/>
            <w:vAlign w:val="bottom"/>
          </w:tcPr>
          <w:p>
            <w:pPr>
              <w:jc w:val="center"/>
              <w:ind w:right="297"/>
              <w:spacing w:after="0" w:line="159" w:lineRule="exact"/>
              <w:rPr>
                <w:sz w:val="20"/>
                <w:szCs w:val="20"/>
                <w:color w:val="auto"/>
              </w:rPr>
            </w:pPr>
            <w:r>
              <w:rPr>
                <w:rFonts w:ascii="Arial" w:cs="Arial" w:eastAsia="Arial" w:hAnsi="Arial"/>
                <w:sz w:val="14"/>
                <w:szCs w:val="14"/>
                <w:color w:val="auto"/>
                <w:w w:val="92"/>
              </w:rPr>
              <w:t>Actual</w:t>
            </w:r>
          </w:p>
        </w:tc>
        <w:tc>
          <w:tcPr>
            <w:tcW w:w="320" w:type="dxa"/>
            <w:vAlign w:val="bottom"/>
          </w:tcPr>
          <w:p>
            <w:pPr>
              <w:spacing w:after="0"/>
              <w:rPr>
                <w:sz w:val="13"/>
                <w:szCs w:val="13"/>
                <w:color w:val="auto"/>
              </w:rPr>
            </w:pPr>
          </w:p>
        </w:tc>
        <w:tc>
          <w:tcPr>
            <w:tcW w:w="900" w:type="dxa"/>
            <w:vAlign w:val="bottom"/>
          </w:tcPr>
          <w:p>
            <w:pPr>
              <w:jc w:val="right"/>
              <w:ind w:right="237"/>
              <w:spacing w:after="0" w:line="159" w:lineRule="exact"/>
              <w:rPr>
                <w:sz w:val="20"/>
                <w:szCs w:val="20"/>
                <w:color w:val="auto"/>
              </w:rPr>
            </w:pPr>
            <w:r>
              <w:rPr>
                <w:rFonts w:ascii="Arial" w:cs="Arial" w:eastAsia="Arial" w:hAnsi="Arial"/>
                <w:sz w:val="14"/>
                <w:szCs w:val="14"/>
                <w:color w:val="auto"/>
                <w:w w:val="84"/>
              </w:rPr>
              <w:t>Pro Forma</w:t>
            </w:r>
          </w:p>
        </w:tc>
        <w:tc>
          <w:tcPr>
            <w:tcW w:w="300" w:type="dxa"/>
            <w:vAlign w:val="bottom"/>
          </w:tcPr>
          <w:p>
            <w:pPr>
              <w:spacing w:after="0"/>
              <w:rPr>
                <w:sz w:val="13"/>
                <w:szCs w:val="13"/>
                <w:color w:val="auto"/>
              </w:rPr>
            </w:pPr>
          </w:p>
        </w:tc>
        <w:tc>
          <w:tcPr>
            <w:tcW w:w="1100" w:type="dxa"/>
            <w:vAlign w:val="bottom"/>
            <w:gridSpan w:val="2"/>
          </w:tcPr>
          <w:p>
            <w:pPr>
              <w:jc w:val="center"/>
              <w:ind w:right="540"/>
              <w:spacing w:after="0" w:line="159" w:lineRule="exact"/>
              <w:rPr>
                <w:sz w:val="20"/>
                <w:szCs w:val="20"/>
                <w:color w:val="auto"/>
              </w:rPr>
            </w:pPr>
            <w:r>
              <w:rPr>
                <w:rFonts w:ascii="Arial" w:cs="Arial" w:eastAsia="Arial" w:hAnsi="Arial"/>
                <w:sz w:val="14"/>
                <w:szCs w:val="14"/>
                <w:color w:val="auto"/>
                <w:w w:val="87"/>
              </w:rPr>
              <w:t>Combined</w:t>
            </w:r>
          </w:p>
        </w:tc>
        <w:tc>
          <w:tcPr>
            <w:tcW w:w="2020" w:type="dxa"/>
            <w:vAlign w:val="bottom"/>
            <w:gridSpan w:val="2"/>
          </w:tcPr>
          <w:p>
            <w:pPr>
              <w:jc w:val="right"/>
              <w:ind w:right="355"/>
              <w:spacing w:after="0" w:line="159" w:lineRule="exact"/>
              <w:rPr>
                <w:sz w:val="20"/>
                <w:szCs w:val="20"/>
                <w:color w:val="auto"/>
              </w:rPr>
            </w:pPr>
            <w:r>
              <w:rPr>
                <w:rFonts w:ascii="Arial" w:cs="Arial" w:eastAsia="Arial" w:hAnsi="Arial"/>
                <w:sz w:val="14"/>
                <w:szCs w:val="14"/>
                <w:color w:val="auto"/>
              </w:rPr>
              <w:t>Increase/(Decrease)</w:t>
            </w:r>
          </w:p>
        </w:tc>
      </w:tr>
      <w:tr>
        <w:trPr>
          <w:trHeight w:val="131"/>
        </w:trPr>
        <w:tc>
          <w:tcPr>
            <w:tcW w:w="3840" w:type="dxa"/>
            <w:vAlign w:val="bottom"/>
          </w:tcPr>
          <w:p>
            <w:pPr>
              <w:spacing w:after="0"/>
              <w:rPr>
                <w:sz w:val="11"/>
                <w:szCs w:val="11"/>
                <w:color w:val="auto"/>
              </w:rPr>
            </w:pPr>
          </w:p>
        </w:tc>
        <w:tc>
          <w:tcPr>
            <w:tcW w:w="1140" w:type="dxa"/>
            <w:vAlign w:val="bottom"/>
            <w:tcBorders>
              <w:top w:val="single" w:sz="8" w:color="auto"/>
            </w:tcBorders>
            <w:gridSpan w:val="2"/>
          </w:tcPr>
          <w:p>
            <w:pPr>
              <w:jc w:val="center"/>
              <w:ind w:left="202"/>
              <w:spacing w:after="0" w:line="131" w:lineRule="exact"/>
              <w:rPr>
                <w:sz w:val="20"/>
                <w:szCs w:val="20"/>
                <w:color w:val="auto"/>
              </w:rPr>
            </w:pPr>
            <w:r>
              <w:rPr>
                <w:rFonts w:ascii="Arial" w:cs="Arial" w:eastAsia="Arial" w:hAnsi="Arial"/>
                <w:sz w:val="14"/>
                <w:szCs w:val="14"/>
                <w:color w:val="auto"/>
                <w:w w:val="89"/>
              </w:rPr>
              <w:t>Nine Months</w:t>
            </w:r>
          </w:p>
        </w:tc>
        <w:tc>
          <w:tcPr>
            <w:tcW w:w="380" w:type="dxa"/>
            <w:vAlign w:val="bottom"/>
          </w:tcPr>
          <w:p>
            <w:pPr>
              <w:spacing w:after="0"/>
              <w:rPr>
                <w:sz w:val="11"/>
                <w:szCs w:val="11"/>
                <w:color w:val="auto"/>
              </w:rPr>
            </w:pPr>
          </w:p>
        </w:tc>
        <w:tc>
          <w:tcPr>
            <w:tcW w:w="1420" w:type="dxa"/>
            <w:vAlign w:val="bottom"/>
            <w:tcBorders>
              <w:top w:val="single" w:sz="8" w:color="auto"/>
            </w:tcBorders>
            <w:gridSpan w:val="2"/>
          </w:tcPr>
          <w:p>
            <w:pPr>
              <w:jc w:val="center"/>
              <w:ind w:left="84"/>
              <w:spacing w:after="0" w:line="131" w:lineRule="exact"/>
              <w:rPr>
                <w:sz w:val="20"/>
                <w:szCs w:val="20"/>
                <w:color w:val="auto"/>
              </w:rPr>
            </w:pPr>
            <w:r>
              <w:rPr>
                <w:rFonts w:ascii="Arial" w:cs="Arial" w:eastAsia="Arial" w:hAnsi="Arial"/>
                <w:sz w:val="14"/>
                <w:szCs w:val="14"/>
                <w:color w:val="auto"/>
                <w:w w:val="89"/>
              </w:rPr>
              <w:t>Nine Months</w:t>
            </w:r>
          </w:p>
        </w:tc>
        <w:tc>
          <w:tcPr>
            <w:tcW w:w="3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left="62"/>
              <w:spacing w:after="0" w:line="131" w:lineRule="exact"/>
              <w:rPr>
                <w:sz w:val="20"/>
                <w:szCs w:val="20"/>
                <w:color w:val="auto"/>
              </w:rPr>
            </w:pPr>
            <w:r>
              <w:rPr>
                <w:rFonts w:ascii="Arial" w:cs="Arial" w:eastAsia="Arial" w:hAnsi="Arial"/>
                <w:sz w:val="14"/>
                <w:szCs w:val="14"/>
                <w:color w:val="auto"/>
                <w:w w:val="91"/>
              </w:rPr>
              <w:t>Nine Months</w:t>
            </w:r>
          </w:p>
        </w:tc>
        <w:tc>
          <w:tcPr>
            <w:tcW w:w="38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r>
      <w:tr>
        <w:trPr>
          <w:trHeight w:val="132"/>
        </w:trPr>
        <w:tc>
          <w:tcPr>
            <w:tcW w:w="3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jc w:val="center"/>
              <w:ind w:right="580"/>
              <w:spacing w:after="0" w:line="133" w:lineRule="exact"/>
              <w:rPr>
                <w:sz w:val="20"/>
                <w:szCs w:val="20"/>
                <w:color w:val="auto"/>
              </w:rPr>
            </w:pPr>
            <w:r>
              <w:rPr>
                <w:rFonts w:ascii="Arial" w:cs="Arial" w:eastAsia="Arial" w:hAnsi="Arial"/>
                <w:sz w:val="14"/>
                <w:szCs w:val="14"/>
                <w:color w:val="auto"/>
                <w:w w:val="83"/>
              </w:rPr>
              <w:t>Ended</w:t>
            </w:r>
          </w:p>
        </w:tc>
        <w:tc>
          <w:tcPr>
            <w:tcW w:w="520" w:type="dxa"/>
            <w:vAlign w:val="bottom"/>
          </w:tcPr>
          <w:p>
            <w:pPr>
              <w:spacing w:after="0"/>
              <w:rPr>
                <w:sz w:val="11"/>
                <w:szCs w:val="11"/>
                <w:color w:val="auto"/>
              </w:rPr>
            </w:pPr>
          </w:p>
        </w:tc>
        <w:tc>
          <w:tcPr>
            <w:tcW w:w="900" w:type="dxa"/>
            <w:vAlign w:val="bottom"/>
          </w:tcPr>
          <w:p>
            <w:pPr>
              <w:jc w:val="center"/>
              <w:ind w:right="277"/>
              <w:spacing w:after="0" w:line="133" w:lineRule="exact"/>
              <w:rPr>
                <w:sz w:val="20"/>
                <w:szCs w:val="20"/>
                <w:color w:val="auto"/>
              </w:rPr>
            </w:pPr>
            <w:r>
              <w:rPr>
                <w:rFonts w:ascii="Arial" w:cs="Arial" w:eastAsia="Arial" w:hAnsi="Arial"/>
                <w:sz w:val="14"/>
                <w:szCs w:val="14"/>
                <w:color w:val="auto"/>
                <w:w w:val="83"/>
              </w:rPr>
              <w:t>Ended</w:t>
            </w:r>
          </w:p>
        </w:tc>
        <w:tc>
          <w:tcPr>
            <w:tcW w:w="1220" w:type="dxa"/>
            <w:vAlign w:val="bottom"/>
            <w:gridSpan w:val="2"/>
          </w:tcPr>
          <w:p>
            <w:pPr>
              <w:ind w:left="220"/>
              <w:spacing w:after="0" w:line="133" w:lineRule="exact"/>
              <w:rPr>
                <w:sz w:val="20"/>
                <w:szCs w:val="20"/>
                <w:color w:val="auto"/>
              </w:rPr>
            </w:pPr>
            <w:r>
              <w:rPr>
                <w:rFonts w:ascii="Arial" w:cs="Arial" w:eastAsia="Arial" w:hAnsi="Arial"/>
                <w:sz w:val="14"/>
                <w:szCs w:val="14"/>
                <w:color w:val="auto"/>
              </w:rPr>
              <w:t>NBCUniversal</w:t>
            </w:r>
          </w:p>
        </w:tc>
        <w:tc>
          <w:tcPr>
            <w:tcW w:w="300" w:type="dxa"/>
            <w:vAlign w:val="bottom"/>
          </w:tcPr>
          <w:p>
            <w:pPr>
              <w:spacing w:after="0"/>
              <w:rPr>
                <w:sz w:val="11"/>
                <w:szCs w:val="11"/>
                <w:color w:val="auto"/>
              </w:rPr>
            </w:pPr>
          </w:p>
        </w:tc>
        <w:tc>
          <w:tcPr>
            <w:tcW w:w="1100" w:type="dxa"/>
            <w:vAlign w:val="bottom"/>
            <w:gridSpan w:val="2"/>
          </w:tcPr>
          <w:p>
            <w:pPr>
              <w:jc w:val="center"/>
              <w:ind w:right="520"/>
              <w:spacing w:after="0" w:line="133" w:lineRule="exact"/>
              <w:rPr>
                <w:sz w:val="20"/>
                <w:szCs w:val="20"/>
                <w:color w:val="auto"/>
              </w:rPr>
            </w:pPr>
            <w:r>
              <w:rPr>
                <w:rFonts w:ascii="Arial" w:cs="Arial" w:eastAsia="Arial" w:hAnsi="Arial"/>
                <w:sz w:val="14"/>
                <w:szCs w:val="14"/>
                <w:color w:val="auto"/>
                <w:w w:val="83"/>
              </w:rPr>
              <w:t>Ended</w:t>
            </w: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76"/>
        </w:trPr>
        <w:tc>
          <w:tcPr>
            <w:tcW w:w="3840" w:type="dxa"/>
            <w:vAlign w:val="bottom"/>
          </w:tcPr>
          <w:p>
            <w:pPr>
              <w:spacing w:after="0"/>
              <w:rPr>
                <w:sz w:val="20"/>
                <w:szCs w:val="20"/>
                <w:color w:val="auto"/>
              </w:rPr>
            </w:pPr>
            <w:r>
              <w:rPr>
                <w:rFonts w:ascii="Arial" w:cs="Arial" w:eastAsia="Arial" w:hAnsi="Arial"/>
                <w:sz w:val="14"/>
                <w:szCs w:val="14"/>
                <w:color w:val="auto"/>
              </w:rPr>
              <w:t>(in millions)</w:t>
            </w: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color w:val="auto"/>
                <w:w w:val="84"/>
              </w:rPr>
              <w:t>September 30</w:t>
            </w:r>
          </w:p>
        </w:tc>
        <w:tc>
          <w:tcPr>
            <w:tcW w:w="1420" w:type="dxa"/>
            <w:vAlign w:val="bottom"/>
            <w:gridSpan w:val="2"/>
          </w:tcPr>
          <w:p>
            <w:pPr>
              <w:jc w:val="center"/>
              <w:ind w:left="84"/>
              <w:spacing w:after="0" w:line="176" w:lineRule="exact"/>
              <w:rPr>
                <w:sz w:val="20"/>
                <w:szCs w:val="20"/>
                <w:color w:val="auto"/>
              </w:rPr>
            </w:pPr>
            <w:r>
              <w:rPr>
                <w:rFonts w:ascii="Arial" w:cs="Arial" w:eastAsia="Arial" w:hAnsi="Arial"/>
                <w:sz w:val="13"/>
                <w:szCs w:val="13"/>
                <w:color w:val="auto"/>
                <w:w w:val="87"/>
              </w:rPr>
              <w:t>September 30</w:t>
            </w:r>
            <w:r>
              <w:rPr>
                <w:rFonts w:ascii="Arial" w:cs="Arial" w:eastAsia="Arial" w:hAnsi="Arial"/>
                <w:sz w:val="20"/>
                <w:szCs w:val="20"/>
                <w:color w:val="auto"/>
                <w:w w:val="87"/>
                <w:vertAlign w:val="superscript"/>
              </w:rPr>
              <w:t>(a)</w:t>
            </w:r>
          </w:p>
        </w:tc>
        <w:tc>
          <w:tcPr>
            <w:tcW w:w="1220" w:type="dxa"/>
            <w:vAlign w:val="bottom"/>
            <w:gridSpan w:val="2"/>
          </w:tcPr>
          <w:p>
            <w:pPr>
              <w:jc w:val="right"/>
              <w:ind w:right="157"/>
              <w:spacing w:after="0" w:line="176" w:lineRule="exact"/>
              <w:rPr>
                <w:sz w:val="20"/>
                <w:szCs w:val="20"/>
                <w:color w:val="auto"/>
              </w:rPr>
            </w:pPr>
            <w:r>
              <w:rPr>
                <w:rFonts w:ascii="Arial" w:cs="Arial" w:eastAsia="Arial" w:hAnsi="Arial"/>
                <w:sz w:val="13"/>
                <w:szCs w:val="13"/>
                <w:color w:val="auto"/>
              </w:rPr>
              <w:t>Businesses</w:t>
            </w:r>
            <w:r>
              <w:rPr>
                <w:rFonts w:ascii="Arial" w:cs="Arial" w:eastAsia="Arial" w:hAnsi="Arial"/>
                <w:sz w:val="20"/>
                <w:szCs w:val="20"/>
                <w:color w:val="auto"/>
                <w:vertAlign w:val="superscript"/>
              </w:rPr>
              <w:t>(b)</w:t>
            </w:r>
          </w:p>
        </w:tc>
        <w:tc>
          <w:tcPr>
            <w:tcW w:w="1400" w:type="dxa"/>
            <w:vAlign w:val="bottom"/>
            <w:gridSpan w:val="3"/>
          </w:tcPr>
          <w:p>
            <w:pPr>
              <w:jc w:val="center"/>
              <w:ind w:right="220"/>
              <w:spacing w:after="0"/>
              <w:rPr>
                <w:sz w:val="20"/>
                <w:szCs w:val="20"/>
                <w:color w:val="auto"/>
              </w:rPr>
            </w:pPr>
            <w:r>
              <w:rPr>
                <w:rFonts w:ascii="Arial" w:cs="Arial" w:eastAsia="Arial" w:hAnsi="Arial"/>
                <w:sz w:val="14"/>
                <w:szCs w:val="14"/>
                <w:color w:val="auto"/>
                <w:w w:val="84"/>
              </w:rPr>
              <w:t>September 30</w:t>
            </w:r>
          </w:p>
        </w:tc>
        <w:tc>
          <w:tcPr>
            <w:tcW w:w="1140" w:type="dxa"/>
            <w:vAlign w:val="bottom"/>
          </w:tcPr>
          <w:p>
            <w:pPr>
              <w:jc w:val="right"/>
              <w:ind w:right="457"/>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95"/>
              <w:spacing w:after="0"/>
              <w:rPr>
                <w:sz w:val="20"/>
                <w:szCs w:val="20"/>
                <w:color w:val="auto"/>
              </w:rPr>
            </w:pPr>
            <w:r>
              <w:rPr>
                <w:rFonts w:ascii="Arial" w:cs="Arial" w:eastAsia="Arial" w:hAnsi="Arial"/>
                <w:sz w:val="14"/>
                <w:szCs w:val="14"/>
                <w:color w:val="auto"/>
              </w:rPr>
              <w:t>%</w:t>
            </w:r>
          </w:p>
        </w:tc>
      </w:tr>
      <w:tr>
        <w:trPr>
          <w:trHeight w:val="210"/>
        </w:trPr>
        <w:tc>
          <w:tcPr>
            <w:tcW w:w="38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8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E5E5E5"/>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E5E5E5"/>
            </w:tcBorders>
            <w:shd w:val="clear" w:color="auto" w:fill="E5E5E5"/>
          </w:tcPr>
          <w:p>
            <w:pPr>
              <w:spacing w:after="0"/>
              <w:rPr>
                <w:sz w:val="18"/>
                <w:szCs w:val="18"/>
                <w:color w:val="auto"/>
              </w:rPr>
            </w:pPr>
          </w:p>
        </w:tc>
        <w:tc>
          <w:tcPr>
            <w:tcW w:w="1140" w:type="dxa"/>
            <w:vAlign w:val="bottom"/>
            <w:tcBorders>
              <w:top w:val="single" w:sz="8" w:color="auto"/>
            </w:tcBorders>
            <w:shd w:val="clear" w:color="auto" w:fill="E5E5E5"/>
          </w:tcPr>
          <w:p>
            <w:pPr>
              <w:spacing w:after="0"/>
              <w:rPr>
                <w:sz w:val="18"/>
                <w:szCs w:val="18"/>
                <w:color w:val="auto"/>
              </w:rPr>
            </w:pPr>
          </w:p>
        </w:tc>
        <w:tc>
          <w:tcPr>
            <w:tcW w:w="880" w:type="dxa"/>
            <w:vAlign w:val="bottom"/>
            <w:tcBorders>
              <w:top w:val="single" w:sz="8" w:color="auto"/>
            </w:tcBorders>
            <w:shd w:val="clear" w:color="auto" w:fill="E5E5E5"/>
          </w:tcPr>
          <w:p>
            <w:pPr>
              <w:spacing w:after="0"/>
              <w:rPr>
                <w:sz w:val="18"/>
                <w:szCs w:val="18"/>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Distribution</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3,467</w:t>
            </w:r>
          </w:p>
        </w:tc>
        <w:tc>
          <w:tcPr>
            <w:tcW w:w="380" w:type="dxa"/>
            <w:vAlign w:val="bottom"/>
          </w:tcPr>
          <w:p>
            <w:pPr>
              <w:spacing w:after="0"/>
              <w:rPr>
                <w:sz w:val="18"/>
                <w:szCs w:val="18"/>
                <w:color w:val="auto"/>
              </w:rPr>
            </w:pPr>
          </w:p>
        </w:tc>
        <w:tc>
          <w:tcPr>
            <w:tcW w:w="52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7"/>
              <w:spacing w:after="0"/>
              <w:rPr>
                <w:sz w:val="20"/>
                <w:szCs w:val="20"/>
                <w:color w:val="auto"/>
              </w:rPr>
            </w:pPr>
            <w:r>
              <w:rPr>
                <w:rFonts w:ascii="Arial" w:cs="Arial" w:eastAsia="Arial" w:hAnsi="Arial"/>
                <w:sz w:val="18"/>
                <w:szCs w:val="18"/>
                <w:color w:val="auto"/>
              </w:rPr>
              <w:t>3,101</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7"/>
              <w:spacing w:after="0"/>
              <w:rPr>
                <w:sz w:val="20"/>
                <w:szCs w:val="20"/>
                <w:color w:val="auto"/>
              </w:rPr>
            </w:pPr>
            <w:r>
              <w:rPr>
                <w:rFonts w:ascii="Arial" w:cs="Arial" w:eastAsia="Arial" w:hAnsi="Arial"/>
                <w:sz w:val="18"/>
                <w:szCs w:val="18"/>
                <w:color w:val="auto"/>
              </w:rPr>
              <w:t>188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3,289</w:t>
            </w:r>
          </w:p>
        </w:tc>
        <w:tc>
          <w:tcPr>
            <w:tcW w:w="380" w:type="dxa"/>
            <w:vAlign w:val="bottom"/>
          </w:tcPr>
          <w:p>
            <w:pPr>
              <w:spacing w:after="0"/>
              <w:rPr>
                <w:sz w:val="18"/>
                <w:szCs w:val="18"/>
                <w:color w:val="auto"/>
              </w:rPr>
            </w:pPr>
          </w:p>
        </w:tc>
        <w:tc>
          <w:tcPr>
            <w:tcW w:w="1140" w:type="dxa"/>
            <w:vAlign w:val="bottom"/>
          </w:tcPr>
          <w:p>
            <w:pPr>
              <w:jc w:val="right"/>
              <w:ind w:right="277"/>
              <w:spacing w:after="0"/>
              <w:rPr>
                <w:sz w:val="20"/>
                <w:szCs w:val="20"/>
                <w:color w:val="auto"/>
              </w:rPr>
            </w:pPr>
            <w:r>
              <w:rPr>
                <w:rFonts w:ascii="Arial" w:cs="Arial" w:eastAsia="Arial" w:hAnsi="Arial"/>
                <w:sz w:val="18"/>
                <w:szCs w:val="18"/>
                <w:color w:val="auto"/>
              </w:rPr>
              <w:t>$ 178</w:t>
            </w: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5.4%</w:t>
            </w:r>
          </w:p>
        </w:tc>
      </w:tr>
      <w:tr>
        <w:trPr>
          <w:trHeight w:val="216"/>
        </w:trPr>
        <w:tc>
          <w:tcPr>
            <w:tcW w:w="38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48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2,545</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2,297</w:t>
            </w:r>
          </w:p>
        </w:tc>
        <w:tc>
          <w:tcPr>
            <w:tcW w:w="3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162</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2,459</w:t>
            </w:r>
          </w:p>
        </w:tc>
        <w:tc>
          <w:tcPr>
            <w:tcW w:w="38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86</w:t>
            </w:r>
          </w:p>
        </w:tc>
        <w:tc>
          <w:tcPr>
            <w:tcW w:w="88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3.5</w:t>
            </w:r>
          </w:p>
        </w:tc>
      </w:tr>
      <w:tr>
        <w:trPr>
          <w:trHeight w:val="216"/>
        </w:trPr>
        <w:tc>
          <w:tcPr>
            <w:tcW w:w="38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Content licensing and other</w:t>
            </w:r>
          </w:p>
        </w:tc>
        <w:tc>
          <w:tcPr>
            <w:tcW w:w="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380" w:type="dxa"/>
            <w:vAlign w:val="bottom"/>
            <w:tcBorders>
              <w:bottom w:val="single" w:sz="8" w:color="E5E5E5"/>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504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38</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380" w:type="dxa"/>
            <w:vAlign w:val="bottom"/>
            <w:tcBorders>
              <w:bottom w:val="single" w:sz="8" w:color="E5E5E5"/>
            </w:tcBorders>
          </w:tcPr>
          <w:p>
            <w:pPr>
              <w:spacing w:after="0"/>
              <w:rPr>
                <w:sz w:val="18"/>
                <w:szCs w:val="18"/>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1</w:t>
            </w:r>
          </w:p>
        </w:tc>
        <w:tc>
          <w:tcPr>
            <w:tcW w:w="88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0.1</w:t>
            </w:r>
          </w:p>
        </w:tc>
      </w:tr>
      <w:tr>
        <w:trPr>
          <w:trHeight w:val="210"/>
        </w:trPr>
        <w:tc>
          <w:tcPr>
            <w:tcW w:w="38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48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6,555</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5,902</w:t>
            </w:r>
          </w:p>
        </w:tc>
        <w:tc>
          <w:tcPr>
            <w:tcW w:w="3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388</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6,290</w:t>
            </w:r>
          </w:p>
        </w:tc>
        <w:tc>
          <w:tcPr>
            <w:tcW w:w="38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265</w:t>
            </w:r>
          </w:p>
        </w:tc>
        <w:tc>
          <w:tcPr>
            <w:tcW w:w="88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4.2</w:t>
            </w:r>
          </w:p>
        </w:tc>
      </w:tr>
      <w:tr>
        <w:trPr>
          <w:trHeight w:val="216"/>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w:t>
            </w:r>
          </w:p>
        </w:tc>
        <w:tc>
          <w:tcPr>
            <w:tcW w:w="380" w:type="dxa"/>
            <w:vAlign w:val="bottom"/>
            <w:tcBorders>
              <w:bottom w:val="single" w:sz="8" w:color="E5E5E5"/>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3,640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236</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w:t>
            </w:r>
          </w:p>
        </w:tc>
        <w:tc>
          <w:tcPr>
            <w:tcW w:w="380" w:type="dxa"/>
            <w:vAlign w:val="bottom"/>
            <w:tcBorders>
              <w:bottom w:val="single" w:sz="8" w:color="E5E5E5"/>
            </w:tcBorders>
          </w:tcPr>
          <w:p>
            <w:pPr>
              <w:spacing w:after="0"/>
              <w:rPr>
                <w:sz w:val="18"/>
                <w:szCs w:val="18"/>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277</w:t>
            </w:r>
          </w:p>
        </w:tc>
        <w:tc>
          <w:tcPr>
            <w:tcW w:w="88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7.1</w:t>
            </w:r>
          </w:p>
        </w:tc>
      </w:tr>
      <w:tr>
        <w:trPr>
          <w:trHeight w:val="195"/>
        </w:trPr>
        <w:tc>
          <w:tcPr>
            <w:tcW w:w="3840" w:type="dxa"/>
            <w:vAlign w:val="bottom"/>
            <w:shd w:val="clear" w:color="auto" w:fill="E5E5E5"/>
          </w:tcPr>
          <w:p>
            <w:pPr>
              <w:spacing w:after="0" w:line="195" w:lineRule="exact"/>
              <w:rPr>
                <w:sz w:val="20"/>
                <w:szCs w:val="20"/>
                <w:color w:val="auto"/>
              </w:rPr>
            </w:pPr>
            <w:r>
              <w:rPr>
                <w:rFonts w:ascii="Arial" w:cs="Arial" w:eastAsia="Arial" w:hAnsi="Arial"/>
                <w:sz w:val="18"/>
                <w:szCs w:val="18"/>
                <w:b w:val="1"/>
                <w:bCs w:val="1"/>
                <w:color w:val="auto"/>
              </w:rPr>
              <w:t>Operating income before depreciation and</w:t>
            </w:r>
          </w:p>
        </w:tc>
        <w:tc>
          <w:tcPr>
            <w:tcW w:w="48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r>
      <w:tr>
        <w:trPr>
          <w:trHeight w:val="237"/>
        </w:trPr>
        <w:tc>
          <w:tcPr>
            <w:tcW w:w="384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amortization</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2,402</w:t>
            </w:r>
          </w:p>
        </w:tc>
        <w:tc>
          <w:tcPr>
            <w:tcW w:w="380" w:type="dxa"/>
            <w:vAlign w:val="bottom"/>
            <w:tcBorders>
              <w:bottom w:val="single" w:sz="8" w:color="E5E5E5"/>
            </w:tcBorders>
            <w:shd w:val="clear" w:color="auto" w:fill="E5E5E5"/>
          </w:tcPr>
          <w:p>
            <w:pPr>
              <w:spacing w:after="0"/>
              <w:rPr>
                <w:sz w:val="20"/>
                <w:szCs w:val="20"/>
                <w:color w:val="auto"/>
              </w:rPr>
            </w:pPr>
          </w:p>
        </w:tc>
        <w:tc>
          <w:tcPr>
            <w:tcW w:w="520" w:type="dxa"/>
            <w:vAlign w:val="bottom"/>
            <w:tcBorders>
              <w:bottom w:val="single" w:sz="8" w:color="auto"/>
            </w:tcBorders>
            <w:shd w:val="clear" w:color="auto" w:fill="E5E5E5"/>
          </w:tcPr>
          <w:p>
            <w:pPr>
              <w:jc w:val="right"/>
              <w:ind w:right="4"/>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b w:val="1"/>
                <w:bCs w:val="1"/>
                <w:color w:val="auto"/>
              </w:rPr>
              <w:t>2,262</w:t>
            </w:r>
          </w:p>
        </w:tc>
        <w:tc>
          <w:tcPr>
            <w:tcW w:w="3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b w:val="1"/>
                <w:bCs w:val="1"/>
                <w:color w:val="auto"/>
              </w:rPr>
              <w:t>152</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2,414</w:t>
            </w:r>
          </w:p>
        </w:tc>
        <w:tc>
          <w:tcPr>
            <w:tcW w:w="380" w:type="dxa"/>
            <w:vAlign w:val="bottom"/>
            <w:tcBorders>
              <w:bottom w:val="single" w:sz="8" w:color="E5E5E5"/>
            </w:tcBorders>
            <w:shd w:val="clear" w:color="auto" w:fill="E5E5E5"/>
          </w:tcPr>
          <w:p>
            <w:pPr>
              <w:spacing w:after="0"/>
              <w:rPr>
                <w:sz w:val="20"/>
                <w:szCs w:val="20"/>
                <w:color w:val="auto"/>
              </w:rPr>
            </w:pPr>
          </w:p>
        </w:tc>
        <w:tc>
          <w:tcPr>
            <w:tcW w:w="1140" w:type="dxa"/>
            <w:vAlign w:val="bottom"/>
            <w:tcBorders>
              <w:bottom w:val="single" w:sz="8" w:color="auto"/>
            </w:tcBorders>
            <w:shd w:val="clear" w:color="auto" w:fill="E5E5E5"/>
          </w:tcPr>
          <w:p>
            <w:pPr>
              <w:jc w:val="right"/>
              <w:ind w:right="217"/>
              <w:spacing w:after="0"/>
              <w:rPr>
                <w:sz w:val="20"/>
                <w:szCs w:val="20"/>
                <w:color w:val="auto"/>
              </w:rPr>
            </w:pPr>
            <w:r>
              <w:rPr>
                <w:rFonts w:ascii="Arial" w:cs="Arial" w:eastAsia="Arial" w:hAnsi="Arial"/>
                <w:sz w:val="18"/>
                <w:szCs w:val="18"/>
                <w:b w:val="1"/>
                <w:bCs w:val="1"/>
                <w:color w:val="auto"/>
              </w:rPr>
              <w:t>$ (12)</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(0.5)%</w:t>
            </w:r>
          </w:p>
        </w:tc>
      </w:tr>
    </w:tbl>
    <w:p>
      <w:pPr>
        <w:spacing w:after="0" w:line="57" w:lineRule="exact"/>
        <w:rPr>
          <w:sz w:val="20"/>
          <w:szCs w:val="20"/>
          <w:color w:val="auto"/>
        </w:rPr>
      </w:pPr>
    </w:p>
    <w:p>
      <w:pPr>
        <w:ind w:left="340" w:hanging="332"/>
        <w:spacing w:after="0" w:line="239"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Actual amounts include the results of operations for the Comcast Content Business for the nine months ended September 30, 2011 and the results of operations for the NBCUniversal acquired businesses for the period January 29, 2011 through September 30, 2011.</w:t>
      </w:r>
    </w:p>
    <w:p>
      <w:pPr>
        <w:spacing w:after="0" w:line="43"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Pro forma amounts include the results of operations for the NBCUniversal acquired businesses for the period January 1, 2011 through January 28, 2011 and other pro forma adjustments that include the effects of acquisition accounting.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 Segment—Revenue</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Cable Networks revenue increased for the three months ended September 30, 2012 compared to the same period in 2011 primarily due to an increase in distribution revenue as a result of rate increases. Advertising revenue remained flat compared to the same period in 2011 due to an increase in the price and volume of advertising units sold, which was partially offset by continuing declines in audience ratings at certain of our cable networks.</w:t>
      </w:r>
    </w:p>
    <w:p>
      <w:pPr>
        <w:spacing w:after="0" w:line="1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Cable Networks revenue increased for the nine months ended September 30, 2012 compared to the same period in 2011 due to increases in distribution and advertising revenue. The increase in distribution revenue was primarily due to rate increases, and the increase in advertising revenue was primarily due to increases in the price and volume of advertising units sold, which was partially offset by continuing declines in audience ratings at certain of our cable networks.</w:t>
      </w:r>
    </w:p>
    <w:p>
      <w:pPr>
        <w:spacing w:after="0" w:line="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both the three and nine months ended September 30, 2012, 13% of our total Cable Networks segment revenue was generated from our Cable Communications segment. For both the three and nine months ended September 30, 2011, 13% of our total Cable Networks segment revenue and pro forma combined revenue was generated from our Cable Communications segment. These amounts are eliminated in our condensed consolidated financial statements but are included in the amounts presented above.</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collective bargaining agreement between the National Hockey League (“NHL”) and its players’ association expired at the end of the 2011-12 season. If the NHL player lockout continues, the number of NHL games that we broadcast on our cable and broadcast networks, and our results of operations associated with these broadcasts, may be affected.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 Segment—Operating Costs and Expenses</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operating costs and expenses remained flat for the three months ended September 30, 2012 compared to the same period in 2011. Our operating costs and expenses increased for the nine months ended September 30, 2012 compared to the same period in 2011 primarily due to higher programming and production expenses resulting from our continuing investment in original programming and an increase in sports rights costs.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Segment—Actual and Pro Forma Results of Operations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92"/>
              </w:rPr>
              <w:t>Actual</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40" w:type="dxa"/>
            <w:vAlign w:val="bottom"/>
            <w:gridSpan w:val="3"/>
          </w:tcPr>
          <w:p>
            <w:pPr>
              <w:jc w:val="center"/>
              <w:ind w:right="135"/>
              <w:spacing w:after="0" w:line="131" w:lineRule="exact"/>
              <w:rPr>
                <w:sz w:val="20"/>
                <w:szCs w:val="20"/>
                <w:color w:val="auto"/>
              </w:rPr>
            </w:pPr>
            <w:r>
              <w:rPr>
                <w:rFonts w:ascii="Arial" w:cs="Arial" w:eastAsia="Arial" w:hAnsi="Arial"/>
                <w:sz w:val="14"/>
                <w:szCs w:val="14"/>
                <w:color w:val="auto"/>
                <w:w w:val="87"/>
              </w:rPr>
              <w:t>Three Months Ended</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3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13"/>
                <w:szCs w:val="13"/>
                <w:color w:val="auto"/>
              </w:rPr>
            </w:pPr>
          </w:p>
        </w:tc>
        <w:tc>
          <w:tcPr>
            <w:tcW w:w="1780" w:type="dxa"/>
            <w:vAlign w:val="bottom"/>
            <w:gridSpan w:val="4"/>
          </w:tcPr>
          <w:p>
            <w:pPr>
              <w:jc w:val="center"/>
              <w:ind w:right="560"/>
              <w:spacing w:after="0" w:line="159" w:lineRule="exact"/>
              <w:rPr>
                <w:sz w:val="20"/>
                <w:szCs w:val="20"/>
                <w:color w:val="auto"/>
              </w:rPr>
            </w:pPr>
            <w:r>
              <w:rPr>
                <w:rFonts w:ascii="Arial" w:cs="Arial" w:eastAsia="Arial" w:hAnsi="Arial"/>
                <w:sz w:val="14"/>
                <w:szCs w:val="14"/>
                <w:color w:val="auto"/>
                <w:w w:val="84"/>
              </w:rPr>
              <w:t>September 30</w:t>
            </w:r>
          </w:p>
        </w:tc>
        <w:tc>
          <w:tcPr>
            <w:tcW w:w="1900" w:type="dxa"/>
            <w:vAlign w:val="bottom"/>
            <w:gridSpan w:val="2"/>
          </w:tcPr>
          <w:p>
            <w:pPr>
              <w:jc w:val="right"/>
              <w:ind w:right="275"/>
              <w:spacing w:after="0" w:line="159" w:lineRule="exact"/>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42"/>
        </w:trPr>
        <w:tc>
          <w:tcPr>
            <w:tcW w:w="7320" w:type="dxa"/>
            <w:vAlign w:val="bottom"/>
            <w:tcBorders>
              <w:bottom w:val="single" w:sz="8" w:color="auto"/>
            </w:tcBorders>
            <w:vMerge w:val="continue"/>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w w:val="89"/>
              </w:rPr>
              <w:t>2012</w:t>
            </w:r>
          </w:p>
        </w:tc>
        <w:tc>
          <w:tcPr>
            <w:tcW w:w="4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w w:val="89"/>
              </w:rPr>
              <w:t>2011</w:t>
            </w:r>
          </w:p>
        </w:tc>
        <w:tc>
          <w:tcPr>
            <w:tcW w:w="340" w:type="dxa"/>
            <w:vAlign w:val="bottom"/>
            <w:tcBorders>
              <w:bottom w:val="single" w:sz="8" w:color="E5E5E5"/>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3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440"/>
              <w:spacing w:after="0"/>
              <w:rPr>
                <w:sz w:val="20"/>
                <w:szCs w:val="20"/>
                <w:color w:val="auto"/>
              </w:rPr>
            </w:pPr>
            <w:r>
              <w:rPr>
                <w:rFonts w:ascii="Arial" w:cs="Arial" w:eastAsia="Arial" w:hAnsi="Arial"/>
                <w:sz w:val="18"/>
                <w:szCs w:val="18"/>
                <w:color w:val="auto"/>
              </w:rPr>
              <w:t>Advertising</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1,988</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974</w:t>
            </w:r>
          </w:p>
        </w:tc>
        <w:tc>
          <w:tcPr>
            <w:tcW w:w="340" w:type="dxa"/>
            <w:vAlign w:val="bottom"/>
          </w:tcPr>
          <w:p>
            <w:pPr>
              <w:spacing w:after="0"/>
              <w:rPr>
                <w:sz w:val="18"/>
                <w:szCs w:val="18"/>
                <w:color w:val="auto"/>
              </w:rPr>
            </w:pPr>
          </w:p>
        </w:tc>
        <w:tc>
          <w:tcPr>
            <w:tcW w:w="1100" w:type="dxa"/>
            <w:vAlign w:val="bottom"/>
          </w:tcPr>
          <w:p>
            <w:pPr>
              <w:jc w:val="right"/>
              <w:ind w:right="197"/>
              <w:spacing w:after="0"/>
              <w:rPr>
                <w:sz w:val="20"/>
                <w:szCs w:val="20"/>
                <w:color w:val="auto"/>
              </w:rPr>
            </w:pPr>
            <w:r>
              <w:rPr>
                <w:rFonts w:ascii="Arial" w:cs="Arial" w:eastAsia="Arial" w:hAnsi="Arial"/>
                <w:sz w:val="18"/>
                <w:szCs w:val="18"/>
                <w:color w:val="auto"/>
              </w:rPr>
              <w:t>$1,014</w:t>
            </w:r>
          </w:p>
        </w:tc>
        <w:tc>
          <w:tcPr>
            <w:tcW w:w="800" w:type="dxa"/>
            <w:vAlign w:val="bottom"/>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7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42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385</w:t>
            </w:r>
          </w:p>
        </w:tc>
        <w:tc>
          <w:tcPr>
            <w:tcW w:w="4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399</w:t>
            </w:r>
          </w:p>
        </w:tc>
        <w:tc>
          <w:tcPr>
            <w:tcW w:w="34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(14)</w:t>
            </w:r>
          </w:p>
        </w:tc>
        <w:tc>
          <w:tcPr>
            <w:tcW w:w="8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4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138</w:t>
            </w:r>
          </w:p>
        </w:tc>
        <w:tc>
          <w:tcPr>
            <w:tcW w:w="340" w:type="dxa"/>
            <w:vAlign w:val="bottom"/>
            <w:tcBorders>
              <w:bottom w:val="single" w:sz="8" w:color="E5E5E5"/>
            </w:tcBorders>
          </w:tcPr>
          <w:p>
            <w:pPr>
              <w:spacing w:after="0"/>
              <w:rPr>
                <w:sz w:val="18"/>
                <w:szCs w:val="18"/>
                <w:color w:val="auto"/>
              </w:rPr>
            </w:pPr>
          </w:p>
        </w:tc>
        <w:tc>
          <w:tcPr>
            <w:tcW w:w="11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266</w:t>
            </w: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0"/>
        </w:trPr>
        <w:tc>
          <w:tcPr>
            <w:tcW w:w="73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42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8"/>
              </w:rPr>
              <w:t>2,777</w:t>
            </w:r>
          </w:p>
        </w:tc>
        <w:tc>
          <w:tcPr>
            <w:tcW w:w="4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w w:val="93"/>
              </w:rPr>
              <w:t>1,511</w:t>
            </w:r>
          </w:p>
        </w:tc>
        <w:tc>
          <w:tcPr>
            <w:tcW w:w="34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1,266</w:t>
            </w:r>
          </w:p>
        </w:tc>
        <w:tc>
          <w:tcPr>
            <w:tcW w:w="80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4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2,689</w:t>
            </w:r>
          </w:p>
        </w:tc>
        <w:tc>
          <w:tcPr>
            <w:tcW w:w="4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93"/>
              </w:rPr>
              <w:t>1,518</w:t>
            </w:r>
          </w:p>
        </w:tc>
        <w:tc>
          <w:tcPr>
            <w:tcW w:w="340" w:type="dxa"/>
            <w:vAlign w:val="bottom"/>
            <w:tcBorders>
              <w:bottom w:val="single" w:sz="8" w:color="E5E5E5"/>
            </w:tcBorders>
          </w:tcPr>
          <w:p>
            <w:pPr>
              <w:spacing w:after="0"/>
              <w:rPr>
                <w:sz w:val="18"/>
                <w:szCs w:val="18"/>
                <w:color w:val="auto"/>
              </w:rPr>
            </w:pPr>
          </w:p>
        </w:tc>
        <w:tc>
          <w:tcPr>
            <w:tcW w:w="11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1,171</w:t>
            </w: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7"/>
        </w:trPr>
        <w:tc>
          <w:tcPr>
            <w:tcW w:w="7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(loss) before depreciation and amortization</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88</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w:t>
            </w:r>
          </w:p>
        </w:tc>
        <w:tc>
          <w:tcPr>
            <w:tcW w:w="340" w:type="dxa"/>
            <w:vAlign w:val="bottom"/>
            <w:tcBorders>
              <w:bottom w:val="single" w:sz="8" w:color="E5E5E5"/>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b w:val="1"/>
                <w:bCs w:val="1"/>
                <w:color w:val="auto"/>
              </w:rPr>
              <w:t>$   95</w:t>
            </w:r>
          </w:p>
        </w:tc>
        <w:tc>
          <w:tcPr>
            <w:tcW w:w="80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bl>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color w:val="auto"/>
                <w:w w:val="89"/>
              </w:rPr>
              <w:t>2012</w:t>
            </w:r>
          </w:p>
        </w:tc>
        <w:tc>
          <w:tcPr>
            <w:tcW w:w="3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color w:val="auto"/>
              </w:rPr>
              <w:t>2011</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1"/>
        </w:trPr>
        <w:tc>
          <w:tcPr>
            <w:tcW w:w="4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center"/>
              <w:ind w:right="59"/>
              <w:spacing w:after="0" w:line="131" w:lineRule="exact"/>
              <w:rPr>
                <w:sz w:val="20"/>
                <w:szCs w:val="20"/>
                <w:color w:val="auto"/>
              </w:rPr>
            </w:pPr>
            <w:r>
              <w:rPr>
                <w:rFonts w:ascii="Arial" w:cs="Arial" w:eastAsia="Arial" w:hAnsi="Arial"/>
                <w:sz w:val="14"/>
                <w:szCs w:val="14"/>
                <w:color w:val="auto"/>
                <w:w w:val="87"/>
              </w:rPr>
              <w:t>Pro Forma</w:t>
            </w: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4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gridSpan w:val="2"/>
          </w:tcPr>
          <w:p>
            <w:pPr>
              <w:jc w:val="center"/>
              <w:ind w:right="500"/>
              <w:spacing w:after="0" w:line="159" w:lineRule="exact"/>
              <w:rPr>
                <w:sz w:val="20"/>
                <w:szCs w:val="20"/>
                <w:color w:val="auto"/>
              </w:rPr>
            </w:pPr>
            <w:r>
              <w:rPr>
                <w:rFonts w:ascii="Arial" w:cs="Arial" w:eastAsia="Arial" w:hAnsi="Arial"/>
                <w:sz w:val="14"/>
                <w:szCs w:val="14"/>
                <w:color w:val="auto"/>
                <w:w w:val="92"/>
              </w:rPr>
              <w:t>Actual</w:t>
            </w:r>
          </w:p>
        </w:tc>
        <w:tc>
          <w:tcPr>
            <w:tcW w:w="380" w:type="dxa"/>
            <w:vAlign w:val="bottom"/>
          </w:tcPr>
          <w:p>
            <w:pPr>
              <w:spacing w:after="0"/>
              <w:rPr>
                <w:sz w:val="13"/>
                <w:szCs w:val="13"/>
                <w:color w:val="auto"/>
              </w:rPr>
            </w:pPr>
          </w:p>
        </w:tc>
        <w:tc>
          <w:tcPr>
            <w:tcW w:w="940" w:type="dxa"/>
            <w:vAlign w:val="bottom"/>
          </w:tcPr>
          <w:p>
            <w:pPr>
              <w:jc w:val="center"/>
              <w:ind w:right="179"/>
              <w:spacing w:after="0" w:line="159" w:lineRule="exact"/>
              <w:rPr>
                <w:sz w:val="20"/>
                <w:szCs w:val="20"/>
                <w:color w:val="auto"/>
              </w:rPr>
            </w:pPr>
            <w:r>
              <w:rPr>
                <w:rFonts w:ascii="Arial" w:cs="Arial" w:eastAsia="Arial" w:hAnsi="Arial"/>
                <w:sz w:val="14"/>
                <w:szCs w:val="14"/>
                <w:color w:val="auto"/>
                <w:w w:val="92"/>
              </w:rPr>
              <w:t>Actual</w:t>
            </w:r>
          </w:p>
        </w:tc>
        <w:tc>
          <w:tcPr>
            <w:tcW w:w="280" w:type="dxa"/>
            <w:vAlign w:val="bottom"/>
          </w:tcPr>
          <w:p>
            <w:pPr>
              <w:spacing w:after="0"/>
              <w:rPr>
                <w:sz w:val="13"/>
                <w:szCs w:val="13"/>
                <w:color w:val="auto"/>
              </w:rPr>
            </w:pPr>
          </w:p>
        </w:tc>
        <w:tc>
          <w:tcPr>
            <w:tcW w:w="920" w:type="dxa"/>
            <w:vAlign w:val="bottom"/>
          </w:tcPr>
          <w:p>
            <w:pPr>
              <w:jc w:val="right"/>
              <w:ind w:right="257"/>
              <w:spacing w:after="0" w:line="159" w:lineRule="exact"/>
              <w:rPr>
                <w:sz w:val="20"/>
                <w:szCs w:val="20"/>
                <w:color w:val="auto"/>
              </w:rPr>
            </w:pPr>
            <w:r>
              <w:rPr>
                <w:rFonts w:ascii="Arial" w:cs="Arial" w:eastAsia="Arial" w:hAnsi="Arial"/>
                <w:sz w:val="14"/>
                <w:szCs w:val="14"/>
                <w:color w:val="auto"/>
                <w:w w:val="84"/>
              </w:rPr>
              <w:t>Pro Forma</w:t>
            </w:r>
          </w:p>
        </w:tc>
        <w:tc>
          <w:tcPr>
            <w:tcW w:w="240" w:type="dxa"/>
            <w:vAlign w:val="bottom"/>
          </w:tcPr>
          <w:p>
            <w:pPr>
              <w:spacing w:after="0"/>
              <w:rPr>
                <w:sz w:val="13"/>
                <w:szCs w:val="13"/>
                <w:color w:val="auto"/>
              </w:rPr>
            </w:pPr>
          </w:p>
        </w:tc>
        <w:tc>
          <w:tcPr>
            <w:tcW w:w="1040" w:type="dxa"/>
            <w:vAlign w:val="bottom"/>
            <w:gridSpan w:val="2"/>
          </w:tcPr>
          <w:p>
            <w:pPr>
              <w:jc w:val="center"/>
              <w:ind w:right="440"/>
              <w:spacing w:after="0" w:line="159" w:lineRule="exact"/>
              <w:rPr>
                <w:sz w:val="20"/>
                <w:szCs w:val="20"/>
                <w:color w:val="auto"/>
              </w:rPr>
            </w:pPr>
            <w:r>
              <w:rPr>
                <w:rFonts w:ascii="Arial" w:cs="Arial" w:eastAsia="Arial" w:hAnsi="Arial"/>
                <w:sz w:val="14"/>
                <w:szCs w:val="14"/>
                <w:color w:val="auto"/>
                <w:w w:val="87"/>
              </w:rPr>
              <w:t>Combined</w:t>
            </w:r>
          </w:p>
        </w:tc>
        <w:tc>
          <w:tcPr>
            <w:tcW w:w="1820" w:type="dxa"/>
            <w:vAlign w:val="bottom"/>
            <w:gridSpan w:val="2"/>
          </w:tcPr>
          <w:p>
            <w:pPr>
              <w:jc w:val="right"/>
              <w:ind w:right="255"/>
              <w:spacing w:after="0" w:line="159" w:lineRule="exact"/>
              <w:rPr>
                <w:sz w:val="20"/>
                <w:szCs w:val="20"/>
                <w:color w:val="auto"/>
              </w:rPr>
            </w:pPr>
            <w:r>
              <w:rPr>
                <w:rFonts w:ascii="Arial" w:cs="Arial" w:eastAsia="Arial" w:hAnsi="Arial"/>
                <w:sz w:val="14"/>
                <w:szCs w:val="14"/>
                <w:color w:val="auto"/>
              </w:rPr>
              <w:t>Increase/(Decrease)</w:t>
            </w:r>
          </w:p>
        </w:tc>
      </w:tr>
      <w:tr>
        <w:trPr>
          <w:trHeight w:val="131"/>
        </w:trPr>
        <w:tc>
          <w:tcPr>
            <w:tcW w:w="44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tcBorders>
              <w:top w:val="single" w:sz="8" w:color="auto"/>
            </w:tcBorders>
            <w:gridSpan w:val="2"/>
          </w:tcPr>
          <w:p>
            <w:pPr>
              <w:jc w:val="center"/>
              <w:ind w:left="24"/>
              <w:spacing w:after="0" w:line="131" w:lineRule="exact"/>
              <w:rPr>
                <w:sz w:val="20"/>
                <w:szCs w:val="20"/>
                <w:color w:val="auto"/>
              </w:rPr>
            </w:pPr>
            <w:r>
              <w:rPr>
                <w:rFonts w:ascii="Arial" w:cs="Arial" w:eastAsia="Arial" w:hAnsi="Arial"/>
                <w:sz w:val="14"/>
                <w:szCs w:val="14"/>
                <w:color w:val="auto"/>
                <w:w w:val="87"/>
              </w:rPr>
              <w:t>For the Period</w:t>
            </w: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r>
      <w:tr>
        <w:trPr>
          <w:trHeight w:val="149"/>
        </w:trPr>
        <w:tc>
          <w:tcPr>
            <w:tcW w:w="4420" w:type="dxa"/>
            <w:vAlign w:val="bottom"/>
          </w:tcPr>
          <w:p>
            <w:pPr>
              <w:spacing w:after="0"/>
              <w:rPr>
                <w:sz w:val="12"/>
                <w:szCs w:val="12"/>
                <w:color w:val="auto"/>
              </w:rPr>
            </w:pP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1"/>
              </w:rPr>
              <w:t>Nine Months</w:t>
            </w:r>
          </w:p>
        </w:tc>
        <w:tc>
          <w:tcPr>
            <w:tcW w:w="380" w:type="dxa"/>
            <w:vAlign w:val="bottom"/>
          </w:tcPr>
          <w:p>
            <w:pPr>
              <w:spacing w:after="0"/>
              <w:rPr>
                <w:sz w:val="12"/>
                <w:szCs w:val="12"/>
                <w:color w:val="auto"/>
              </w:rPr>
            </w:pPr>
          </w:p>
        </w:tc>
        <w:tc>
          <w:tcPr>
            <w:tcW w:w="940" w:type="dxa"/>
            <w:vAlign w:val="bottom"/>
          </w:tcPr>
          <w:p>
            <w:pPr>
              <w:jc w:val="center"/>
              <w:ind w:right="199"/>
              <w:spacing w:after="0" w:line="149" w:lineRule="exact"/>
              <w:rPr>
                <w:sz w:val="20"/>
                <w:szCs w:val="20"/>
                <w:color w:val="auto"/>
              </w:rPr>
            </w:pPr>
            <w:r>
              <w:rPr>
                <w:rFonts w:ascii="Arial" w:cs="Arial" w:eastAsia="Arial" w:hAnsi="Arial"/>
                <w:sz w:val="14"/>
                <w:szCs w:val="14"/>
                <w:color w:val="auto"/>
                <w:w w:val="83"/>
              </w:rPr>
              <w:t>January 29</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9"/>
              </w:rPr>
              <w:t>Nine Months</w:t>
            </w: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32"/>
        </w:trPr>
        <w:tc>
          <w:tcPr>
            <w:tcW w:w="4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gridSpan w:val="2"/>
          </w:tcPr>
          <w:p>
            <w:pPr>
              <w:jc w:val="center"/>
              <w:ind w:right="500"/>
              <w:spacing w:after="0" w:line="133" w:lineRule="exact"/>
              <w:rPr>
                <w:sz w:val="20"/>
                <w:szCs w:val="20"/>
                <w:color w:val="auto"/>
              </w:rPr>
            </w:pPr>
            <w:r>
              <w:rPr>
                <w:rFonts w:ascii="Arial" w:cs="Arial" w:eastAsia="Arial" w:hAnsi="Arial"/>
                <w:sz w:val="14"/>
                <w:szCs w:val="14"/>
                <w:color w:val="auto"/>
                <w:w w:val="88"/>
              </w:rPr>
              <w:t>Ended</w:t>
            </w:r>
          </w:p>
        </w:tc>
        <w:tc>
          <w:tcPr>
            <w:tcW w:w="380" w:type="dxa"/>
            <w:vAlign w:val="bottom"/>
          </w:tcPr>
          <w:p>
            <w:pPr>
              <w:spacing w:after="0"/>
              <w:rPr>
                <w:sz w:val="11"/>
                <w:szCs w:val="11"/>
                <w:color w:val="auto"/>
              </w:rPr>
            </w:pPr>
          </w:p>
        </w:tc>
        <w:tc>
          <w:tcPr>
            <w:tcW w:w="940" w:type="dxa"/>
            <w:vAlign w:val="bottom"/>
          </w:tcPr>
          <w:p>
            <w:pPr>
              <w:jc w:val="center"/>
              <w:ind w:right="199"/>
              <w:spacing w:after="0" w:line="133" w:lineRule="exact"/>
              <w:rPr>
                <w:sz w:val="20"/>
                <w:szCs w:val="20"/>
                <w:color w:val="auto"/>
              </w:rPr>
            </w:pPr>
            <w:r>
              <w:rPr>
                <w:rFonts w:ascii="Arial" w:cs="Arial" w:eastAsia="Arial" w:hAnsi="Arial"/>
                <w:sz w:val="14"/>
                <w:szCs w:val="14"/>
                <w:color w:val="auto"/>
                <w:w w:val="88"/>
              </w:rPr>
              <w:t>through</w:t>
            </w:r>
          </w:p>
        </w:tc>
        <w:tc>
          <w:tcPr>
            <w:tcW w:w="1200" w:type="dxa"/>
            <w:vAlign w:val="bottom"/>
            <w:gridSpan w:val="2"/>
          </w:tcPr>
          <w:p>
            <w:pPr>
              <w:ind w:left="180"/>
              <w:spacing w:after="0" w:line="133" w:lineRule="exact"/>
              <w:rPr>
                <w:sz w:val="20"/>
                <w:szCs w:val="20"/>
                <w:color w:val="auto"/>
              </w:rPr>
            </w:pPr>
            <w:r>
              <w:rPr>
                <w:rFonts w:ascii="Arial" w:cs="Arial" w:eastAsia="Arial" w:hAnsi="Arial"/>
                <w:sz w:val="14"/>
                <w:szCs w:val="14"/>
                <w:color w:val="auto"/>
              </w:rPr>
              <w:t>NBCUniversal</w:t>
            </w:r>
          </w:p>
        </w:tc>
        <w:tc>
          <w:tcPr>
            <w:tcW w:w="240" w:type="dxa"/>
            <w:vAlign w:val="bottom"/>
          </w:tcPr>
          <w:p>
            <w:pPr>
              <w:spacing w:after="0"/>
              <w:rPr>
                <w:sz w:val="11"/>
                <w:szCs w:val="11"/>
                <w:color w:val="auto"/>
              </w:rPr>
            </w:pPr>
          </w:p>
        </w:tc>
        <w:tc>
          <w:tcPr>
            <w:tcW w:w="1040" w:type="dxa"/>
            <w:vAlign w:val="bottom"/>
            <w:gridSpan w:val="2"/>
          </w:tcPr>
          <w:p>
            <w:pPr>
              <w:jc w:val="center"/>
              <w:ind w:right="460"/>
              <w:spacing w:after="0" w:line="133" w:lineRule="exact"/>
              <w:rPr>
                <w:sz w:val="20"/>
                <w:szCs w:val="20"/>
                <w:color w:val="auto"/>
              </w:rPr>
            </w:pPr>
            <w:r>
              <w:rPr>
                <w:rFonts w:ascii="Arial" w:cs="Arial" w:eastAsia="Arial" w:hAnsi="Arial"/>
                <w:sz w:val="14"/>
                <w:szCs w:val="14"/>
                <w:color w:val="auto"/>
                <w:w w:val="83"/>
              </w:rPr>
              <w:t>Ended</w:t>
            </w: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76"/>
        </w:trPr>
        <w:tc>
          <w:tcPr>
            <w:tcW w:w="4420" w:type="dxa"/>
            <w:vAlign w:val="bottom"/>
          </w:tcPr>
          <w:p>
            <w:pPr>
              <w:spacing w:after="0"/>
              <w:rPr>
                <w:sz w:val="20"/>
                <w:szCs w:val="20"/>
                <w:color w:val="auto"/>
              </w:rPr>
            </w:pPr>
            <w:r>
              <w:rPr>
                <w:rFonts w:ascii="Arial" w:cs="Arial" w:eastAsia="Arial" w:hAnsi="Arial"/>
                <w:sz w:val="14"/>
                <w:szCs w:val="14"/>
                <w:color w:val="auto"/>
              </w:rPr>
              <w:t>(in millions)</w:t>
            </w: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color w:val="auto"/>
                <w:w w:val="86"/>
              </w:rPr>
              <w:t>September 30</w:t>
            </w:r>
          </w:p>
        </w:tc>
        <w:tc>
          <w:tcPr>
            <w:tcW w:w="1320" w:type="dxa"/>
            <w:vAlign w:val="bottom"/>
            <w:gridSpan w:val="2"/>
          </w:tcPr>
          <w:p>
            <w:pPr>
              <w:jc w:val="center"/>
              <w:ind w:left="24"/>
              <w:spacing w:after="0" w:line="176" w:lineRule="exact"/>
              <w:rPr>
                <w:sz w:val="20"/>
                <w:szCs w:val="20"/>
                <w:color w:val="auto"/>
              </w:rPr>
            </w:pPr>
            <w:r>
              <w:rPr>
                <w:rFonts w:ascii="Arial" w:cs="Arial" w:eastAsia="Arial" w:hAnsi="Arial"/>
                <w:sz w:val="13"/>
                <w:szCs w:val="13"/>
                <w:color w:val="auto"/>
                <w:w w:val="87"/>
              </w:rPr>
              <w:t>September 30</w:t>
            </w:r>
            <w:r>
              <w:rPr>
                <w:rFonts w:ascii="Arial" w:cs="Arial" w:eastAsia="Arial" w:hAnsi="Arial"/>
                <w:sz w:val="20"/>
                <w:szCs w:val="20"/>
                <w:color w:val="auto"/>
                <w:w w:val="87"/>
                <w:vertAlign w:val="superscript"/>
              </w:rPr>
              <w:t>(a)</w:t>
            </w:r>
          </w:p>
        </w:tc>
        <w:tc>
          <w:tcPr>
            <w:tcW w:w="1200" w:type="dxa"/>
            <w:vAlign w:val="bottom"/>
            <w:gridSpan w:val="2"/>
          </w:tcPr>
          <w:p>
            <w:pPr>
              <w:jc w:val="right"/>
              <w:ind w:right="177"/>
              <w:spacing w:after="0" w:line="176" w:lineRule="exact"/>
              <w:rPr>
                <w:sz w:val="20"/>
                <w:szCs w:val="20"/>
                <w:color w:val="auto"/>
              </w:rPr>
            </w:pPr>
            <w:r>
              <w:rPr>
                <w:rFonts w:ascii="Arial" w:cs="Arial" w:eastAsia="Arial" w:hAnsi="Arial"/>
                <w:sz w:val="13"/>
                <w:szCs w:val="13"/>
                <w:color w:val="auto"/>
              </w:rPr>
              <w:t>Businesses</w:t>
            </w:r>
            <w:r>
              <w:rPr>
                <w:rFonts w:ascii="Arial" w:cs="Arial" w:eastAsia="Arial" w:hAnsi="Arial"/>
                <w:sz w:val="20"/>
                <w:szCs w:val="20"/>
                <w:color w:val="auto"/>
                <w:vertAlign w:val="superscript"/>
              </w:rPr>
              <w:t>(b)</w:t>
            </w: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color w:val="auto"/>
                <w:w w:val="84"/>
              </w:rPr>
              <w:t>September 30</w:t>
            </w:r>
          </w:p>
        </w:tc>
        <w:tc>
          <w:tcPr>
            <w:tcW w:w="1060" w:type="dxa"/>
            <w:vAlign w:val="bottom"/>
          </w:tcPr>
          <w:p>
            <w:pPr>
              <w:jc w:val="right"/>
              <w:ind w:right="397"/>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5"/>
              <w:spacing w:after="0"/>
              <w:rPr>
                <w:sz w:val="20"/>
                <w:szCs w:val="20"/>
                <w:color w:val="auto"/>
              </w:rPr>
            </w:pPr>
            <w:r>
              <w:rPr>
                <w:rFonts w:ascii="Arial" w:cs="Arial" w:eastAsia="Arial" w:hAnsi="Arial"/>
                <w:sz w:val="14"/>
                <w:szCs w:val="14"/>
                <w:color w:val="auto"/>
              </w:rPr>
              <w:t>%</w:t>
            </w:r>
          </w:p>
        </w:tc>
      </w:tr>
      <w:tr>
        <w:trPr>
          <w:trHeight w:val="210"/>
        </w:trPr>
        <w:tc>
          <w:tcPr>
            <w:tcW w:w="4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E5E5E5"/>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9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92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E5E5E5"/>
            </w:tcBorders>
            <w:shd w:val="clear" w:color="auto" w:fill="E5E5E5"/>
          </w:tcPr>
          <w:p>
            <w:pPr>
              <w:spacing w:after="0"/>
              <w:rPr>
                <w:sz w:val="18"/>
                <w:szCs w:val="18"/>
                <w:color w:val="auto"/>
              </w:rPr>
            </w:pPr>
          </w:p>
        </w:tc>
        <w:tc>
          <w:tcPr>
            <w:tcW w:w="106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Advertising</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4,367</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9"/>
              <w:spacing w:after="0"/>
              <w:rPr>
                <w:sz w:val="20"/>
                <w:szCs w:val="20"/>
                <w:color w:val="auto"/>
              </w:rPr>
            </w:pPr>
            <w:r>
              <w:rPr>
                <w:rFonts w:ascii="Arial" w:cs="Arial" w:eastAsia="Arial" w:hAnsi="Arial"/>
                <w:sz w:val="18"/>
                <w:szCs w:val="18"/>
                <w:color w:val="auto"/>
              </w:rPr>
              <w:t>2,683</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7"/>
              <w:spacing w:after="0"/>
              <w:rPr>
                <w:sz w:val="20"/>
                <w:szCs w:val="20"/>
                <w:color w:val="auto"/>
              </w:rPr>
            </w:pPr>
            <w:r>
              <w:rPr>
                <w:rFonts w:ascii="Arial" w:cs="Arial" w:eastAsia="Arial" w:hAnsi="Arial"/>
                <w:sz w:val="18"/>
                <w:szCs w:val="18"/>
                <w:color w:val="auto"/>
              </w:rPr>
              <w:t>315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2,998</w:t>
            </w:r>
          </w:p>
        </w:tc>
        <w:tc>
          <w:tcPr>
            <w:tcW w:w="320" w:type="dxa"/>
            <w:vAlign w:val="bottom"/>
          </w:tcPr>
          <w:p>
            <w:pPr>
              <w:spacing w:after="0"/>
              <w:rPr>
                <w:sz w:val="18"/>
                <w:szCs w:val="18"/>
                <w:color w:val="auto"/>
              </w:rPr>
            </w:pPr>
          </w:p>
        </w:tc>
        <w:tc>
          <w:tcPr>
            <w:tcW w:w="1060" w:type="dxa"/>
            <w:vAlign w:val="bottom"/>
          </w:tcPr>
          <w:p>
            <w:pPr>
              <w:jc w:val="right"/>
              <w:ind w:right="177"/>
              <w:spacing w:after="0"/>
              <w:rPr>
                <w:sz w:val="20"/>
                <w:szCs w:val="20"/>
                <w:color w:val="auto"/>
              </w:rPr>
            </w:pPr>
            <w:r>
              <w:rPr>
                <w:rFonts w:ascii="Arial" w:cs="Arial" w:eastAsia="Arial" w:hAnsi="Arial"/>
                <w:sz w:val="18"/>
                <w:szCs w:val="18"/>
                <w:color w:val="auto"/>
              </w:rPr>
              <w:t>$ 1,369</w:t>
            </w:r>
          </w:p>
        </w:tc>
        <w:tc>
          <w:tcPr>
            <w:tcW w:w="76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216"/>
        </w:trPr>
        <w:tc>
          <w:tcPr>
            <w:tcW w:w="44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1,173</w:t>
            </w:r>
          </w:p>
        </w:tc>
        <w:tc>
          <w:tcPr>
            <w:tcW w:w="3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1,080</w:t>
            </w:r>
          </w:p>
        </w:tc>
        <w:tc>
          <w:tcPr>
            <w:tcW w:w="2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1,191</w:t>
            </w:r>
          </w:p>
        </w:tc>
        <w:tc>
          <w:tcPr>
            <w:tcW w:w="32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(18)</w:t>
            </w:r>
          </w:p>
        </w:tc>
        <w:tc>
          <w:tcPr>
            <w:tcW w:w="76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(1.5)</w:t>
            </w:r>
          </w:p>
        </w:tc>
      </w:tr>
      <w:tr>
        <w:trPr>
          <w:trHeight w:val="216"/>
        </w:trPr>
        <w:tc>
          <w:tcPr>
            <w:tcW w:w="44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300" w:type="dxa"/>
            <w:vAlign w:val="bottom"/>
            <w:tcBorders>
              <w:bottom w:val="single" w:sz="8" w:color="E5E5E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331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320" w:type="dxa"/>
            <w:vAlign w:val="bottom"/>
            <w:tcBorders>
              <w:bottom w:val="single" w:sz="8" w:color="E5E5E5"/>
            </w:tcBorders>
          </w:tcPr>
          <w:p>
            <w:pPr>
              <w:spacing w:after="0"/>
              <w:rPr>
                <w:sz w:val="18"/>
                <w:szCs w:val="18"/>
                <w:color w:val="auto"/>
              </w:rPr>
            </w:pPr>
          </w:p>
        </w:tc>
        <w:tc>
          <w:tcPr>
            <w:tcW w:w="106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259</w:t>
            </w: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70.1</w:t>
            </w:r>
          </w:p>
        </w:tc>
      </w:tr>
      <w:tr>
        <w:trPr>
          <w:trHeight w:val="210"/>
        </w:trPr>
        <w:tc>
          <w:tcPr>
            <w:tcW w:w="44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6,168</w:t>
            </w:r>
          </w:p>
        </w:tc>
        <w:tc>
          <w:tcPr>
            <w:tcW w:w="3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4,094</w:t>
            </w:r>
          </w:p>
        </w:tc>
        <w:tc>
          <w:tcPr>
            <w:tcW w:w="2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464</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4,558</w:t>
            </w:r>
          </w:p>
        </w:tc>
        <w:tc>
          <w:tcPr>
            <w:tcW w:w="32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1,610</w:t>
            </w:r>
          </w:p>
        </w:tc>
        <w:tc>
          <w:tcPr>
            <w:tcW w:w="7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35.3</w:t>
            </w:r>
          </w:p>
        </w:tc>
      </w:tr>
      <w:tr>
        <w:trPr>
          <w:trHeight w:val="216"/>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5,894</w:t>
            </w:r>
          </w:p>
        </w:tc>
        <w:tc>
          <w:tcPr>
            <w:tcW w:w="300" w:type="dxa"/>
            <w:vAlign w:val="bottom"/>
            <w:tcBorders>
              <w:bottom w:val="single" w:sz="8" w:color="E5E5E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3,876</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479</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w:t>
            </w:r>
          </w:p>
        </w:tc>
        <w:tc>
          <w:tcPr>
            <w:tcW w:w="320" w:type="dxa"/>
            <w:vAlign w:val="bottom"/>
            <w:tcBorders>
              <w:bottom w:val="single" w:sz="8" w:color="E5E5E5"/>
            </w:tcBorders>
          </w:tcPr>
          <w:p>
            <w:pPr>
              <w:spacing w:after="0"/>
              <w:rPr>
                <w:sz w:val="18"/>
                <w:szCs w:val="18"/>
                <w:color w:val="auto"/>
              </w:rPr>
            </w:pPr>
          </w:p>
        </w:tc>
        <w:tc>
          <w:tcPr>
            <w:tcW w:w="106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1,539</w:t>
            </w: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35.3</w:t>
            </w:r>
          </w:p>
        </w:tc>
      </w:tr>
      <w:tr>
        <w:trPr>
          <w:trHeight w:val="195"/>
        </w:trPr>
        <w:tc>
          <w:tcPr>
            <w:tcW w:w="4420" w:type="dxa"/>
            <w:vAlign w:val="bottom"/>
            <w:shd w:val="clear" w:color="auto" w:fill="E5E5E5"/>
          </w:tcPr>
          <w:p>
            <w:pPr>
              <w:spacing w:after="0" w:line="195" w:lineRule="exact"/>
              <w:rPr>
                <w:sz w:val="20"/>
                <w:szCs w:val="20"/>
                <w:color w:val="auto"/>
              </w:rPr>
            </w:pPr>
            <w:r>
              <w:rPr>
                <w:rFonts w:ascii="Arial" w:cs="Arial" w:eastAsia="Arial" w:hAnsi="Arial"/>
                <w:sz w:val="18"/>
                <w:szCs w:val="18"/>
                <w:b w:val="1"/>
                <w:bCs w:val="1"/>
                <w:color w:val="auto"/>
              </w:rPr>
              <w:t>Operating income (loss) before depreciation and</w:t>
            </w:r>
          </w:p>
        </w:tc>
        <w:tc>
          <w:tcPr>
            <w:tcW w:w="40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r>
      <w:tr>
        <w:trPr>
          <w:trHeight w:val="237"/>
        </w:trPr>
        <w:tc>
          <w:tcPr>
            <w:tcW w:w="44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amortization</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274</w:t>
            </w:r>
          </w:p>
        </w:tc>
        <w:tc>
          <w:tcPr>
            <w:tcW w:w="300" w:type="dxa"/>
            <w:vAlign w:val="bottom"/>
            <w:tcBorders>
              <w:bottom w:val="single" w:sz="8" w:color="E5E5E5"/>
            </w:tcBorders>
            <w:shd w:val="clear" w:color="auto" w:fill="E5E5E5"/>
          </w:tcPr>
          <w:p>
            <w:pPr>
              <w:spacing w:after="0"/>
              <w:rPr>
                <w:sz w:val="20"/>
                <w:szCs w:val="20"/>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E5E5E5"/>
          </w:tcPr>
          <w:p>
            <w:pPr>
              <w:jc w:val="right"/>
              <w:ind w:right="99"/>
              <w:spacing w:after="0"/>
              <w:rPr>
                <w:sz w:val="20"/>
                <w:szCs w:val="20"/>
                <w:color w:val="auto"/>
              </w:rPr>
            </w:pPr>
            <w:r>
              <w:rPr>
                <w:rFonts w:ascii="Arial" w:cs="Arial" w:eastAsia="Arial" w:hAnsi="Arial"/>
                <w:sz w:val="18"/>
                <w:szCs w:val="18"/>
                <w:b w:val="1"/>
                <w:bCs w:val="1"/>
                <w:color w:val="auto"/>
              </w:rPr>
              <w:t>218</w:t>
            </w:r>
          </w:p>
        </w:tc>
        <w:tc>
          <w:tcPr>
            <w:tcW w:w="2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b w:val="1"/>
                <w:bCs w:val="1"/>
                <w:color w:val="auto"/>
              </w:rPr>
              <w:t>(15)</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203</w:t>
            </w:r>
          </w:p>
        </w:tc>
        <w:tc>
          <w:tcPr>
            <w:tcW w:w="32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b w:val="1"/>
                <w:bCs w:val="1"/>
                <w:color w:val="auto"/>
              </w:rPr>
              <w:t>$   71</w:t>
            </w: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35.2%</w:t>
            </w:r>
          </w:p>
        </w:tc>
      </w:tr>
    </w:tbl>
    <w:p>
      <w:pPr>
        <w:spacing w:after="0" w:line="5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Actual amounts include the results of operations for the NBCUniversal acquired businesses for the period January 29, 2011 through September 30, 2011.</w:t>
      </w:r>
    </w:p>
    <w:p>
      <w:pPr>
        <w:spacing w:after="0" w:line="55"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Pro forma amounts include the results of operations for the NBCUniversal acquired businesses for the period January 1, 2011 through January 28, 2011 and other pro forma adjustments that include the effects of acquisition accounting.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 Segment—Revenue</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Broadcast Television revenue increased for the three months ended September 30, 2012 compared to the same period in 2011 primarily due to our broadcast of the 2012 London Olympics, which resulted in significant increases in both advertising and other revenue totaling $1.2 billion. Excluding the impact of the 2012 London Olympics, Broadcast Television revenue increased 5% for the three months ended September 30, 2012, primarily due to an increase in the price and volume of advertising units sold, including the impact of higher political advertising in 2012.</w:t>
      </w:r>
    </w:p>
    <w:p>
      <w:pPr>
        <w:spacing w:after="0" w:line="1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Broadcast Television revenue increased for the nine months ended September 30, 2012 compared to the same period in 2011 primarily due to our broadcasts of the 2012 London Olympics and the 2012 Super Bowl. Excluding the impact of both of these events, Broadcast Television revenue increased 4% for the nine months ended September 30, 2012, primarily due to an increase in advertising revenue resulting from an increase in the price of advertising units sold.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 Segment—Operating Costs and Expenses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operating costs and expenses increased for the three months ended September 30, 2012 compared to the same period in 2011 primarily due to an increase in programming and production costs of $1.1 billion associated with our broadcast of the 2012 London Olympics. Excluding these costs, operating costs and expenses for the three months ended September 30, 2012 increased 7% primarily due to an increase in programming and production costs, including the impact of the early start to our 2012 fall primetime schedule.</w:t>
      </w:r>
    </w:p>
    <w:p>
      <w:pPr>
        <w:spacing w:after="0" w:line="4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operating costs and expenses increased for the nine months ended September 30, 2012 compared to the same period in 2011 primarily due to the increase in programming and production costs associated with our broadcast of the 2012 London Olympics and the 2012 Super Bowl.</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Segment—Actual and Pro Forma Results of Operations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color w:val="auto"/>
                <w:w w:val="92"/>
              </w:rPr>
              <w:t>Actual</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31"/>
        </w:trPr>
        <w:tc>
          <w:tcPr>
            <w:tcW w:w="7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gridSpan w:val="3"/>
          </w:tcPr>
          <w:p>
            <w:pPr>
              <w:jc w:val="center"/>
              <w:ind w:right="95"/>
              <w:spacing w:after="0" w:line="131" w:lineRule="exact"/>
              <w:rPr>
                <w:sz w:val="20"/>
                <w:szCs w:val="20"/>
                <w:color w:val="auto"/>
              </w:rPr>
            </w:pPr>
            <w:r>
              <w:rPr>
                <w:rFonts w:ascii="Arial" w:cs="Arial" w:eastAsia="Arial" w:hAnsi="Arial"/>
                <w:sz w:val="14"/>
                <w:szCs w:val="14"/>
                <w:color w:val="auto"/>
                <w:w w:val="87"/>
              </w:rPr>
              <w:t>Three Months</w:t>
            </w: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9"/>
        </w:trPr>
        <w:tc>
          <w:tcPr>
            <w:tcW w:w="7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jc w:val="center"/>
              <w:ind w:right="22"/>
              <w:spacing w:after="0" w:line="149" w:lineRule="exact"/>
              <w:rPr>
                <w:sz w:val="20"/>
                <w:szCs w:val="20"/>
                <w:color w:val="auto"/>
              </w:rPr>
            </w:pPr>
            <w:r>
              <w:rPr>
                <w:rFonts w:ascii="Arial" w:cs="Arial" w:eastAsia="Arial" w:hAnsi="Arial"/>
                <w:sz w:val="14"/>
                <w:szCs w:val="14"/>
                <w:color w:val="auto"/>
                <w:w w:val="83"/>
              </w:rPr>
              <w:t>Ended</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gridSpan w:val="2"/>
          </w:tcPr>
          <w:p>
            <w:pPr>
              <w:jc w:val="right"/>
              <w:ind w:right="515"/>
              <w:spacing w:after="0" w:line="149" w:lineRule="exact"/>
              <w:rPr>
                <w:sz w:val="20"/>
                <w:szCs w:val="20"/>
                <w:color w:val="auto"/>
              </w:rPr>
            </w:pPr>
            <w:r>
              <w:rPr>
                <w:rFonts w:ascii="Arial" w:cs="Arial" w:eastAsia="Arial" w:hAnsi="Arial"/>
                <w:sz w:val="14"/>
                <w:szCs w:val="14"/>
                <w:color w:val="auto"/>
              </w:rPr>
              <w:t>Increase/</w:t>
            </w:r>
          </w:p>
        </w:tc>
      </w:tr>
      <w:tr>
        <w:trPr>
          <w:trHeight w:val="172"/>
        </w:trPr>
        <w:tc>
          <w:tcPr>
            <w:tcW w:w="7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20" w:type="dxa"/>
            <w:vAlign w:val="bottom"/>
            <w:gridSpan w:val="4"/>
          </w:tcPr>
          <w:p>
            <w:pPr>
              <w:jc w:val="center"/>
              <w:ind w:right="500"/>
              <w:spacing w:after="0"/>
              <w:rPr>
                <w:sz w:val="20"/>
                <w:szCs w:val="20"/>
                <w:color w:val="auto"/>
              </w:rPr>
            </w:pPr>
            <w:r>
              <w:rPr>
                <w:rFonts w:ascii="Arial" w:cs="Arial" w:eastAsia="Arial" w:hAnsi="Arial"/>
                <w:sz w:val="14"/>
                <w:szCs w:val="14"/>
                <w:color w:val="auto"/>
                <w:w w:val="84"/>
              </w:rPr>
              <w:t>September 30</w:t>
            </w:r>
          </w:p>
        </w:tc>
        <w:tc>
          <w:tcPr>
            <w:tcW w:w="1780" w:type="dxa"/>
            <w:vAlign w:val="bottom"/>
            <w:gridSpan w:val="2"/>
          </w:tcPr>
          <w:p>
            <w:pPr>
              <w:jc w:val="right"/>
              <w:ind w:right="475"/>
              <w:spacing w:after="0"/>
              <w:rPr>
                <w:sz w:val="20"/>
                <w:szCs w:val="20"/>
                <w:color w:val="auto"/>
              </w:rPr>
            </w:pPr>
            <w:r>
              <w:rPr>
                <w:rFonts w:ascii="Arial" w:cs="Arial" w:eastAsia="Arial" w:hAnsi="Arial"/>
                <w:sz w:val="14"/>
                <w:szCs w:val="14"/>
                <w:color w:val="auto"/>
              </w:rPr>
              <w:t>(Decrease)</w:t>
            </w:r>
          </w:p>
        </w:tc>
      </w:tr>
      <w:tr>
        <w:trPr>
          <w:trHeight w:val="143"/>
        </w:trPr>
        <w:tc>
          <w:tcPr>
            <w:tcW w:w="750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4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8"/>
              <w:spacing w:after="0" w:line="143" w:lineRule="exact"/>
              <w:rPr>
                <w:sz w:val="20"/>
                <w:szCs w:val="20"/>
                <w:color w:val="auto"/>
              </w:rPr>
            </w:pPr>
            <w:r>
              <w:rPr>
                <w:rFonts w:ascii="Arial" w:cs="Arial" w:eastAsia="Arial" w:hAnsi="Arial"/>
                <w:sz w:val="14"/>
                <w:szCs w:val="14"/>
                <w:color w:val="auto"/>
                <w:w w:val="83"/>
              </w:rPr>
              <w:t>2012</w:t>
            </w:r>
          </w:p>
        </w:tc>
        <w:tc>
          <w:tcPr>
            <w:tcW w:w="4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15"/>
              <w:spacing w:after="0" w:line="143" w:lineRule="exact"/>
              <w:rPr>
                <w:sz w:val="20"/>
                <w:szCs w:val="20"/>
                <w:color w:val="auto"/>
              </w:rPr>
            </w:pPr>
            <w:r>
              <w:rPr>
                <w:rFonts w:ascii="Arial" w:cs="Arial" w:eastAsia="Arial" w:hAnsi="Arial"/>
                <w:sz w:val="14"/>
                <w:szCs w:val="14"/>
                <w:color w:val="auto"/>
                <w:w w:val="83"/>
              </w:rPr>
              <w:t>2011</w:t>
            </w:r>
          </w:p>
        </w:tc>
        <w:tc>
          <w:tcPr>
            <w:tcW w:w="340" w:type="dxa"/>
            <w:vAlign w:val="bottom"/>
            <w:tcBorders>
              <w:bottom w:val="single" w:sz="8" w:color="E5E5E5"/>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8"/>
              <w:spacing w:after="0" w:line="143"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315"/>
              <w:spacing w:after="0" w:line="143" w:lineRule="exact"/>
              <w:rPr>
                <w:sz w:val="20"/>
                <w:szCs w:val="20"/>
                <w:color w:val="auto"/>
              </w:rPr>
            </w:pPr>
            <w:r>
              <w:rPr>
                <w:rFonts w:ascii="Arial" w:cs="Arial" w:eastAsia="Arial" w:hAnsi="Arial"/>
                <w:sz w:val="14"/>
                <w:szCs w:val="14"/>
                <w:color w:val="auto"/>
              </w:rPr>
              <w:t>%</w:t>
            </w:r>
          </w:p>
        </w:tc>
      </w:tr>
      <w:tr>
        <w:trPr>
          <w:trHeight w:val="210"/>
        </w:trPr>
        <w:tc>
          <w:tcPr>
            <w:tcW w:w="75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410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196</w:t>
            </w:r>
          </w:p>
        </w:tc>
        <w:tc>
          <w:tcPr>
            <w:tcW w:w="340" w:type="dxa"/>
            <w:vAlign w:val="bottom"/>
          </w:tcPr>
          <w:p>
            <w:pPr>
              <w:spacing w:after="0"/>
              <w:rPr>
                <w:sz w:val="18"/>
                <w:szCs w:val="18"/>
                <w:color w:val="auto"/>
              </w:rPr>
            </w:pPr>
          </w:p>
        </w:tc>
        <w:tc>
          <w:tcPr>
            <w:tcW w:w="940" w:type="dxa"/>
            <w:vAlign w:val="bottom"/>
          </w:tcPr>
          <w:p>
            <w:pPr>
              <w:jc w:val="right"/>
              <w:ind w:right="178"/>
              <w:spacing w:after="0"/>
              <w:rPr>
                <w:sz w:val="20"/>
                <w:szCs w:val="20"/>
                <w:color w:val="auto"/>
              </w:rPr>
            </w:pPr>
            <w:r>
              <w:rPr>
                <w:rFonts w:ascii="Arial" w:cs="Arial" w:eastAsia="Arial" w:hAnsi="Arial"/>
                <w:sz w:val="18"/>
                <w:szCs w:val="18"/>
                <w:color w:val="auto"/>
              </w:rPr>
              <w:t>$214</w:t>
            </w:r>
          </w:p>
        </w:tc>
        <w:tc>
          <w:tcPr>
            <w:tcW w:w="840" w:type="dxa"/>
            <w:vAlign w:val="bottom"/>
          </w:tcPr>
          <w:p>
            <w:pPr>
              <w:jc w:val="right"/>
              <w:spacing w:after="0"/>
              <w:rPr>
                <w:sz w:val="20"/>
                <w:szCs w:val="20"/>
                <w:color w:val="auto"/>
              </w:rPr>
            </w:pPr>
            <w:r>
              <w:rPr>
                <w:rFonts w:ascii="Arial" w:cs="Arial" w:eastAsia="Arial" w:hAnsi="Arial"/>
                <w:sz w:val="18"/>
                <w:szCs w:val="18"/>
                <w:color w:val="auto"/>
              </w:rPr>
              <w:t>109.3%</w:t>
            </w:r>
          </w:p>
        </w:tc>
      </w:tr>
      <w:tr>
        <w:trPr>
          <w:trHeight w:val="216"/>
        </w:trPr>
        <w:tc>
          <w:tcPr>
            <w:tcW w:w="75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42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368</w:t>
            </w:r>
          </w:p>
        </w:tc>
        <w:tc>
          <w:tcPr>
            <w:tcW w:w="48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337</w:t>
            </w:r>
          </w:p>
        </w:tc>
        <w:tc>
          <w:tcPr>
            <w:tcW w:w="34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78"/>
              <w:spacing w:after="0"/>
              <w:rPr>
                <w:sz w:val="20"/>
                <w:szCs w:val="20"/>
                <w:color w:val="auto"/>
              </w:rPr>
            </w:pPr>
            <w:r>
              <w:rPr>
                <w:rFonts w:ascii="Arial" w:cs="Arial" w:eastAsia="Arial" w:hAnsi="Arial"/>
                <w:sz w:val="18"/>
                <w:szCs w:val="18"/>
                <w:color w:val="auto"/>
              </w:rPr>
              <w:t>31</w:t>
            </w:r>
          </w:p>
        </w:tc>
        <w:tc>
          <w:tcPr>
            <w:tcW w:w="8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9.1</w:t>
            </w: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482</w:t>
            </w:r>
          </w:p>
        </w:tc>
        <w:tc>
          <w:tcPr>
            <w:tcW w:w="4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427</w:t>
            </w:r>
          </w:p>
        </w:tc>
        <w:tc>
          <w:tcPr>
            <w:tcW w:w="340" w:type="dxa"/>
            <w:vAlign w:val="bottom"/>
          </w:tcPr>
          <w:p>
            <w:pPr>
              <w:spacing w:after="0"/>
              <w:rPr>
                <w:sz w:val="18"/>
                <w:szCs w:val="18"/>
                <w:color w:val="auto"/>
              </w:rPr>
            </w:pPr>
          </w:p>
        </w:tc>
        <w:tc>
          <w:tcPr>
            <w:tcW w:w="940" w:type="dxa"/>
            <w:vAlign w:val="bottom"/>
          </w:tcPr>
          <w:p>
            <w:pPr>
              <w:jc w:val="right"/>
              <w:ind w:right="178"/>
              <w:spacing w:after="0"/>
              <w:rPr>
                <w:sz w:val="20"/>
                <w:szCs w:val="20"/>
                <w:color w:val="auto"/>
              </w:rPr>
            </w:pPr>
            <w:r>
              <w:rPr>
                <w:rFonts w:ascii="Arial" w:cs="Arial" w:eastAsia="Arial" w:hAnsi="Arial"/>
                <w:sz w:val="18"/>
                <w:szCs w:val="18"/>
                <w:color w:val="auto"/>
              </w:rPr>
              <w:t>55</w:t>
            </w:r>
          </w:p>
        </w:tc>
        <w:tc>
          <w:tcPr>
            <w:tcW w:w="840" w:type="dxa"/>
            <w:vAlign w:val="bottom"/>
          </w:tcPr>
          <w:p>
            <w:pPr>
              <w:jc w:val="right"/>
              <w:ind w:right="135"/>
              <w:spacing w:after="0"/>
              <w:rPr>
                <w:sz w:val="20"/>
                <w:szCs w:val="20"/>
                <w:color w:val="auto"/>
              </w:rPr>
            </w:pPr>
            <w:r>
              <w:rPr>
                <w:rFonts w:ascii="Arial" w:cs="Arial" w:eastAsia="Arial" w:hAnsi="Arial"/>
                <w:sz w:val="18"/>
                <w:szCs w:val="18"/>
                <w:color w:val="auto"/>
              </w:rPr>
              <w:t>12.9</w:t>
            </w:r>
          </w:p>
        </w:tc>
      </w:tr>
      <w:tr>
        <w:trPr>
          <w:trHeight w:val="216"/>
        </w:trPr>
        <w:tc>
          <w:tcPr>
            <w:tcW w:w="75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95</w:t>
            </w:r>
          </w:p>
        </w:tc>
        <w:tc>
          <w:tcPr>
            <w:tcW w:w="4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136</w:t>
            </w:r>
          </w:p>
        </w:tc>
        <w:tc>
          <w:tcPr>
            <w:tcW w:w="340" w:type="dxa"/>
            <w:vAlign w:val="bottom"/>
            <w:tcBorders>
              <w:bottom w:val="single" w:sz="8" w:color="E5E5E5"/>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118"/>
              <w:spacing w:after="0"/>
              <w:rPr>
                <w:sz w:val="20"/>
                <w:szCs w:val="20"/>
                <w:color w:val="auto"/>
              </w:rPr>
            </w:pPr>
            <w:r>
              <w:rPr>
                <w:rFonts w:ascii="Arial" w:cs="Arial" w:eastAsia="Arial" w:hAnsi="Arial"/>
                <w:sz w:val="18"/>
                <w:szCs w:val="18"/>
                <w:color w:val="auto"/>
              </w:rPr>
              <w:t>(41)</w:t>
            </w:r>
          </w:p>
        </w:tc>
        <w:tc>
          <w:tcPr>
            <w:tcW w:w="84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(30.3)</w:t>
            </w:r>
          </w:p>
        </w:tc>
      </w:tr>
      <w:tr>
        <w:trPr>
          <w:trHeight w:val="210"/>
        </w:trPr>
        <w:tc>
          <w:tcPr>
            <w:tcW w:w="750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1,355</w:t>
            </w:r>
          </w:p>
        </w:tc>
        <w:tc>
          <w:tcPr>
            <w:tcW w:w="4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1,096</w:t>
            </w:r>
          </w:p>
        </w:tc>
        <w:tc>
          <w:tcPr>
            <w:tcW w:w="340" w:type="dxa"/>
            <w:vAlign w:val="bottom"/>
          </w:tcPr>
          <w:p>
            <w:pPr>
              <w:spacing w:after="0"/>
              <w:rPr>
                <w:sz w:val="18"/>
                <w:szCs w:val="18"/>
                <w:color w:val="auto"/>
              </w:rPr>
            </w:pPr>
          </w:p>
        </w:tc>
        <w:tc>
          <w:tcPr>
            <w:tcW w:w="940" w:type="dxa"/>
            <w:vAlign w:val="bottom"/>
          </w:tcPr>
          <w:p>
            <w:pPr>
              <w:jc w:val="right"/>
              <w:ind w:right="178"/>
              <w:spacing w:after="0"/>
              <w:rPr>
                <w:sz w:val="20"/>
                <w:szCs w:val="20"/>
                <w:color w:val="auto"/>
              </w:rPr>
            </w:pPr>
            <w:r>
              <w:rPr>
                <w:rFonts w:ascii="Arial" w:cs="Arial" w:eastAsia="Arial" w:hAnsi="Arial"/>
                <w:sz w:val="18"/>
                <w:szCs w:val="18"/>
                <w:color w:val="auto"/>
              </w:rPr>
              <w:t>259</w:t>
            </w:r>
          </w:p>
        </w:tc>
        <w:tc>
          <w:tcPr>
            <w:tcW w:w="840" w:type="dxa"/>
            <w:vAlign w:val="bottom"/>
          </w:tcPr>
          <w:p>
            <w:pPr>
              <w:jc w:val="right"/>
              <w:ind w:right="135"/>
              <w:spacing w:after="0"/>
              <w:rPr>
                <w:sz w:val="20"/>
                <w:szCs w:val="20"/>
                <w:color w:val="auto"/>
              </w:rPr>
            </w:pPr>
            <w:r>
              <w:rPr>
                <w:rFonts w:ascii="Arial" w:cs="Arial" w:eastAsia="Arial" w:hAnsi="Arial"/>
                <w:sz w:val="18"/>
                <w:szCs w:val="18"/>
                <w:color w:val="auto"/>
              </w:rPr>
              <w:t>23.6</w:t>
            </w:r>
          </w:p>
        </w:tc>
      </w:tr>
      <w:tr>
        <w:trPr>
          <w:trHeight w:val="216"/>
        </w:trPr>
        <w:tc>
          <w:tcPr>
            <w:tcW w:w="75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costs and expenses</w:t>
            </w:r>
          </w:p>
        </w:tc>
        <w:tc>
          <w:tcPr>
            <w:tcW w:w="42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8"/>
              </w:rPr>
              <w:t>1,283</w:t>
            </w:r>
          </w:p>
        </w:tc>
        <w:tc>
          <w:tcPr>
            <w:tcW w:w="4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8"/>
              </w:rPr>
              <w:t>1,042</w:t>
            </w:r>
          </w:p>
        </w:tc>
        <w:tc>
          <w:tcPr>
            <w:tcW w:w="340" w:type="dxa"/>
            <w:vAlign w:val="bottom"/>
            <w:tcBorders>
              <w:bottom w:val="single" w:sz="8" w:color="E5E5E5"/>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178"/>
              <w:spacing w:after="0"/>
              <w:rPr>
                <w:sz w:val="20"/>
                <w:szCs w:val="20"/>
                <w:color w:val="auto"/>
              </w:rPr>
            </w:pPr>
            <w:r>
              <w:rPr>
                <w:rFonts w:ascii="Arial" w:cs="Arial" w:eastAsia="Arial" w:hAnsi="Arial"/>
                <w:sz w:val="18"/>
                <w:szCs w:val="18"/>
                <w:color w:val="auto"/>
              </w:rPr>
              <w:t>241</w:t>
            </w:r>
          </w:p>
        </w:tc>
        <w:tc>
          <w:tcPr>
            <w:tcW w:w="84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23.2</w:t>
            </w:r>
          </w:p>
        </w:tc>
      </w:tr>
      <w:tr>
        <w:trPr>
          <w:trHeight w:val="217"/>
        </w:trPr>
        <w:tc>
          <w:tcPr>
            <w:tcW w:w="7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(loss) before depreciation and amortization</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340" w:type="dxa"/>
            <w:vAlign w:val="bottom"/>
          </w:tcPr>
          <w:p>
            <w:pPr>
              <w:spacing w:after="0"/>
              <w:rPr>
                <w:sz w:val="18"/>
                <w:szCs w:val="18"/>
                <w:color w:val="auto"/>
              </w:rPr>
            </w:pPr>
          </w:p>
        </w:tc>
        <w:tc>
          <w:tcPr>
            <w:tcW w:w="94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auto"/>
              </w:rPr>
              <w:t>$ 18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w:t>
            </w:r>
          </w:p>
        </w:tc>
      </w:tr>
    </w:tbl>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color w:val="auto"/>
                <w:w w:val="83"/>
              </w:rPr>
              <w:t>2012</w:t>
            </w:r>
          </w:p>
        </w:tc>
        <w:tc>
          <w:tcPr>
            <w:tcW w:w="3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Increase/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jc w:val="center"/>
              <w:ind w:right="121"/>
              <w:spacing w:after="0" w:line="118" w:lineRule="exact"/>
              <w:rPr>
                <w:sz w:val="20"/>
                <w:szCs w:val="20"/>
                <w:color w:val="auto"/>
              </w:rPr>
            </w:pPr>
            <w:r>
              <w:rPr>
                <w:rFonts w:ascii="Arial" w:cs="Arial" w:eastAsia="Arial" w:hAnsi="Arial"/>
                <w:sz w:val="12"/>
                <w:szCs w:val="12"/>
                <w:color w:val="auto"/>
              </w:rPr>
              <w:t>Pro Forma</w:t>
            </w:r>
          </w:p>
        </w:tc>
        <w:tc>
          <w:tcPr>
            <w:tcW w:w="36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gridSpan w:val="2"/>
          </w:tcPr>
          <w:p>
            <w:pPr>
              <w:jc w:val="center"/>
              <w:ind w:right="620"/>
              <w:spacing w:after="0"/>
              <w:rPr>
                <w:sz w:val="20"/>
                <w:szCs w:val="20"/>
                <w:color w:val="auto"/>
              </w:rPr>
            </w:pPr>
            <w:r>
              <w:rPr>
                <w:rFonts w:ascii="Arial" w:cs="Arial" w:eastAsia="Arial" w:hAnsi="Arial"/>
                <w:sz w:val="14"/>
                <w:szCs w:val="14"/>
                <w:color w:val="auto"/>
                <w:w w:val="92"/>
              </w:rPr>
              <w:t>Actual</w:t>
            </w:r>
          </w:p>
        </w:tc>
        <w:tc>
          <w:tcPr>
            <w:tcW w:w="440" w:type="dxa"/>
            <w:vAlign w:val="bottom"/>
          </w:tcPr>
          <w:p>
            <w:pPr>
              <w:spacing w:after="0"/>
              <w:rPr>
                <w:sz w:val="15"/>
                <w:szCs w:val="15"/>
                <w:color w:val="auto"/>
              </w:rPr>
            </w:pPr>
          </w:p>
        </w:tc>
        <w:tc>
          <w:tcPr>
            <w:tcW w:w="1000" w:type="dxa"/>
            <w:vAlign w:val="bottom"/>
          </w:tcPr>
          <w:p>
            <w:pPr>
              <w:jc w:val="center"/>
              <w:ind w:right="278"/>
              <w:spacing w:after="0"/>
              <w:rPr>
                <w:sz w:val="20"/>
                <w:szCs w:val="20"/>
                <w:color w:val="auto"/>
              </w:rPr>
            </w:pPr>
            <w:r>
              <w:rPr>
                <w:rFonts w:ascii="Arial" w:cs="Arial" w:eastAsia="Arial" w:hAnsi="Arial"/>
                <w:sz w:val="14"/>
                <w:szCs w:val="14"/>
                <w:color w:val="auto"/>
                <w:w w:val="92"/>
              </w:rPr>
              <w:t>Actual</w:t>
            </w:r>
          </w:p>
        </w:tc>
        <w:tc>
          <w:tcPr>
            <w:tcW w:w="300" w:type="dxa"/>
            <w:vAlign w:val="bottom"/>
          </w:tcPr>
          <w:p>
            <w:pPr>
              <w:spacing w:after="0"/>
              <w:rPr>
                <w:sz w:val="15"/>
                <w:szCs w:val="15"/>
                <w:color w:val="auto"/>
              </w:rPr>
            </w:pPr>
          </w:p>
        </w:tc>
        <w:tc>
          <w:tcPr>
            <w:tcW w:w="940" w:type="dxa"/>
            <w:vAlign w:val="bottom"/>
          </w:tcPr>
          <w:p>
            <w:pPr>
              <w:jc w:val="right"/>
              <w:ind w:right="277"/>
              <w:spacing w:after="0"/>
              <w:rPr>
                <w:sz w:val="20"/>
                <w:szCs w:val="20"/>
                <w:color w:val="auto"/>
              </w:rPr>
            </w:pPr>
            <w:r>
              <w:rPr>
                <w:rFonts w:ascii="Arial" w:cs="Arial" w:eastAsia="Arial" w:hAnsi="Arial"/>
                <w:sz w:val="14"/>
                <w:szCs w:val="14"/>
                <w:color w:val="auto"/>
                <w:w w:val="84"/>
              </w:rPr>
              <w:t>Pro Forma</w:t>
            </w:r>
          </w:p>
        </w:tc>
        <w:tc>
          <w:tcPr>
            <w:tcW w:w="280" w:type="dxa"/>
            <w:vAlign w:val="bottom"/>
          </w:tcPr>
          <w:p>
            <w:pPr>
              <w:spacing w:after="0"/>
              <w:rPr>
                <w:sz w:val="15"/>
                <w:szCs w:val="15"/>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color w:val="auto"/>
                <w:w w:val="87"/>
              </w:rPr>
              <w:t>Combined</w:t>
            </w:r>
          </w:p>
        </w:tc>
        <w:tc>
          <w:tcPr>
            <w:tcW w:w="1800" w:type="dxa"/>
            <w:vAlign w:val="bottom"/>
            <w:gridSpan w:val="2"/>
          </w:tcPr>
          <w:p>
            <w:pPr>
              <w:jc w:val="right"/>
              <w:ind w:right="475"/>
              <w:spacing w:after="0"/>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31"/>
        </w:trPr>
        <w:tc>
          <w:tcPr>
            <w:tcW w:w="39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161"/>
              <w:spacing w:after="0" w:line="131" w:lineRule="exact"/>
              <w:rPr>
                <w:sz w:val="20"/>
                <w:szCs w:val="20"/>
                <w:color w:val="auto"/>
              </w:rPr>
            </w:pPr>
            <w:r>
              <w:rPr>
                <w:rFonts w:ascii="Arial" w:cs="Arial" w:eastAsia="Arial" w:hAnsi="Arial"/>
                <w:sz w:val="14"/>
                <w:szCs w:val="14"/>
                <w:color w:val="auto"/>
                <w:w w:val="90"/>
              </w:rPr>
              <w:t>Nine</w:t>
            </w:r>
          </w:p>
        </w:tc>
        <w:tc>
          <w:tcPr>
            <w:tcW w:w="360" w:type="dxa"/>
            <w:vAlign w:val="bottom"/>
          </w:tcPr>
          <w:p>
            <w:pPr>
              <w:spacing w:after="0"/>
              <w:rPr>
                <w:sz w:val="11"/>
                <w:szCs w:val="11"/>
                <w:color w:val="auto"/>
              </w:rPr>
            </w:pPr>
          </w:p>
        </w:tc>
        <w:tc>
          <w:tcPr>
            <w:tcW w:w="1440" w:type="dxa"/>
            <w:vAlign w:val="bottom"/>
            <w:tcBorders>
              <w:top w:val="single" w:sz="8" w:color="auto"/>
            </w:tcBorders>
            <w:gridSpan w:val="2"/>
          </w:tcPr>
          <w:p>
            <w:pPr>
              <w:jc w:val="center"/>
              <w:ind w:left="4"/>
              <w:spacing w:after="0" w:line="131" w:lineRule="exact"/>
              <w:rPr>
                <w:sz w:val="20"/>
                <w:szCs w:val="20"/>
                <w:color w:val="auto"/>
              </w:rPr>
            </w:pPr>
            <w:r>
              <w:rPr>
                <w:rFonts w:ascii="Arial" w:cs="Arial" w:eastAsia="Arial" w:hAnsi="Arial"/>
                <w:sz w:val="14"/>
                <w:szCs w:val="14"/>
                <w:color w:val="auto"/>
                <w:w w:val="85"/>
              </w:rPr>
              <w:t>For the Period</w:t>
            </w:r>
          </w:p>
        </w:tc>
        <w:tc>
          <w:tcPr>
            <w:tcW w:w="3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121"/>
              <w:spacing w:after="0" w:line="131" w:lineRule="exact"/>
              <w:rPr>
                <w:sz w:val="20"/>
                <w:szCs w:val="20"/>
                <w:color w:val="auto"/>
              </w:rPr>
            </w:pPr>
            <w:r>
              <w:rPr>
                <w:rFonts w:ascii="Arial" w:cs="Arial" w:eastAsia="Arial" w:hAnsi="Arial"/>
                <w:sz w:val="14"/>
                <w:szCs w:val="14"/>
                <w:color w:val="auto"/>
                <w:w w:val="90"/>
              </w:rPr>
              <w:t>Nine</w:t>
            </w:r>
          </w:p>
        </w:tc>
        <w:tc>
          <w:tcPr>
            <w:tcW w:w="36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1"/>
              </w:rPr>
              <w:t>Months</w:t>
            </w:r>
          </w:p>
        </w:tc>
        <w:tc>
          <w:tcPr>
            <w:tcW w:w="440" w:type="dxa"/>
            <w:vAlign w:val="bottom"/>
          </w:tcPr>
          <w:p>
            <w:pPr>
              <w:spacing w:after="0"/>
              <w:rPr>
                <w:sz w:val="12"/>
                <w:szCs w:val="12"/>
                <w:color w:val="auto"/>
              </w:rPr>
            </w:pPr>
          </w:p>
        </w:tc>
        <w:tc>
          <w:tcPr>
            <w:tcW w:w="1000" w:type="dxa"/>
            <w:vAlign w:val="bottom"/>
          </w:tcPr>
          <w:p>
            <w:pPr>
              <w:jc w:val="center"/>
              <w:ind w:right="278"/>
              <w:spacing w:after="0" w:line="149" w:lineRule="exact"/>
              <w:rPr>
                <w:sz w:val="20"/>
                <w:szCs w:val="20"/>
                <w:color w:val="auto"/>
              </w:rPr>
            </w:pPr>
            <w:r>
              <w:rPr>
                <w:rFonts w:ascii="Arial" w:cs="Arial" w:eastAsia="Arial" w:hAnsi="Arial"/>
                <w:sz w:val="14"/>
                <w:szCs w:val="14"/>
                <w:color w:val="auto"/>
                <w:w w:val="86"/>
              </w:rPr>
              <w:t>January 29</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1"/>
              </w:rPr>
              <w:t>Months</w:t>
            </w:r>
          </w:p>
        </w:tc>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2"/>
          </w:tcPr>
          <w:p>
            <w:pPr>
              <w:jc w:val="center"/>
              <w:ind w:right="600"/>
              <w:spacing w:after="0" w:line="146" w:lineRule="exact"/>
              <w:rPr>
                <w:sz w:val="20"/>
                <w:szCs w:val="20"/>
                <w:color w:val="auto"/>
              </w:rPr>
            </w:pPr>
            <w:r>
              <w:rPr>
                <w:rFonts w:ascii="Arial" w:cs="Arial" w:eastAsia="Arial" w:hAnsi="Arial"/>
                <w:sz w:val="14"/>
                <w:szCs w:val="14"/>
                <w:color w:val="auto"/>
                <w:w w:val="83"/>
              </w:rPr>
              <w:t>Ended</w:t>
            </w:r>
          </w:p>
        </w:tc>
        <w:tc>
          <w:tcPr>
            <w:tcW w:w="440" w:type="dxa"/>
            <w:vAlign w:val="bottom"/>
          </w:tcPr>
          <w:p>
            <w:pPr>
              <w:spacing w:after="0"/>
              <w:rPr>
                <w:sz w:val="12"/>
                <w:szCs w:val="12"/>
                <w:color w:val="auto"/>
              </w:rPr>
            </w:pPr>
          </w:p>
        </w:tc>
        <w:tc>
          <w:tcPr>
            <w:tcW w:w="1000" w:type="dxa"/>
            <w:vAlign w:val="bottom"/>
          </w:tcPr>
          <w:p>
            <w:pPr>
              <w:jc w:val="center"/>
              <w:ind w:right="258"/>
              <w:spacing w:after="0" w:line="146" w:lineRule="exact"/>
              <w:rPr>
                <w:sz w:val="20"/>
                <w:szCs w:val="20"/>
                <w:color w:val="auto"/>
              </w:rPr>
            </w:pPr>
            <w:r>
              <w:rPr>
                <w:rFonts w:ascii="Arial" w:cs="Arial" w:eastAsia="Arial" w:hAnsi="Arial"/>
                <w:sz w:val="14"/>
                <w:szCs w:val="14"/>
                <w:color w:val="auto"/>
                <w:w w:val="88"/>
              </w:rPr>
              <w:t>through</w:t>
            </w:r>
          </w:p>
        </w:tc>
        <w:tc>
          <w:tcPr>
            <w:tcW w:w="1240" w:type="dxa"/>
            <w:vAlign w:val="bottom"/>
            <w:gridSpan w:val="2"/>
          </w:tcPr>
          <w:p>
            <w:pPr>
              <w:ind w:left="200"/>
              <w:spacing w:after="0" w:line="146" w:lineRule="exact"/>
              <w:rPr>
                <w:sz w:val="20"/>
                <w:szCs w:val="20"/>
                <w:color w:val="auto"/>
              </w:rPr>
            </w:pPr>
            <w:r>
              <w:rPr>
                <w:rFonts w:ascii="Arial" w:cs="Arial" w:eastAsia="Arial" w:hAnsi="Arial"/>
                <w:sz w:val="14"/>
                <w:szCs w:val="14"/>
                <w:color w:val="auto"/>
              </w:rPr>
              <w:t>NBCUniversal</w:t>
            </w:r>
          </w:p>
        </w:tc>
        <w:tc>
          <w:tcPr>
            <w:tcW w:w="280" w:type="dxa"/>
            <w:vAlign w:val="bottom"/>
          </w:tcPr>
          <w:p>
            <w:pPr>
              <w:spacing w:after="0"/>
              <w:rPr>
                <w:sz w:val="12"/>
                <w:szCs w:val="12"/>
                <w:color w:val="auto"/>
              </w:rPr>
            </w:pPr>
          </w:p>
        </w:tc>
        <w:tc>
          <w:tcPr>
            <w:tcW w:w="1140" w:type="dxa"/>
            <w:vAlign w:val="bottom"/>
            <w:gridSpan w:val="2"/>
          </w:tcPr>
          <w:p>
            <w:pPr>
              <w:jc w:val="center"/>
              <w:ind w:right="560"/>
              <w:spacing w:after="0" w:line="146" w:lineRule="exact"/>
              <w:rPr>
                <w:sz w:val="20"/>
                <w:szCs w:val="20"/>
                <w:color w:val="auto"/>
              </w:rPr>
            </w:pPr>
            <w:r>
              <w:rPr>
                <w:rFonts w:ascii="Arial" w:cs="Arial" w:eastAsia="Arial" w:hAnsi="Arial"/>
                <w:sz w:val="14"/>
                <w:szCs w:val="14"/>
                <w:color w:val="auto"/>
                <w:w w:val="83"/>
              </w:rPr>
              <w:t>Ended</w:t>
            </w:r>
          </w:p>
        </w:tc>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60" w:type="dxa"/>
            <w:vAlign w:val="bottom"/>
          </w:tcPr>
          <w:p>
            <w:pPr>
              <w:spacing w:after="0"/>
              <w:rPr>
                <w:sz w:val="20"/>
                <w:szCs w:val="20"/>
                <w:color w:val="auto"/>
              </w:rPr>
            </w:pPr>
            <w:r>
              <w:rPr>
                <w:rFonts w:ascii="Arial" w:cs="Arial" w:eastAsia="Arial" w:hAnsi="Arial"/>
                <w:sz w:val="14"/>
                <w:szCs w:val="14"/>
                <w:color w:val="auto"/>
              </w:rPr>
              <w:t>(in millions)</w:t>
            </w:r>
          </w:p>
        </w:tc>
        <w:tc>
          <w:tcPr>
            <w:tcW w:w="1560" w:type="dxa"/>
            <w:vAlign w:val="bottom"/>
            <w:gridSpan w:val="3"/>
          </w:tcPr>
          <w:p>
            <w:pPr>
              <w:jc w:val="center"/>
              <w:ind w:right="140"/>
              <w:spacing w:after="0"/>
              <w:rPr>
                <w:sz w:val="20"/>
                <w:szCs w:val="20"/>
                <w:color w:val="auto"/>
              </w:rPr>
            </w:pPr>
            <w:r>
              <w:rPr>
                <w:rFonts w:ascii="Arial" w:cs="Arial" w:eastAsia="Arial" w:hAnsi="Arial"/>
                <w:sz w:val="14"/>
                <w:szCs w:val="14"/>
                <w:color w:val="auto"/>
                <w:w w:val="84"/>
              </w:rPr>
              <w:t>September 30</w:t>
            </w:r>
          </w:p>
        </w:tc>
        <w:tc>
          <w:tcPr>
            <w:tcW w:w="1440" w:type="dxa"/>
            <w:vAlign w:val="bottom"/>
            <w:gridSpan w:val="2"/>
          </w:tcPr>
          <w:p>
            <w:pPr>
              <w:jc w:val="center"/>
              <w:ind w:left="4"/>
              <w:spacing w:after="0" w:line="176" w:lineRule="exact"/>
              <w:rPr>
                <w:sz w:val="20"/>
                <w:szCs w:val="20"/>
                <w:color w:val="auto"/>
              </w:rPr>
            </w:pPr>
            <w:r>
              <w:rPr>
                <w:rFonts w:ascii="Arial" w:cs="Arial" w:eastAsia="Arial" w:hAnsi="Arial"/>
                <w:sz w:val="13"/>
                <w:szCs w:val="13"/>
                <w:color w:val="auto"/>
                <w:w w:val="89"/>
              </w:rPr>
              <w:t>September 30</w:t>
            </w:r>
            <w:r>
              <w:rPr>
                <w:rFonts w:ascii="Arial" w:cs="Arial" w:eastAsia="Arial" w:hAnsi="Arial"/>
                <w:sz w:val="20"/>
                <w:szCs w:val="20"/>
                <w:color w:val="auto"/>
                <w:w w:val="89"/>
                <w:vertAlign w:val="superscript"/>
              </w:rPr>
              <w:t>(a)</w:t>
            </w:r>
          </w:p>
        </w:tc>
        <w:tc>
          <w:tcPr>
            <w:tcW w:w="1240" w:type="dxa"/>
            <w:vAlign w:val="bottom"/>
            <w:gridSpan w:val="2"/>
          </w:tcPr>
          <w:p>
            <w:pPr>
              <w:jc w:val="right"/>
              <w:ind w:right="197"/>
              <w:spacing w:after="0" w:line="176" w:lineRule="exact"/>
              <w:rPr>
                <w:sz w:val="20"/>
                <w:szCs w:val="20"/>
                <w:color w:val="auto"/>
              </w:rPr>
            </w:pPr>
            <w:r>
              <w:rPr>
                <w:rFonts w:ascii="Arial" w:cs="Arial" w:eastAsia="Arial" w:hAnsi="Arial"/>
                <w:sz w:val="13"/>
                <w:szCs w:val="13"/>
                <w:color w:val="auto"/>
              </w:rPr>
              <w:t>Businesses</w:t>
            </w:r>
            <w:r>
              <w:rPr>
                <w:rFonts w:ascii="Arial" w:cs="Arial" w:eastAsia="Arial" w:hAnsi="Arial"/>
                <w:sz w:val="20"/>
                <w:szCs w:val="20"/>
                <w:color w:val="auto"/>
                <w:vertAlign w:val="superscript"/>
              </w:rPr>
              <w:t>(b)</w:t>
            </w:r>
          </w:p>
        </w:tc>
        <w:tc>
          <w:tcPr>
            <w:tcW w:w="1420" w:type="dxa"/>
            <w:vAlign w:val="bottom"/>
            <w:gridSpan w:val="3"/>
          </w:tcPr>
          <w:p>
            <w:pPr>
              <w:jc w:val="center"/>
              <w:ind w:right="280"/>
              <w:spacing w:after="0"/>
              <w:rPr>
                <w:sz w:val="20"/>
                <w:szCs w:val="20"/>
                <w:color w:val="auto"/>
              </w:rPr>
            </w:pPr>
            <w:r>
              <w:rPr>
                <w:rFonts w:ascii="Arial" w:cs="Arial" w:eastAsia="Arial" w:hAnsi="Arial"/>
                <w:sz w:val="14"/>
                <w:szCs w:val="14"/>
                <w:color w:val="auto"/>
                <w:w w:val="84"/>
              </w:rPr>
              <w:t>September 30</w:t>
            </w:r>
          </w:p>
        </w:tc>
        <w:tc>
          <w:tcPr>
            <w:tcW w:w="1200" w:type="dxa"/>
            <w:vAlign w:val="bottom"/>
          </w:tcPr>
          <w:p>
            <w:pPr>
              <w:jc w:val="right"/>
              <w:ind w:right="55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9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6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E5E5E5"/>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100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9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E5E5E5"/>
            </w:tcBorders>
            <w:shd w:val="clear" w:color="auto" w:fill="E5E5E5"/>
          </w:tcPr>
          <w:p>
            <w:pPr>
              <w:spacing w:after="0"/>
              <w:rPr>
                <w:sz w:val="18"/>
                <w:szCs w:val="18"/>
                <w:color w:val="auto"/>
              </w:rPr>
            </w:pPr>
          </w:p>
        </w:tc>
        <w:tc>
          <w:tcPr>
            <w:tcW w:w="1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41"/>
              <w:spacing w:after="0"/>
              <w:rPr>
                <w:sz w:val="20"/>
                <w:szCs w:val="20"/>
                <w:color w:val="auto"/>
              </w:rPr>
            </w:pPr>
            <w:r>
              <w:rPr>
                <w:rFonts w:ascii="Arial" w:cs="Arial" w:eastAsia="Arial" w:hAnsi="Arial"/>
                <w:sz w:val="18"/>
                <w:szCs w:val="18"/>
                <w:color w:val="auto"/>
              </w:rPr>
              <w:t>1,176</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8"/>
              <w:spacing w:after="0"/>
              <w:rPr>
                <w:sz w:val="20"/>
                <w:szCs w:val="20"/>
                <w:color w:val="auto"/>
              </w:rPr>
            </w:pPr>
            <w:r>
              <w:rPr>
                <w:rFonts w:ascii="Arial" w:cs="Arial" w:eastAsia="Arial" w:hAnsi="Arial"/>
                <w:sz w:val="18"/>
                <w:szCs w:val="18"/>
                <w:color w:val="auto"/>
              </w:rPr>
              <w:t>816</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57"/>
              <w:spacing w:after="0"/>
              <w:rPr>
                <w:sz w:val="20"/>
                <w:szCs w:val="20"/>
                <w:color w:val="auto"/>
              </w:rPr>
            </w:pPr>
            <w:r>
              <w:rPr>
                <w:rFonts w:ascii="Arial" w:cs="Arial" w:eastAsia="Arial" w:hAnsi="Arial"/>
                <w:sz w:val="18"/>
                <w:szCs w:val="18"/>
                <w:color w:val="auto"/>
              </w:rPr>
              <w:t>58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
              <w:spacing w:after="0"/>
              <w:rPr>
                <w:sz w:val="20"/>
                <w:szCs w:val="20"/>
                <w:color w:val="auto"/>
              </w:rPr>
            </w:pPr>
            <w:r>
              <w:rPr>
                <w:rFonts w:ascii="Arial" w:cs="Arial" w:eastAsia="Arial" w:hAnsi="Arial"/>
                <w:sz w:val="18"/>
                <w:szCs w:val="18"/>
                <w:color w:val="auto"/>
              </w:rPr>
              <w:t>874</w:t>
            </w:r>
          </w:p>
        </w:tc>
        <w:tc>
          <w:tcPr>
            <w:tcW w:w="360" w:type="dxa"/>
            <w:vAlign w:val="bottom"/>
          </w:tcPr>
          <w:p>
            <w:pPr>
              <w:spacing w:after="0"/>
              <w:rPr>
                <w:sz w:val="18"/>
                <w:szCs w:val="18"/>
                <w:color w:val="auto"/>
              </w:rPr>
            </w:pPr>
          </w:p>
        </w:tc>
        <w:tc>
          <w:tcPr>
            <w:tcW w:w="1200" w:type="dxa"/>
            <w:vAlign w:val="bottom"/>
          </w:tcPr>
          <w:p>
            <w:pPr>
              <w:jc w:val="right"/>
              <w:ind w:right="418"/>
              <w:spacing w:after="0"/>
              <w:rPr>
                <w:sz w:val="20"/>
                <w:szCs w:val="20"/>
                <w:color w:val="auto"/>
              </w:rPr>
            </w:pPr>
            <w:r>
              <w:rPr>
                <w:rFonts w:ascii="Arial" w:cs="Arial" w:eastAsia="Arial" w:hAnsi="Arial"/>
                <w:sz w:val="18"/>
                <w:szCs w:val="18"/>
                <w:color w:val="auto"/>
              </w:rPr>
              <w:t>$302</w:t>
            </w:r>
          </w:p>
        </w:tc>
        <w:tc>
          <w:tcPr>
            <w:tcW w:w="600" w:type="dxa"/>
            <w:vAlign w:val="bottom"/>
          </w:tcPr>
          <w:p>
            <w:pPr>
              <w:jc w:val="right"/>
              <w:spacing w:after="0"/>
              <w:rPr>
                <w:sz w:val="20"/>
                <w:szCs w:val="20"/>
                <w:color w:val="auto"/>
              </w:rPr>
            </w:pPr>
            <w:r>
              <w:rPr>
                <w:rFonts w:ascii="Arial" w:cs="Arial" w:eastAsia="Arial" w:hAnsi="Arial"/>
                <w:sz w:val="18"/>
                <w:szCs w:val="18"/>
                <w:color w:val="auto"/>
                <w:w w:val="97"/>
              </w:rPr>
              <w:t>34.6%</w:t>
            </w:r>
          </w:p>
        </w:tc>
        <w:tc>
          <w:tcPr>
            <w:tcW w:w="0" w:type="dxa"/>
            <w:vAlign w:val="bottom"/>
          </w:tcPr>
          <w:p>
            <w:pPr>
              <w:spacing w:after="0"/>
              <w:rPr>
                <w:sz w:val="1"/>
                <w:szCs w:val="1"/>
                <w:color w:val="auto"/>
              </w:rPr>
            </w:pPr>
          </w:p>
        </w:tc>
      </w:tr>
      <w:tr>
        <w:trPr>
          <w:trHeight w:val="216"/>
        </w:trPr>
        <w:tc>
          <w:tcPr>
            <w:tcW w:w="39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4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41"/>
              <w:spacing w:after="0"/>
              <w:rPr>
                <w:sz w:val="20"/>
                <w:szCs w:val="20"/>
                <w:color w:val="auto"/>
              </w:rPr>
            </w:pPr>
            <w:r>
              <w:rPr>
                <w:rFonts w:ascii="Arial" w:cs="Arial" w:eastAsia="Arial" w:hAnsi="Arial"/>
                <w:sz w:val="18"/>
                <w:szCs w:val="18"/>
                <w:color w:val="auto"/>
              </w:rPr>
              <w:t>1,127</w:t>
            </w:r>
          </w:p>
        </w:tc>
        <w:tc>
          <w:tcPr>
            <w:tcW w:w="3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58"/>
              <w:spacing w:after="0"/>
              <w:rPr>
                <w:sz w:val="20"/>
                <w:szCs w:val="20"/>
                <w:color w:val="auto"/>
              </w:rPr>
            </w:pPr>
            <w:r>
              <w:rPr>
                <w:rFonts w:ascii="Arial" w:cs="Arial" w:eastAsia="Arial" w:hAnsi="Arial"/>
                <w:sz w:val="18"/>
                <w:szCs w:val="18"/>
                <w:color w:val="auto"/>
              </w:rPr>
              <w:t>867</w:t>
            </w:r>
          </w:p>
        </w:tc>
        <w:tc>
          <w:tcPr>
            <w:tcW w:w="3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
              <w:spacing w:after="0"/>
              <w:rPr>
                <w:sz w:val="20"/>
                <w:szCs w:val="20"/>
                <w:color w:val="auto"/>
              </w:rPr>
            </w:pPr>
            <w:r>
              <w:rPr>
                <w:rFonts w:ascii="Arial" w:cs="Arial" w:eastAsia="Arial" w:hAnsi="Arial"/>
                <w:sz w:val="18"/>
                <w:szCs w:val="18"/>
                <w:color w:val="auto"/>
              </w:rPr>
              <w:t>1,038</w:t>
            </w:r>
          </w:p>
        </w:tc>
        <w:tc>
          <w:tcPr>
            <w:tcW w:w="36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418"/>
              <w:spacing w:after="0"/>
              <w:rPr>
                <w:sz w:val="20"/>
                <w:szCs w:val="20"/>
                <w:color w:val="auto"/>
              </w:rPr>
            </w:pPr>
            <w:r>
              <w:rPr>
                <w:rFonts w:ascii="Arial" w:cs="Arial" w:eastAsia="Arial" w:hAnsi="Arial"/>
                <w:sz w:val="18"/>
                <w:szCs w:val="18"/>
                <w:color w:val="auto"/>
              </w:rPr>
              <w:t>89</w:t>
            </w:r>
          </w:p>
        </w:tc>
        <w:tc>
          <w:tcPr>
            <w:tcW w:w="6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460" w:type="dxa"/>
            <w:vAlign w:val="bottom"/>
          </w:tcPr>
          <w:p>
            <w:pPr>
              <w:spacing w:after="0"/>
              <w:rPr>
                <w:sz w:val="18"/>
                <w:szCs w:val="18"/>
                <w:color w:val="auto"/>
              </w:rPr>
            </w:pPr>
          </w:p>
        </w:tc>
        <w:tc>
          <w:tcPr>
            <w:tcW w:w="740" w:type="dxa"/>
            <w:vAlign w:val="bottom"/>
          </w:tcPr>
          <w:p>
            <w:pPr>
              <w:jc w:val="right"/>
              <w:ind w:right="41"/>
              <w:spacing w:after="0"/>
              <w:rPr>
                <w:sz w:val="20"/>
                <w:szCs w:val="20"/>
                <w:color w:val="auto"/>
              </w:rPr>
            </w:pPr>
            <w:r>
              <w:rPr>
                <w:rFonts w:ascii="Arial" w:cs="Arial" w:eastAsia="Arial" w:hAnsi="Arial"/>
                <w:sz w:val="18"/>
                <w:szCs w:val="18"/>
                <w:color w:val="auto"/>
              </w:rPr>
              <w:t>1,179</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158"/>
              <w:spacing w:after="0"/>
              <w:rPr>
                <w:sz w:val="20"/>
                <w:szCs w:val="20"/>
                <w:color w:val="auto"/>
              </w:rPr>
            </w:pPr>
            <w:r>
              <w:rPr>
                <w:rFonts w:ascii="Arial" w:cs="Arial" w:eastAsia="Arial" w:hAnsi="Arial"/>
                <w:sz w:val="18"/>
                <w:szCs w:val="18"/>
                <w:color w:val="auto"/>
              </w:rPr>
              <w:t>947</w:t>
            </w:r>
          </w:p>
        </w:tc>
        <w:tc>
          <w:tcPr>
            <w:tcW w:w="300" w:type="dxa"/>
            <w:vAlign w:val="bottom"/>
          </w:tcPr>
          <w:p>
            <w:pPr>
              <w:spacing w:after="0"/>
              <w:rPr>
                <w:sz w:val="18"/>
                <w:szCs w:val="18"/>
                <w:color w:val="auto"/>
              </w:rPr>
            </w:pPr>
          </w:p>
        </w:tc>
        <w:tc>
          <w:tcPr>
            <w:tcW w:w="940" w:type="dxa"/>
            <w:vAlign w:val="bottom"/>
          </w:tcPr>
          <w:p>
            <w:pPr>
              <w:jc w:val="right"/>
              <w:ind w:right="157"/>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8"/>
                <w:szCs w:val="18"/>
                <w:color w:val="auto"/>
              </w:rPr>
            </w:pPr>
          </w:p>
        </w:tc>
        <w:tc>
          <w:tcPr>
            <w:tcW w:w="780" w:type="dxa"/>
            <w:vAlign w:val="bottom"/>
          </w:tcPr>
          <w:p>
            <w:pPr>
              <w:jc w:val="right"/>
              <w:ind w:right="21"/>
              <w:spacing w:after="0"/>
              <w:rPr>
                <w:sz w:val="20"/>
                <w:szCs w:val="20"/>
                <w:color w:val="auto"/>
              </w:rPr>
            </w:pPr>
            <w:r>
              <w:rPr>
                <w:rFonts w:ascii="Arial" w:cs="Arial" w:eastAsia="Arial" w:hAnsi="Arial"/>
                <w:sz w:val="18"/>
                <w:szCs w:val="18"/>
                <w:color w:val="auto"/>
              </w:rPr>
              <w:t>1,043</w:t>
            </w:r>
          </w:p>
        </w:tc>
        <w:tc>
          <w:tcPr>
            <w:tcW w:w="360" w:type="dxa"/>
            <w:vAlign w:val="bottom"/>
          </w:tcPr>
          <w:p>
            <w:pPr>
              <w:spacing w:after="0"/>
              <w:rPr>
                <w:sz w:val="18"/>
                <w:szCs w:val="18"/>
                <w:color w:val="auto"/>
              </w:rPr>
            </w:pPr>
          </w:p>
        </w:tc>
        <w:tc>
          <w:tcPr>
            <w:tcW w:w="1200" w:type="dxa"/>
            <w:vAlign w:val="bottom"/>
          </w:tcPr>
          <w:p>
            <w:pPr>
              <w:jc w:val="right"/>
              <w:ind w:right="418"/>
              <w:spacing w:after="0"/>
              <w:rPr>
                <w:sz w:val="20"/>
                <w:szCs w:val="20"/>
                <w:color w:val="auto"/>
              </w:rPr>
            </w:pPr>
            <w:r>
              <w:rPr>
                <w:rFonts w:ascii="Arial" w:cs="Arial" w:eastAsia="Arial" w:hAnsi="Arial"/>
                <w:sz w:val="18"/>
                <w:szCs w:val="18"/>
                <w:color w:val="auto"/>
              </w:rPr>
              <w:t>136</w:t>
            </w:r>
          </w:p>
        </w:tc>
        <w:tc>
          <w:tcPr>
            <w:tcW w:w="600" w:type="dxa"/>
            <w:vAlign w:val="bottom"/>
          </w:tcPr>
          <w:p>
            <w:pPr>
              <w:jc w:val="right"/>
              <w:ind w:right="135"/>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41"/>
              <w:spacing w:after="0"/>
              <w:rPr>
                <w:sz w:val="20"/>
                <w:szCs w:val="20"/>
                <w:color w:val="auto"/>
              </w:rPr>
            </w:pPr>
            <w:r>
              <w:rPr>
                <w:rFonts w:ascii="Arial" w:cs="Arial" w:eastAsia="Arial" w:hAnsi="Arial"/>
                <w:sz w:val="18"/>
                <w:szCs w:val="18"/>
                <w:color w:val="auto"/>
              </w:rPr>
              <w:t>296</w:t>
            </w:r>
          </w:p>
        </w:tc>
        <w:tc>
          <w:tcPr>
            <w:tcW w:w="360" w:type="dxa"/>
            <w:vAlign w:val="bottom"/>
            <w:tcBorders>
              <w:bottom w:val="single" w:sz="8" w:color="E5E5E5"/>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58"/>
              <w:spacing w:after="0"/>
              <w:rPr>
                <w:sz w:val="20"/>
                <w:szCs w:val="20"/>
                <w:color w:val="auto"/>
              </w:rPr>
            </w:pPr>
            <w:r>
              <w:rPr>
                <w:rFonts w:ascii="Arial" w:cs="Arial" w:eastAsia="Arial" w:hAnsi="Arial"/>
                <w:sz w:val="18"/>
                <w:szCs w:val="18"/>
                <w:color w:val="auto"/>
              </w:rPr>
              <w:t>342</w:t>
            </w:r>
          </w:p>
        </w:tc>
        <w:tc>
          <w:tcPr>
            <w:tcW w:w="3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1"/>
              <w:spacing w:after="0"/>
              <w:rPr>
                <w:sz w:val="20"/>
                <w:szCs w:val="20"/>
                <w:color w:val="auto"/>
              </w:rPr>
            </w:pPr>
            <w:r>
              <w:rPr>
                <w:rFonts w:ascii="Arial" w:cs="Arial" w:eastAsia="Arial" w:hAnsi="Arial"/>
                <w:sz w:val="18"/>
                <w:szCs w:val="18"/>
                <w:color w:val="auto"/>
              </w:rPr>
              <w:t>370</w:t>
            </w:r>
          </w:p>
        </w:tc>
        <w:tc>
          <w:tcPr>
            <w:tcW w:w="360" w:type="dxa"/>
            <w:vAlign w:val="bottom"/>
            <w:tcBorders>
              <w:bottom w:val="single" w:sz="8" w:color="E5E5E5"/>
            </w:tcBorders>
            <w:shd w:val="clear" w:color="auto" w:fill="E5E5E5"/>
          </w:tcPr>
          <w:p>
            <w:pPr>
              <w:spacing w:after="0"/>
              <w:rPr>
                <w:sz w:val="18"/>
                <w:szCs w:val="18"/>
                <w:color w:val="auto"/>
              </w:rPr>
            </w:pPr>
          </w:p>
        </w:tc>
        <w:tc>
          <w:tcPr>
            <w:tcW w:w="1200" w:type="dxa"/>
            <w:vAlign w:val="bottom"/>
            <w:tcBorders>
              <w:bottom w:val="single" w:sz="8" w:color="auto"/>
            </w:tcBorders>
            <w:shd w:val="clear" w:color="auto" w:fill="E5E5E5"/>
          </w:tcPr>
          <w:p>
            <w:pPr>
              <w:jc w:val="right"/>
              <w:ind w:right="358"/>
              <w:spacing w:after="0"/>
              <w:rPr>
                <w:sz w:val="20"/>
                <w:szCs w:val="20"/>
                <w:color w:val="auto"/>
              </w:rPr>
            </w:pPr>
            <w:r>
              <w:rPr>
                <w:rFonts w:ascii="Arial" w:cs="Arial" w:eastAsia="Arial" w:hAnsi="Arial"/>
                <w:sz w:val="18"/>
                <w:szCs w:val="18"/>
                <w:color w:val="auto"/>
              </w:rPr>
              <w:t>(74)</w:t>
            </w:r>
          </w:p>
        </w:tc>
        <w:tc>
          <w:tcPr>
            <w:tcW w:w="60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w w:val="84"/>
              </w:rPr>
              <w:t>(19.8)</w:t>
            </w:r>
          </w:p>
        </w:tc>
        <w:tc>
          <w:tcPr>
            <w:tcW w:w="0" w:type="dxa"/>
            <w:vAlign w:val="bottom"/>
          </w:tcPr>
          <w:p>
            <w:pPr>
              <w:spacing w:after="0"/>
              <w:rPr>
                <w:sz w:val="1"/>
                <w:szCs w:val="1"/>
                <w:color w:val="auto"/>
              </w:rPr>
            </w:pPr>
          </w:p>
        </w:tc>
      </w:tr>
      <w:tr>
        <w:trPr>
          <w:trHeight w:val="210"/>
        </w:trPr>
        <w:tc>
          <w:tcPr>
            <w:tcW w:w="396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460" w:type="dxa"/>
            <w:vAlign w:val="bottom"/>
          </w:tcPr>
          <w:p>
            <w:pPr>
              <w:spacing w:after="0"/>
              <w:rPr>
                <w:sz w:val="18"/>
                <w:szCs w:val="18"/>
                <w:color w:val="auto"/>
              </w:rPr>
            </w:pPr>
          </w:p>
        </w:tc>
        <w:tc>
          <w:tcPr>
            <w:tcW w:w="740" w:type="dxa"/>
            <w:vAlign w:val="bottom"/>
          </w:tcPr>
          <w:p>
            <w:pPr>
              <w:jc w:val="right"/>
              <w:ind w:right="41"/>
              <w:spacing w:after="0"/>
              <w:rPr>
                <w:sz w:val="20"/>
                <w:szCs w:val="20"/>
                <w:color w:val="auto"/>
              </w:rPr>
            </w:pPr>
            <w:r>
              <w:rPr>
                <w:rFonts w:ascii="Arial" w:cs="Arial" w:eastAsia="Arial" w:hAnsi="Arial"/>
                <w:sz w:val="18"/>
                <w:szCs w:val="18"/>
                <w:color w:val="auto"/>
              </w:rPr>
              <w:t>3,778</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158"/>
              <w:spacing w:after="0"/>
              <w:rPr>
                <w:sz w:val="20"/>
                <w:szCs w:val="20"/>
                <w:color w:val="auto"/>
              </w:rPr>
            </w:pPr>
            <w:r>
              <w:rPr>
                <w:rFonts w:ascii="Arial" w:cs="Arial" w:eastAsia="Arial" w:hAnsi="Arial"/>
                <w:sz w:val="18"/>
                <w:szCs w:val="18"/>
                <w:color w:val="auto"/>
              </w:rPr>
              <w:t>2,972</w:t>
            </w:r>
          </w:p>
        </w:tc>
        <w:tc>
          <w:tcPr>
            <w:tcW w:w="300" w:type="dxa"/>
            <w:vAlign w:val="bottom"/>
          </w:tcPr>
          <w:p>
            <w:pPr>
              <w:spacing w:after="0"/>
              <w:rPr>
                <w:sz w:val="18"/>
                <w:szCs w:val="18"/>
                <w:color w:val="auto"/>
              </w:rPr>
            </w:pPr>
          </w:p>
        </w:tc>
        <w:tc>
          <w:tcPr>
            <w:tcW w:w="940" w:type="dxa"/>
            <w:vAlign w:val="bottom"/>
          </w:tcPr>
          <w:p>
            <w:pPr>
              <w:jc w:val="right"/>
              <w:ind w:right="157"/>
              <w:spacing w:after="0"/>
              <w:rPr>
                <w:sz w:val="20"/>
                <w:szCs w:val="20"/>
                <w:color w:val="auto"/>
              </w:rPr>
            </w:pPr>
            <w:r>
              <w:rPr>
                <w:rFonts w:ascii="Arial" w:cs="Arial" w:eastAsia="Arial" w:hAnsi="Arial"/>
                <w:sz w:val="18"/>
                <w:szCs w:val="18"/>
                <w:color w:val="auto"/>
              </w:rPr>
              <w:t>353</w:t>
            </w:r>
          </w:p>
        </w:tc>
        <w:tc>
          <w:tcPr>
            <w:tcW w:w="280" w:type="dxa"/>
            <w:vAlign w:val="bottom"/>
          </w:tcPr>
          <w:p>
            <w:pPr>
              <w:spacing w:after="0"/>
              <w:rPr>
                <w:sz w:val="18"/>
                <w:szCs w:val="18"/>
                <w:color w:val="auto"/>
              </w:rPr>
            </w:pPr>
          </w:p>
        </w:tc>
        <w:tc>
          <w:tcPr>
            <w:tcW w:w="780" w:type="dxa"/>
            <w:vAlign w:val="bottom"/>
          </w:tcPr>
          <w:p>
            <w:pPr>
              <w:jc w:val="right"/>
              <w:ind w:right="21"/>
              <w:spacing w:after="0"/>
              <w:rPr>
                <w:sz w:val="20"/>
                <w:szCs w:val="20"/>
                <w:color w:val="auto"/>
              </w:rPr>
            </w:pPr>
            <w:r>
              <w:rPr>
                <w:rFonts w:ascii="Arial" w:cs="Arial" w:eastAsia="Arial" w:hAnsi="Arial"/>
                <w:sz w:val="18"/>
                <w:szCs w:val="18"/>
                <w:color w:val="auto"/>
              </w:rPr>
              <w:t>3,325</w:t>
            </w:r>
          </w:p>
        </w:tc>
        <w:tc>
          <w:tcPr>
            <w:tcW w:w="360" w:type="dxa"/>
            <w:vAlign w:val="bottom"/>
          </w:tcPr>
          <w:p>
            <w:pPr>
              <w:spacing w:after="0"/>
              <w:rPr>
                <w:sz w:val="18"/>
                <w:szCs w:val="18"/>
                <w:color w:val="auto"/>
              </w:rPr>
            </w:pPr>
          </w:p>
        </w:tc>
        <w:tc>
          <w:tcPr>
            <w:tcW w:w="1200" w:type="dxa"/>
            <w:vAlign w:val="bottom"/>
          </w:tcPr>
          <w:p>
            <w:pPr>
              <w:jc w:val="right"/>
              <w:ind w:right="418"/>
              <w:spacing w:after="0"/>
              <w:rPr>
                <w:sz w:val="20"/>
                <w:szCs w:val="20"/>
                <w:color w:val="auto"/>
              </w:rPr>
            </w:pPr>
            <w:r>
              <w:rPr>
                <w:rFonts w:ascii="Arial" w:cs="Arial" w:eastAsia="Arial" w:hAnsi="Arial"/>
                <w:sz w:val="18"/>
                <w:szCs w:val="18"/>
                <w:color w:val="auto"/>
              </w:rPr>
              <w:t>453</w:t>
            </w:r>
          </w:p>
        </w:tc>
        <w:tc>
          <w:tcPr>
            <w:tcW w:w="600" w:type="dxa"/>
            <w:vAlign w:val="bottom"/>
          </w:tcPr>
          <w:p>
            <w:pPr>
              <w:jc w:val="right"/>
              <w:ind w:right="135"/>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costs and expenses</w:t>
            </w:r>
          </w:p>
        </w:tc>
        <w:tc>
          <w:tcPr>
            <w:tcW w:w="4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41"/>
              <w:spacing w:after="0"/>
              <w:rPr>
                <w:sz w:val="20"/>
                <w:szCs w:val="20"/>
                <w:color w:val="auto"/>
              </w:rPr>
            </w:pPr>
            <w:r>
              <w:rPr>
                <w:rFonts w:ascii="Arial" w:cs="Arial" w:eastAsia="Arial" w:hAnsi="Arial"/>
                <w:sz w:val="18"/>
                <w:szCs w:val="18"/>
                <w:color w:val="auto"/>
              </w:rPr>
              <w:t>3,783</w:t>
            </w:r>
          </w:p>
        </w:tc>
        <w:tc>
          <w:tcPr>
            <w:tcW w:w="360" w:type="dxa"/>
            <w:vAlign w:val="bottom"/>
            <w:tcBorders>
              <w:bottom w:val="single" w:sz="8" w:color="E5E5E5"/>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58"/>
              <w:spacing w:after="0"/>
              <w:rPr>
                <w:sz w:val="20"/>
                <w:szCs w:val="20"/>
                <w:color w:val="auto"/>
              </w:rPr>
            </w:pPr>
            <w:r>
              <w:rPr>
                <w:rFonts w:ascii="Arial" w:cs="Arial" w:eastAsia="Arial" w:hAnsi="Arial"/>
                <w:sz w:val="18"/>
                <w:szCs w:val="18"/>
                <w:color w:val="auto"/>
              </w:rPr>
              <w:t>3,034</w:t>
            </w:r>
          </w:p>
        </w:tc>
        <w:tc>
          <w:tcPr>
            <w:tcW w:w="3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356</w:t>
            </w:r>
          </w:p>
        </w:tc>
        <w:tc>
          <w:tcPr>
            <w:tcW w:w="2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1"/>
              <w:spacing w:after="0"/>
              <w:rPr>
                <w:sz w:val="20"/>
                <w:szCs w:val="20"/>
                <w:color w:val="auto"/>
              </w:rPr>
            </w:pPr>
            <w:r>
              <w:rPr>
                <w:rFonts w:ascii="Arial" w:cs="Arial" w:eastAsia="Arial" w:hAnsi="Arial"/>
                <w:sz w:val="18"/>
                <w:szCs w:val="18"/>
                <w:color w:val="auto"/>
              </w:rPr>
              <w:t>3,390</w:t>
            </w:r>
          </w:p>
        </w:tc>
        <w:tc>
          <w:tcPr>
            <w:tcW w:w="360" w:type="dxa"/>
            <w:vAlign w:val="bottom"/>
            <w:tcBorders>
              <w:bottom w:val="single" w:sz="8" w:color="E5E5E5"/>
            </w:tcBorders>
            <w:shd w:val="clear" w:color="auto" w:fill="E5E5E5"/>
          </w:tcPr>
          <w:p>
            <w:pPr>
              <w:spacing w:after="0"/>
              <w:rPr>
                <w:sz w:val="18"/>
                <w:szCs w:val="18"/>
                <w:color w:val="auto"/>
              </w:rPr>
            </w:pPr>
          </w:p>
        </w:tc>
        <w:tc>
          <w:tcPr>
            <w:tcW w:w="1200" w:type="dxa"/>
            <w:vAlign w:val="bottom"/>
            <w:tcBorders>
              <w:bottom w:val="single" w:sz="8" w:color="auto"/>
            </w:tcBorders>
            <w:shd w:val="clear" w:color="auto" w:fill="E5E5E5"/>
          </w:tcPr>
          <w:p>
            <w:pPr>
              <w:jc w:val="right"/>
              <w:ind w:right="418"/>
              <w:spacing w:after="0"/>
              <w:rPr>
                <w:sz w:val="20"/>
                <w:szCs w:val="20"/>
                <w:color w:val="auto"/>
              </w:rPr>
            </w:pPr>
            <w:r>
              <w:rPr>
                <w:rFonts w:ascii="Arial" w:cs="Arial" w:eastAsia="Arial" w:hAnsi="Arial"/>
                <w:sz w:val="18"/>
                <w:szCs w:val="18"/>
                <w:color w:val="auto"/>
              </w:rPr>
              <w:t>393</w:t>
            </w:r>
          </w:p>
        </w:tc>
        <w:tc>
          <w:tcPr>
            <w:tcW w:w="6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95"/>
        </w:trPr>
        <w:tc>
          <w:tcPr>
            <w:tcW w:w="3960" w:type="dxa"/>
            <w:vAlign w:val="bottom"/>
          </w:tcPr>
          <w:p>
            <w:pPr>
              <w:spacing w:after="0" w:line="195" w:lineRule="exact"/>
              <w:rPr>
                <w:sz w:val="20"/>
                <w:szCs w:val="20"/>
                <w:color w:val="auto"/>
              </w:rPr>
            </w:pPr>
            <w:r>
              <w:rPr>
                <w:rFonts w:ascii="Arial" w:cs="Arial" w:eastAsia="Arial" w:hAnsi="Arial"/>
                <w:sz w:val="18"/>
                <w:szCs w:val="18"/>
                <w:b w:val="1"/>
                <w:bCs w:val="1"/>
                <w:color w:val="auto"/>
                <w:w w:val="94"/>
              </w:rPr>
              <w:t>Operating income (loss) before depreciation and</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amortization</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360" w:type="dxa"/>
            <w:vAlign w:val="bottom"/>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(62)</w:t>
            </w:r>
          </w:p>
        </w:tc>
        <w:tc>
          <w:tcPr>
            <w:tcW w:w="3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360" w:type="dxa"/>
            <w:vAlign w:val="bottom"/>
          </w:tcPr>
          <w:p>
            <w:pPr>
              <w:spacing w:after="0"/>
              <w:rPr>
                <w:sz w:val="20"/>
                <w:szCs w:val="20"/>
                <w:color w:val="auto"/>
              </w:rPr>
            </w:pPr>
          </w:p>
        </w:tc>
        <w:tc>
          <w:tcPr>
            <w:tcW w:w="1200" w:type="dxa"/>
            <w:vAlign w:val="bottom"/>
            <w:tcBorders>
              <w:bottom w:val="single" w:sz="8" w:color="auto"/>
            </w:tcBorders>
          </w:tcPr>
          <w:p>
            <w:pPr>
              <w:jc w:val="right"/>
              <w:ind w:right="418"/>
              <w:spacing w:after="0"/>
              <w:rPr>
                <w:sz w:val="20"/>
                <w:szCs w:val="20"/>
                <w:color w:val="auto"/>
              </w:rPr>
            </w:pPr>
            <w:r>
              <w:rPr>
                <w:rFonts w:ascii="Arial" w:cs="Arial" w:eastAsia="Arial" w:hAnsi="Arial"/>
                <w:sz w:val="18"/>
                <w:szCs w:val="18"/>
                <w:b w:val="1"/>
                <w:bCs w:val="1"/>
                <w:color w:val="auto"/>
              </w:rPr>
              <w:t>$ 60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92.2%</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Actual amounts include the results of operations for the NBCUniversal acquired businesses for the period January 29, 2011 through September 30, 2011.</w:t>
      </w:r>
    </w:p>
    <w:p>
      <w:pPr>
        <w:spacing w:after="0" w:line="55"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Pro forma amounts include the results of operations for the NBCUniversal acquired businesses for the period January 1, 2011 through January 28, 2011 and other pro forma adjustments that include the effects of acquisition accounting.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 Segment—Revenue</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Our Filmed Entertainment revenue increased for the three months ended September 30, 2012 compared to the same period in 2011 primarily due to increases in theatrical, home entertainment and content licensing revenue. The increase in theatrical revenue was due to the performance of our 2012 releases, including </w:t>
      </w:r>
      <w:r>
        <w:rPr>
          <w:rFonts w:ascii="Arial" w:cs="Arial" w:eastAsia="Arial" w:hAnsi="Arial"/>
          <w:sz w:val="16"/>
          <w:szCs w:val="16"/>
          <w:i w:val="1"/>
          <w:iCs w:val="1"/>
          <w:color w:val="auto"/>
        </w:rPr>
        <w:t>Ted</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Bourne Legacy</w:t>
      </w:r>
      <w:r>
        <w:rPr>
          <w:rFonts w:ascii="Arial" w:cs="Arial" w:eastAsia="Arial" w:hAnsi="Arial"/>
          <w:sz w:val="16"/>
          <w:szCs w:val="16"/>
          <w:color w:val="auto"/>
        </w:rPr>
        <w:t>, compared to same period in 2011. The increase in home entertainment revenue was due to an increase in the number of titles released and the performance of our current year releases compared to the same period in 2011. The increase in content licensing revenue was primarily due to a higher volume of our owned and acquired films made available to licensees in 2012.</w:t>
      </w:r>
    </w:p>
    <w:p>
      <w:pPr>
        <w:spacing w:after="0" w:line="2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Our Filmed Entertainment revenue increased for the nine months ended September 30, 2012 compared to the same period in 2011 primarily due to increases in theatrical, home entertainment and content licensing revenue. The increase in theatrical revenue was due to the performance of our 2012 releases, which included </w:t>
      </w:r>
      <w:r>
        <w:rPr>
          <w:rFonts w:ascii="Arial" w:cs="Arial" w:eastAsia="Arial" w:hAnsi="Arial"/>
          <w:sz w:val="16"/>
          <w:szCs w:val="16"/>
          <w:i w:val="1"/>
          <w:iCs w:val="1"/>
          <w:color w:val="auto"/>
        </w:rPr>
        <w:t>Ted</w:t>
      </w:r>
      <w:r>
        <w:rPr>
          <w:rFonts w:ascii="Arial" w:cs="Arial" w:eastAsia="Arial" w:hAnsi="Arial"/>
          <w:sz w:val="16"/>
          <w:szCs w:val="16"/>
          <w:color w:val="auto"/>
        </w:rPr>
        <w:t>,</w:t>
      </w:r>
      <w:r>
        <w:rPr>
          <w:rFonts w:ascii="Arial" w:cs="Arial" w:eastAsia="Arial" w:hAnsi="Arial"/>
          <w:sz w:val="16"/>
          <w:szCs w:val="16"/>
          <w:i w:val="1"/>
          <w:iCs w:val="1"/>
          <w:color w:val="auto"/>
        </w:rPr>
        <w:t xml:space="preserve"> Dr. Seuss’ The Lorax</w:t>
      </w:r>
      <w:r>
        <w:rPr>
          <w:rFonts w:ascii="Arial" w:cs="Arial" w:eastAsia="Arial" w:hAnsi="Arial"/>
          <w:sz w:val="16"/>
          <w:szCs w:val="16"/>
          <w:color w:val="auto"/>
        </w:rPr>
        <w:t>,</w:t>
      </w:r>
      <w:r>
        <w:rPr>
          <w:rFonts w:ascii="Arial" w:cs="Arial" w:eastAsia="Arial" w:hAnsi="Arial"/>
          <w:sz w:val="16"/>
          <w:szCs w:val="16"/>
          <w:i w:val="1"/>
          <w:iCs w:val="1"/>
          <w:color w:val="auto"/>
        </w:rPr>
        <w:t xml:space="preserve"> Safe House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Bourne Legacy</w:t>
      </w:r>
      <w:r>
        <w:rPr>
          <w:rFonts w:ascii="Arial" w:cs="Arial" w:eastAsia="Arial" w:hAnsi="Arial"/>
          <w:sz w:val="16"/>
          <w:szCs w:val="16"/>
          <w:color w:val="auto"/>
        </w:rPr>
        <w:t>, compared to the same period in 2011. The increase in home entertainment revenue was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due to the performance of our current year releases compared to the same period in 2011</w:t>
      </w:r>
      <w:r>
        <w:rPr>
          <w:rFonts w:ascii="Arial" w:cs="Arial" w:eastAsia="Arial" w:hAnsi="Arial"/>
          <w:sz w:val="16"/>
          <w:szCs w:val="16"/>
          <w:i w:val="1"/>
          <w:iCs w:val="1"/>
          <w:color w:val="auto"/>
        </w:rPr>
        <w:t>.</w:t>
      </w:r>
      <w:r>
        <w:rPr>
          <w:rFonts w:ascii="Arial" w:cs="Arial" w:eastAsia="Arial" w:hAnsi="Arial"/>
          <w:sz w:val="16"/>
          <w:szCs w:val="16"/>
          <w:color w:val="auto"/>
        </w:rPr>
        <w:t xml:space="preserve"> The increase in content licensing revenue was primarily due to a higher volume of our owned and acquired films made available to licensees in 2012.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 Segment—Operating Costs and Expenses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operating costs and expenses increased for the three months ended September 30, 2012 compared to the same period in 2011 due to increases in the amortization of film costs primarily associated with the increase in theatrical revenue from our 2012 releases.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operating costs and expenses increased for the nine months ended September 30, 2012 compared to the same period in 2011 primarily due to higher amortization of film costs resulting from the increase in theatrical revenue and the underperformance of </w:t>
      </w:r>
      <w:r>
        <w:rPr>
          <w:rFonts w:ascii="Arial" w:cs="Arial" w:eastAsia="Arial" w:hAnsi="Arial"/>
          <w:sz w:val="18"/>
          <w:szCs w:val="18"/>
          <w:i w:val="1"/>
          <w:iCs w:val="1"/>
          <w:color w:val="auto"/>
        </w:rPr>
        <w:t>Battleship</w:t>
      </w:r>
      <w:r>
        <w:rPr>
          <w:rFonts w:ascii="Arial" w:cs="Arial" w:eastAsia="Arial" w:hAnsi="Arial"/>
          <w:sz w:val="18"/>
          <w:szCs w:val="18"/>
          <w:color w:val="auto"/>
        </w:rPr>
        <w:t>, as well as an increase in marketing costs associated with our 2012 theatrical and home entertainment releases.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Actual and Pro Forma Results of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color w:val="auto"/>
                <w:w w:val="92"/>
              </w:rPr>
              <w:t>Actual</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31"/>
        </w:trPr>
        <w:tc>
          <w:tcPr>
            <w:tcW w:w="7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jc w:val="center"/>
              <w:ind w:right="44"/>
              <w:spacing w:after="0" w:line="131" w:lineRule="exact"/>
              <w:rPr>
                <w:sz w:val="20"/>
                <w:szCs w:val="20"/>
                <w:color w:val="auto"/>
              </w:rPr>
            </w:pPr>
            <w:r>
              <w:rPr>
                <w:rFonts w:ascii="Arial" w:cs="Arial" w:eastAsia="Arial" w:hAnsi="Arial"/>
                <w:sz w:val="14"/>
                <w:szCs w:val="14"/>
                <w:color w:val="auto"/>
                <w:w w:val="87"/>
              </w:rPr>
              <w:t>Three</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49"/>
        </w:trPr>
        <w:tc>
          <w:tcPr>
            <w:tcW w:w="7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2"/>
          </w:tcPr>
          <w:p>
            <w:pPr>
              <w:jc w:val="center"/>
              <w:ind w:left="242"/>
              <w:spacing w:after="0" w:line="149" w:lineRule="exact"/>
              <w:rPr>
                <w:sz w:val="20"/>
                <w:szCs w:val="20"/>
                <w:color w:val="auto"/>
              </w:rPr>
            </w:pPr>
            <w:r>
              <w:rPr>
                <w:rFonts w:ascii="Arial" w:cs="Arial" w:eastAsia="Arial" w:hAnsi="Arial"/>
                <w:sz w:val="14"/>
                <w:szCs w:val="14"/>
                <w:color w:val="auto"/>
                <w:w w:val="87"/>
              </w:rPr>
              <w:t>Months</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7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jc w:val="center"/>
              <w:ind w:right="44"/>
              <w:spacing w:after="0" w:line="149" w:lineRule="exact"/>
              <w:rPr>
                <w:sz w:val="20"/>
                <w:szCs w:val="20"/>
                <w:color w:val="auto"/>
              </w:rPr>
            </w:pPr>
            <w:r>
              <w:rPr>
                <w:rFonts w:ascii="Arial" w:cs="Arial" w:eastAsia="Arial" w:hAnsi="Arial"/>
                <w:sz w:val="14"/>
                <w:szCs w:val="14"/>
                <w:color w:val="auto"/>
                <w:w w:val="88"/>
              </w:rPr>
              <w:t>Ended</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Increase/</w:t>
            </w:r>
          </w:p>
        </w:tc>
        <w:tc>
          <w:tcPr>
            <w:tcW w:w="540" w:type="dxa"/>
            <w:vAlign w:val="bottom"/>
          </w:tcPr>
          <w:p>
            <w:pPr>
              <w:spacing w:after="0"/>
              <w:rPr>
                <w:sz w:val="12"/>
                <w:szCs w:val="12"/>
                <w:color w:val="auto"/>
              </w:rPr>
            </w:pPr>
          </w:p>
        </w:tc>
      </w:tr>
      <w:tr>
        <w:trPr>
          <w:trHeight w:val="172"/>
        </w:trPr>
        <w:tc>
          <w:tcPr>
            <w:tcW w:w="7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gridSpan w:val="4"/>
          </w:tcPr>
          <w:p>
            <w:pPr>
              <w:jc w:val="center"/>
              <w:ind w:right="500"/>
              <w:spacing w:after="0"/>
              <w:rPr>
                <w:sz w:val="20"/>
                <w:szCs w:val="20"/>
                <w:color w:val="auto"/>
              </w:rPr>
            </w:pPr>
            <w:r>
              <w:rPr>
                <w:rFonts w:ascii="Arial" w:cs="Arial" w:eastAsia="Arial" w:hAnsi="Arial"/>
                <w:sz w:val="14"/>
                <w:szCs w:val="14"/>
                <w:color w:val="auto"/>
                <w:w w:val="86"/>
              </w:rPr>
              <w:t>September 30</w:t>
            </w:r>
          </w:p>
        </w:tc>
        <w:tc>
          <w:tcPr>
            <w:tcW w:w="1640" w:type="dxa"/>
            <w:vAlign w:val="bottom"/>
            <w:gridSpan w:val="2"/>
          </w:tcPr>
          <w:p>
            <w:pPr>
              <w:jc w:val="right"/>
              <w:ind w:right="397"/>
              <w:spacing w:after="0"/>
              <w:rPr>
                <w:sz w:val="20"/>
                <w:szCs w:val="20"/>
                <w:color w:val="auto"/>
              </w:rPr>
            </w:pPr>
            <w:r>
              <w:rPr>
                <w:rFonts w:ascii="Arial" w:cs="Arial" w:eastAsia="Arial" w:hAnsi="Arial"/>
                <w:sz w:val="14"/>
                <w:szCs w:val="14"/>
                <w:color w:val="auto"/>
              </w:rPr>
              <w:t>(Decrease)</w:t>
            </w:r>
          </w:p>
        </w:tc>
      </w:tr>
      <w:tr>
        <w:trPr>
          <w:trHeight w:val="143"/>
        </w:trPr>
        <w:tc>
          <w:tcPr>
            <w:tcW w:w="762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4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2"/>
              <w:spacing w:after="0" w:line="143" w:lineRule="exact"/>
              <w:rPr>
                <w:sz w:val="20"/>
                <w:szCs w:val="20"/>
                <w:color w:val="auto"/>
              </w:rPr>
            </w:pPr>
            <w:r>
              <w:rPr>
                <w:rFonts w:ascii="Arial" w:cs="Arial" w:eastAsia="Arial" w:hAnsi="Arial"/>
                <w:sz w:val="14"/>
                <w:szCs w:val="14"/>
                <w:color w:val="auto"/>
                <w:w w:val="89"/>
              </w:rPr>
              <w:t>2012</w:t>
            </w:r>
          </w:p>
        </w:tc>
        <w:tc>
          <w:tcPr>
            <w:tcW w:w="4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17"/>
              <w:spacing w:after="0" w:line="143" w:lineRule="exact"/>
              <w:rPr>
                <w:sz w:val="20"/>
                <w:szCs w:val="20"/>
                <w:color w:val="auto"/>
              </w:rPr>
            </w:pPr>
            <w:r>
              <w:rPr>
                <w:rFonts w:ascii="Arial" w:cs="Arial" w:eastAsia="Arial" w:hAnsi="Arial"/>
                <w:sz w:val="14"/>
                <w:szCs w:val="14"/>
                <w:color w:val="auto"/>
                <w:w w:val="83"/>
              </w:rPr>
              <w:t>2011</w:t>
            </w:r>
          </w:p>
        </w:tc>
        <w:tc>
          <w:tcPr>
            <w:tcW w:w="340" w:type="dxa"/>
            <w:vAlign w:val="bottom"/>
            <w:tcBorders>
              <w:bottom w:val="single" w:sz="8" w:color="E5E5E5"/>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02"/>
              <w:spacing w:after="0" w:line="143"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277"/>
              <w:spacing w:after="0" w:line="143" w:lineRule="exact"/>
              <w:rPr>
                <w:sz w:val="20"/>
                <w:szCs w:val="20"/>
                <w:color w:val="auto"/>
              </w:rPr>
            </w:pPr>
            <w:r>
              <w:rPr>
                <w:rFonts w:ascii="Arial" w:cs="Arial" w:eastAsia="Arial" w:hAnsi="Arial"/>
                <w:sz w:val="14"/>
                <w:szCs w:val="14"/>
                <w:color w:val="auto"/>
              </w:rPr>
              <w:t>%</w:t>
            </w:r>
          </w:p>
        </w:tc>
      </w:tr>
      <w:tr>
        <w:trPr>
          <w:trHeight w:val="210"/>
        </w:trPr>
        <w:tc>
          <w:tcPr>
            <w:tcW w:w="76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614</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580</w:t>
            </w:r>
          </w:p>
        </w:tc>
        <w:tc>
          <w:tcPr>
            <w:tcW w:w="34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362"/>
              <w:spacing w:after="0"/>
              <w:rPr>
                <w:sz w:val="20"/>
                <w:szCs w:val="20"/>
                <w:color w:val="auto"/>
              </w:rPr>
            </w:pPr>
            <w:r>
              <w:rPr>
                <w:rFonts w:ascii="Arial" w:cs="Arial" w:eastAsia="Arial" w:hAnsi="Arial"/>
                <w:sz w:val="18"/>
                <w:szCs w:val="18"/>
                <w:color w:val="auto"/>
              </w:rPr>
              <w:t>$ 34</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4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340" w:type="dxa"/>
            <w:vAlign w:val="bottom"/>
            <w:tcBorders>
              <w:bottom w:val="single" w:sz="8" w:color="E5E5E5"/>
            </w:tcBorders>
          </w:tcPr>
          <w:p>
            <w:pPr>
              <w:spacing w:after="0"/>
              <w:rPr>
                <w:sz w:val="18"/>
                <w:szCs w:val="18"/>
                <w:color w:val="auto"/>
              </w:rPr>
            </w:pPr>
          </w:p>
        </w:tc>
        <w:tc>
          <w:tcPr>
            <w:tcW w:w="1100" w:type="dxa"/>
            <w:vAlign w:val="bottom"/>
            <w:tcBorders>
              <w:bottom w:val="single" w:sz="8" w:color="auto"/>
            </w:tcBorders>
          </w:tcPr>
          <w:p>
            <w:pPr>
              <w:jc w:val="right"/>
              <w:ind w:right="362"/>
              <w:spacing w:after="0"/>
              <w:rPr>
                <w:sz w:val="20"/>
                <w:szCs w:val="20"/>
                <w:color w:val="auto"/>
              </w:rPr>
            </w:pPr>
            <w:r>
              <w:rPr>
                <w:rFonts w:ascii="Arial" w:cs="Arial" w:eastAsia="Arial" w:hAnsi="Arial"/>
                <w:sz w:val="18"/>
                <w:szCs w:val="18"/>
                <w:color w:val="auto"/>
              </w:rPr>
              <w:t>3</w:t>
            </w: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0.7</w:t>
            </w:r>
          </w:p>
        </w:tc>
      </w:tr>
      <w:tr>
        <w:trPr>
          <w:trHeight w:val="217"/>
        </w:trPr>
        <w:tc>
          <w:tcPr>
            <w:tcW w:w="76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316</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285</w:t>
            </w:r>
          </w:p>
        </w:tc>
        <w:tc>
          <w:tcPr>
            <w:tcW w:w="340" w:type="dxa"/>
            <w:vAlign w:val="bottom"/>
            <w:tcBorders>
              <w:bottom w:val="single" w:sz="8" w:color="E5E5E5"/>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ind w:right="362"/>
              <w:spacing w:after="0"/>
              <w:rPr>
                <w:sz w:val="20"/>
                <w:szCs w:val="20"/>
                <w:color w:val="auto"/>
              </w:rPr>
            </w:pPr>
            <w:r>
              <w:rPr>
                <w:rFonts w:ascii="Arial" w:cs="Arial" w:eastAsia="Arial" w:hAnsi="Arial"/>
                <w:sz w:val="18"/>
                <w:szCs w:val="18"/>
                <w:b w:val="1"/>
                <w:bCs w:val="1"/>
                <w:color w:val="auto"/>
              </w:rPr>
              <w:t>$ 31</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0"/>
              </w:rPr>
              <w:t>11.2%</w:t>
            </w:r>
          </w:p>
        </w:tc>
      </w:tr>
    </w:tbl>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color w:val="auto"/>
                <w:w w:val="83"/>
              </w:rPr>
              <w:t>2012</w:t>
            </w:r>
          </w:p>
        </w:tc>
        <w:tc>
          <w:tcPr>
            <w:tcW w:w="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2011</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31"/>
        </w:trPr>
        <w:tc>
          <w:tcPr>
            <w:tcW w:w="4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jc w:val="center"/>
              <w:ind w:right="65"/>
              <w:spacing w:after="0" w:line="131" w:lineRule="exact"/>
              <w:rPr>
                <w:sz w:val="20"/>
                <w:szCs w:val="20"/>
                <w:color w:val="auto"/>
              </w:rPr>
            </w:pPr>
            <w:r>
              <w:rPr>
                <w:rFonts w:ascii="Arial" w:cs="Arial" w:eastAsia="Arial" w:hAnsi="Arial"/>
                <w:sz w:val="14"/>
                <w:szCs w:val="14"/>
                <w:color w:val="auto"/>
                <w:w w:val="87"/>
              </w:rPr>
              <w:t>Pro Forma</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59"/>
        </w:trPr>
        <w:tc>
          <w:tcPr>
            <w:tcW w:w="4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tcPr>
          <w:p>
            <w:pPr>
              <w:jc w:val="center"/>
              <w:ind w:right="520"/>
              <w:spacing w:after="0" w:line="159" w:lineRule="exact"/>
              <w:rPr>
                <w:sz w:val="20"/>
                <w:szCs w:val="20"/>
                <w:color w:val="auto"/>
              </w:rPr>
            </w:pPr>
            <w:r>
              <w:rPr>
                <w:rFonts w:ascii="Arial" w:cs="Arial" w:eastAsia="Arial" w:hAnsi="Arial"/>
                <w:sz w:val="14"/>
                <w:szCs w:val="14"/>
                <w:color w:val="auto"/>
                <w:w w:val="92"/>
              </w:rPr>
              <w:t>Actual</w:t>
            </w:r>
          </w:p>
        </w:tc>
        <w:tc>
          <w:tcPr>
            <w:tcW w:w="380" w:type="dxa"/>
            <w:vAlign w:val="bottom"/>
          </w:tcPr>
          <w:p>
            <w:pPr>
              <w:spacing w:after="0"/>
              <w:rPr>
                <w:sz w:val="13"/>
                <w:szCs w:val="13"/>
                <w:color w:val="auto"/>
              </w:rPr>
            </w:pPr>
          </w:p>
        </w:tc>
        <w:tc>
          <w:tcPr>
            <w:tcW w:w="720" w:type="dxa"/>
            <w:vAlign w:val="bottom"/>
          </w:tcPr>
          <w:p>
            <w:pPr>
              <w:jc w:val="center"/>
              <w:ind w:right="207"/>
              <w:spacing w:after="0" w:line="159" w:lineRule="exact"/>
              <w:rPr>
                <w:sz w:val="20"/>
                <w:szCs w:val="20"/>
                <w:color w:val="auto"/>
              </w:rPr>
            </w:pPr>
            <w:r>
              <w:rPr>
                <w:rFonts w:ascii="Arial" w:cs="Arial" w:eastAsia="Arial" w:hAnsi="Arial"/>
                <w:sz w:val="14"/>
                <w:szCs w:val="14"/>
                <w:color w:val="auto"/>
                <w:w w:val="92"/>
              </w:rPr>
              <w:t>Actual</w:t>
            </w:r>
          </w:p>
        </w:tc>
        <w:tc>
          <w:tcPr>
            <w:tcW w:w="300" w:type="dxa"/>
            <w:vAlign w:val="bottom"/>
          </w:tcPr>
          <w:p>
            <w:pPr>
              <w:spacing w:after="0"/>
              <w:rPr>
                <w:sz w:val="13"/>
                <w:szCs w:val="13"/>
                <w:color w:val="auto"/>
              </w:rPr>
            </w:pPr>
          </w:p>
        </w:tc>
        <w:tc>
          <w:tcPr>
            <w:tcW w:w="860" w:type="dxa"/>
            <w:vAlign w:val="bottom"/>
          </w:tcPr>
          <w:p>
            <w:pPr>
              <w:jc w:val="right"/>
              <w:ind w:right="200"/>
              <w:spacing w:after="0" w:line="159" w:lineRule="exact"/>
              <w:rPr>
                <w:sz w:val="20"/>
                <w:szCs w:val="20"/>
                <w:color w:val="auto"/>
              </w:rPr>
            </w:pPr>
            <w:r>
              <w:rPr>
                <w:rFonts w:ascii="Arial" w:cs="Arial" w:eastAsia="Arial" w:hAnsi="Arial"/>
                <w:sz w:val="14"/>
                <w:szCs w:val="14"/>
                <w:color w:val="auto"/>
                <w:w w:val="84"/>
              </w:rPr>
              <w:t>Pro Forma</w:t>
            </w:r>
          </w:p>
        </w:tc>
        <w:tc>
          <w:tcPr>
            <w:tcW w:w="260" w:type="dxa"/>
            <w:vAlign w:val="bottom"/>
          </w:tcPr>
          <w:p>
            <w:pPr>
              <w:spacing w:after="0"/>
              <w:rPr>
                <w:sz w:val="13"/>
                <w:szCs w:val="13"/>
                <w:color w:val="auto"/>
              </w:rPr>
            </w:pPr>
          </w:p>
        </w:tc>
        <w:tc>
          <w:tcPr>
            <w:tcW w:w="1060" w:type="dxa"/>
            <w:vAlign w:val="bottom"/>
            <w:gridSpan w:val="2"/>
          </w:tcPr>
          <w:p>
            <w:pPr>
              <w:jc w:val="center"/>
              <w:ind w:right="460"/>
              <w:spacing w:after="0" w:line="159" w:lineRule="exact"/>
              <w:rPr>
                <w:sz w:val="20"/>
                <w:szCs w:val="20"/>
                <w:color w:val="auto"/>
              </w:rPr>
            </w:pPr>
            <w:r>
              <w:rPr>
                <w:rFonts w:ascii="Arial" w:cs="Arial" w:eastAsia="Arial" w:hAnsi="Arial"/>
                <w:sz w:val="14"/>
                <w:szCs w:val="14"/>
                <w:color w:val="auto"/>
                <w:w w:val="87"/>
              </w:rPr>
              <w:t>Combined</w:t>
            </w:r>
          </w:p>
        </w:tc>
        <w:tc>
          <w:tcPr>
            <w:tcW w:w="380" w:type="dxa"/>
            <w:vAlign w:val="bottom"/>
          </w:tcPr>
          <w:p>
            <w:pPr>
              <w:spacing w:after="0"/>
              <w:rPr>
                <w:sz w:val="13"/>
                <w:szCs w:val="13"/>
                <w:color w:val="auto"/>
              </w:rPr>
            </w:pPr>
          </w:p>
        </w:tc>
        <w:tc>
          <w:tcPr>
            <w:tcW w:w="1420" w:type="dxa"/>
            <w:vAlign w:val="bottom"/>
            <w:gridSpan w:val="2"/>
          </w:tcPr>
          <w:p>
            <w:pPr>
              <w:jc w:val="right"/>
              <w:ind w:right="257"/>
              <w:spacing w:after="0" w:line="159" w:lineRule="exact"/>
              <w:rPr>
                <w:sz w:val="20"/>
                <w:szCs w:val="20"/>
                <w:color w:val="auto"/>
              </w:rPr>
            </w:pPr>
            <w:r>
              <w:rPr>
                <w:rFonts w:ascii="Arial" w:cs="Arial" w:eastAsia="Arial" w:hAnsi="Arial"/>
                <w:sz w:val="14"/>
                <w:szCs w:val="14"/>
                <w:color w:val="auto"/>
                <w:w w:val="83"/>
              </w:rPr>
              <w:t>Increase/(Decrease)</w:t>
            </w:r>
          </w:p>
        </w:tc>
      </w:tr>
      <w:tr>
        <w:trPr>
          <w:trHeight w:val="131"/>
        </w:trPr>
        <w:tc>
          <w:tcPr>
            <w:tcW w:w="462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207"/>
              <w:spacing w:after="0" w:line="131" w:lineRule="exact"/>
              <w:rPr>
                <w:sz w:val="20"/>
                <w:szCs w:val="20"/>
                <w:color w:val="auto"/>
              </w:rPr>
            </w:pPr>
            <w:r>
              <w:rPr>
                <w:rFonts w:ascii="Arial" w:cs="Arial" w:eastAsia="Arial" w:hAnsi="Arial"/>
                <w:sz w:val="14"/>
                <w:szCs w:val="14"/>
                <w:color w:val="auto"/>
                <w:w w:val="90"/>
              </w:rPr>
              <w:t>For the</w:t>
            </w:r>
          </w:p>
        </w:tc>
        <w:tc>
          <w:tcPr>
            <w:tcW w:w="3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r>
      <w:tr>
        <w:trPr>
          <w:trHeight w:val="149"/>
        </w:trPr>
        <w:tc>
          <w:tcPr>
            <w:tcW w:w="4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jc w:val="center"/>
              <w:ind w:right="207"/>
              <w:spacing w:after="0" w:line="149" w:lineRule="exact"/>
              <w:rPr>
                <w:sz w:val="20"/>
                <w:szCs w:val="20"/>
                <w:color w:val="auto"/>
              </w:rPr>
            </w:pPr>
            <w:r>
              <w:rPr>
                <w:rFonts w:ascii="Arial" w:cs="Arial" w:eastAsia="Arial" w:hAnsi="Arial"/>
                <w:sz w:val="14"/>
                <w:szCs w:val="14"/>
                <w:color w:val="auto"/>
                <w:w w:val="88"/>
              </w:rPr>
              <w:t>Period</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4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0"/>
              </w:rPr>
              <w:t>Nine</w:t>
            </w:r>
          </w:p>
        </w:tc>
        <w:tc>
          <w:tcPr>
            <w:tcW w:w="11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January 29</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0"/>
              </w:rPr>
              <w:t>Nine</w:t>
            </w: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4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1"/>
              </w:rPr>
              <w:t>Months</w:t>
            </w:r>
          </w:p>
        </w:tc>
        <w:tc>
          <w:tcPr>
            <w:tcW w:w="380" w:type="dxa"/>
            <w:vAlign w:val="bottom"/>
          </w:tcPr>
          <w:p>
            <w:pPr>
              <w:spacing w:after="0"/>
              <w:rPr>
                <w:sz w:val="12"/>
                <w:szCs w:val="12"/>
                <w:color w:val="auto"/>
              </w:rPr>
            </w:pPr>
          </w:p>
        </w:tc>
        <w:tc>
          <w:tcPr>
            <w:tcW w:w="720" w:type="dxa"/>
            <w:vAlign w:val="bottom"/>
          </w:tcPr>
          <w:p>
            <w:pPr>
              <w:jc w:val="center"/>
              <w:ind w:right="227"/>
              <w:spacing w:after="0" w:line="149" w:lineRule="exact"/>
              <w:rPr>
                <w:sz w:val="20"/>
                <w:szCs w:val="20"/>
                <w:color w:val="auto"/>
              </w:rPr>
            </w:pPr>
            <w:r>
              <w:rPr>
                <w:rFonts w:ascii="Arial" w:cs="Arial" w:eastAsia="Arial" w:hAnsi="Arial"/>
                <w:sz w:val="14"/>
                <w:szCs w:val="14"/>
                <w:color w:val="auto"/>
                <w:w w:val="88"/>
              </w:rPr>
              <w:t>through</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1"/>
              </w:rPr>
              <w:t>Months</w:t>
            </w: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6"/>
        </w:trPr>
        <w:tc>
          <w:tcPr>
            <w:tcW w:w="4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2"/>
          </w:tcPr>
          <w:p>
            <w:pPr>
              <w:jc w:val="center"/>
              <w:ind w:right="500"/>
              <w:spacing w:after="0" w:line="146" w:lineRule="exact"/>
              <w:rPr>
                <w:sz w:val="20"/>
                <w:szCs w:val="20"/>
                <w:color w:val="auto"/>
              </w:rPr>
            </w:pPr>
            <w:r>
              <w:rPr>
                <w:rFonts w:ascii="Arial" w:cs="Arial" w:eastAsia="Arial" w:hAnsi="Arial"/>
                <w:sz w:val="14"/>
                <w:szCs w:val="14"/>
                <w:color w:val="auto"/>
                <w:w w:val="83"/>
              </w:rPr>
              <w:t>Ended</w:t>
            </w:r>
          </w:p>
        </w:tc>
        <w:tc>
          <w:tcPr>
            <w:tcW w:w="1100" w:type="dxa"/>
            <w:vAlign w:val="bottom"/>
            <w:gridSpan w:val="2"/>
          </w:tcPr>
          <w:p>
            <w:pPr>
              <w:ind w:left="300"/>
              <w:spacing w:after="0" w:line="146" w:lineRule="exact"/>
              <w:rPr>
                <w:sz w:val="20"/>
                <w:szCs w:val="20"/>
                <w:color w:val="auto"/>
              </w:rPr>
            </w:pPr>
            <w:r>
              <w:rPr>
                <w:rFonts w:ascii="Arial" w:cs="Arial" w:eastAsia="Arial" w:hAnsi="Arial"/>
                <w:sz w:val="14"/>
                <w:szCs w:val="14"/>
                <w:color w:val="auto"/>
              </w:rPr>
              <w:t>September</w:t>
            </w:r>
          </w:p>
        </w:tc>
        <w:tc>
          <w:tcPr>
            <w:tcW w:w="1160" w:type="dxa"/>
            <w:vAlign w:val="bottom"/>
            <w:gridSpan w:val="2"/>
          </w:tcPr>
          <w:p>
            <w:pPr>
              <w:ind w:left="200"/>
              <w:spacing w:after="0" w:line="146" w:lineRule="exact"/>
              <w:rPr>
                <w:sz w:val="20"/>
                <w:szCs w:val="20"/>
                <w:color w:val="auto"/>
              </w:rPr>
            </w:pPr>
            <w:r>
              <w:rPr>
                <w:rFonts w:ascii="Arial" w:cs="Arial" w:eastAsia="Arial" w:hAnsi="Arial"/>
                <w:sz w:val="14"/>
                <w:szCs w:val="14"/>
                <w:color w:val="auto"/>
              </w:rPr>
              <w:t>NBCUniversal</w:t>
            </w:r>
          </w:p>
        </w:tc>
        <w:tc>
          <w:tcPr>
            <w:tcW w:w="260" w:type="dxa"/>
            <w:vAlign w:val="bottom"/>
          </w:tcPr>
          <w:p>
            <w:pPr>
              <w:spacing w:after="0"/>
              <w:rPr>
                <w:sz w:val="12"/>
                <w:szCs w:val="12"/>
                <w:color w:val="auto"/>
              </w:rPr>
            </w:pPr>
          </w:p>
        </w:tc>
        <w:tc>
          <w:tcPr>
            <w:tcW w:w="1060" w:type="dxa"/>
            <w:vAlign w:val="bottom"/>
            <w:gridSpan w:val="2"/>
          </w:tcPr>
          <w:p>
            <w:pPr>
              <w:jc w:val="center"/>
              <w:ind w:right="480"/>
              <w:spacing w:after="0" w:line="146" w:lineRule="exact"/>
              <w:rPr>
                <w:sz w:val="20"/>
                <w:szCs w:val="20"/>
                <w:color w:val="auto"/>
              </w:rPr>
            </w:pPr>
            <w:r>
              <w:rPr>
                <w:rFonts w:ascii="Arial" w:cs="Arial" w:eastAsia="Arial" w:hAnsi="Arial"/>
                <w:sz w:val="14"/>
                <w:szCs w:val="14"/>
                <w:color w:val="auto"/>
                <w:w w:val="83"/>
              </w:rPr>
              <w:t>Ended</w:t>
            </w: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76"/>
        </w:trPr>
        <w:tc>
          <w:tcPr>
            <w:tcW w:w="4620" w:type="dxa"/>
            <w:vAlign w:val="bottom"/>
          </w:tcPr>
          <w:p>
            <w:pPr>
              <w:spacing w:after="0"/>
              <w:rPr>
                <w:sz w:val="20"/>
                <w:szCs w:val="20"/>
                <w:color w:val="auto"/>
              </w:rPr>
            </w:pPr>
            <w:r>
              <w:rPr>
                <w:rFonts w:ascii="Arial" w:cs="Arial" w:eastAsia="Arial" w:hAnsi="Arial"/>
                <w:sz w:val="14"/>
                <w:szCs w:val="14"/>
                <w:color w:val="auto"/>
              </w:rPr>
              <w:t>(in millions)</w:t>
            </w:r>
          </w:p>
        </w:tc>
        <w:tc>
          <w:tcPr>
            <w:tcW w:w="1420" w:type="dxa"/>
            <w:vAlign w:val="bottom"/>
            <w:gridSpan w:val="3"/>
          </w:tcPr>
          <w:p>
            <w:pPr>
              <w:jc w:val="center"/>
              <w:ind w:right="80"/>
              <w:spacing w:after="0"/>
              <w:rPr>
                <w:sz w:val="20"/>
                <w:szCs w:val="20"/>
                <w:color w:val="auto"/>
              </w:rPr>
            </w:pPr>
            <w:r>
              <w:rPr>
                <w:rFonts w:ascii="Arial" w:cs="Arial" w:eastAsia="Arial" w:hAnsi="Arial"/>
                <w:sz w:val="14"/>
                <w:szCs w:val="14"/>
                <w:color w:val="auto"/>
                <w:w w:val="84"/>
              </w:rPr>
              <w:t>September 30</w:t>
            </w:r>
          </w:p>
        </w:tc>
        <w:tc>
          <w:tcPr>
            <w:tcW w:w="380" w:type="dxa"/>
            <w:vAlign w:val="bottom"/>
          </w:tcPr>
          <w:p>
            <w:pPr>
              <w:spacing w:after="0"/>
              <w:rPr>
                <w:sz w:val="15"/>
                <w:szCs w:val="15"/>
                <w:color w:val="auto"/>
              </w:rPr>
            </w:pPr>
          </w:p>
        </w:tc>
        <w:tc>
          <w:tcPr>
            <w:tcW w:w="720" w:type="dxa"/>
            <w:vAlign w:val="bottom"/>
          </w:tcPr>
          <w:p>
            <w:pPr>
              <w:jc w:val="center"/>
              <w:ind w:right="227"/>
              <w:spacing w:after="0" w:line="176" w:lineRule="exact"/>
              <w:rPr>
                <w:sz w:val="20"/>
                <w:szCs w:val="20"/>
                <w:color w:val="auto"/>
              </w:rPr>
            </w:pPr>
            <w:r>
              <w:rPr>
                <w:rFonts w:ascii="Arial" w:cs="Arial" w:eastAsia="Arial" w:hAnsi="Arial"/>
                <w:sz w:val="20"/>
                <w:szCs w:val="20"/>
                <w:color w:val="auto"/>
                <w:vertAlign w:val="subscript"/>
              </w:rPr>
              <w:t>30</w:t>
            </w:r>
            <w:r>
              <w:rPr>
                <w:rFonts w:ascii="Arial" w:cs="Arial" w:eastAsia="Arial" w:hAnsi="Arial"/>
                <w:sz w:val="9"/>
                <w:szCs w:val="9"/>
                <w:color w:val="auto"/>
              </w:rPr>
              <w:t>(a)</w:t>
            </w:r>
          </w:p>
        </w:tc>
        <w:tc>
          <w:tcPr>
            <w:tcW w:w="1160" w:type="dxa"/>
            <w:vAlign w:val="bottom"/>
            <w:gridSpan w:val="2"/>
          </w:tcPr>
          <w:p>
            <w:pPr>
              <w:jc w:val="right"/>
              <w:ind w:right="120"/>
              <w:spacing w:after="0" w:line="176" w:lineRule="exact"/>
              <w:rPr>
                <w:sz w:val="20"/>
                <w:szCs w:val="20"/>
                <w:color w:val="auto"/>
              </w:rPr>
            </w:pPr>
            <w:r>
              <w:rPr>
                <w:rFonts w:ascii="Arial" w:cs="Arial" w:eastAsia="Arial" w:hAnsi="Arial"/>
                <w:sz w:val="13"/>
                <w:szCs w:val="13"/>
                <w:color w:val="auto"/>
              </w:rPr>
              <w:t>Businesses</w:t>
            </w:r>
            <w:r>
              <w:rPr>
                <w:rFonts w:ascii="Arial" w:cs="Arial" w:eastAsia="Arial" w:hAnsi="Arial"/>
                <w:sz w:val="20"/>
                <w:szCs w:val="20"/>
                <w:color w:val="auto"/>
                <w:vertAlign w:val="superscript"/>
              </w:rPr>
              <w:t>(b)</w:t>
            </w:r>
          </w:p>
        </w:tc>
        <w:tc>
          <w:tcPr>
            <w:tcW w:w="1320" w:type="dxa"/>
            <w:vAlign w:val="bottom"/>
            <w:gridSpan w:val="3"/>
          </w:tcPr>
          <w:p>
            <w:pPr>
              <w:jc w:val="center"/>
              <w:ind w:right="220"/>
              <w:spacing w:after="0"/>
              <w:rPr>
                <w:sz w:val="20"/>
                <w:szCs w:val="20"/>
                <w:color w:val="auto"/>
              </w:rPr>
            </w:pPr>
            <w:r>
              <w:rPr>
                <w:rFonts w:ascii="Arial" w:cs="Arial" w:eastAsia="Arial" w:hAnsi="Arial"/>
                <w:sz w:val="14"/>
                <w:szCs w:val="14"/>
                <w:color w:val="auto"/>
                <w:w w:val="84"/>
              </w:rPr>
              <w:t>September 30</w:t>
            </w:r>
          </w:p>
        </w:tc>
        <w:tc>
          <w:tcPr>
            <w:tcW w:w="380" w:type="dxa"/>
            <w:vAlign w:val="bottom"/>
          </w:tcPr>
          <w:p>
            <w:pPr>
              <w:spacing w:after="0"/>
              <w:rPr>
                <w:sz w:val="15"/>
                <w:szCs w:val="15"/>
                <w:color w:val="auto"/>
              </w:rPr>
            </w:pPr>
          </w:p>
        </w:tc>
        <w:tc>
          <w:tcPr>
            <w:tcW w:w="600" w:type="dxa"/>
            <w:vAlign w:val="bottom"/>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37"/>
              <w:spacing w:after="0"/>
              <w:rPr>
                <w:sz w:val="20"/>
                <w:szCs w:val="20"/>
                <w:color w:val="auto"/>
              </w:rPr>
            </w:pPr>
            <w:r>
              <w:rPr>
                <w:rFonts w:ascii="Arial" w:cs="Arial" w:eastAsia="Arial" w:hAnsi="Arial"/>
                <w:sz w:val="14"/>
                <w:szCs w:val="14"/>
                <w:color w:val="auto"/>
              </w:rPr>
              <w:t>%</w:t>
            </w:r>
          </w:p>
        </w:tc>
      </w:tr>
      <w:tr>
        <w:trPr>
          <w:trHeight w:val="210"/>
        </w:trPr>
        <w:tc>
          <w:tcPr>
            <w:tcW w:w="46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1,565</w:t>
            </w:r>
          </w:p>
        </w:tc>
        <w:tc>
          <w:tcPr>
            <w:tcW w:w="320" w:type="dxa"/>
            <w:vAlign w:val="bottom"/>
            <w:tcBorders>
              <w:top w:val="single" w:sz="8" w:color="E5E5E5"/>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E5E5E5"/>
          </w:tcPr>
          <w:p>
            <w:pPr>
              <w:jc w:val="right"/>
              <w:ind w:right="127"/>
              <w:spacing w:after="0"/>
              <w:rPr>
                <w:sz w:val="20"/>
                <w:szCs w:val="20"/>
                <w:color w:val="auto"/>
              </w:rPr>
            </w:pPr>
            <w:r>
              <w:rPr>
                <w:rFonts w:ascii="Arial" w:cs="Arial" w:eastAsia="Arial" w:hAnsi="Arial"/>
                <w:sz w:val="18"/>
                <w:szCs w:val="18"/>
                <w:color w:val="auto"/>
              </w:rPr>
              <w:t>1,376</w:t>
            </w:r>
          </w:p>
        </w:tc>
        <w:tc>
          <w:tcPr>
            <w:tcW w:w="300" w:type="dxa"/>
            <w:vAlign w:val="bottom"/>
            <w:tcBorders>
              <w:top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E5E5E5"/>
          </w:tcPr>
          <w:p>
            <w:pPr>
              <w:jc w:val="right"/>
              <w:ind w:right="80"/>
              <w:spacing w:after="0"/>
              <w:rPr>
                <w:sz w:val="20"/>
                <w:szCs w:val="20"/>
                <w:color w:val="auto"/>
              </w:rPr>
            </w:pPr>
            <w:r>
              <w:rPr>
                <w:rFonts w:ascii="Arial" w:cs="Arial" w:eastAsia="Arial" w:hAnsi="Arial"/>
                <w:sz w:val="18"/>
                <w:szCs w:val="18"/>
                <w:color w:val="auto"/>
              </w:rPr>
              <w:t>115</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1,491</w:t>
            </w:r>
          </w:p>
        </w:tc>
        <w:tc>
          <w:tcPr>
            <w:tcW w:w="340" w:type="dxa"/>
            <w:vAlign w:val="bottom"/>
            <w:tcBorders>
              <w:top w:val="single" w:sz="8" w:color="E5E5E5"/>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200"/>
              <w:spacing w:after="0"/>
              <w:rPr>
                <w:sz w:val="20"/>
                <w:szCs w:val="20"/>
                <w:color w:val="auto"/>
              </w:rPr>
            </w:pPr>
            <w:r>
              <w:rPr>
                <w:rFonts w:ascii="Arial" w:cs="Arial" w:eastAsia="Arial" w:hAnsi="Arial"/>
                <w:sz w:val="18"/>
                <w:szCs w:val="18"/>
                <w:color w:val="auto"/>
              </w:rPr>
              <w:t>74</w:t>
            </w:r>
          </w:p>
        </w:tc>
        <w:tc>
          <w:tcPr>
            <w:tcW w:w="8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320" w:type="dxa"/>
            <w:vAlign w:val="bottom"/>
            <w:tcBorders>
              <w:bottom w:val="single" w:sz="8" w:color="E5E5E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7"/>
              <w:spacing w:after="0"/>
              <w:rPr>
                <w:sz w:val="20"/>
                <w:szCs w:val="20"/>
                <w:color w:val="auto"/>
              </w:rPr>
            </w:pPr>
            <w:r>
              <w:rPr>
                <w:rFonts w:ascii="Arial" w:cs="Arial" w:eastAsia="Arial" w:hAnsi="Arial"/>
                <w:sz w:val="18"/>
                <w:szCs w:val="18"/>
                <w:color w:val="auto"/>
              </w:rPr>
              <w:t>769</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color w:val="auto"/>
              </w:rPr>
              <w:t>78</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340" w:type="dxa"/>
            <w:vAlign w:val="bottom"/>
            <w:tcBorders>
              <w:bottom w:val="single" w:sz="8" w:color="E5E5E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10</w:t>
            </w:r>
          </w:p>
        </w:tc>
        <w:tc>
          <w:tcPr>
            <w:tcW w:w="8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1.1</w:t>
            </w:r>
          </w:p>
        </w:tc>
      </w:tr>
      <w:tr>
        <w:trPr>
          <w:trHeight w:val="217"/>
        </w:trPr>
        <w:tc>
          <w:tcPr>
            <w:tcW w:w="46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7"/>
              </w:rPr>
              <w:t>Operating income before depreciation and amortization</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708</w:t>
            </w:r>
          </w:p>
        </w:tc>
        <w:tc>
          <w:tcPr>
            <w:tcW w:w="320" w:type="dxa"/>
            <w:vAlign w:val="bottom"/>
            <w:tcBorders>
              <w:bottom w:val="single" w:sz="8" w:color="E5E5E5"/>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27"/>
              <w:spacing w:after="0"/>
              <w:rPr>
                <w:sz w:val="20"/>
                <w:szCs w:val="20"/>
                <w:color w:val="auto"/>
              </w:rPr>
            </w:pPr>
            <w:r>
              <w:rPr>
                <w:rFonts w:ascii="Arial" w:cs="Arial" w:eastAsia="Arial" w:hAnsi="Arial"/>
                <w:sz w:val="18"/>
                <w:szCs w:val="18"/>
                <w:b w:val="1"/>
                <w:bCs w:val="1"/>
                <w:color w:val="auto"/>
              </w:rPr>
              <w:t>607</w:t>
            </w:r>
          </w:p>
        </w:tc>
        <w:tc>
          <w:tcPr>
            <w:tcW w:w="3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37</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644</w:t>
            </w:r>
          </w:p>
        </w:tc>
        <w:tc>
          <w:tcPr>
            <w:tcW w:w="340" w:type="dxa"/>
            <w:vAlign w:val="bottom"/>
            <w:tcBorders>
              <w:bottom w:val="single" w:sz="8" w:color="E5E5E5"/>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64</w:t>
            </w:r>
          </w:p>
        </w:tc>
        <w:tc>
          <w:tcPr>
            <w:tcW w:w="8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10.0%</w:t>
            </w:r>
          </w:p>
        </w:tc>
      </w:tr>
    </w:tbl>
    <w:p>
      <w:pPr>
        <w:spacing w:after="0" w:line="57" w:lineRule="exact"/>
        <w:rPr>
          <w:sz w:val="20"/>
          <w:szCs w:val="20"/>
          <w:color w:val="auto"/>
        </w:rPr>
      </w:pPr>
    </w:p>
    <w:p>
      <w:pPr>
        <w:jc w:val="both"/>
        <w:ind w:left="340" w:hanging="332"/>
        <w:spacing w:after="0" w:line="233"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Actual amounts include the results of operations for the NBCUniversal acquired businesses and Universal Orlando for the period January 29, 2011 through September 30, 2011. The results of operations for Universal Orlando for the period January 29, 2011 through June 30, 2011 are included in segment results above but are not included in total NBCUniversal and our consolidated results because Universal Orlando was recorded as an equity method investment during that period.</w:t>
      </w:r>
    </w:p>
    <w:p>
      <w:pPr>
        <w:spacing w:after="0" w:line="44"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Pro forma amounts include the results of operations for the NBCUniversal acquired businesses and Universal Orlando for the period January 1, 2011 through January 28, 2011 and other pro forma adjustments that include the effects of acquisition accounting.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 Segment—Revenue</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Theme Parks segment revenue increased for the three months ended September 30, 2012 compared to the same period in 2011 primarily due higher guest attendance at our Universal theme parks.</w:t>
      </w:r>
    </w:p>
    <w:p>
      <w:pPr>
        <w:spacing w:after="0" w:line="3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Theme Parks segment revenue increased for the nine months ended September 30, 2012 compared to the same period in 2011 primarily due to higher guest attendance and increases in per capita spending at our Universal theme parks.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 Segment—Operating Costs and Expenses</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Theme Parks segment operating costs and expenses increased for the three and nine months ended September 30, 2012 compared to the same periods in 2011 primarily due to additional costs associated with higher guest attendance at our Universal theme parks.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Headquarters and other operating costs and expenses increased for the three months ended September 30, 2012 compared to the same period in 2011 primarily due to increases in administrative costs.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Headquarters and other operating costs and expenses decreased for the nine months ended September 30, 2012 compared to the same period in 2011 primarily due to transaction-related costs associated with the NBCUniversal transaction, including severance and other compensation-related costs, included in the prior year period.</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Eliminations include the results of operations for Universal Orlando for the period January 29, 2011 through June 30, 2011. Our Theme Parks segment included the results of operations of Universal Orlando for this period because these amounts reflected our segment performance measure. These amounts were not included when we measured total NBCUniversal and our consolidated results of operations because we recorded Universal Orlando as an equity method investment for the period January 29, 2011 through June 30, 2011.</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gridSpan w:val="3"/>
          </w:tcPr>
          <w:p>
            <w:pPr>
              <w:jc w:val="right"/>
              <w:ind w:right="436"/>
              <w:spacing w:after="0"/>
              <w:rPr>
                <w:sz w:val="20"/>
                <w:szCs w:val="20"/>
                <w:color w:val="auto"/>
              </w:rPr>
            </w:pPr>
            <w:r>
              <w:rPr>
                <w:rFonts w:ascii="Arial" w:cs="Arial" w:eastAsia="Arial" w:hAnsi="Arial"/>
                <w:sz w:val="14"/>
                <w:szCs w:val="14"/>
                <w:color w:val="auto"/>
                <w:w w:val="94"/>
              </w:rPr>
              <w:t>Three Months Ended</w:t>
            </w:r>
          </w:p>
        </w:tc>
        <w:tc>
          <w:tcPr>
            <w:tcW w:w="340" w:type="dxa"/>
            <w:vAlign w:val="bottom"/>
          </w:tcPr>
          <w:p>
            <w:pPr>
              <w:spacing w:after="0"/>
              <w:rPr>
                <w:sz w:val="14"/>
                <w:szCs w:val="14"/>
                <w:color w:val="auto"/>
              </w:rPr>
            </w:pPr>
          </w:p>
        </w:tc>
        <w:tc>
          <w:tcPr>
            <w:tcW w:w="1640" w:type="dxa"/>
            <w:vAlign w:val="bottom"/>
            <w:gridSpan w:val="2"/>
          </w:tcPr>
          <w:p>
            <w:pPr>
              <w:jc w:val="right"/>
              <w:ind w:right="296"/>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71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right"/>
              <w:ind w:right="476"/>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1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w w:val="83"/>
              </w:rPr>
              <w:t>2012</w:t>
            </w: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color w:val="auto"/>
                <w:w w:val="83"/>
              </w:rPr>
              <w:t>2011</w:t>
            </w: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w w:val="89"/>
              </w:rPr>
              <w:t>2012</w:t>
            </w:r>
          </w:p>
        </w:tc>
        <w:tc>
          <w:tcPr>
            <w:tcW w:w="9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7120" w:type="dxa"/>
            <w:vAlign w:val="bottom"/>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60"/>
              <w:spacing w:after="0"/>
              <w:rPr>
                <w:sz w:val="20"/>
                <w:szCs w:val="20"/>
                <w:color w:val="auto"/>
              </w:rPr>
            </w:pPr>
            <w:r>
              <w:rPr>
                <w:rFonts w:ascii="Arial" w:cs="Arial" w:eastAsia="Arial" w:hAnsi="Arial"/>
                <w:sz w:val="18"/>
                <w:szCs w:val="18"/>
                <w:color w:val="auto"/>
              </w:rPr>
              <w:t>(633)</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(637)</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40"/>
              <w:spacing w:after="0"/>
              <w:rPr>
                <w:sz w:val="20"/>
                <w:szCs w:val="20"/>
                <w:color w:val="auto"/>
              </w:rPr>
            </w:pPr>
            <w:r>
              <w:rPr>
                <w:rFonts w:ascii="Arial" w:cs="Arial" w:eastAsia="Arial" w:hAnsi="Arial"/>
                <w:sz w:val="18"/>
                <w:szCs w:val="18"/>
                <w:color w:val="auto"/>
                <w:w w:val="87"/>
              </w:rPr>
              <w:t>(1,898)</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54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Arial" w:cs="Arial" w:eastAsia="Arial" w:hAnsi="Arial"/>
                <w:sz w:val="18"/>
                <w:szCs w:val="18"/>
                <w:color w:val="auto"/>
              </w:rPr>
              <w:t>70</w:t>
            </w:r>
          </w:p>
        </w:tc>
        <w:tc>
          <w:tcPr>
            <w:tcW w:w="360" w:type="dxa"/>
            <w:vAlign w:val="bottom"/>
          </w:tcPr>
          <w:p>
            <w:pPr>
              <w:spacing w:after="0"/>
              <w:rPr>
                <w:sz w:val="18"/>
                <w:szCs w:val="18"/>
                <w:color w:val="auto"/>
              </w:rPr>
            </w:pPr>
          </w:p>
        </w:tc>
        <w:tc>
          <w:tcPr>
            <w:tcW w:w="700" w:type="dxa"/>
            <w:vAlign w:val="bottom"/>
          </w:tcPr>
          <w:p>
            <w:pPr>
              <w:jc w:val="right"/>
              <w:ind w:right="156"/>
              <w:spacing w:after="0"/>
              <w:rPr>
                <w:sz w:val="20"/>
                <w:szCs w:val="20"/>
                <w:color w:val="auto"/>
              </w:rPr>
            </w:pPr>
            <w:r>
              <w:rPr>
                <w:rFonts w:ascii="Arial" w:cs="Arial" w:eastAsia="Arial" w:hAnsi="Arial"/>
                <w:sz w:val="18"/>
                <w:szCs w:val="18"/>
                <w:color w:val="auto"/>
              </w:rPr>
              <w:t>(147)</w:t>
            </w:r>
          </w:p>
        </w:tc>
        <w:tc>
          <w:tcPr>
            <w:tcW w:w="340" w:type="dxa"/>
            <w:vAlign w:val="bottom"/>
          </w:tcPr>
          <w:p>
            <w:pPr>
              <w:spacing w:after="0"/>
              <w:rPr>
                <w:sz w:val="18"/>
                <w:szCs w:val="18"/>
                <w:color w:val="auto"/>
              </w:rPr>
            </w:pPr>
          </w:p>
        </w:tc>
        <w:tc>
          <w:tcPr>
            <w:tcW w:w="740" w:type="dxa"/>
            <w:vAlign w:val="bottom"/>
          </w:tcPr>
          <w:p>
            <w:pPr>
              <w:jc w:val="right"/>
              <w:ind w:right="200"/>
              <w:spacing w:after="0"/>
              <w:rPr>
                <w:sz w:val="20"/>
                <w:szCs w:val="20"/>
                <w:color w:val="auto"/>
              </w:rPr>
            </w:pPr>
            <w:r>
              <w:rPr>
                <w:rFonts w:ascii="Arial" w:cs="Arial" w:eastAsia="Arial" w:hAnsi="Arial"/>
                <w:sz w:val="18"/>
                <w:szCs w:val="18"/>
                <w:color w:val="auto"/>
              </w:rPr>
              <w:t>170</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12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(losses) of investees, net</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20"/>
              <w:spacing w:after="0"/>
              <w:rPr>
                <w:sz w:val="20"/>
                <w:szCs w:val="20"/>
                <w:color w:val="auto"/>
              </w:rPr>
            </w:pPr>
            <w:r>
              <w:rPr>
                <w:rFonts w:ascii="Arial" w:cs="Arial" w:eastAsia="Arial" w:hAnsi="Arial"/>
                <w:sz w:val="18"/>
                <w:szCs w:val="18"/>
                <w:color w:val="auto"/>
              </w:rPr>
              <w:t>911</w:t>
            </w: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(40)</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200"/>
              <w:spacing w:after="0"/>
              <w:rPr>
                <w:sz w:val="20"/>
                <w:szCs w:val="20"/>
                <w:color w:val="auto"/>
              </w:rPr>
            </w:pPr>
            <w:r>
              <w:rPr>
                <w:rFonts w:ascii="Arial" w:cs="Arial" w:eastAsia="Arial" w:hAnsi="Arial"/>
                <w:sz w:val="18"/>
                <w:szCs w:val="18"/>
                <w:color w:val="auto"/>
              </w:rPr>
              <w:t>943</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8"/>
                <w:szCs w:val="18"/>
                <w:color w:val="auto"/>
              </w:rPr>
              <w:t>987</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924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7"/>
        </w:trPr>
        <w:tc>
          <w:tcPr>
            <w:tcW w:w="7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220"/>
              <w:spacing w:after="0"/>
              <w:rPr>
                <w:sz w:val="20"/>
                <w:szCs w:val="20"/>
                <w:color w:val="auto"/>
              </w:rPr>
            </w:pPr>
            <w:r>
              <w:rPr>
                <w:rFonts w:ascii="Arial" w:cs="Arial" w:eastAsia="Arial" w:hAnsi="Arial"/>
                <w:sz w:val="18"/>
                <w:szCs w:val="18"/>
                <w:b w:val="1"/>
                <w:bCs w:val="1"/>
                <w:color w:val="auto"/>
                <w:w w:val="88"/>
              </w:rPr>
              <w:t>1,335</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b w:val="1"/>
                <w:bCs w:val="1"/>
                <w:color w:val="auto"/>
              </w:rPr>
              <w:t>(836)</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139</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$(1,982)</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remained flat for the three months ended September 30, 2012 compared to the same period in 2011. Interest expense increased for the nine months ended September 30, 2012 compared to the same period in 2011 primarily due to interest expense related to the consolidation of NBCUniversal and Universal Orlando, which was partially offset by a decrease in our outstanding debt.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components of investment income (loss), net for the three and nine months ended September 30, 2012 and 2011 are presented in a table in Note 4 to our condensed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(Losses) of Investees, Net</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increases in equity in net income (losses) of investees, net for the three and nine months ended September 30, 2012 compared to the same periods in 2011 were primarily due to income of $876 million related to SpectrumCo’s gain on the sale of its AWS spectrum licenses to Verizon Wireless. See Note 4 for additional information.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increases in other income (expense), net for the three and nine months ended September 30, 2012 compared to the same periods in 2011 were primarily due to the $1 billion gain related to the sale of NBCUniversal’s equity interest in A&amp;E Television Networks. See Note 4 for additional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Tax Expense</w:t>
      </w:r>
    </w:p>
    <w:p>
      <w:pPr>
        <w:spacing w:after="0" w:line="8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Income tax expense for the three and nine months ended September 30, 2012 and 2011 reflects an effective income tax rate that differs from the federal statutory rate primarily due to state income taxes, interest on uncertain tax positions, the partnership structure of NBCUniversal and foreign income taxes. The effective income tax rate for the three and nine months ended September 30, 2011 was also impacted by $137 million of income tax expense related to certain changes in state tax laws. We now expect our 2012 annual effective tax rate to be in the range of 33% to 35%, primarily due to the impact of the portion of the gain associated with NBCUniversal’s sale of its equity interest in A&amp;E Television Network being attributable to our noncontrolling interest.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Net (Income) Loss Attributable to Noncontrolling Interests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changes in net (income) loss attributable to noncontrolling interests for the three and nine months ended September 30, 2012 compared to the same periods in 2011 were primarily due to GE’s allocated share of the increases in earnings of NBCUniversal in the current year periods.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as well as potential future redemptions of GE’s noncontrolling equity interest in NBCUniversal, through our cash flows from operating activities, existing cash, cash equivalents and investments, available borrowings under our existing credit facilities, and our ability to obtain future external financing.</w:t>
      </w:r>
    </w:p>
    <w:p>
      <w:pPr>
        <w:spacing w:after="0" w:line="4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anticipate that we will continue to use a substantial portion of our cash flows to meet our debt repayment obligations, to fund our capital expenditures, to invest in business opportunities and to return capital to shareholders. The cash flows generated from our Cable Communications segment and other businesses are used to invest in their respective core businesses and to return capital to shareholders. The cash flows generated from NBCUniversal are used to invest in its core businesses and to fund potential future redemptions of GE’s noncontrolling interest in NBCUniversal.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gridSpan w:val="3"/>
          </w:tcPr>
          <w:p>
            <w:pPr>
              <w:jc w:val="right"/>
              <w:ind w:right="27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93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454"/>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936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color w:val="auto"/>
              </w:rPr>
              <w:t>2012</w:t>
            </w: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936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8,885</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7,803</w:t>
            </w:r>
          </w:p>
        </w:tc>
        <w:tc>
          <w:tcPr>
            <w:tcW w:w="0" w:type="dxa"/>
            <w:vAlign w:val="bottom"/>
          </w:tcPr>
          <w:p>
            <w:pPr>
              <w:spacing w:after="0"/>
              <w:rPr>
                <w:sz w:val="1"/>
                <w:szCs w:val="1"/>
                <w:color w:val="auto"/>
              </w:rPr>
            </w:pPr>
          </w:p>
        </w:tc>
      </w:tr>
      <w:tr>
        <w:trPr>
          <w:trHeight w:val="216"/>
        </w:trPr>
        <w:tc>
          <w:tcPr>
            <w:tcW w:w="9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5,815</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10"/>
        </w:trPr>
        <w:tc>
          <w:tcPr>
            <w:tcW w:w="93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Operating income before depreciation and amortization</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w w:val="83"/>
              </w:rPr>
              <w:t>14,700</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7"/>
              </w:rPr>
              <w:t>13,441</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Noncash share-based compensation</w:t>
            </w:r>
          </w:p>
        </w:tc>
        <w:tc>
          <w:tcPr>
            <w:tcW w:w="440" w:type="dxa"/>
            <w:vAlign w:val="bottom"/>
          </w:tcPr>
          <w:p>
            <w:pPr>
              <w:spacing w:after="0"/>
              <w:rPr>
                <w:sz w:val="18"/>
                <w:szCs w:val="18"/>
                <w:color w:val="auto"/>
              </w:rPr>
            </w:pPr>
          </w:p>
        </w:tc>
        <w:tc>
          <w:tcPr>
            <w:tcW w:w="740" w:type="dxa"/>
            <w:vAlign w:val="bottom"/>
          </w:tcPr>
          <w:p>
            <w:pPr>
              <w:jc w:val="right"/>
              <w:ind w:right="177"/>
              <w:spacing w:after="0"/>
              <w:rPr>
                <w:sz w:val="20"/>
                <w:szCs w:val="20"/>
                <w:color w:val="auto"/>
              </w:rPr>
            </w:pPr>
            <w:r>
              <w:rPr>
                <w:rFonts w:ascii="Arial" w:cs="Arial" w:eastAsia="Arial" w:hAnsi="Arial"/>
                <w:sz w:val="18"/>
                <w:szCs w:val="18"/>
                <w:color w:val="auto"/>
              </w:rPr>
              <w:t>278</w:t>
            </w:r>
          </w:p>
        </w:tc>
        <w:tc>
          <w:tcPr>
            <w:tcW w:w="2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9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(254)</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0"/>
        </w:trPr>
        <w:tc>
          <w:tcPr>
            <w:tcW w:w="9360" w:type="dxa"/>
            <w:vAlign w:val="bottom"/>
          </w:tcPr>
          <w:p>
            <w:pPr>
              <w:ind w:left="440"/>
              <w:spacing w:after="0"/>
              <w:rPr>
                <w:sz w:val="20"/>
                <w:szCs w:val="20"/>
                <w:color w:val="auto"/>
              </w:rPr>
            </w:pPr>
            <w:r>
              <w:rPr>
                <w:rFonts w:ascii="Arial" w:cs="Arial" w:eastAsia="Arial" w:hAnsi="Arial"/>
                <w:sz w:val="18"/>
                <w:szCs w:val="18"/>
                <w:color w:val="auto"/>
              </w:rPr>
              <w:t>Cash basis operating income</w:t>
            </w:r>
          </w:p>
        </w:tc>
        <w:tc>
          <w:tcPr>
            <w:tcW w:w="440" w:type="dxa"/>
            <w:vAlign w:val="bottom"/>
          </w:tcPr>
          <w:p>
            <w:pPr>
              <w:spacing w:after="0"/>
              <w:rPr>
                <w:sz w:val="18"/>
                <w:szCs w:val="18"/>
                <w:color w:val="auto"/>
              </w:rPr>
            </w:pPr>
          </w:p>
        </w:tc>
        <w:tc>
          <w:tcPr>
            <w:tcW w:w="740" w:type="dxa"/>
            <w:vAlign w:val="bottom"/>
          </w:tcPr>
          <w:p>
            <w:pPr>
              <w:jc w:val="right"/>
              <w:ind w:right="177"/>
              <w:spacing w:after="0"/>
              <w:rPr>
                <w:sz w:val="20"/>
                <w:szCs w:val="20"/>
                <w:color w:val="auto"/>
              </w:rPr>
            </w:pPr>
            <w:r>
              <w:rPr>
                <w:rFonts w:ascii="Arial" w:cs="Arial" w:eastAsia="Arial" w:hAnsi="Arial"/>
                <w:sz w:val="18"/>
                <w:szCs w:val="18"/>
                <w:color w:val="auto"/>
                <w:w w:val="83"/>
              </w:rPr>
              <w:t>14,724</w:t>
            </w:r>
          </w:p>
        </w:tc>
        <w:tc>
          <w:tcPr>
            <w:tcW w:w="2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w w:val="87"/>
              </w:rPr>
              <w:t>12,980</w:t>
            </w:r>
          </w:p>
        </w:tc>
        <w:tc>
          <w:tcPr>
            <w:tcW w:w="0" w:type="dxa"/>
            <w:vAlign w:val="bottom"/>
          </w:tcPr>
          <w:p>
            <w:pPr>
              <w:spacing w:after="0"/>
              <w:rPr>
                <w:sz w:val="1"/>
                <w:szCs w:val="1"/>
                <w:color w:val="auto"/>
              </w:rPr>
            </w:pPr>
          </w:p>
        </w:tc>
      </w:tr>
      <w:tr>
        <w:trPr>
          <w:trHeight w:val="216"/>
        </w:trPr>
        <w:tc>
          <w:tcPr>
            <w:tcW w:w="936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w w:val="91"/>
              </w:rPr>
              <w:t>(1,725)</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4"/>
              </w:rPr>
              <w:t>(1,809)</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440" w:type="dxa"/>
            <w:vAlign w:val="bottom"/>
          </w:tcPr>
          <w:p>
            <w:pPr>
              <w:spacing w:after="0"/>
              <w:rPr>
                <w:sz w:val="18"/>
                <w:szCs w:val="18"/>
                <w:color w:val="auto"/>
              </w:rPr>
            </w:pPr>
          </w:p>
        </w:tc>
        <w:tc>
          <w:tcPr>
            <w:tcW w:w="740" w:type="dxa"/>
            <w:vAlign w:val="bottom"/>
          </w:tcPr>
          <w:p>
            <w:pPr>
              <w:jc w:val="right"/>
              <w:ind w:right="117"/>
              <w:spacing w:after="0"/>
              <w:rPr>
                <w:sz w:val="20"/>
                <w:szCs w:val="20"/>
                <w:color w:val="auto"/>
              </w:rPr>
            </w:pPr>
            <w:r>
              <w:rPr>
                <w:rFonts w:ascii="Arial" w:cs="Arial" w:eastAsia="Arial" w:hAnsi="Arial"/>
                <w:sz w:val="18"/>
                <w:szCs w:val="18"/>
                <w:color w:val="auto"/>
                <w:w w:val="91"/>
              </w:rPr>
              <w:t>(1,855)</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(1,166)</w:t>
            </w:r>
          </w:p>
        </w:tc>
        <w:tc>
          <w:tcPr>
            <w:tcW w:w="0" w:type="dxa"/>
            <w:vAlign w:val="bottom"/>
          </w:tcPr>
          <w:p>
            <w:pPr>
              <w:spacing w:after="0"/>
              <w:rPr>
                <w:sz w:val="1"/>
                <w:szCs w:val="1"/>
                <w:color w:val="auto"/>
              </w:rPr>
            </w:pPr>
          </w:p>
        </w:tc>
      </w:tr>
      <w:tr>
        <w:trPr>
          <w:trHeight w:val="216"/>
        </w:trPr>
        <w:tc>
          <w:tcPr>
            <w:tcW w:w="9360" w:type="dxa"/>
            <w:vAlign w:val="bottom"/>
            <w:shd w:val="clear" w:color="auto" w:fill="E5E5E5"/>
          </w:tcPr>
          <w:p>
            <w:pPr>
              <w:spacing w:after="0"/>
              <w:rPr>
                <w:sz w:val="20"/>
                <w:szCs w:val="20"/>
                <w:color w:val="auto"/>
              </w:rPr>
            </w:pPr>
            <w:r>
              <w:rPr>
                <w:rFonts w:ascii="Arial" w:cs="Arial" w:eastAsia="Arial" w:hAnsi="Arial"/>
                <w:sz w:val="18"/>
                <w:szCs w:val="18"/>
                <w:color w:val="auto"/>
              </w:rPr>
              <w:t>Proceeds from investments and other</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201</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9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Excess tax benefits under share-based compensation</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(106)</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7"/>
        </w:trPr>
        <w:tc>
          <w:tcPr>
            <w:tcW w:w="9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b w:val="1"/>
                <w:bCs w:val="1"/>
                <w:color w:val="auto"/>
                <w:w w:val="83"/>
              </w:rPr>
              <w:t>11,239</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87"/>
              </w:rPr>
              <w:t>10,206</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changes in operating assets and liabilities for the nine months ended September 30, 2012 compared to the same period in 2011 primarily relate to a decrease in film and television costs, partially offset by the settlement in 2012 of a $237 million liability associated with the unfavorable Olympic contract that had been recorded through the application of acquisition accounting in 2011, as well as the timing of other operating items, including accounts receivable and accounts payable related to trade creditors.</w:t>
      </w:r>
    </w:p>
    <w:p>
      <w:pPr>
        <w:spacing w:after="0" w:line="4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decrease in interest payments for the nine months ended September 30, 2012 compared to the same period in 2011 was primarily due to the repayment and redemption of certain of our debt obligations.</w:t>
      </w:r>
    </w:p>
    <w:p>
      <w:pPr>
        <w:spacing w:after="0" w:line="3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increase in income tax payments for the nine months ended September 30, 2012 compared to the same period in 2011 was primarily due to an increase in taxable income, which resulted in higher federal tax payments made in 2012, and the lower net impact in 2012 of the economic stimulus legislation.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provided by investing activities for the nine months ended September 30, 2012 consisted primarily of proceeds from sales of businesses and investments and return of capital from investees, offset by capital expenditures and cash paid for intangible assets.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September 30, 2012, we received a $2.3 billion distribution from SpectrumCo, representing our portion of the proceeds from the sale of its AWS spectrum licenses. In addition, NBCUniversal received $3 billion in cash proceeds related to A&amp;E Television Networks’ redemption of NBCUniversal’s 15.8% equity interest. Following the close of the transaction, NBCUniversal no longer receives dividends from A&amp;E Television Networks. During the nine months ended September 30, 2012 and 2011, NBCUniversal received $129 million and $138 million, respectively, in dividends from A&amp;E Television Networks, which were included in net cash provided by operating activities.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financing activities for the nine months ended September 30, 2012 consisted primarily of repayments of debt, repurchases of our common stock, dividend payments, repayments of our short-term borrowings and NBCUniversal distributions to GE, offset by proceeds from borrowings and issuances of common stock. Distributions to GE for the nine months ended September 30, 2012 represented tax distributions to GE and included $158 million related to NBCUniversal’s sale of its equity interest in A&amp;E Television Networks. NBCUniversal expects to make further tax distributions to GE of approximately $50 million in the fourth quarter of 2012 associated with this transaction.</w:t>
      </w:r>
    </w:p>
    <w:p>
      <w:pPr>
        <w:spacing w:after="0" w:line="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October 2012, NBCUniversal issued $1 billion aggregate principal amount of 2.875% senior notes due 2023 and $1 billion aggregate principal amount of 4.450% senior notes due 2043. A portion of the proceeds from this issuance will be used in November 2012 to redeem the $260 million aggregate principal amount outstanding of Universal Orlando’s 8.875% senior notes due 2015 and the $146 million aggregate principal amount outstanding of Universal Orlando’s 10.875% senior subordinated notes due 2016.</w:t>
      </w:r>
    </w:p>
    <w:p>
      <w:pPr>
        <w:spacing w:after="0" w:line="4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maintain significant availability under our lines of credit and our commercial paper programs to meet our short-term liquidity requirements. In June 2012, Comcast and Comcast Cable Communications, LLC entered into a new $6.25 billion revolving credit facility due June 2017 with a syndicate of banks, which may be used for general corporate purposes. The new revolving credit facility replaced our prior $6.8 billion revolving credit facility, which was terminated in connection with the execution of the new revolving credit facility. The interest rate on the new facility consists of a base rate plus a borrowing margin that is determined based on Comcast’s credit rating. As of September 30, 2012, the borrowing margin for LIBOR-based borrowings was 1.125%. The terms of the new revolving credit facility’s financial covenants and guarantees are substantially the same as those under the prior revolving credit facility. As of September 30, 2012, $5.8 billion was available under the new revolving credit facility and $1.4 billion was available under NBCUniversal’s $1.5 billion revolving credit facility.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February 2012, our Board of Directors approved a $6.5 billion share repurchase authorization that does not have an expiration date. Under this authorization, we may repurchase shares in the open market or in private transactions. We intend to repurchase $3.0 billion during 2012, subject to market conditions. During the nine months ended September 30, 2012, we repurchased 75 million shares of our Class A Special common stock for $2.25 billion.</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2012, our Board of Directors approved an increase to our dividend of 44% to $0.65 per share on an annualized basis. In February, May and July 2012, our Board of Directors approved a quarterly dividend of $0.1625 per share. We expect to continue to pay quarterly dividends, although each dividend is subject to approval by our Board of Directors.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Dividends Declared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center"/>
              <w:ind w:left="100"/>
              <w:spacing w:after="0"/>
              <w:rPr>
                <w:sz w:val="20"/>
                <w:szCs w:val="20"/>
                <w:color w:val="auto"/>
              </w:rPr>
            </w:pPr>
            <w:r>
              <w:rPr>
                <w:rFonts w:ascii="Arial" w:cs="Arial" w:eastAsia="Arial" w:hAnsi="Arial"/>
                <w:sz w:val="14"/>
                <w:szCs w:val="14"/>
                <w:color w:val="auto"/>
                <w:w w:val="95"/>
              </w:rPr>
              <w:t>Month of</w:t>
            </w:r>
          </w:p>
        </w:tc>
      </w:tr>
      <w:tr>
        <w:trPr>
          <w:trHeight w:val="159"/>
        </w:trPr>
        <w:tc>
          <w:tcPr>
            <w:tcW w:w="64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200" w:type="dxa"/>
            <w:vAlign w:val="bottom"/>
            <w:tcBorders>
              <w:bottom w:val="single" w:sz="8" w:color="auto"/>
            </w:tcBorders>
            <w:gridSpan w:val="2"/>
          </w:tcPr>
          <w:p>
            <w:pPr>
              <w:ind w:left="3540"/>
              <w:spacing w:after="0" w:line="159" w:lineRule="exact"/>
              <w:rPr>
                <w:sz w:val="20"/>
                <w:szCs w:val="20"/>
                <w:color w:val="auto"/>
              </w:rPr>
            </w:pPr>
            <w:r>
              <w:rPr>
                <w:rFonts w:ascii="Arial" w:cs="Arial" w:eastAsia="Arial" w:hAnsi="Arial"/>
                <w:sz w:val="14"/>
                <w:szCs w:val="14"/>
                <w:color w:val="auto"/>
              </w:rPr>
              <w:t>Amount</w:t>
            </w:r>
          </w:p>
        </w:tc>
        <w:tc>
          <w:tcPr>
            <w:tcW w:w="820" w:type="dxa"/>
            <w:vAlign w:val="bottom"/>
            <w:tcBorders>
              <w:bottom w:val="single" w:sz="8" w:color="auto"/>
            </w:tcBorders>
          </w:tcPr>
          <w:p>
            <w:pPr>
              <w:jc w:val="center"/>
              <w:ind w:left="100"/>
              <w:spacing w:after="0" w:line="159" w:lineRule="exact"/>
              <w:rPr>
                <w:sz w:val="20"/>
                <w:szCs w:val="20"/>
                <w:color w:val="auto"/>
              </w:rPr>
            </w:pPr>
            <w:r>
              <w:rPr>
                <w:rFonts w:ascii="Arial" w:cs="Arial" w:eastAsia="Arial" w:hAnsi="Arial"/>
                <w:sz w:val="14"/>
                <w:szCs w:val="14"/>
                <w:color w:val="auto"/>
                <w:w w:val="86"/>
              </w:rPr>
              <w:t>Payment</w:t>
            </w:r>
          </w:p>
        </w:tc>
      </w:tr>
      <w:tr>
        <w:trPr>
          <w:trHeight w:val="210"/>
        </w:trPr>
        <w:tc>
          <w:tcPr>
            <w:tcW w:w="6400" w:type="dxa"/>
            <w:vAlign w:val="bottom"/>
            <w:shd w:val="clear" w:color="auto" w:fill="E5E5E5"/>
          </w:tcPr>
          <w:p>
            <w:pPr>
              <w:spacing w:after="0"/>
              <w:rPr>
                <w:sz w:val="20"/>
                <w:szCs w:val="20"/>
                <w:color w:val="auto"/>
              </w:rPr>
            </w:pPr>
            <w:r>
              <w:rPr>
                <w:rFonts w:ascii="Arial" w:cs="Arial" w:eastAsia="Arial" w:hAnsi="Arial"/>
                <w:sz w:val="18"/>
                <w:szCs w:val="18"/>
                <w:color w:val="auto"/>
              </w:rPr>
              <w:t>Three months ended March 31, 2012</w:t>
            </w:r>
          </w:p>
        </w:tc>
        <w:tc>
          <w:tcPr>
            <w:tcW w:w="3660" w:type="dxa"/>
            <w:vAlign w:val="bottom"/>
            <w:shd w:val="clear" w:color="auto" w:fill="E5E5E5"/>
          </w:tcPr>
          <w:p>
            <w:pPr>
              <w:ind w:left="352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439</w:t>
            </w:r>
          </w:p>
        </w:tc>
        <w:tc>
          <w:tcPr>
            <w:tcW w:w="820" w:type="dxa"/>
            <w:vAlign w:val="bottom"/>
            <w:shd w:val="clear" w:color="auto" w:fill="E5E5E5"/>
          </w:tcPr>
          <w:p>
            <w:pPr>
              <w:jc w:val="center"/>
              <w:ind w:left="100"/>
              <w:spacing w:after="0"/>
              <w:rPr>
                <w:sz w:val="20"/>
                <w:szCs w:val="20"/>
                <w:color w:val="auto"/>
              </w:rPr>
            </w:pPr>
            <w:r>
              <w:rPr>
                <w:rFonts w:ascii="Arial" w:cs="Arial" w:eastAsia="Arial" w:hAnsi="Arial"/>
                <w:sz w:val="18"/>
                <w:szCs w:val="18"/>
                <w:color w:val="auto"/>
                <w:w w:val="99"/>
              </w:rPr>
              <w:t>April</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Three months ended June 30, 2012</w:t>
            </w:r>
          </w:p>
        </w:tc>
        <w:tc>
          <w:tcPr>
            <w:tcW w:w="3660" w:type="dxa"/>
            <w:vAlign w:val="bottom"/>
          </w:tcPr>
          <w:p>
            <w:pPr>
              <w:ind w:left="35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435</w:t>
            </w:r>
          </w:p>
        </w:tc>
        <w:tc>
          <w:tcPr>
            <w:tcW w:w="820" w:type="dxa"/>
            <w:vAlign w:val="bottom"/>
          </w:tcPr>
          <w:p>
            <w:pPr>
              <w:jc w:val="center"/>
              <w:ind w:left="100"/>
              <w:spacing w:after="0"/>
              <w:rPr>
                <w:sz w:val="20"/>
                <w:szCs w:val="20"/>
                <w:color w:val="auto"/>
              </w:rPr>
            </w:pPr>
            <w:r>
              <w:rPr>
                <w:rFonts w:ascii="Arial" w:cs="Arial" w:eastAsia="Arial" w:hAnsi="Arial"/>
                <w:sz w:val="18"/>
                <w:szCs w:val="18"/>
                <w:color w:val="auto"/>
                <w:w w:val="87"/>
              </w:rPr>
              <w:t>July</w:t>
            </w:r>
          </w:p>
        </w:tc>
      </w:tr>
      <w:tr>
        <w:trPr>
          <w:trHeight w:val="216"/>
        </w:trPr>
        <w:tc>
          <w:tcPr>
            <w:tcW w:w="64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Three months ended September 30, 2012</w:t>
            </w:r>
          </w:p>
        </w:tc>
        <w:tc>
          <w:tcPr>
            <w:tcW w:w="3660" w:type="dxa"/>
            <w:vAlign w:val="bottom"/>
            <w:tcBorders>
              <w:bottom w:val="single" w:sz="8" w:color="auto"/>
            </w:tcBorders>
            <w:shd w:val="clear" w:color="auto" w:fill="E5E5E5"/>
          </w:tcPr>
          <w:p>
            <w:pPr>
              <w:ind w:left="35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432</w:t>
            </w:r>
          </w:p>
        </w:tc>
        <w:tc>
          <w:tcPr>
            <w:tcW w:w="820" w:type="dxa"/>
            <w:vAlign w:val="bottom"/>
            <w:tcBorders>
              <w:bottom w:val="single" w:sz="8" w:color="auto"/>
            </w:tcBorders>
            <w:shd w:val="clear" w:color="auto" w:fill="E5E5E5"/>
          </w:tcPr>
          <w:p>
            <w:pPr>
              <w:jc w:val="center"/>
              <w:ind w:left="100"/>
              <w:spacing w:after="0"/>
              <w:rPr>
                <w:sz w:val="20"/>
                <w:szCs w:val="20"/>
                <w:color w:val="auto"/>
              </w:rPr>
            </w:pPr>
            <w:r>
              <w:rPr>
                <w:rFonts w:ascii="Arial" w:cs="Arial" w:eastAsia="Arial" w:hAnsi="Arial"/>
                <w:sz w:val="18"/>
                <w:szCs w:val="18"/>
                <w:color w:val="auto"/>
                <w:w w:val="87"/>
              </w:rPr>
              <w:t>October</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condensed consolidated financial statements requires us to make estimates that affect the reported amounts of assets, liabilities, revenue and expenses, and the related disclosure of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believe our judgments and related estimates associated with the valuation and impairment testing of our cable franchise rights, accounting for income taxes, accounting for film and television costs and the fair value of acquisition-related assets and liabilities are critical in the preparation of our condensed consolidated financial statements. We performed our annual impairment testing of our cable franchise rights as of July 1, 2012 and no impairment charge was recorded.</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2011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evaluated the information required under this item that was disclosed in our 2011 Annual Report on Form 10-K and there have been no significant changes to this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executive and principal financial officers, after evaluating the effectiveness of our disclosure controls and procedures (as defined in Exchange Act Rules 13a-15(e) and 15d-15(e) under the Securities Exchange Act of 1934, as amended (the “Exchange Act”))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Refer to Note 14 to our condensed consolidated financial statements included in this Quarterly Report on Form 10-Q for a discussion of recent developments related to our legal proceedings.</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to the matters described in Note 14, the California Attorney General and the Alameda County, California District Attorney are investigating whether certain of our waste disposal policies, procedures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practices are in violation of the California Business and Professions Code and the California Health and Safety Code. These entities have not specified the relief that may be sought. We are cooperating with the investigation. While we are unable to predict the outcome of this investigation, we do not believe that the outcome will have a material effect on our results of operations, financial condition or cash flows.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2011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 below summarizes our Class A Special common stock repurchases under our Board-authorized share repurchase program during the three months ended September 30, 2012.</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of Equity Securities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500" w:type="dxa"/>
            <w:vAlign w:val="bottom"/>
            <w:vMerge w:val="restart"/>
          </w:tcPr>
          <w:p>
            <w:pPr>
              <w:jc w:val="center"/>
              <w:ind w:left="1022"/>
              <w:spacing w:after="0"/>
              <w:rPr>
                <w:sz w:val="20"/>
                <w:szCs w:val="20"/>
                <w:color w:val="auto"/>
              </w:rPr>
            </w:pPr>
            <w:r>
              <w:rPr>
                <w:rFonts w:ascii="Arial" w:cs="Arial" w:eastAsia="Arial" w:hAnsi="Arial"/>
                <w:sz w:val="14"/>
                <w:szCs w:val="14"/>
                <w:color w:val="auto"/>
                <w:w w:val="89"/>
              </w:rPr>
              <w:t>Total</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center"/>
              <w:ind w:right="263"/>
              <w:spacing w:after="0"/>
              <w:rPr>
                <w:sz w:val="20"/>
                <w:szCs w:val="20"/>
                <w:color w:val="auto"/>
              </w:rPr>
            </w:pPr>
            <w:r>
              <w:rPr>
                <w:rFonts w:ascii="Arial" w:cs="Arial" w:eastAsia="Arial" w:hAnsi="Arial"/>
                <w:sz w:val="14"/>
                <w:szCs w:val="14"/>
                <w:color w:val="auto"/>
                <w:w w:val="89"/>
              </w:rPr>
              <w:t>Total Dollar</w:t>
            </w:r>
          </w:p>
        </w:tc>
        <w:tc>
          <w:tcPr>
            <w:tcW w:w="1460" w:type="dxa"/>
            <w:vAlign w:val="bottom"/>
          </w:tcPr>
          <w:p>
            <w:pPr>
              <w:jc w:val="center"/>
              <w:ind w:left="124"/>
              <w:spacing w:after="0"/>
              <w:rPr>
                <w:sz w:val="20"/>
                <w:szCs w:val="20"/>
                <w:color w:val="auto"/>
              </w:rPr>
            </w:pPr>
            <w:r>
              <w:rPr>
                <w:rFonts w:ascii="Arial" w:cs="Arial" w:eastAsia="Arial" w:hAnsi="Arial"/>
                <w:sz w:val="14"/>
                <w:szCs w:val="14"/>
                <w:color w:val="auto"/>
                <w:w w:val="92"/>
              </w:rPr>
              <w:t>Maximum Dollar</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2500" w:type="dxa"/>
            <w:vAlign w:val="bottom"/>
            <w:vMerge w:val="continue"/>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Arial" w:cs="Arial" w:eastAsia="Arial" w:hAnsi="Arial"/>
                <w:sz w:val="14"/>
                <w:szCs w:val="14"/>
                <w:color w:val="auto"/>
                <w:w w:val="84"/>
              </w:rPr>
              <w:t>Average</w:t>
            </w:r>
          </w:p>
        </w:tc>
        <w:tc>
          <w:tcPr>
            <w:tcW w:w="1920" w:type="dxa"/>
            <w:vAlign w:val="bottom"/>
          </w:tcPr>
          <w:p>
            <w:pPr>
              <w:jc w:val="center"/>
              <w:spacing w:after="0" w:line="135" w:lineRule="exact"/>
              <w:rPr>
                <w:sz w:val="20"/>
                <w:szCs w:val="20"/>
                <w:color w:val="auto"/>
              </w:rPr>
            </w:pPr>
            <w:r>
              <w:rPr>
                <w:rFonts w:ascii="Arial" w:cs="Arial" w:eastAsia="Arial" w:hAnsi="Arial"/>
                <w:sz w:val="14"/>
                <w:szCs w:val="14"/>
                <w:color w:val="auto"/>
                <w:w w:val="89"/>
              </w:rPr>
              <w:t>Total Number of</w:t>
            </w:r>
          </w:p>
        </w:tc>
        <w:tc>
          <w:tcPr>
            <w:tcW w:w="360" w:type="dxa"/>
            <w:vAlign w:val="bottom"/>
          </w:tcPr>
          <w:p>
            <w:pPr>
              <w:spacing w:after="0"/>
              <w:rPr>
                <w:sz w:val="11"/>
                <w:szCs w:val="11"/>
                <w:color w:val="auto"/>
              </w:rPr>
            </w:pPr>
          </w:p>
        </w:tc>
        <w:tc>
          <w:tcPr>
            <w:tcW w:w="1140" w:type="dxa"/>
            <w:vAlign w:val="bottom"/>
          </w:tcPr>
          <w:p>
            <w:pPr>
              <w:jc w:val="center"/>
              <w:ind w:right="263"/>
              <w:spacing w:after="0" w:line="135" w:lineRule="exact"/>
              <w:rPr>
                <w:sz w:val="20"/>
                <w:szCs w:val="20"/>
                <w:color w:val="auto"/>
              </w:rPr>
            </w:pPr>
            <w:r>
              <w:rPr>
                <w:rFonts w:ascii="Arial" w:cs="Arial" w:eastAsia="Arial" w:hAnsi="Arial"/>
                <w:sz w:val="14"/>
                <w:szCs w:val="14"/>
                <w:color w:val="auto"/>
                <w:w w:val="91"/>
              </w:rPr>
              <w:t>Amount</w:t>
            </w:r>
          </w:p>
        </w:tc>
        <w:tc>
          <w:tcPr>
            <w:tcW w:w="1460" w:type="dxa"/>
            <w:vAlign w:val="bottom"/>
          </w:tcPr>
          <w:p>
            <w:pPr>
              <w:jc w:val="center"/>
              <w:ind w:left="144"/>
              <w:spacing w:after="0" w:line="135" w:lineRule="exact"/>
              <w:rPr>
                <w:sz w:val="20"/>
                <w:szCs w:val="20"/>
                <w:color w:val="auto"/>
              </w:rPr>
            </w:pPr>
            <w:r>
              <w:rPr>
                <w:rFonts w:ascii="Arial" w:cs="Arial" w:eastAsia="Arial" w:hAnsi="Arial"/>
                <w:sz w:val="14"/>
                <w:szCs w:val="14"/>
                <w:color w:val="auto"/>
                <w:w w:val="85"/>
              </w:rPr>
              <w:t>Value of Shares That</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500" w:type="dxa"/>
            <w:vAlign w:val="bottom"/>
          </w:tcPr>
          <w:p>
            <w:pPr>
              <w:jc w:val="center"/>
              <w:ind w:left="1022"/>
              <w:spacing w:after="0" w:line="149" w:lineRule="exact"/>
              <w:rPr>
                <w:sz w:val="20"/>
                <w:szCs w:val="20"/>
                <w:color w:val="auto"/>
              </w:rPr>
            </w:pPr>
            <w:r>
              <w:rPr>
                <w:rFonts w:ascii="Arial" w:cs="Arial" w:eastAsia="Arial" w:hAnsi="Arial"/>
                <w:sz w:val="14"/>
                <w:szCs w:val="14"/>
                <w:color w:val="auto"/>
                <w:w w:val="91"/>
              </w:rPr>
              <w:t>Number of</w:t>
            </w:r>
          </w:p>
        </w:tc>
        <w:tc>
          <w:tcPr>
            <w:tcW w:w="340" w:type="dxa"/>
            <w:vAlign w:val="bottom"/>
          </w:tcPr>
          <w:p>
            <w:pPr>
              <w:spacing w:after="0"/>
              <w:rPr>
                <w:sz w:val="12"/>
                <w:szCs w:val="12"/>
                <w:color w:val="auto"/>
              </w:rPr>
            </w:pPr>
          </w:p>
        </w:tc>
        <w:tc>
          <w:tcPr>
            <w:tcW w:w="680" w:type="dxa"/>
            <w:vAlign w:val="bottom"/>
          </w:tcPr>
          <w:p>
            <w:pPr>
              <w:jc w:val="center"/>
              <w:ind w:right="281"/>
              <w:spacing w:after="0" w:line="149" w:lineRule="exact"/>
              <w:rPr>
                <w:sz w:val="20"/>
                <w:szCs w:val="20"/>
                <w:color w:val="auto"/>
              </w:rPr>
            </w:pPr>
            <w:r>
              <w:rPr>
                <w:rFonts w:ascii="Arial" w:cs="Arial" w:eastAsia="Arial" w:hAnsi="Arial"/>
                <w:sz w:val="14"/>
                <w:szCs w:val="14"/>
                <w:color w:val="auto"/>
                <w:w w:val="87"/>
              </w:rPr>
              <w:t>Price</w:t>
            </w: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83"/>
              </w:rPr>
              <w:t>Shares Purchased</w:t>
            </w:r>
          </w:p>
        </w:tc>
        <w:tc>
          <w:tcPr>
            <w:tcW w:w="360" w:type="dxa"/>
            <w:vAlign w:val="bottom"/>
          </w:tcPr>
          <w:p>
            <w:pPr>
              <w:spacing w:after="0"/>
              <w:rPr>
                <w:sz w:val="12"/>
                <w:szCs w:val="12"/>
                <w:color w:val="auto"/>
              </w:rPr>
            </w:pPr>
          </w:p>
        </w:tc>
        <w:tc>
          <w:tcPr>
            <w:tcW w:w="1140" w:type="dxa"/>
            <w:vAlign w:val="bottom"/>
          </w:tcPr>
          <w:p>
            <w:pPr>
              <w:jc w:val="center"/>
              <w:ind w:right="263"/>
              <w:spacing w:after="0" w:line="149" w:lineRule="exact"/>
              <w:rPr>
                <w:sz w:val="20"/>
                <w:szCs w:val="20"/>
                <w:color w:val="auto"/>
              </w:rPr>
            </w:pPr>
            <w:r>
              <w:rPr>
                <w:rFonts w:ascii="Arial" w:cs="Arial" w:eastAsia="Arial" w:hAnsi="Arial"/>
                <w:sz w:val="14"/>
                <w:szCs w:val="14"/>
                <w:color w:val="auto"/>
                <w:w w:val="83"/>
              </w:rPr>
              <w:t>Purchased</w:t>
            </w:r>
          </w:p>
        </w:tc>
        <w:tc>
          <w:tcPr>
            <w:tcW w:w="1460" w:type="dxa"/>
            <w:vAlign w:val="bottom"/>
          </w:tcPr>
          <w:p>
            <w:pPr>
              <w:jc w:val="center"/>
              <w:ind w:left="144"/>
              <w:spacing w:after="0" w:line="149" w:lineRule="exact"/>
              <w:rPr>
                <w:sz w:val="20"/>
                <w:szCs w:val="20"/>
                <w:color w:val="auto"/>
              </w:rPr>
            </w:pPr>
            <w:r>
              <w:rPr>
                <w:rFonts w:ascii="Arial" w:cs="Arial" w:eastAsia="Arial" w:hAnsi="Arial"/>
                <w:sz w:val="14"/>
                <w:szCs w:val="14"/>
                <w:color w:val="auto"/>
                <w:w w:val="88"/>
              </w:rPr>
              <w:t>May Yet Be</w:t>
            </w:r>
          </w:p>
        </w:tc>
        <w:tc>
          <w:tcPr>
            <w:tcW w:w="0" w:type="dxa"/>
            <w:vAlign w:val="bottom"/>
          </w:tcPr>
          <w:p>
            <w:pPr>
              <w:spacing w:after="0"/>
              <w:rPr>
                <w:sz w:val="1"/>
                <w:szCs w:val="1"/>
                <w:color w:val="auto"/>
              </w:rPr>
            </w:pPr>
          </w:p>
        </w:tc>
      </w:tr>
      <w:tr>
        <w:trPr>
          <w:trHeight w:val="146"/>
        </w:trPr>
        <w:tc>
          <w:tcPr>
            <w:tcW w:w="3020" w:type="dxa"/>
            <w:vAlign w:val="bottom"/>
          </w:tcPr>
          <w:p>
            <w:pPr>
              <w:spacing w:after="0"/>
              <w:rPr>
                <w:sz w:val="12"/>
                <w:szCs w:val="12"/>
                <w:color w:val="auto"/>
              </w:rPr>
            </w:pPr>
          </w:p>
        </w:tc>
        <w:tc>
          <w:tcPr>
            <w:tcW w:w="2500" w:type="dxa"/>
            <w:vAlign w:val="bottom"/>
          </w:tcPr>
          <w:p>
            <w:pPr>
              <w:jc w:val="center"/>
              <w:ind w:left="1022"/>
              <w:spacing w:after="0" w:line="146" w:lineRule="exact"/>
              <w:rPr>
                <w:sz w:val="20"/>
                <w:szCs w:val="20"/>
                <w:color w:val="auto"/>
              </w:rPr>
            </w:pPr>
            <w:r>
              <w:rPr>
                <w:rFonts w:ascii="Arial" w:cs="Arial" w:eastAsia="Arial" w:hAnsi="Arial"/>
                <w:sz w:val="14"/>
                <w:szCs w:val="14"/>
                <w:color w:val="auto"/>
                <w:w w:val="81"/>
              </w:rPr>
              <w:t>Shares</w:t>
            </w:r>
          </w:p>
        </w:tc>
        <w:tc>
          <w:tcPr>
            <w:tcW w:w="340" w:type="dxa"/>
            <w:vAlign w:val="bottom"/>
          </w:tcPr>
          <w:p>
            <w:pPr>
              <w:spacing w:after="0"/>
              <w:rPr>
                <w:sz w:val="12"/>
                <w:szCs w:val="12"/>
                <w:color w:val="auto"/>
              </w:rPr>
            </w:pPr>
          </w:p>
        </w:tc>
        <w:tc>
          <w:tcPr>
            <w:tcW w:w="680" w:type="dxa"/>
            <w:vAlign w:val="bottom"/>
          </w:tcPr>
          <w:p>
            <w:pPr>
              <w:jc w:val="center"/>
              <w:ind w:right="261"/>
              <w:spacing w:after="0" w:line="146" w:lineRule="exact"/>
              <w:rPr>
                <w:sz w:val="20"/>
                <w:szCs w:val="20"/>
                <w:color w:val="auto"/>
              </w:rPr>
            </w:pPr>
            <w:r>
              <w:rPr>
                <w:rFonts w:ascii="Arial" w:cs="Arial" w:eastAsia="Arial" w:hAnsi="Arial"/>
                <w:sz w:val="14"/>
                <w:szCs w:val="14"/>
                <w:color w:val="auto"/>
                <w:w w:val="82"/>
              </w:rPr>
              <w:t>Per</w:t>
            </w:r>
          </w:p>
        </w:tc>
        <w:tc>
          <w:tcPr>
            <w:tcW w:w="1920" w:type="dxa"/>
            <w:vAlign w:val="bottom"/>
          </w:tcPr>
          <w:p>
            <w:pPr>
              <w:jc w:val="center"/>
              <w:spacing w:after="0" w:line="146" w:lineRule="exact"/>
              <w:rPr>
                <w:sz w:val="20"/>
                <w:szCs w:val="20"/>
                <w:color w:val="auto"/>
              </w:rPr>
            </w:pPr>
            <w:r>
              <w:rPr>
                <w:rFonts w:ascii="Arial" w:cs="Arial" w:eastAsia="Arial" w:hAnsi="Arial"/>
                <w:sz w:val="14"/>
                <w:szCs w:val="14"/>
                <w:color w:val="auto"/>
                <w:w w:val="89"/>
              </w:rPr>
              <w:t>as Part of Publicly</w:t>
            </w:r>
          </w:p>
        </w:tc>
        <w:tc>
          <w:tcPr>
            <w:tcW w:w="360" w:type="dxa"/>
            <w:vAlign w:val="bottom"/>
          </w:tcPr>
          <w:p>
            <w:pPr>
              <w:spacing w:after="0"/>
              <w:rPr>
                <w:sz w:val="12"/>
                <w:szCs w:val="12"/>
                <w:color w:val="auto"/>
              </w:rPr>
            </w:pPr>
          </w:p>
        </w:tc>
        <w:tc>
          <w:tcPr>
            <w:tcW w:w="1140" w:type="dxa"/>
            <w:vAlign w:val="bottom"/>
          </w:tcPr>
          <w:p>
            <w:pPr>
              <w:jc w:val="center"/>
              <w:ind w:right="263"/>
              <w:spacing w:after="0" w:line="146" w:lineRule="exact"/>
              <w:rPr>
                <w:sz w:val="20"/>
                <w:szCs w:val="20"/>
                <w:color w:val="auto"/>
              </w:rPr>
            </w:pPr>
            <w:r>
              <w:rPr>
                <w:rFonts w:ascii="Arial" w:cs="Arial" w:eastAsia="Arial" w:hAnsi="Arial"/>
                <w:sz w:val="14"/>
                <w:szCs w:val="14"/>
                <w:color w:val="auto"/>
                <w:w w:val="84"/>
              </w:rPr>
              <w:t>Under the</w:t>
            </w:r>
          </w:p>
        </w:tc>
        <w:tc>
          <w:tcPr>
            <w:tcW w:w="1460" w:type="dxa"/>
            <w:vAlign w:val="bottom"/>
          </w:tcPr>
          <w:p>
            <w:pPr>
              <w:jc w:val="center"/>
              <w:ind w:left="144"/>
              <w:spacing w:after="0" w:line="146" w:lineRule="exact"/>
              <w:rPr>
                <w:sz w:val="20"/>
                <w:szCs w:val="20"/>
                <w:color w:val="auto"/>
              </w:rPr>
            </w:pPr>
            <w:r>
              <w:rPr>
                <w:rFonts w:ascii="Arial" w:cs="Arial" w:eastAsia="Arial" w:hAnsi="Arial"/>
                <w:sz w:val="14"/>
                <w:szCs w:val="14"/>
                <w:color w:val="auto"/>
                <w:w w:val="84"/>
              </w:rPr>
              <w:t>Purchased Under the</w:t>
            </w:r>
          </w:p>
        </w:tc>
        <w:tc>
          <w:tcPr>
            <w:tcW w:w="0" w:type="dxa"/>
            <w:vAlign w:val="bottom"/>
          </w:tcPr>
          <w:p>
            <w:pPr>
              <w:spacing w:after="0"/>
              <w:rPr>
                <w:sz w:val="1"/>
                <w:szCs w:val="1"/>
                <w:color w:val="auto"/>
              </w:rPr>
            </w:pPr>
          </w:p>
        </w:tc>
      </w:tr>
      <w:tr>
        <w:trPr>
          <w:trHeight w:val="176"/>
        </w:trPr>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2500" w:type="dxa"/>
            <w:vAlign w:val="bottom"/>
            <w:tcBorders>
              <w:bottom w:val="single" w:sz="8" w:color="auto"/>
            </w:tcBorders>
          </w:tcPr>
          <w:p>
            <w:pPr>
              <w:jc w:val="center"/>
              <w:ind w:left="1022"/>
              <w:spacing w:after="0"/>
              <w:rPr>
                <w:sz w:val="20"/>
                <w:szCs w:val="20"/>
                <w:color w:val="auto"/>
              </w:rPr>
            </w:pPr>
            <w:r>
              <w:rPr>
                <w:rFonts w:ascii="Arial" w:cs="Arial" w:eastAsia="Arial" w:hAnsi="Arial"/>
                <w:sz w:val="14"/>
                <w:szCs w:val="14"/>
                <w:color w:val="auto"/>
                <w:w w:val="83"/>
              </w:rPr>
              <w:t>Purchased</w:t>
            </w: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261"/>
              <w:spacing w:after="0"/>
              <w:rPr>
                <w:sz w:val="20"/>
                <w:szCs w:val="20"/>
                <w:color w:val="auto"/>
              </w:rPr>
            </w:pPr>
            <w:r>
              <w:rPr>
                <w:rFonts w:ascii="Arial" w:cs="Arial" w:eastAsia="Arial" w:hAnsi="Arial"/>
                <w:sz w:val="14"/>
                <w:szCs w:val="14"/>
                <w:color w:val="auto"/>
                <w:w w:val="80"/>
              </w:rPr>
              <w:t>Share</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Announced Authorization</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63"/>
              <w:spacing w:after="0"/>
              <w:rPr>
                <w:sz w:val="20"/>
                <w:szCs w:val="20"/>
                <w:color w:val="auto"/>
              </w:rPr>
            </w:pPr>
            <w:r>
              <w:rPr>
                <w:rFonts w:ascii="Arial" w:cs="Arial" w:eastAsia="Arial" w:hAnsi="Arial"/>
                <w:sz w:val="14"/>
                <w:szCs w:val="14"/>
                <w:color w:val="auto"/>
                <w:w w:val="92"/>
              </w:rPr>
              <w:t>Authorization</w:t>
            </w:r>
          </w:p>
        </w:tc>
        <w:tc>
          <w:tcPr>
            <w:tcW w:w="1460" w:type="dxa"/>
            <w:vAlign w:val="bottom"/>
            <w:tcBorders>
              <w:bottom w:val="single" w:sz="8" w:color="auto"/>
            </w:tcBorders>
          </w:tcPr>
          <w:p>
            <w:pPr>
              <w:jc w:val="center"/>
              <w:ind w:left="144"/>
              <w:spacing w:after="0" w:line="176" w:lineRule="exact"/>
              <w:rPr>
                <w:sz w:val="20"/>
                <w:szCs w:val="20"/>
                <w:color w:val="auto"/>
              </w:rPr>
            </w:pPr>
            <w:r>
              <w:rPr>
                <w:rFonts w:ascii="Arial" w:cs="Arial" w:eastAsia="Arial" w:hAnsi="Arial"/>
                <w:sz w:val="13"/>
                <w:szCs w:val="13"/>
                <w:color w:val="auto"/>
                <w:w w:val="95"/>
              </w:rPr>
              <w:t>Authorization</w:t>
            </w:r>
            <w:r>
              <w:rPr>
                <w:rFonts w:ascii="Arial" w:cs="Arial" w:eastAsia="Arial" w:hAnsi="Arial"/>
                <w:sz w:val="20"/>
                <w:szCs w:val="20"/>
                <w:color w:val="auto"/>
                <w:w w:val="95"/>
                <w:vertAlign w:val="superscript"/>
              </w:rPr>
              <w:t>(a)</w:t>
            </w:r>
          </w:p>
        </w:tc>
        <w:tc>
          <w:tcPr>
            <w:tcW w:w="0" w:type="dxa"/>
            <w:vAlign w:val="bottom"/>
          </w:tcPr>
          <w:p>
            <w:pPr>
              <w:spacing w:after="0"/>
              <w:rPr>
                <w:sz w:val="1"/>
                <w:szCs w:val="1"/>
                <w:color w:val="auto"/>
              </w:rPr>
            </w:pPr>
          </w:p>
        </w:tc>
      </w:tr>
      <w:tr>
        <w:trPr>
          <w:trHeight w:val="210"/>
        </w:trPr>
        <w:tc>
          <w:tcPr>
            <w:tcW w:w="3020" w:type="dxa"/>
            <w:vAlign w:val="bottom"/>
            <w:shd w:val="clear" w:color="auto" w:fill="E5E5E5"/>
          </w:tcPr>
          <w:p>
            <w:pPr>
              <w:spacing w:after="0"/>
              <w:rPr>
                <w:sz w:val="20"/>
                <w:szCs w:val="20"/>
                <w:color w:val="auto"/>
              </w:rPr>
            </w:pPr>
            <w:r>
              <w:rPr>
                <w:rFonts w:ascii="Arial" w:cs="Arial" w:eastAsia="Arial" w:hAnsi="Arial"/>
                <w:sz w:val="18"/>
                <w:szCs w:val="18"/>
                <w:color w:val="auto"/>
              </w:rPr>
              <w:t>July 1-31, 2012</w:t>
            </w:r>
          </w:p>
        </w:tc>
        <w:tc>
          <w:tcPr>
            <w:tcW w:w="2500" w:type="dxa"/>
            <w:vAlign w:val="bottom"/>
            <w:shd w:val="clear" w:color="auto" w:fill="E5E5E5"/>
          </w:tcPr>
          <w:p>
            <w:pPr>
              <w:jc w:val="right"/>
              <w:ind w:right="20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81"/>
              <w:spacing w:after="0"/>
              <w:rPr>
                <w:sz w:val="20"/>
                <w:szCs w:val="20"/>
                <w:color w:val="auto"/>
              </w:rPr>
            </w:pPr>
            <w:r>
              <w:rPr>
                <w:rFonts w:ascii="Arial" w:cs="Arial" w:eastAsia="Arial" w:hAnsi="Arial"/>
                <w:sz w:val="18"/>
                <w:szCs w:val="18"/>
                <w:color w:val="auto"/>
              </w:rPr>
              <w:t>—</w:t>
            </w:r>
          </w:p>
        </w:tc>
        <w:tc>
          <w:tcPr>
            <w:tcW w:w="1920" w:type="dxa"/>
            <w:vAlign w:val="bottom"/>
            <w:shd w:val="clear" w:color="auto" w:fill="E5E5E5"/>
          </w:tcPr>
          <w:p>
            <w:pPr>
              <w:jc w:val="right"/>
              <w:ind w:right="18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83"/>
              <w:spacing w:after="0"/>
              <w:rPr>
                <w:sz w:val="20"/>
                <w:szCs w:val="20"/>
                <w:color w:val="auto"/>
              </w:rPr>
            </w:pPr>
            <w:r>
              <w:rPr>
                <w:rFonts w:ascii="Arial" w:cs="Arial" w:eastAsia="Arial" w:hAnsi="Arial"/>
                <w:sz w:val="18"/>
                <w:szCs w:val="18"/>
                <w:color w:val="auto"/>
              </w:rPr>
              <w:t>—</w:t>
            </w:r>
          </w:p>
        </w:tc>
        <w:tc>
          <w:tcPr>
            <w:tcW w:w="1460" w:type="dxa"/>
            <w:vAlign w:val="bottom"/>
            <w:shd w:val="clear" w:color="auto" w:fill="E5E5E5"/>
          </w:tcPr>
          <w:p>
            <w:pPr>
              <w:jc w:val="center"/>
              <w:ind w:left="144"/>
              <w:spacing w:after="0"/>
              <w:rPr>
                <w:sz w:val="20"/>
                <w:szCs w:val="20"/>
                <w:color w:val="auto"/>
              </w:rPr>
            </w:pPr>
            <w:r>
              <w:rPr>
                <w:rFonts w:ascii="Arial" w:cs="Arial" w:eastAsia="Arial" w:hAnsi="Arial"/>
                <w:sz w:val="18"/>
                <w:szCs w:val="18"/>
                <w:color w:val="auto"/>
                <w:w w:val="86"/>
              </w:rPr>
              <w:t>$ 5,000,000,000</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August 1-31, 2012</w:t>
            </w:r>
          </w:p>
        </w:tc>
        <w:tc>
          <w:tcPr>
            <w:tcW w:w="2500" w:type="dxa"/>
            <w:vAlign w:val="bottom"/>
          </w:tcPr>
          <w:p>
            <w:pPr>
              <w:jc w:val="right"/>
              <w:ind w:right="202"/>
              <w:spacing w:after="0"/>
              <w:rPr>
                <w:sz w:val="20"/>
                <w:szCs w:val="20"/>
                <w:color w:val="auto"/>
              </w:rPr>
            </w:pPr>
            <w:r>
              <w:rPr>
                <w:rFonts w:ascii="Arial" w:cs="Arial" w:eastAsia="Arial" w:hAnsi="Arial"/>
                <w:sz w:val="18"/>
                <w:szCs w:val="18"/>
                <w:color w:val="auto"/>
              </w:rPr>
              <w:t>11,758,250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81"/>
              <w:spacing w:after="0"/>
              <w:rPr>
                <w:sz w:val="20"/>
                <w:szCs w:val="20"/>
                <w:color w:val="auto"/>
              </w:rPr>
            </w:pPr>
            <w:r>
              <w:rPr>
                <w:rFonts w:ascii="Arial" w:cs="Arial" w:eastAsia="Arial" w:hAnsi="Arial"/>
                <w:sz w:val="18"/>
                <w:szCs w:val="18"/>
                <w:color w:val="auto"/>
                <w:w w:val="88"/>
              </w:rPr>
              <w:t>31.89</w:t>
            </w:r>
          </w:p>
        </w:tc>
        <w:tc>
          <w:tcPr>
            <w:tcW w:w="1920" w:type="dxa"/>
            <w:vAlign w:val="bottom"/>
          </w:tcPr>
          <w:p>
            <w:pPr>
              <w:jc w:val="right"/>
              <w:ind w:right="182"/>
              <w:spacing w:after="0"/>
              <w:rPr>
                <w:sz w:val="20"/>
                <w:szCs w:val="20"/>
                <w:color w:val="auto"/>
              </w:rPr>
            </w:pPr>
            <w:r>
              <w:rPr>
                <w:rFonts w:ascii="Arial" w:cs="Arial" w:eastAsia="Arial" w:hAnsi="Arial"/>
                <w:sz w:val="18"/>
                <w:szCs w:val="18"/>
                <w:color w:val="auto"/>
              </w:rPr>
              <w:t>11,758,250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3"/>
              <w:spacing w:after="0"/>
              <w:rPr>
                <w:sz w:val="20"/>
                <w:szCs w:val="20"/>
                <w:color w:val="auto"/>
              </w:rPr>
            </w:pPr>
            <w:r>
              <w:rPr>
                <w:rFonts w:ascii="Arial" w:cs="Arial" w:eastAsia="Arial" w:hAnsi="Arial"/>
                <w:sz w:val="18"/>
                <w:szCs w:val="18"/>
                <w:color w:val="auto"/>
                <w:w w:val="85"/>
              </w:rPr>
              <w:t>375,000,000</w:t>
            </w:r>
          </w:p>
        </w:tc>
        <w:tc>
          <w:tcPr>
            <w:tcW w:w="1460" w:type="dxa"/>
            <w:vAlign w:val="bottom"/>
          </w:tcPr>
          <w:p>
            <w:pPr>
              <w:jc w:val="center"/>
              <w:ind w:left="144"/>
              <w:spacing w:after="0"/>
              <w:rPr>
                <w:sz w:val="20"/>
                <w:szCs w:val="20"/>
                <w:color w:val="auto"/>
              </w:rPr>
            </w:pPr>
            <w:r>
              <w:rPr>
                <w:rFonts w:ascii="Arial" w:cs="Arial" w:eastAsia="Arial" w:hAnsi="Arial"/>
                <w:sz w:val="18"/>
                <w:szCs w:val="18"/>
                <w:color w:val="auto"/>
                <w:w w:val="86"/>
              </w:rPr>
              <w:t>$ 4,625,000,000</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September 1-30, 2012</w:t>
            </w:r>
          </w:p>
        </w:tc>
        <w:tc>
          <w:tcPr>
            <w:tcW w:w="2500" w:type="dxa"/>
            <w:vAlign w:val="bottom"/>
            <w:tcBorders>
              <w:bottom w:val="single" w:sz="8" w:color="auto"/>
            </w:tcBorders>
            <w:shd w:val="clear" w:color="auto" w:fill="E5E5E5"/>
          </w:tcPr>
          <w:p>
            <w:pPr>
              <w:jc w:val="right"/>
              <w:ind w:right="202"/>
              <w:spacing w:after="0"/>
              <w:rPr>
                <w:sz w:val="20"/>
                <w:szCs w:val="20"/>
                <w:color w:val="auto"/>
              </w:rPr>
            </w:pPr>
            <w:r>
              <w:rPr>
                <w:rFonts w:ascii="Arial" w:cs="Arial" w:eastAsia="Arial" w:hAnsi="Arial"/>
                <w:sz w:val="18"/>
                <w:szCs w:val="18"/>
                <w:color w:val="auto"/>
              </w:rPr>
              <w:t>11,152,653</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w w:val="88"/>
              </w:rPr>
              <w:t>33.62</w:t>
            </w:r>
          </w:p>
        </w:tc>
        <w:tc>
          <w:tcPr>
            <w:tcW w:w="1920" w:type="dxa"/>
            <w:vAlign w:val="bottom"/>
            <w:tcBorders>
              <w:bottom w:val="single" w:sz="8" w:color="auto"/>
            </w:tcBorders>
            <w:shd w:val="clear" w:color="auto" w:fill="E5E5E5"/>
          </w:tcPr>
          <w:p>
            <w:pPr>
              <w:jc w:val="right"/>
              <w:ind w:right="182"/>
              <w:spacing w:after="0"/>
              <w:rPr>
                <w:sz w:val="20"/>
                <w:szCs w:val="20"/>
                <w:color w:val="auto"/>
              </w:rPr>
            </w:pPr>
            <w:r>
              <w:rPr>
                <w:rFonts w:ascii="Arial" w:cs="Arial" w:eastAsia="Arial" w:hAnsi="Arial"/>
                <w:sz w:val="18"/>
                <w:szCs w:val="18"/>
                <w:color w:val="auto"/>
              </w:rPr>
              <w:t>11,152,653</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5E5E5"/>
          </w:tcPr>
          <w:p>
            <w:pPr>
              <w:jc w:val="right"/>
              <w:ind w:right="183"/>
              <w:spacing w:after="0"/>
              <w:rPr>
                <w:sz w:val="20"/>
                <w:szCs w:val="20"/>
                <w:color w:val="auto"/>
              </w:rPr>
            </w:pPr>
            <w:r>
              <w:rPr>
                <w:rFonts w:ascii="Arial" w:cs="Arial" w:eastAsia="Arial" w:hAnsi="Arial"/>
                <w:sz w:val="18"/>
                <w:szCs w:val="18"/>
                <w:color w:val="auto"/>
                <w:w w:val="85"/>
              </w:rPr>
              <w:t>375,000,000</w:t>
            </w:r>
          </w:p>
        </w:tc>
        <w:tc>
          <w:tcPr>
            <w:tcW w:w="1460" w:type="dxa"/>
            <w:vAlign w:val="bottom"/>
            <w:tcBorders>
              <w:bottom w:val="single" w:sz="8" w:color="auto"/>
            </w:tcBorders>
            <w:shd w:val="clear" w:color="auto" w:fill="E5E5E5"/>
          </w:tcPr>
          <w:p>
            <w:pPr>
              <w:jc w:val="center"/>
              <w:ind w:left="144"/>
              <w:spacing w:after="0"/>
              <w:rPr>
                <w:sz w:val="20"/>
                <w:szCs w:val="20"/>
                <w:color w:val="auto"/>
              </w:rPr>
            </w:pPr>
            <w:r>
              <w:rPr>
                <w:rFonts w:ascii="Arial" w:cs="Arial" w:eastAsia="Arial" w:hAnsi="Arial"/>
                <w:sz w:val="18"/>
                <w:szCs w:val="18"/>
                <w:color w:val="auto"/>
                <w:w w:val="86"/>
              </w:rPr>
              <w:t>$ 4,250,000,000</w:t>
            </w:r>
          </w:p>
        </w:tc>
        <w:tc>
          <w:tcPr>
            <w:tcW w:w="0" w:type="dxa"/>
            <w:vAlign w:val="bottom"/>
          </w:tcPr>
          <w:p>
            <w:pPr>
              <w:spacing w:after="0"/>
              <w:rPr>
                <w:sz w:val="1"/>
                <w:szCs w:val="1"/>
                <w:color w:val="auto"/>
              </w:rPr>
            </w:pPr>
          </w:p>
        </w:tc>
      </w:tr>
      <w:tr>
        <w:trPr>
          <w:trHeight w:val="217"/>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500" w:type="dxa"/>
            <w:vAlign w:val="bottom"/>
            <w:tcBorders>
              <w:bottom w:val="single" w:sz="8" w:color="auto"/>
            </w:tcBorders>
          </w:tcPr>
          <w:p>
            <w:pPr>
              <w:jc w:val="right"/>
              <w:ind w:right="202"/>
              <w:spacing w:after="0"/>
              <w:rPr>
                <w:sz w:val="20"/>
                <w:szCs w:val="20"/>
                <w:color w:val="auto"/>
              </w:rPr>
            </w:pPr>
            <w:r>
              <w:rPr>
                <w:rFonts w:ascii="Arial" w:cs="Arial" w:eastAsia="Arial" w:hAnsi="Arial"/>
                <w:sz w:val="18"/>
                <w:szCs w:val="18"/>
                <w:b w:val="1"/>
                <w:bCs w:val="1"/>
                <w:color w:val="auto"/>
              </w:rPr>
              <w:t>22,910,903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b w:val="1"/>
                <w:bCs w:val="1"/>
                <w:color w:val="auto"/>
                <w:w w:val="88"/>
              </w:rPr>
              <w:t>32.74</w:t>
            </w:r>
          </w:p>
        </w:tc>
        <w:tc>
          <w:tcPr>
            <w:tcW w:w="1920" w:type="dxa"/>
            <w:vAlign w:val="bottom"/>
            <w:tcBorders>
              <w:bottom w:val="single" w:sz="8" w:color="auto"/>
            </w:tcBorders>
          </w:tcPr>
          <w:p>
            <w:pPr>
              <w:jc w:val="right"/>
              <w:ind w:right="182"/>
              <w:spacing w:after="0"/>
              <w:rPr>
                <w:sz w:val="20"/>
                <w:szCs w:val="20"/>
                <w:color w:val="auto"/>
              </w:rPr>
            </w:pPr>
            <w:r>
              <w:rPr>
                <w:rFonts w:ascii="Arial" w:cs="Arial" w:eastAsia="Arial" w:hAnsi="Arial"/>
                <w:sz w:val="18"/>
                <w:szCs w:val="18"/>
                <w:b w:val="1"/>
                <w:bCs w:val="1"/>
                <w:color w:val="auto"/>
              </w:rPr>
              <w:t>22,910,903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83"/>
              <w:spacing w:after="0"/>
              <w:rPr>
                <w:sz w:val="20"/>
                <w:szCs w:val="20"/>
                <w:color w:val="auto"/>
              </w:rPr>
            </w:pPr>
            <w:r>
              <w:rPr>
                <w:rFonts w:ascii="Arial" w:cs="Arial" w:eastAsia="Arial" w:hAnsi="Arial"/>
                <w:sz w:val="18"/>
                <w:szCs w:val="18"/>
                <w:b w:val="1"/>
                <w:bCs w:val="1"/>
                <w:color w:val="auto"/>
                <w:w w:val="85"/>
              </w:rPr>
              <w:t>750,000,000</w:t>
            </w:r>
          </w:p>
        </w:tc>
        <w:tc>
          <w:tcPr>
            <w:tcW w:w="1460" w:type="dxa"/>
            <w:vAlign w:val="bottom"/>
            <w:tcBorders>
              <w:bottom w:val="single" w:sz="8" w:color="auto"/>
            </w:tcBorders>
          </w:tcPr>
          <w:p>
            <w:pPr>
              <w:jc w:val="center"/>
              <w:ind w:left="144"/>
              <w:spacing w:after="0"/>
              <w:rPr>
                <w:sz w:val="20"/>
                <w:szCs w:val="20"/>
                <w:color w:val="auto"/>
              </w:rPr>
            </w:pPr>
            <w:r>
              <w:rPr>
                <w:rFonts w:ascii="Arial" w:cs="Arial" w:eastAsia="Arial" w:hAnsi="Arial"/>
                <w:sz w:val="18"/>
                <w:szCs w:val="18"/>
                <w:b w:val="1"/>
                <w:bCs w:val="1"/>
                <w:color w:val="auto"/>
                <w:w w:val="86"/>
              </w:rPr>
              <w:t>$ 4,250,000,000</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right="20" w:hanging="332"/>
        <w:spacing w:after="0" w:line="239"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 February 2012, our Board of Directors approved a $6.5 billion share repurchase authorization that does not have an expiration date. Under this authorization, we may repurchase shares in the open market or in private transactions. We intend to repurchase $3.0 billion during 2012, subject to market conditions.</w:t>
      </w:r>
    </w:p>
    <w:p>
      <w:pPr>
        <w:spacing w:after="0" w:line="4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number of shares of common stock repurchased during the three months ended September 30, 2012 does not include any shares received in the administration of employee share-based compensation plans.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7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Exhibit</w:t>
      </w:r>
    </w:p>
    <w:p>
      <w:pPr>
        <w:ind w:left="200"/>
        <w:spacing w:after="0"/>
        <w:tabs>
          <w:tab w:leader="none" w:pos="8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Comcast Corporation 2005 Deferred Compensation Plan dated August 29, 2012.</w:t>
      </w:r>
    </w:p>
    <w:p>
      <w:pPr>
        <w:spacing w:after="0" w:line="8"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Comcast Corporation 2002 Restricted Stock Plan dated August 29, 2012.</w:t>
      </w:r>
    </w:p>
    <w:p>
      <w:pPr>
        <w:spacing w:after="0" w:line="9"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Comcast Corporation 2002 Employee Stock Purchase Plan dated August 29, 2012.</w:t>
      </w:r>
    </w:p>
    <w:p>
      <w:pPr>
        <w:spacing w:after="0" w:line="9"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Comcast-NBCUniversal 2011 Employee Stock Purchase Plan dated August 29, 2012.</w:t>
      </w:r>
    </w:p>
    <w:p>
      <w:pPr>
        <w:spacing w:after="0" w:line="9" w:lineRule="exact"/>
        <w:rPr>
          <w:sz w:val="20"/>
          <w:szCs w:val="20"/>
          <w:color w:val="auto"/>
        </w:rPr>
      </w:pPr>
    </w:p>
    <w:p>
      <w:pPr>
        <w:ind w:left="820" w:hanging="722"/>
        <w:spacing w:after="0" w:line="250" w:lineRule="auto"/>
        <w:tabs>
          <w:tab w:leader="none" w:pos="8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Amendment No. 7 to Employment Agreement with Brian L. Roberts (incorporated by reference to Exhibit 99.1 to our Current Report on Form 8-K filed on September 14, 2012).</w:t>
      </w:r>
    </w:p>
    <w:p>
      <w:pPr>
        <w:spacing w:after="0" w:line="1" w:lineRule="exact"/>
        <w:rPr>
          <w:sz w:val="20"/>
          <w:szCs w:val="20"/>
          <w:color w:val="auto"/>
        </w:rPr>
      </w:pPr>
    </w:p>
    <w:p>
      <w:pPr>
        <w:ind w:left="820" w:hanging="72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Section 302 of the Sarbanes-Oxley Act of 2002.</w:t>
      </w:r>
    </w:p>
    <w:p>
      <w:pPr>
        <w:spacing w:after="0" w:line="9" w:lineRule="exact"/>
        <w:rPr>
          <w:rFonts w:ascii="Arial" w:cs="Arial" w:eastAsia="Arial" w:hAnsi="Arial"/>
          <w:sz w:val="18"/>
          <w:szCs w:val="18"/>
          <w:color w:val="auto"/>
        </w:rPr>
      </w:pPr>
    </w:p>
    <w:p>
      <w:pPr>
        <w:ind w:left="820" w:hanging="72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Section 906 of the Sarbanes-Oxley Act of 2002.</w:t>
      </w:r>
    </w:p>
    <w:p>
      <w:pPr>
        <w:spacing w:after="0" w:line="9" w:lineRule="exact"/>
        <w:rPr>
          <w:sz w:val="20"/>
          <w:szCs w:val="20"/>
          <w:color w:val="auto"/>
        </w:rPr>
      </w:pPr>
    </w:p>
    <w:p>
      <w:pPr>
        <w:jc w:val="both"/>
        <w:ind w:left="820" w:hanging="724"/>
        <w:spacing w:after="0" w:line="253"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Quarterly Report on Form 10-Q for the quarter ended September 30, 2012, filed with the Securities and Exchange Commission on October 26, 2012,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12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w:t>
      </w:r>
      <w:r>
        <w:rPr>
          <w:rFonts w:ascii="Arial" w:cs="Arial" w:eastAsia="Arial" w:hAnsi="Arial"/>
          <w:sz w:val="12"/>
          <w:szCs w:val="12"/>
          <w:color w:val="auto"/>
        </w:rPr>
        <w:t>Constitutes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3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Senior Vice President, Chief Accounting Officer and</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Controller</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26, 2012</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DEFERRED COMPENSATION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 BACKGROUND AND COVERAGE OF PLAN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Background and Adoption of Plan</w:t>
      </w:r>
      <w:r>
        <w:rPr>
          <w:rFonts w:ascii="Arial" w:cs="Arial" w:eastAsia="Arial" w:hAnsi="Arial"/>
          <w:sz w:val="18"/>
          <w:szCs w:val="18"/>
          <w:color w:val="auto"/>
        </w:rPr>
        <w:t>.</w:t>
      </w:r>
    </w:p>
    <w:p>
      <w:pPr>
        <w:spacing w:after="0" w:line="171" w:lineRule="exact"/>
        <w:rPr>
          <w:sz w:val="20"/>
          <w:szCs w:val="20"/>
          <w:color w:val="auto"/>
        </w:rPr>
      </w:pPr>
    </w:p>
    <w:p>
      <w:pPr>
        <w:ind w:right="240" w:firstLine="913"/>
        <w:spacing w:after="0" w:line="291"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Amendment and Restatement of the Plan</w:t>
      </w:r>
      <w:r>
        <w:rPr>
          <w:rFonts w:ascii="Arial" w:cs="Arial" w:eastAsia="Arial" w:hAnsi="Arial"/>
          <w:sz w:val="16"/>
          <w:szCs w:val="16"/>
          <w:color w:val="auto"/>
        </w:rPr>
        <w:t>. In recognition of the services provided by certain key employees and in order to make additional retirement benefits and increased financial security available on a tax-favored basis to those individuals, the Board of Directors of Comcast Corporation, a Pennsylvania corporation (the “Board”), hereby amends and restates the Comcast Corporation 2005 Deferred Compensation Plan (the “Plan”). The Plan has previously been amended and restated from time to time,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to make desirable changes to the rules of the Plan.</w:t>
      </w:r>
    </w:p>
    <w:p>
      <w:pPr>
        <w:spacing w:after="0" w:line="12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Prior Plan</w:t>
      </w:r>
      <w:r>
        <w:rPr>
          <w:rFonts w:ascii="Arial" w:cs="Arial" w:eastAsia="Arial" w:hAnsi="Arial"/>
          <w:sz w:val="18"/>
          <w:szCs w:val="18"/>
          <w:color w:val="auto"/>
        </w:rPr>
        <w:t>. Prior to January 1, 2005, the Comcast Corporation 2002 Deferred Compensation Plan (the “Prior Plan”) was in effect. In order to preserve the favorable tax treatment available to deferrals under the Prior Plan in light of the enactment of Section 409A, the Board has prohibited future deferrals under the Prior Plan of amounts earned and vested on and after January 1, 2005. Amounts earned and vested prior to January 1, 2005 are and will remain subject to the terms of the Prior Plan. Amounts earned and vested on and after January 1, 2005 will be available to be deferred pursuant to the Plan, subject to its terms and conditions.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Reservation of Right to Amend to Comply with Section 409A</w:t>
      </w:r>
      <w:r>
        <w:rPr>
          <w:rFonts w:ascii="Arial" w:cs="Arial" w:eastAsia="Arial" w:hAnsi="Arial"/>
          <w:sz w:val="18"/>
          <w:szCs w:val="18"/>
          <w:color w:val="auto"/>
        </w:rPr>
        <w:t>. In addition to the powers reserved to the Board and the Committee under Article 10 of the Plan, the Board and the Committee reserve the right to amend the Plan, either retroactively or prospectively, in whatever respect is required to achieve and maintain compliance with the requirements of Section 409A.</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Plan Unfunded and Limited to Outside Directors, Directors Emeriti and Select Group of Management or Highly Compensated Employees</w:t>
      </w:r>
      <w:r>
        <w:rPr>
          <w:rFonts w:ascii="Arial" w:cs="Arial" w:eastAsia="Arial" w:hAnsi="Arial"/>
          <w:sz w:val="18"/>
          <w:szCs w:val="18"/>
          <w:color w:val="auto"/>
        </w:rPr>
        <w:t>. The Plan is unfunded and is maintained primarily for the purpose of providing Outside Directors, Directors Emeriti and a select group of management or highly compensated employees the opportunity to defer the receipt of compensation otherwise payable to such Outside Directors, Directors Emeriti and eligible employees in accordance with the terms of the Plan.</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References to Written Forms, Elections and Notices</w:t>
      </w:r>
      <w:r>
        <w:rPr>
          <w:rFonts w:ascii="Arial" w:cs="Arial" w:eastAsia="Arial" w:hAnsi="Arial"/>
          <w:sz w:val="18"/>
          <w:szCs w:val="18"/>
          <w:color w:val="auto"/>
        </w:rPr>
        <w:t>. Any action under the Plan that requires a written form, election, notice or other action shall be treated as completed if taken via electronic or other means, to the extent authorized by the Administrator.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 DEFINITIONS</w:t>
      </w:r>
    </w:p>
    <w:p>
      <w:pPr>
        <w:spacing w:after="0" w:line="1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Account</w:t>
      </w:r>
      <w:r>
        <w:rPr>
          <w:rFonts w:ascii="Arial" w:cs="Arial" w:eastAsia="Arial" w:hAnsi="Arial"/>
          <w:sz w:val="18"/>
          <w:szCs w:val="18"/>
          <w:color w:val="auto"/>
        </w:rPr>
        <w:t>” means the bookkeeping accounts established pursuant to Section 5.1 and maintained by the Administrator in the names of the respective Participants, to which all</w:t>
      </w:r>
    </w:p>
    <w:p>
      <w:pPr>
        <w:sectPr>
          <w:pgSz w:w="11900" w:h="16838" w:orient="portrait"/>
          <w:cols w:equalWidth="0" w:num="1">
            <w:col w:w="11420"/>
          </w:cols>
          <w:pgMar w:left="240" w:top="125"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amounts deferred and earnings allocated under the Plan shall be credited, and from which all amounts distributed pursuant to the Plan shall be debited.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Active Participant</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Participant who is in active service as an Outside Director or a Director Emeritus; and</w:t>
      </w:r>
    </w:p>
    <w:p>
      <w:pPr>
        <w:spacing w:after="0" w:line="171" w:lineRule="exact"/>
        <w:rPr>
          <w:rFonts w:ascii="Arial" w:cs="Arial" w:eastAsia="Arial" w:hAnsi="Arial"/>
          <w:sz w:val="18"/>
          <w:szCs w:val="18"/>
          <w:color w:val="auto"/>
        </w:rPr>
      </w:pPr>
    </w:p>
    <w:p>
      <w:pPr>
        <w:ind w:left="460" w:right="3420" w:firstLine="461"/>
        <w:spacing w:after="0" w:line="438" w:lineRule="auto"/>
        <w:tabs>
          <w:tab w:leader="none" w:pos="11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Participant who is actively employed by a Participating Company as an Eligible Employee. 2.3.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Committee or its delegate.</w:t>
      </w:r>
    </w:p>
    <w:p>
      <w:pPr>
        <w:spacing w:after="0" w:line="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 including payments earned under any sales incentive arrangement for employees of NBCUniversal (as defined in Section 3.1(a)(ii)).</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Active Participants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60" w:firstLine="1492"/>
        <w:spacing w:after="0" w:line="259" w:lineRule="auto"/>
        <w:tabs>
          <w:tab w:leader="none" w:pos="1693"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Protected Account Balances</w:t>
      </w:r>
      <w:r>
        <w:rPr>
          <w:rFonts w:ascii="Arial" w:cs="Arial" w:eastAsia="Arial" w:hAnsi="Arial"/>
          <w:sz w:val="18"/>
          <w:szCs w:val="18"/>
          <w:color w:val="auto"/>
        </w:rPr>
        <w:t>. Except as otherwise provided in Sections 2.6(b), with respect to Protected Account Balances, the term “Applicable Interest Rate,” means the interest rate that, when compounded daily pursuant to rules established by the Administrator from time to time, is mathematically equivalent to 12% (0.12) per annum, compounded annually.</w:t>
      </w:r>
    </w:p>
    <w:p>
      <w:pPr>
        <w:spacing w:after="0" w:line="140" w:lineRule="exact"/>
        <w:rPr>
          <w:rFonts w:ascii="Arial" w:cs="Arial" w:eastAsia="Arial" w:hAnsi="Arial"/>
          <w:sz w:val="18"/>
          <w:szCs w:val="18"/>
          <w:color w:val="auto"/>
        </w:rPr>
      </w:pPr>
    </w:p>
    <w:p>
      <w:pPr>
        <w:ind w:right="300" w:firstLine="1492"/>
        <w:spacing w:after="0" w:line="268" w:lineRule="auto"/>
        <w:tabs>
          <w:tab w:leader="none" w:pos="1742"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Contributions Credited on and after January 1, 2014 (on and after January 1, 2013 for Eligible NBCUniversal Employees)</w:t>
      </w:r>
      <w:r>
        <w:rPr>
          <w:rFonts w:ascii="Arial" w:cs="Arial" w:eastAsia="Arial" w:hAnsi="Arial"/>
          <w:sz w:val="18"/>
          <w:szCs w:val="18"/>
          <w:color w:val="auto"/>
        </w:rPr>
        <w:t>. Except as otherwise provided in Sections 2.6(b):</w:t>
      </w:r>
    </w:p>
    <w:p>
      <w:pPr>
        <w:spacing w:after="0" w:line="131" w:lineRule="exact"/>
        <w:rPr>
          <w:rFonts w:ascii="Arial" w:cs="Arial" w:eastAsia="Arial" w:hAnsi="Arial"/>
          <w:sz w:val="18"/>
          <w:szCs w:val="18"/>
          <w:color w:val="auto"/>
        </w:rPr>
      </w:pPr>
    </w:p>
    <w:p>
      <w:pPr>
        <w:ind w:firstLine="1948"/>
        <w:spacing w:after="0" w:line="255" w:lineRule="auto"/>
        <w:tabs>
          <w:tab w:leader="none" w:pos="2228" w:val="left"/>
        </w:tabs>
        <w:numPr>
          <w:ilvl w:val="2"/>
          <w:numId w:val="27"/>
        </w:numPr>
        <w:rPr>
          <w:rFonts w:ascii="Arial" w:cs="Arial" w:eastAsia="Arial" w:hAnsi="Arial"/>
          <w:sz w:val="18"/>
          <w:szCs w:val="18"/>
          <w:color w:val="auto"/>
        </w:rPr>
      </w:pPr>
      <w:r>
        <w:rPr>
          <w:rFonts w:ascii="Arial" w:cs="Arial" w:eastAsia="Arial" w:hAnsi="Arial"/>
          <w:sz w:val="18"/>
          <w:szCs w:val="18"/>
          <w:color w:val="auto"/>
        </w:rPr>
        <w:t>For amounts (other than Protected Account Balances) credited to Accounts of Eligible Comcast Employees, Outside Directors and Directors Emeriti with respect to Compensation earned on and after January 1, 2014 or pursuant to Section 3.8, and for amounts credited pursuant to Subsequent Elections filed on and after January 1, 2014 that are attributable to such amounts, the term “Applicable Interest Rate,” means the interest rate that, when compounded daily pursuant to rules established by the Administrator from time to time, is mathematically equivalent to 9% (0.09) per annum, compounded annually.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9" w:name="page50"/>
    <w:bookmarkEnd w:id="49"/>
    <w:p>
      <w:pPr>
        <w:ind w:right="100" w:firstLine="1948"/>
        <w:spacing w:after="0" w:line="298" w:lineRule="auto"/>
        <w:tabs>
          <w:tab w:leader="none" w:pos="2218" w:val="left"/>
        </w:tabs>
        <w:numPr>
          <w:ilvl w:val="1"/>
          <w:numId w:val="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amounts credited to Accounts of Eligible NBCUniversal Employees on and after January 1, 2013 and for amounts credited pursuant to Subsequent Elections filed after December 31, 2012 that are attributable to amounts credited to Accounts pursuant to Initial Elections filed with respect to Compensation earned after December 31, 2012, the term “Applicable Interest Rate,” means the interest rate that, when compounded daily pursuant to rules established by the Administrator from time to time, is mathematically equivalent to 9% (0.09) per annum, compounded annually.</w:t>
      </w:r>
    </w:p>
    <w:p>
      <w:pPr>
        <w:spacing w:after="0" w:line="112" w:lineRule="exact"/>
        <w:rPr>
          <w:rFonts w:ascii="Arial" w:cs="Arial" w:eastAsia="Arial" w:hAnsi="Arial"/>
          <w:sz w:val="16"/>
          <w:szCs w:val="16"/>
          <w:color w:val="auto"/>
        </w:rPr>
      </w:pPr>
    </w:p>
    <w:p>
      <w:pPr>
        <w:ind w:right="60" w:firstLine="921"/>
        <w:spacing w:after="0" w:line="255" w:lineRule="auto"/>
        <w:tabs>
          <w:tab w:leader="none" w:pos="1162"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Effective for the period beginning as soon as administratively practicable following a Participant’s employment termination date to the date the Participant’s Account is distributed in full, the Administrator, in its sole discretion, may designate the term “Applicable Interest Rate” for such Participant’s Account to mean the lesser of (i) the rate in effect under Section 2.6(a) or (ii) the Prime Rate plus one percent. Notwithstanding the foregoing, the Administrator may delegate its authority to determine the Applicable Interest Rate under this Section 2.6(b) to an officer of the Company or committee of two or more officers of the Company.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2.7. “</w:t>
      </w:r>
      <w:r>
        <w:rPr>
          <w:rFonts w:ascii="Arial" w:cs="Arial" w:eastAsia="Arial" w:hAnsi="Arial"/>
          <w:sz w:val="16"/>
          <w:szCs w:val="16"/>
          <w:u w:val="single" w:color="auto"/>
          <w:color w:val="auto"/>
        </w:rPr>
        <w:t>Beneficiary</w:t>
      </w:r>
      <w:r>
        <w:rPr>
          <w:rFonts w:ascii="Arial" w:cs="Arial" w:eastAsia="Arial" w:hAnsi="Arial"/>
          <w:sz w:val="16"/>
          <w:szCs w:val="16"/>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transaction or series of transactions that constitutes a change in the ownership or effective control or a change in the ownership of a substantial portion of the assets of the Company, within the meaning of Section 409A.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of Directors of the Company.</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2"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2.13. “</w:t>
      </w:r>
      <w:r>
        <w:rPr>
          <w:rFonts w:ascii="Arial" w:cs="Arial" w:eastAsia="Arial" w:hAnsi="Arial"/>
          <w:sz w:val="16"/>
          <w:szCs w:val="16"/>
          <w:u w:val="single" w:color="auto"/>
          <w:color w:val="auto"/>
        </w:rPr>
        <w:t>Company Stock</w:t>
      </w:r>
      <w:r>
        <w:rPr>
          <w:rFonts w:ascii="Arial" w:cs="Arial" w:eastAsia="Arial" w:hAnsi="Arial"/>
          <w:sz w:val="16"/>
          <w:szCs w:val="16"/>
          <w:color w:val="auto"/>
        </w:rPr>
        <w:t>” means with respect to amounts credited to the Company Stock Fund pursuant to deferral elections by Outside Directors or Directors Emeriti made pursuant to Section 3.1(a), Comcast Corporation Class A Common Stock, par value $0.01, including a fractional share, and such other securities issued by Comcast Corporation as may be subject to adjustment in the event that shares of either class of Company Stock are changed into,</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50" w:name="page51"/>
    <w:bookmarkEnd w:id="50"/>
    <w:p>
      <w:pPr>
        <w:ind w:right="1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2.13. The Committee’s adjustment shall be effective and binding for all purposes of the Plan.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2.14. “</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based on the Fair Market Value of the Company Stock for such December 31, provided that dividends and other distributions paid with respect to Company Stock after December 31, 2007 shall be deemed to be reinvested in additional hypothetical shares of Company Stock as of the payment date for such dividends and other distributions, based on the Fair Market Value of Company Stock as of such payment date, and provided further that dividends and other distributions paid with respect to Company Stock after May 30, 2012 shall be credited to the Income Fund.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Compensation</w:t>
      </w:r>
      <w:r>
        <w:rPr>
          <w:rFonts w:ascii="Arial" w:cs="Arial" w:eastAsia="Arial" w:hAnsi="Arial"/>
          <w:sz w:val="18"/>
          <w:szCs w:val="18"/>
          <w:color w:val="auto"/>
        </w:rPr>
        <w:t>” means:</w:t>
      </w:r>
    </w:p>
    <w:p>
      <w:pPr>
        <w:spacing w:after="0" w:line="171" w:lineRule="exact"/>
        <w:rPr>
          <w:sz w:val="20"/>
          <w:szCs w:val="20"/>
          <w:color w:val="auto"/>
        </w:rPr>
      </w:pPr>
    </w:p>
    <w:p>
      <w:pPr>
        <w:ind w:right="540" w:firstLine="921"/>
        <w:spacing w:after="0" w:line="306" w:lineRule="auto"/>
        <w:tabs>
          <w:tab w:leader="none" w:pos="1152" w:val="left"/>
        </w:tabs>
        <w:numPr>
          <w:ilvl w:val="1"/>
          <w:numId w:val="30"/>
        </w:numPr>
        <w:rPr>
          <w:rFonts w:ascii="Arial" w:cs="Arial" w:eastAsia="Arial" w:hAnsi="Arial"/>
          <w:sz w:val="16"/>
          <w:szCs w:val="16"/>
          <w:color w:val="auto"/>
        </w:rPr>
      </w:pPr>
      <w:r>
        <w:rPr>
          <w:rFonts w:ascii="Arial" w:cs="Arial" w:eastAsia="Arial" w:hAnsi="Arial"/>
          <w:sz w:val="16"/>
          <w:szCs w:val="16"/>
          <w:color w:val="auto"/>
        </w:rPr>
        <w:t>In the case of an Outside Director, the total remuneration payable in cash or payable in Company Stock (as elected by an Outside Director pursuant to the Comcast Corporation 2002 Non-Employee Director Compensation Plan) for services as a member of the Board and as a member of any Committee of the Board and in the case of a Director Emeritus, the total remuneration payable in cash for services to the Board.</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In the case of an Eligible Employee, the total cash remuneration for services payable by a Participating Company, excluding (i) Severance Pay,</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sales commissions or other similar payments or awards, including payments earned under any sales incentive arrangement for employees of NBCUniversal,</w:t>
      </w:r>
    </w:p>
    <w:p>
      <w:pPr>
        <w:spacing w:after="0" w:line="32" w:lineRule="exact"/>
        <w:rPr>
          <w:rFonts w:ascii="Arial" w:cs="Arial" w:eastAsia="Arial" w:hAnsi="Arial"/>
          <w:sz w:val="16"/>
          <w:szCs w:val="16"/>
          <w:color w:val="auto"/>
        </w:rPr>
      </w:pPr>
    </w:p>
    <w:p>
      <w:pPr>
        <w:ind w:right="160" w:firstLine="8"/>
        <w:spacing w:after="0" w:line="261" w:lineRule="auto"/>
        <w:tabs>
          <w:tab w:leader="none" w:pos="3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bonuses earned under any program designated by the Company’s Programming Division as a “long-term incentive plan” and (iv) bonuses earned under any long-term incentive plan for employees of NBCUniversal.</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Contribution Limit</w:t>
      </w:r>
      <w:r>
        <w:rPr>
          <w:rFonts w:ascii="Arial" w:cs="Arial" w:eastAsia="Arial" w:hAnsi="Arial"/>
          <w:sz w:val="18"/>
          <w:szCs w:val="18"/>
          <w:color w:val="auto"/>
        </w:rPr>
        <w:t>” means the product of (a) seven (7) times (b) Total Compensation.</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2.17. “</w:t>
      </w:r>
      <w:r>
        <w:rPr>
          <w:rFonts w:ascii="Arial" w:cs="Arial" w:eastAsia="Arial" w:hAnsi="Arial"/>
          <w:sz w:val="16"/>
          <w:szCs w:val="16"/>
          <w:u w:val="single" w:color="auto"/>
          <w:color w:val="auto"/>
        </w:rPr>
        <w:t>Death Tax Clearance Date</w:t>
      </w:r>
      <w:r>
        <w:rPr>
          <w:rFonts w:ascii="Arial" w:cs="Arial" w:eastAsia="Arial" w:hAnsi="Arial"/>
          <w:sz w:val="16"/>
          <w:szCs w:val="16"/>
          <w:color w:val="auto"/>
        </w:rPr>
        <w:t>”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51" w:name="page52"/>
    <w:bookmarkEnd w:id="51"/>
    <w:p>
      <w:pPr>
        <w:ind w:right="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2.18. “</w:t>
      </w:r>
      <w:r>
        <w:rPr>
          <w:rFonts w:ascii="Arial" w:cs="Arial" w:eastAsia="Arial" w:hAnsi="Arial"/>
          <w:sz w:val="16"/>
          <w:szCs w:val="16"/>
          <w:u w:val="single" w:color="auto"/>
          <w:color w:val="auto"/>
        </w:rPr>
        <w:t>Death Taxes</w:t>
      </w:r>
      <w:r>
        <w:rPr>
          <w:rFonts w:ascii="Arial" w:cs="Arial" w:eastAsia="Arial" w:hAnsi="Arial"/>
          <w:sz w:val="16"/>
          <w:szCs w:val="16"/>
          <w:color w:val="auto"/>
        </w:rPr>
        <w:t>”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Deceased Participant</w:t>
      </w:r>
      <w:r>
        <w:rPr>
          <w:rFonts w:ascii="Arial" w:cs="Arial" w:eastAsia="Arial" w:hAnsi="Arial"/>
          <w:sz w:val="18"/>
          <w:szCs w:val="18"/>
          <w:color w:val="auto"/>
        </w:rPr>
        <w:t>” means a Participant whose employment, or, in the case of a Participant who was an Outside Director or Director Emeritus, a Participant whose service as an Outside Director or Director Emeritus, is terminated by death.</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Director Emeritus</w:t>
      </w:r>
      <w:r>
        <w:rPr>
          <w:rFonts w:ascii="Arial" w:cs="Arial" w:eastAsia="Arial" w:hAnsi="Arial"/>
          <w:sz w:val="18"/>
          <w:szCs w:val="18"/>
          <w:color w:val="auto"/>
        </w:rPr>
        <w:t>” means an individual designated by the Board, in its sole discretion, as Director Emeritus, pursuant to the Board’s Director Emeritus Policy.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171" w:lineRule="exact"/>
        <w:rPr>
          <w:sz w:val="20"/>
          <w:szCs w:val="20"/>
          <w:color w:val="auto"/>
        </w:rPr>
      </w:pPr>
    </w:p>
    <w:p>
      <w:pPr>
        <w:ind w:right="240" w:firstLine="921"/>
        <w:spacing w:after="0" w:line="332" w:lineRule="auto"/>
        <w:tabs>
          <w:tab w:leader="none" w:pos="1152"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85" w:lineRule="exact"/>
        <w:rPr>
          <w:rFonts w:ascii="Arial" w:cs="Arial" w:eastAsia="Arial" w:hAnsi="Arial"/>
          <w:sz w:val="16"/>
          <w:szCs w:val="16"/>
          <w:color w:val="auto"/>
        </w:rPr>
      </w:pPr>
    </w:p>
    <w:p>
      <w:pPr>
        <w:ind w:firstLine="921"/>
        <w:spacing w:after="0" w:line="259" w:lineRule="auto"/>
        <w:tabs>
          <w:tab w:leader="none" w:pos="11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Disabled Participant</w:t>
      </w:r>
      <w:r>
        <w:rPr>
          <w:rFonts w:ascii="Arial" w:cs="Arial" w:eastAsia="Arial" w:hAnsi="Arial"/>
          <w:sz w:val="18"/>
          <w:szCs w:val="18"/>
          <w:color w:val="auto"/>
        </w:rPr>
        <w:t>” means:</w:t>
      </w:r>
    </w:p>
    <w:p>
      <w:pPr>
        <w:spacing w:after="0" w:line="171" w:lineRule="exact"/>
        <w:rPr>
          <w:sz w:val="20"/>
          <w:szCs w:val="20"/>
          <w:color w:val="auto"/>
        </w:rPr>
      </w:pPr>
    </w:p>
    <w:p>
      <w:pPr>
        <w:ind w:right="20" w:firstLine="921"/>
        <w:spacing w:after="0" w:line="268" w:lineRule="auto"/>
        <w:tabs>
          <w:tab w:leader="none" w:pos="11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Participant whose employment or, in the case of a Participant who is an Outside Director or Director Emeritus, a Participant whose service as an Outside Director or Director Emeritus, is terminated by reason of Disability;</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Section 2.22(a) acting on behalf of such individual.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Domestic Relations Order</w:t>
      </w:r>
      <w:r>
        <w:rPr>
          <w:rFonts w:ascii="Arial" w:cs="Arial" w:eastAsia="Arial" w:hAnsi="Arial"/>
          <w:sz w:val="18"/>
          <w:szCs w:val="18"/>
          <w:color w:val="auto"/>
        </w:rPr>
        <w:t>” means any judgment, decree or order (including approval of a property settlement agreement) which:</w:t>
      </w:r>
    </w:p>
    <w:p>
      <w:pPr>
        <w:spacing w:after="0" w:line="171" w:lineRule="exact"/>
        <w:rPr>
          <w:sz w:val="20"/>
          <w:szCs w:val="20"/>
          <w:color w:val="auto"/>
        </w:rPr>
      </w:pPr>
    </w:p>
    <w:p>
      <w:pPr>
        <w:ind w:left="1160" w:hanging="239"/>
        <w:spacing w:after="0"/>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Relates to the provision of child support, alimony payments or marital property rights to a spouse or former spouse of a Participant; and</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 made pursuant to a State domestic relations law (including a community property law).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Eligible Comcast Employee</w:t>
      </w:r>
      <w:r>
        <w:rPr>
          <w:rFonts w:ascii="Arial" w:cs="Arial" w:eastAsia="Arial" w:hAnsi="Arial"/>
          <w:sz w:val="18"/>
          <w:szCs w:val="18"/>
          <w:color w:val="auto"/>
        </w:rPr>
        <w:t>” means:</w:t>
      </w:r>
    </w:p>
    <w:p>
      <w:pPr>
        <w:spacing w:after="0" w:line="171" w:lineRule="exact"/>
        <w:rPr>
          <w:sz w:val="20"/>
          <w:szCs w:val="20"/>
          <w:color w:val="auto"/>
        </w:rPr>
      </w:pPr>
    </w:p>
    <w:p>
      <w:pPr>
        <w:ind w:right="280" w:firstLine="921"/>
        <w:spacing w:after="0" w:line="268" w:lineRule="auto"/>
        <w:tabs>
          <w:tab w:leader="none" w:pos="11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the 2012 Plan Year, an Eligible Employee who was an Eligible Employee under the rules of the Plan as in effect on December 31, 2011, including Eligible Employees who are Comcast-legacy employees of NBCUniversal;</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40" w:top="280" w:right="379" w:bottom="1440" w:gutter="0" w:footer="0" w:header="0"/>
        </w:sectPr>
      </w:pPr>
    </w:p>
    <w:bookmarkStart w:id="52" w:name="page53"/>
    <w:bookmarkEnd w:id="52"/>
    <w:p>
      <w:pPr>
        <w:ind w:left="-160" w:right="260" w:firstLine="921"/>
        <w:spacing w:after="0" w:line="268" w:lineRule="auto"/>
        <w:tabs>
          <w:tab w:leader="none" w:pos="1002"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2013 Plan Year, an Eligible Employee who was an Eligible Employee under the rules of the Plan as in effect on December 31, 2012, including Eligible Employees who are Comcast-legacy employees of NBCUniversal; and</w:t>
      </w:r>
    </w:p>
    <w:p>
      <w:pPr>
        <w:spacing w:after="0" w:line="131" w:lineRule="exact"/>
        <w:rPr>
          <w:rFonts w:ascii="Arial" w:cs="Arial" w:eastAsia="Arial" w:hAnsi="Arial"/>
          <w:sz w:val="18"/>
          <w:szCs w:val="18"/>
          <w:color w:val="auto"/>
        </w:rPr>
      </w:pPr>
    </w:p>
    <w:p>
      <w:pPr>
        <w:jc w:val="both"/>
        <w:ind w:left="-160" w:firstLine="921"/>
        <w:spacing w:after="0" w:line="259" w:lineRule="auto"/>
        <w:tabs>
          <w:tab w:leader="none" w:pos="992"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Plan Years beginning after December 31, 2013, an Eligible Employee who was an Eligible Employee under the rules of the Plan as in effect on December 31, 2013, including only such Eligible Employees who are Comcast-legacy employees of NBCUniversal that are designated by the Committee, in its discretion, as an Eligible Comcast Employee.</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w:t>
      </w:r>
    </w:p>
    <w:p>
      <w:pPr>
        <w:spacing w:after="0" w:line="171" w:lineRule="exact"/>
        <w:rPr>
          <w:sz w:val="20"/>
          <w:szCs w:val="20"/>
          <w:color w:val="auto"/>
        </w:rPr>
      </w:pPr>
    </w:p>
    <w:p>
      <w:pPr>
        <w:ind w:left="1000" w:hanging="239"/>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 before January 1, 2014:</w:t>
      </w:r>
    </w:p>
    <w:p>
      <w:pPr>
        <w:spacing w:after="0" w:line="171" w:lineRule="exact"/>
        <w:rPr>
          <w:rFonts w:ascii="Arial" w:cs="Arial" w:eastAsia="Arial" w:hAnsi="Arial"/>
          <w:sz w:val="18"/>
          <w:szCs w:val="18"/>
          <w:color w:val="auto"/>
        </w:rPr>
      </w:pPr>
    </w:p>
    <w:p>
      <w:pPr>
        <w:ind w:left="1540" w:hanging="208"/>
        <w:spacing w:after="0"/>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Grandfathered Employee;</w:t>
      </w:r>
    </w:p>
    <w:p>
      <w:pPr>
        <w:spacing w:after="0" w:line="171" w:lineRule="exact"/>
        <w:rPr>
          <w:rFonts w:ascii="Arial" w:cs="Arial" w:eastAsia="Arial" w:hAnsi="Arial"/>
          <w:sz w:val="18"/>
          <w:szCs w:val="18"/>
          <w:color w:val="auto"/>
        </w:rPr>
      </w:pPr>
    </w:p>
    <w:p>
      <w:pPr>
        <w:ind w:left="-160" w:right="60" w:firstLine="1492"/>
        <w:spacing w:after="0" w:line="332" w:lineRule="auto"/>
        <w:tabs>
          <w:tab w:leader="none" w:pos="1582" w:val="left"/>
        </w:tabs>
        <w:numPr>
          <w:ilvl w:val="1"/>
          <w:numId w:val="37"/>
        </w:numPr>
        <w:rPr>
          <w:rFonts w:ascii="Arial" w:cs="Arial" w:eastAsia="Arial" w:hAnsi="Arial"/>
          <w:sz w:val="16"/>
          <w:szCs w:val="16"/>
          <w:color w:val="auto"/>
        </w:rPr>
      </w:pPr>
      <w:r>
        <w:rPr>
          <w:rFonts w:ascii="Arial" w:cs="Arial" w:eastAsia="Arial" w:hAnsi="Arial"/>
          <w:sz w:val="16"/>
          <w:szCs w:val="16"/>
          <w:color w:val="auto"/>
        </w:rPr>
        <w:t>Each employee of a Participating Company other than NBCUniversal whose Annual Rate of Pay is $200,000 or more as of both (i) the date on which an Initial Election is filed with the Administrator and (ii) the first day of the calendar year in which such Initial Election is filed;</w:t>
      </w:r>
    </w:p>
    <w:p>
      <w:pPr>
        <w:spacing w:after="0" w:line="85" w:lineRule="exact"/>
        <w:rPr>
          <w:rFonts w:ascii="Arial" w:cs="Arial" w:eastAsia="Arial" w:hAnsi="Arial"/>
          <w:sz w:val="16"/>
          <w:szCs w:val="16"/>
          <w:color w:val="auto"/>
        </w:rPr>
      </w:pPr>
    </w:p>
    <w:p>
      <w:pPr>
        <w:ind w:left="1640" w:hanging="308"/>
        <w:spacing w:after="0"/>
        <w:tabs>
          <w:tab w:leader="none" w:pos="16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171" w:lineRule="exact"/>
        <w:rPr>
          <w:rFonts w:ascii="Arial" w:cs="Arial" w:eastAsia="Arial" w:hAnsi="Arial"/>
          <w:sz w:val="18"/>
          <w:szCs w:val="18"/>
          <w:color w:val="auto"/>
        </w:rPr>
      </w:pPr>
    </w:p>
    <w:p>
      <w:pPr>
        <w:ind w:left="-160" w:right="320" w:firstLine="1492"/>
        <w:spacing w:after="0" w:line="332" w:lineRule="auto"/>
        <w:tabs>
          <w:tab w:leader="none" w:pos="1621" w:val="left"/>
        </w:tabs>
        <w:numPr>
          <w:ilvl w:val="1"/>
          <w:numId w:val="37"/>
        </w:numPr>
        <w:rPr>
          <w:rFonts w:ascii="Arial" w:cs="Arial" w:eastAsia="Arial" w:hAnsi="Arial"/>
          <w:sz w:val="16"/>
          <w:szCs w:val="16"/>
          <w:color w:val="auto"/>
        </w:rPr>
      </w:pPr>
      <w:r>
        <w:rPr>
          <w:rFonts w:ascii="Arial" w:cs="Arial" w:eastAsia="Arial" w:hAnsi="Arial"/>
          <w:sz w:val="16"/>
          <w:szCs w:val="16"/>
          <w:color w:val="auto"/>
        </w:rPr>
        <w:t>Each employee of NBCUniversal who (i) has been designated as a member of NBCUniversal’s Operating Committee by the Chief Executive Officer of NBCUniversal and approved by the Administrator or (ii) falls within the definition of the term “Eligible Comcast Employee;” and</w:t>
      </w:r>
    </w:p>
    <w:p>
      <w:pPr>
        <w:spacing w:after="0" w:line="85" w:lineRule="exact"/>
        <w:rPr>
          <w:rFonts w:ascii="Arial" w:cs="Arial" w:eastAsia="Arial" w:hAnsi="Arial"/>
          <w:sz w:val="16"/>
          <w:szCs w:val="16"/>
          <w:color w:val="auto"/>
        </w:rPr>
      </w:pPr>
    </w:p>
    <w:p>
      <w:pPr>
        <w:ind w:left="1580" w:hanging="248"/>
        <w:spacing w:after="0"/>
        <w:tabs>
          <w:tab w:leader="none" w:pos="15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Each other employee of a Participating Company who is designated by the Committee, in its discretion, as an Eligible Employee;</w:t>
      </w:r>
    </w:p>
    <w:p>
      <w:pPr>
        <w:spacing w:after="0" w:line="194" w:lineRule="exact"/>
        <w:rPr>
          <w:rFonts w:ascii="Arial" w:cs="Arial" w:eastAsia="Arial" w:hAnsi="Arial"/>
          <w:sz w:val="16"/>
          <w:szCs w:val="16"/>
          <w:color w:val="auto"/>
        </w:rPr>
      </w:pPr>
    </w:p>
    <w:p>
      <w:pPr>
        <w:ind w:left="1000" w:hanging="239"/>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 after December 31, 2013:</w:t>
      </w:r>
    </w:p>
    <w:p>
      <w:pPr>
        <w:spacing w:after="0" w:line="171" w:lineRule="exact"/>
        <w:rPr>
          <w:rFonts w:ascii="Arial" w:cs="Arial" w:eastAsia="Arial" w:hAnsi="Arial"/>
          <w:sz w:val="18"/>
          <w:szCs w:val="18"/>
          <w:color w:val="auto"/>
        </w:rPr>
      </w:pPr>
    </w:p>
    <w:p>
      <w:pPr>
        <w:ind w:left="1540" w:hanging="208"/>
        <w:spacing w:after="0"/>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Grandfathered Employee;</w:t>
      </w:r>
    </w:p>
    <w:p>
      <w:pPr>
        <w:spacing w:after="0" w:line="171" w:lineRule="exact"/>
        <w:rPr>
          <w:rFonts w:ascii="Arial" w:cs="Arial" w:eastAsia="Arial" w:hAnsi="Arial"/>
          <w:sz w:val="18"/>
          <w:szCs w:val="18"/>
          <w:color w:val="auto"/>
        </w:rPr>
      </w:pPr>
    </w:p>
    <w:p>
      <w:pPr>
        <w:ind w:left="-160" w:right="60" w:firstLine="1492"/>
        <w:spacing w:after="0" w:line="332" w:lineRule="auto"/>
        <w:tabs>
          <w:tab w:leader="none" w:pos="1582" w:val="left"/>
        </w:tabs>
        <w:numPr>
          <w:ilvl w:val="1"/>
          <w:numId w:val="37"/>
        </w:numPr>
        <w:rPr>
          <w:rFonts w:ascii="Arial" w:cs="Arial" w:eastAsia="Arial" w:hAnsi="Arial"/>
          <w:sz w:val="16"/>
          <w:szCs w:val="16"/>
          <w:color w:val="auto"/>
        </w:rPr>
      </w:pPr>
      <w:r>
        <w:rPr>
          <w:rFonts w:ascii="Arial" w:cs="Arial" w:eastAsia="Arial" w:hAnsi="Arial"/>
          <w:sz w:val="16"/>
          <w:szCs w:val="16"/>
          <w:color w:val="auto"/>
        </w:rPr>
        <w:t>Each employee of a Participating Company other than NBCUniversal whose Annual Rate of Pay is $250,000 or more as of both (i) the date on which an Initial Election is filed with the Administrator and (ii) the first day of the calendar year in which such Initial Election is filed;</w:t>
      </w:r>
    </w:p>
    <w:p>
      <w:pPr>
        <w:spacing w:after="0" w:line="85" w:lineRule="exact"/>
        <w:rPr>
          <w:rFonts w:ascii="Arial" w:cs="Arial" w:eastAsia="Arial" w:hAnsi="Arial"/>
          <w:sz w:val="16"/>
          <w:szCs w:val="16"/>
          <w:color w:val="auto"/>
        </w:rPr>
      </w:pPr>
    </w:p>
    <w:p>
      <w:pPr>
        <w:ind w:left="1640" w:hanging="308"/>
        <w:spacing w:after="0"/>
        <w:tabs>
          <w:tab w:leader="none" w:pos="16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171" w:lineRule="exact"/>
        <w:rPr>
          <w:rFonts w:ascii="Arial" w:cs="Arial" w:eastAsia="Arial" w:hAnsi="Arial"/>
          <w:sz w:val="18"/>
          <w:szCs w:val="18"/>
          <w:color w:val="auto"/>
        </w:rPr>
      </w:pPr>
    </w:p>
    <w:p>
      <w:pPr>
        <w:ind w:left="-160" w:right="320" w:firstLine="1492"/>
        <w:spacing w:after="0" w:line="332" w:lineRule="auto"/>
        <w:tabs>
          <w:tab w:leader="none" w:pos="1621" w:val="left"/>
        </w:tabs>
        <w:numPr>
          <w:ilvl w:val="1"/>
          <w:numId w:val="37"/>
        </w:numPr>
        <w:rPr>
          <w:rFonts w:ascii="Arial" w:cs="Arial" w:eastAsia="Arial" w:hAnsi="Arial"/>
          <w:sz w:val="16"/>
          <w:szCs w:val="16"/>
          <w:color w:val="auto"/>
        </w:rPr>
      </w:pPr>
      <w:r>
        <w:rPr>
          <w:rFonts w:ascii="Arial" w:cs="Arial" w:eastAsia="Arial" w:hAnsi="Arial"/>
          <w:sz w:val="16"/>
          <w:szCs w:val="16"/>
          <w:color w:val="auto"/>
        </w:rPr>
        <w:t>Each employee of NBCUniversal who (i) has been designated as a member of NBCUniversal’s Operating Committee by the Chief Executive Officer of NBCUniversal and approved by the Administrator or (ii) falls within the definition of the term “Eligible Comcast Employee;” and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400" w:top="280" w:right="379" w:bottom="1440" w:gutter="0" w:footer="0" w:header="0"/>
        </w:sectPr>
      </w:pPr>
    </w:p>
    <w:bookmarkStart w:id="53" w:name="page54"/>
    <w:bookmarkEnd w:id="53"/>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 Each other employee of a Participating Company who is designated by the Committee, in its discretion, as an Eligible Employee.</w:t>
      </w:r>
    </w:p>
    <w:p>
      <w:pPr>
        <w:spacing w:after="0" w:line="19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Eligible NBCU Employee</w:t>
      </w:r>
      <w:r>
        <w:rPr>
          <w:rFonts w:ascii="Arial" w:cs="Arial" w:eastAsia="Arial" w:hAnsi="Arial"/>
          <w:sz w:val="18"/>
          <w:szCs w:val="18"/>
          <w:color w:val="auto"/>
        </w:rPr>
        <w:t>” means an Eligible Employee who is an employee of NBCUniversal, other than employees of NBCUniversal who fall within the definition of the term “Eligible Comcast Employees.”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Fair Market Value</w:t>
      </w:r>
      <w:r>
        <w:rPr>
          <w:rFonts w:ascii="Arial" w:cs="Arial" w:eastAsia="Arial" w:hAnsi="Arial"/>
          <w:sz w:val="18"/>
          <w:szCs w:val="18"/>
          <w:color w:val="auto"/>
        </w:rPr>
        <w:t>”</w:t>
      </w:r>
    </w:p>
    <w:p>
      <w:pPr>
        <w:spacing w:after="0" w:line="171" w:lineRule="exact"/>
        <w:rPr>
          <w:sz w:val="20"/>
          <w:szCs w:val="20"/>
          <w:color w:val="auto"/>
        </w:rPr>
      </w:pPr>
    </w:p>
    <w:p>
      <w:pPr>
        <w:ind w:right="80" w:firstLine="921"/>
        <w:spacing w:after="0" w:line="332" w:lineRule="auto"/>
        <w:tabs>
          <w:tab w:leader="none" w:pos="11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shares of Company Stock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85" w:lineRule="exact"/>
        <w:rPr>
          <w:rFonts w:ascii="Arial" w:cs="Arial" w:eastAsia="Arial" w:hAnsi="Arial"/>
          <w:sz w:val="16"/>
          <w:szCs w:val="16"/>
          <w:color w:val="auto"/>
        </w:rPr>
      </w:pPr>
    </w:p>
    <w:p>
      <w:pPr>
        <w:ind w:right="40" w:firstLine="921"/>
        <w:spacing w:after="0" w:line="259" w:lineRule="auto"/>
        <w:tabs>
          <w:tab w:leader="none" w:pos="116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shares of Company Stock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shares of Company Stock are not so listed nor trades of shares so reported, Fair Market Value shall be determined by the Committee in good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faith.</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Grandfathered Employee</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Effective before January 1, 2014:</w:t>
      </w:r>
    </w:p>
    <w:p>
      <w:pPr>
        <w:spacing w:after="0" w:line="171" w:lineRule="exact"/>
        <w:rPr>
          <w:rFonts w:ascii="Arial" w:cs="Arial" w:eastAsia="Arial" w:hAnsi="Arial"/>
          <w:sz w:val="18"/>
          <w:szCs w:val="18"/>
          <w:color w:val="auto"/>
        </w:rPr>
      </w:pPr>
    </w:p>
    <w:p>
      <w:pPr>
        <w:ind w:right="60" w:firstLine="1492"/>
        <w:spacing w:after="0" w:line="268" w:lineRule="auto"/>
        <w:tabs>
          <w:tab w:leader="none" w:pos="1693"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employee of a Participating Company who, as of December 31, 1989, was eligible to participate in the Prior Plan and who has been in continuous service to the Company or an Affiliate since December 31, 1989.</w:t>
      </w:r>
    </w:p>
    <w:p>
      <w:pPr>
        <w:spacing w:after="0" w:line="131" w:lineRule="exact"/>
        <w:rPr>
          <w:rFonts w:ascii="Arial" w:cs="Arial" w:eastAsia="Arial" w:hAnsi="Arial"/>
          <w:sz w:val="18"/>
          <w:szCs w:val="18"/>
          <w:color w:val="auto"/>
        </w:rPr>
      </w:pPr>
    </w:p>
    <w:p>
      <w:pPr>
        <w:ind w:right="200" w:firstLine="1492"/>
        <w:spacing w:after="0" w:line="259" w:lineRule="auto"/>
        <w:tabs>
          <w:tab w:leader="none" w:pos="1742"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employee of a Participating Company who was, at any time before January 1, 1995, eligible to participate in the Comcast Corporation Deferred Compensation Plan and whose Annual Rate of Pay is $90,000 or more as of both (i) the date on which an Initial Election is filed with the Administrator and (ii) the first day of each calendar year beginning after December 31, 1994.</w:t>
      </w:r>
    </w:p>
    <w:p>
      <w:pPr>
        <w:spacing w:after="0" w:line="140" w:lineRule="exact"/>
        <w:rPr>
          <w:rFonts w:ascii="Arial" w:cs="Arial" w:eastAsia="Arial" w:hAnsi="Arial"/>
          <w:sz w:val="18"/>
          <w:szCs w:val="18"/>
          <w:color w:val="auto"/>
        </w:rPr>
      </w:pPr>
    </w:p>
    <w:p>
      <w:pPr>
        <w:ind w:firstLine="1492"/>
        <w:spacing w:after="0" w:line="259" w:lineRule="auto"/>
        <w:tabs>
          <w:tab w:leader="none" w:pos="1791"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individual who was an employee of an entity that was a Participating Company in the Prior Plan as of June 30, 2002 and who has an Annual Rate of Pay of $125,000 as of each of (i) June 30, 2002; (ii) the date on which an Initial Election is filed with the Administrator and (iii) the first day of each calendar year beginning after December 31, 2002.</w:t>
      </w:r>
    </w:p>
    <w:p>
      <w:pPr>
        <w:spacing w:after="0" w:line="140" w:lineRule="exact"/>
        <w:rPr>
          <w:rFonts w:ascii="Arial" w:cs="Arial" w:eastAsia="Arial" w:hAnsi="Arial"/>
          <w:sz w:val="18"/>
          <w:szCs w:val="18"/>
          <w:color w:val="auto"/>
        </w:rPr>
      </w:pPr>
    </w:p>
    <w:p>
      <w:pPr>
        <w:ind w:right="300" w:firstLine="1492"/>
        <w:spacing w:after="0" w:line="259" w:lineRule="auto"/>
        <w:tabs>
          <w:tab w:leader="none" w:pos="1781"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employee of a Participating Company who (i) as of December 31, 2002, was an “Eligible Employee” within the meaning of Section 2.34 of the AT&amp;T Broadband Deferred Compensation Plan (as amended and restated, effective November 18, 2002) with respect to whom an account was maintained, and (ii) for the period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beginning on December 31, 2002 and extending through any date of determination, has been actively and continuously in service to the Company or an Affiliate.</w:t>
      </w:r>
    </w:p>
    <w:p>
      <w:pPr>
        <w:spacing w:after="0" w:line="194" w:lineRule="exact"/>
        <w:rPr>
          <w:sz w:val="20"/>
          <w:szCs w:val="20"/>
          <w:color w:val="auto"/>
        </w:rPr>
      </w:pPr>
    </w:p>
    <w:p>
      <w:pPr>
        <w:ind w:left="1160" w:hanging="239"/>
        <w:spacing w:after="0"/>
        <w:tabs>
          <w:tab w:leader="none" w:pos="1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Effective after December 31, 2013, each employee of a Participating Company who:</w:t>
      </w:r>
    </w:p>
    <w:p>
      <w:pPr>
        <w:spacing w:after="0" w:line="171" w:lineRule="exact"/>
        <w:rPr>
          <w:rFonts w:ascii="Arial" w:cs="Arial" w:eastAsia="Arial" w:hAnsi="Arial"/>
          <w:sz w:val="18"/>
          <w:szCs w:val="18"/>
          <w:color w:val="auto"/>
        </w:rPr>
      </w:pPr>
    </w:p>
    <w:p>
      <w:pPr>
        <w:ind w:right="420" w:firstLine="1492"/>
        <w:spacing w:after="0" w:line="268" w:lineRule="auto"/>
        <w:tabs>
          <w:tab w:leader="none" w:pos="1693" w:val="left"/>
        </w:tabs>
        <w:numPr>
          <w:ilvl w:val="2"/>
          <w:numId w:val="40"/>
        </w:numPr>
        <w:rPr>
          <w:rFonts w:ascii="Arial" w:cs="Arial" w:eastAsia="Arial" w:hAnsi="Arial"/>
          <w:sz w:val="18"/>
          <w:szCs w:val="18"/>
          <w:color w:val="auto"/>
        </w:rPr>
      </w:pPr>
      <w:r>
        <w:rPr>
          <w:rFonts w:ascii="Arial" w:cs="Arial" w:eastAsia="Arial" w:hAnsi="Arial"/>
          <w:sz w:val="18"/>
          <w:szCs w:val="18"/>
          <w:color w:val="auto"/>
        </w:rPr>
        <w:t>As of December 31, 1989, was eligible to participate in the Prior Plan and who has been in continuous service to the Company or an Affiliate since December 31, 1989;</w:t>
      </w:r>
    </w:p>
    <w:p>
      <w:pPr>
        <w:spacing w:after="0" w:line="131" w:lineRule="exact"/>
        <w:rPr>
          <w:rFonts w:ascii="Arial" w:cs="Arial" w:eastAsia="Arial" w:hAnsi="Arial"/>
          <w:sz w:val="18"/>
          <w:szCs w:val="18"/>
          <w:color w:val="auto"/>
        </w:rPr>
      </w:pPr>
    </w:p>
    <w:p>
      <w:pPr>
        <w:ind w:right="120" w:firstLine="1492"/>
        <w:spacing w:after="0" w:line="332" w:lineRule="auto"/>
        <w:tabs>
          <w:tab w:leader="none" w:pos="1742" w:val="left"/>
        </w:tabs>
        <w:numPr>
          <w:ilvl w:val="2"/>
          <w:numId w:val="40"/>
        </w:numPr>
        <w:rPr>
          <w:rFonts w:ascii="Arial" w:cs="Arial" w:eastAsia="Arial" w:hAnsi="Arial"/>
          <w:sz w:val="16"/>
          <w:szCs w:val="16"/>
          <w:color w:val="auto"/>
        </w:rPr>
      </w:pPr>
      <w:r>
        <w:rPr>
          <w:rFonts w:ascii="Arial" w:cs="Arial" w:eastAsia="Arial" w:hAnsi="Arial"/>
          <w:sz w:val="16"/>
          <w:szCs w:val="16"/>
          <w:color w:val="auto"/>
        </w:rPr>
        <w:t>Was, at any time before January 1, 1995, eligible to participate in the Prior Plan and whose Annual Rate of Pay is $90,000 or more as of both (i) the date on which an Initial Election is filed with the Administrator and (ii) the first day of each calendar year beginning after December 31, 1994;</w:t>
      </w:r>
    </w:p>
    <w:p>
      <w:pPr>
        <w:spacing w:after="0" w:line="85" w:lineRule="exact"/>
        <w:rPr>
          <w:rFonts w:ascii="Arial" w:cs="Arial" w:eastAsia="Arial" w:hAnsi="Arial"/>
          <w:sz w:val="16"/>
          <w:szCs w:val="16"/>
          <w:color w:val="auto"/>
        </w:rPr>
      </w:pPr>
    </w:p>
    <w:p>
      <w:pPr>
        <w:jc w:val="both"/>
        <w:ind w:right="280" w:firstLine="1492"/>
        <w:spacing w:after="0" w:line="259" w:lineRule="auto"/>
        <w:tabs>
          <w:tab w:leader="none" w:pos="1791" w:val="left"/>
        </w:tabs>
        <w:numPr>
          <w:ilvl w:val="2"/>
          <w:numId w:val="40"/>
        </w:numPr>
        <w:rPr>
          <w:rFonts w:ascii="Arial" w:cs="Arial" w:eastAsia="Arial" w:hAnsi="Arial"/>
          <w:sz w:val="18"/>
          <w:szCs w:val="18"/>
          <w:color w:val="auto"/>
        </w:rPr>
      </w:pPr>
      <w:r>
        <w:rPr>
          <w:rFonts w:ascii="Arial" w:cs="Arial" w:eastAsia="Arial" w:hAnsi="Arial"/>
          <w:sz w:val="18"/>
          <w:szCs w:val="18"/>
          <w:color w:val="auto"/>
        </w:rPr>
        <w:t>Was an employee of an entity that was a Participating Company in the Prior Plan as of June 30, 2002 and who has an Annual Rate of Pay of $125,000 as of each of (i) June 30, 2002; (ii) the date on which an Initial Election is filed with the Administrator and (iii) the first day of each calendar year beginning after December 31, 2002;</w:t>
      </w:r>
    </w:p>
    <w:p>
      <w:pPr>
        <w:spacing w:after="0" w:line="140" w:lineRule="exact"/>
        <w:rPr>
          <w:rFonts w:ascii="Arial" w:cs="Arial" w:eastAsia="Arial" w:hAnsi="Arial"/>
          <w:sz w:val="18"/>
          <w:szCs w:val="18"/>
          <w:color w:val="auto"/>
        </w:rPr>
      </w:pPr>
    </w:p>
    <w:p>
      <w:pPr>
        <w:ind w:right="160" w:firstLine="1492"/>
        <w:spacing w:after="0" w:line="335" w:lineRule="auto"/>
        <w:tabs>
          <w:tab w:leader="none" w:pos="1781" w:val="left"/>
        </w:tabs>
        <w:numPr>
          <w:ilvl w:val="2"/>
          <w:numId w:val="40"/>
        </w:numPr>
        <w:rPr>
          <w:rFonts w:ascii="Arial" w:cs="Arial" w:eastAsia="Arial" w:hAnsi="Arial"/>
          <w:sz w:val="15"/>
          <w:szCs w:val="15"/>
          <w:color w:val="auto"/>
        </w:rPr>
      </w:pPr>
      <w:r>
        <w:rPr>
          <w:rFonts w:ascii="Arial" w:cs="Arial" w:eastAsia="Arial" w:hAnsi="Arial"/>
          <w:sz w:val="15"/>
          <w:szCs w:val="15"/>
          <w:color w:val="auto"/>
        </w:rPr>
        <w:t>(A) As of December 31, 2002, was an “Eligible Employee” within the meaning of Section 2.34 of the AT&amp;T Broadband Deferred Compensation Plan (as amended and restated, effective November 18, 2002) with respect to whom an account was maintained, and (B) for the period beginning on December 31, 2002 and extending through any date of determination, has been actively and continuously in service to the Company or an Affiliate; or</w:t>
      </w:r>
    </w:p>
    <w:p>
      <w:pPr>
        <w:spacing w:after="0" w:line="88" w:lineRule="exact"/>
        <w:rPr>
          <w:rFonts w:ascii="Arial" w:cs="Arial" w:eastAsia="Arial" w:hAnsi="Arial"/>
          <w:sz w:val="15"/>
          <w:szCs w:val="15"/>
          <w:color w:val="auto"/>
        </w:rPr>
      </w:pPr>
    </w:p>
    <w:p>
      <w:pPr>
        <w:ind w:left="1740" w:hanging="248"/>
        <w:spacing w:after="0"/>
        <w:tabs>
          <w:tab w:leader="none" w:pos="1740" w:val="left"/>
        </w:tabs>
        <w:numPr>
          <w:ilvl w:val="2"/>
          <w:numId w:val="40"/>
        </w:numPr>
        <w:rPr>
          <w:rFonts w:ascii="Arial" w:cs="Arial" w:eastAsia="Arial" w:hAnsi="Arial"/>
          <w:sz w:val="15"/>
          <w:szCs w:val="15"/>
          <w:color w:val="auto"/>
        </w:rPr>
      </w:pPr>
      <w:r>
        <w:rPr>
          <w:rFonts w:ascii="Arial" w:cs="Arial" w:eastAsia="Arial" w:hAnsi="Arial"/>
          <w:sz w:val="15"/>
          <w:szCs w:val="15"/>
          <w:color w:val="auto"/>
        </w:rPr>
        <w:t>As of December 31, 2013, is a Participant and who has an Annual Rate of Pay of $200,000 or more as of each of (A) December 31, 2013;</w:t>
      </w:r>
    </w:p>
    <w:p>
      <w:pPr>
        <w:spacing w:after="0" w:line="49" w:lineRule="exact"/>
        <w:rPr>
          <w:rFonts w:ascii="Arial" w:cs="Arial" w:eastAsia="Arial" w:hAnsi="Arial"/>
          <w:sz w:val="15"/>
          <w:szCs w:val="15"/>
          <w:color w:val="auto"/>
        </w:rPr>
      </w:pPr>
    </w:p>
    <w:p>
      <w:pPr>
        <w:ind w:left="280" w:hanging="272"/>
        <w:spacing w:after="0"/>
        <w:tabs>
          <w:tab w:leader="none" w:pos="2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on which an Initial Election is filed with the Administrator and (C) the first day of each calendar year beginning after December 31, 2013.</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2.29. “</w:t>
      </w:r>
      <w:r>
        <w:rPr>
          <w:rFonts w:ascii="Arial" w:cs="Arial" w:eastAsia="Arial" w:hAnsi="Arial"/>
          <w:sz w:val="16"/>
          <w:szCs w:val="16"/>
          <w:u w:val="single" w:color="auto"/>
          <w:color w:val="auto"/>
        </w:rPr>
        <w:t>Hardship</w:t>
      </w:r>
      <w:r>
        <w:rPr>
          <w:rFonts w:ascii="Arial" w:cs="Arial" w:eastAsia="Arial" w:hAnsi="Arial"/>
          <w:sz w:val="16"/>
          <w:szCs w:val="16"/>
          <w:color w:val="auto"/>
        </w:rPr>
        <w:t>” means an “unforeseeable emergency,” as defined in Section 409A. The Committee shall determine whether the circumstances of the Participant constitute an unforeseeable emergency and thus a Hardship within the meaning of this Paragraph 2.24. Following a uniform procedure, the Committee’s determination shall consider any facts or conditions deemed necessary or advisable by the Committee, and the Participant shall be required to submit any evidence of the Participant’s circumstances that the Committee requires. The determination as to whether the Participant’s circumstances are a case of Hardship shall be based on the facts of each case; provided however, that all determinations as to Hardship shall be uniformly and consistently made according to the provisions of this Paragraph 2.24 for all Participants in similar circumstances.</w:t>
      </w:r>
    </w:p>
    <w:p>
      <w:pPr>
        <w:spacing w:after="0" w:line="12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Inactive Participant</w:t>
      </w:r>
      <w:r>
        <w:rPr>
          <w:rFonts w:ascii="Arial" w:cs="Arial" w:eastAsia="Arial" w:hAnsi="Arial"/>
          <w:sz w:val="18"/>
          <w:szCs w:val="18"/>
          <w:color w:val="auto"/>
        </w:rPr>
        <w:t>” means each Participant (other than a Retired Participant, Deceased Participant or Disabled Participant) who is not in active service as an Outside Director or Director Emeritus and is not actively employed by a Participating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55" w:name="page56"/>
    <w:bookmarkEnd w:id="55"/>
    <w:p>
      <w:pPr>
        <w:ind w:right="3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2.31. “</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Initial Election</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59" w:lineRule="auto"/>
        <w:tabs>
          <w:tab w:leader="none" w:pos="115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Outside Directors and Directors Emeriti</w:t>
      </w:r>
      <w:r>
        <w:rPr>
          <w:rFonts w:ascii="Arial" w:cs="Arial" w:eastAsia="Arial" w:hAnsi="Arial"/>
          <w:sz w:val="18"/>
          <w:szCs w:val="18"/>
          <w:color w:val="auto"/>
        </w:rPr>
        <w:t>. With respect to Outside Directors and Directors Emeriti, the term “Initial Election” means one or more written elections on a form provided by the Administrator and filed with the Administrator in accordance with Article 3, pursuant to which an Outside Director or Director Emeritus may:</w:t>
      </w:r>
    </w:p>
    <w:p>
      <w:pPr>
        <w:spacing w:after="0" w:line="140" w:lineRule="exact"/>
        <w:rPr>
          <w:rFonts w:ascii="Arial" w:cs="Arial" w:eastAsia="Arial" w:hAnsi="Arial"/>
          <w:sz w:val="18"/>
          <w:szCs w:val="18"/>
          <w:color w:val="auto"/>
        </w:rPr>
      </w:pPr>
    </w:p>
    <w:p>
      <w:pPr>
        <w:ind w:right="20" w:firstLine="1492"/>
        <w:spacing w:after="0" w:line="268" w:lineRule="auto"/>
        <w:tabs>
          <w:tab w:leader="none" w:pos="1693" w:val="left"/>
        </w:tabs>
        <w:numPr>
          <w:ilvl w:val="1"/>
          <w:numId w:val="42"/>
        </w:numPr>
        <w:rPr>
          <w:rFonts w:ascii="Arial" w:cs="Arial" w:eastAsia="Arial" w:hAnsi="Arial"/>
          <w:sz w:val="18"/>
          <w:szCs w:val="18"/>
          <w:color w:val="auto"/>
        </w:rPr>
      </w:pPr>
      <w:r>
        <w:rPr>
          <w:rFonts w:ascii="Arial" w:cs="Arial" w:eastAsia="Arial" w:hAnsi="Arial"/>
          <w:sz w:val="18"/>
          <w:szCs w:val="18"/>
          <w:color w:val="auto"/>
        </w:rPr>
        <w:t>Elect to defer any portion of the Compensation payable for the performance of services as an Outside Director or a Director Emeritus, net of required withholdings and deductions as determined by the Administrator in its sole discretion; and</w:t>
      </w:r>
    </w:p>
    <w:p>
      <w:pPr>
        <w:spacing w:after="0" w:line="131" w:lineRule="exact"/>
        <w:rPr>
          <w:rFonts w:ascii="Arial" w:cs="Arial" w:eastAsia="Arial" w:hAnsi="Arial"/>
          <w:sz w:val="18"/>
          <w:szCs w:val="18"/>
          <w:color w:val="auto"/>
        </w:rPr>
      </w:pPr>
    </w:p>
    <w:p>
      <w:pPr>
        <w:ind w:left="1760" w:hanging="268"/>
        <w:spacing w:after="0"/>
        <w:tabs>
          <w:tab w:leader="none" w:pos="17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171" w:lineRule="exact"/>
        <w:rPr>
          <w:rFonts w:ascii="Arial" w:cs="Arial" w:eastAsia="Arial" w:hAnsi="Arial"/>
          <w:sz w:val="18"/>
          <w:szCs w:val="18"/>
          <w:color w:val="auto"/>
        </w:rPr>
      </w:pPr>
    </w:p>
    <w:p>
      <w:pPr>
        <w:ind w:right="120" w:firstLine="921"/>
        <w:spacing w:after="0" w:line="259" w:lineRule="auto"/>
        <w:tabs>
          <w:tab w:leader="none" w:pos="116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2013 Plan Year For Eligible Comcast Employees</w:t>
      </w:r>
      <w:r>
        <w:rPr>
          <w:rFonts w:ascii="Arial" w:cs="Arial" w:eastAsia="Arial" w:hAnsi="Arial"/>
          <w:sz w:val="18"/>
          <w:szCs w:val="18"/>
          <w:color w:val="auto"/>
        </w:rPr>
        <w:t>. With respect to Eligible Comcast Employees for Compensation earned in the 2013 Plan Year, the term “Initial Election means one or more written elections provided by the Administrator and filed with the Administrator in accordance with Article 3 pursuant to which an Eligible Comcast Employee may:</w:t>
      </w:r>
    </w:p>
    <w:p>
      <w:pPr>
        <w:spacing w:after="0" w:line="140" w:lineRule="exact"/>
        <w:rPr>
          <w:rFonts w:ascii="Arial" w:cs="Arial" w:eastAsia="Arial" w:hAnsi="Arial"/>
          <w:sz w:val="18"/>
          <w:szCs w:val="18"/>
          <w:color w:val="auto"/>
        </w:rPr>
      </w:pPr>
    </w:p>
    <w:p>
      <w:pPr>
        <w:ind w:right="40" w:firstLine="1492"/>
        <w:spacing w:after="0" w:line="306" w:lineRule="auto"/>
        <w:tabs>
          <w:tab w:leader="none" w:pos="1693" w:val="left"/>
        </w:tabs>
        <w:numPr>
          <w:ilvl w:val="1"/>
          <w:numId w:val="42"/>
        </w:numPr>
        <w:rPr>
          <w:rFonts w:ascii="Arial" w:cs="Arial" w:eastAsia="Arial" w:hAnsi="Arial"/>
          <w:sz w:val="16"/>
          <w:szCs w:val="16"/>
          <w:color w:val="auto"/>
        </w:rPr>
      </w:pPr>
      <w:r>
        <w:rPr>
          <w:rFonts w:ascii="Arial" w:cs="Arial" w:eastAsia="Arial" w:hAnsi="Arial"/>
          <w:sz w:val="16"/>
          <w:szCs w:val="16"/>
          <w:color w:val="auto"/>
        </w:rPr>
        <w:t>Elect to defer any portion of the Compensation payable for the performance of services as an Eligible Employee following the time that such election is filed, provided that the maximum amount of base salary available for deferral shall be determined net of required withholdings and deductions as determined by the Administrator in its sole discretion, but shall in no event be less than 85% of the Participant’s base salary; and</w:t>
      </w:r>
    </w:p>
    <w:p>
      <w:pPr>
        <w:spacing w:after="0" w:line="106" w:lineRule="exact"/>
        <w:rPr>
          <w:rFonts w:ascii="Arial" w:cs="Arial" w:eastAsia="Arial" w:hAnsi="Arial"/>
          <w:sz w:val="16"/>
          <w:szCs w:val="16"/>
          <w:color w:val="auto"/>
        </w:rPr>
      </w:pPr>
    </w:p>
    <w:p>
      <w:pPr>
        <w:ind w:left="1760" w:hanging="268"/>
        <w:spacing w:after="0"/>
        <w:tabs>
          <w:tab w:leader="none" w:pos="17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171" w:lineRule="exact"/>
        <w:rPr>
          <w:rFonts w:ascii="Arial" w:cs="Arial" w:eastAsia="Arial" w:hAnsi="Arial"/>
          <w:sz w:val="18"/>
          <w:szCs w:val="18"/>
          <w:color w:val="auto"/>
        </w:rPr>
      </w:pPr>
    </w:p>
    <w:p>
      <w:pPr>
        <w:jc w:val="both"/>
        <w:ind w:right="80" w:firstLine="921"/>
        <w:spacing w:after="0" w:line="256" w:lineRule="auto"/>
        <w:tabs>
          <w:tab w:leader="none" w:pos="115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2013 Plan Year For Eligible NBCU Employees, and Plan Years Beginning After December 31, 2013</w:t>
      </w:r>
      <w:r>
        <w:rPr>
          <w:rFonts w:ascii="Arial" w:cs="Arial" w:eastAsia="Arial" w:hAnsi="Arial"/>
          <w:sz w:val="18"/>
          <w:szCs w:val="18"/>
          <w:color w:val="auto"/>
        </w:rPr>
        <w:t>. With respect to Eligible NBCU employees for Compensation earned after December 31, 2012 and with respect to Eligible Comcast Employees for Compensation earned after December 31, 2013, the term “Initial Election” means one or more written elections provided by the Administrator and filed with the Administrator in accordance with Article 3 pursuant to which an Eligible Employee may:</w:t>
      </w:r>
    </w:p>
    <w:p>
      <w:pPr>
        <w:spacing w:after="0" w:line="143" w:lineRule="exact"/>
        <w:rPr>
          <w:rFonts w:ascii="Arial" w:cs="Arial" w:eastAsia="Arial" w:hAnsi="Arial"/>
          <w:sz w:val="18"/>
          <w:szCs w:val="18"/>
          <w:color w:val="auto"/>
        </w:rPr>
      </w:pPr>
    </w:p>
    <w:p>
      <w:pPr>
        <w:ind w:right="360" w:firstLine="1492"/>
        <w:spacing w:after="0" w:line="268" w:lineRule="auto"/>
        <w:tabs>
          <w:tab w:leader="none" w:pos="1693" w:val="left"/>
        </w:tabs>
        <w:numPr>
          <w:ilvl w:val="1"/>
          <w:numId w:val="42"/>
        </w:numPr>
        <w:rPr>
          <w:rFonts w:ascii="Arial" w:cs="Arial" w:eastAsia="Arial" w:hAnsi="Arial"/>
          <w:sz w:val="18"/>
          <w:szCs w:val="18"/>
          <w:color w:val="auto"/>
        </w:rPr>
      </w:pPr>
      <w:r>
        <w:rPr>
          <w:rFonts w:ascii="Arial" w:cs="Arial" w:eastAsia="Arial" w:hAnsi="Arial"/>
          <w:sz w:val="18"/>
          <w:szCs w:val="18"/>
          <w:color w:val="auto"/>
        </w:rPr>
        <w:t>Subject to the limitations described in Section 2.32(c)(iii), elect to defer Compensation payable for the performance of services as an Eligible Employee following the time that such election is filed; and</w:t>
      </w:r>
    </w:p>
    <w:p>
      <w:pPr>
        <w:spacing w:after="0" w:line="131" w:lineRule="exact"/>
        <w:rPr>
          <w:rFonts w:ascii="Arial" w:cs="Arial" w:eastAsia="Arial" w:hAnsi="Arial"/>
          <w:sz w:val="18"/>
          <w:szCs w:val="18"/>
          <w:color w:val="auto"/>
        </w:rPr>
      </w:pPr>
    </w:p>
    <w:p>
      <w:pPr>
        <w:ind w:left="1760" w:hanging="268"/>
        <w:spacing w:after="0"/>
        <w:tabs>
          <w:tab w:leader="none" w:pos="17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56" w:name="page57"/>
    <w:bookmarkEnd w:id="56"/>
    <w:p>
      <w:pPr>
        <w:ind w:right="60" w:firstLine="1492"/>
        <w:spacing w:after="0" w:line="332" w:lineRule="auto"/>
        <w:tabs>
          <w:tab w:leader="none" w:pos="1791" w:val="left"/>
        </w:tabs>
        <w:numPr>
          <w:ilvl w:val="0"/>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for Eligible NBCU Employees with respect to Compensation earned after December 31, 2012, and with respect to all Eligible Employees with respect to Compensation earned after December 31, 2013, the following rules shall apply to Initial Elections:</w:t>
      </w:r>
    </w:p>
    <w:p>
      <w:pPr>
        <w:spacing w:after="0" w:line="85" w:lineRule="exact"/>
        <w:rPr>
          <w:rFonts w:ascii="Arial" w:cs="Arial" w:eastAsia="Arial" w:hAnsi="Arial"/>
          <w:sz w:val="16"/>
          <w:szCs w:val="16"/>
          <w:color w:val="auto"/>
        </w:rPr>
      </w:pPr>
    </w:p>
    <w:p>
      <w:pPr>
        <w:ind w:right="60" w:firstLine="1948"/>
        <w:spacing w:after="0" w:line="256" w:lineRule="auto"/>
        <w:tabs>
          <w:tab w:leader="none" w:pos="2228" w:val="left"/>
        </w:tabs>
        <w:numPr>
          <w:ilvl w:val="1"/>
          <w:numId w:val="43"/>
        </w:numPr>
        <w:rPr>
          <w:rFonts w:ascii="Arial" w:cs="Arial" w:eastAsia="Arial" w:hAnsi="Arial"/>
          <w:sz w:val="18"/>
          <w:szCs w:val="18"/>
          <w:color w:val="auto"/>
        </w:rPr>
      </w:pPr>
      <w:r>
        <w:rPr>
          <w:rFonts w:ascii="Arial" w:cs="Arial" w:eastAsia="Arial" w:hAnsi="Arial"/>
          <w:sz w:val="18"/>
          <w:szCs w:val="18"/>
          <w:color w:val="auto"/>
        </w:rPr>
        <w:t>Subject to the limits on deferrals of Compensation described in Section 2.32(iii)(B) and Section 2.32(iii)(C), (x) the maximum amount of base salary available for deferral shall be determined net of required withholdings and deductions as determined by the Administrator in its sole discretion, but shall in no event be less than 85% of the Participant’s base salary and (y) the maximum amount of a Signing Bonus available for deferral pursuant to an Initial Election shall not exceed 50%.</w:t>
      </w:r>
    </w:p>
    <w:p>
      <w:pPr>
        <w:spacing w:after="0" w:line="143" w:lineRule="exact"/>
        <w:rPr>
          <w:rFonts w:ascii="Arial" w:cs="Arial" w:eastAsia="Arial" w:hAnsi="Arial"/>
          <w:sz w:val="18"/>
          <w:szCs w:val="18"/>
          <w:color w:val="auto"/>
        </w:rPr>
      </w:pPr>
    </w:p>
    <w:p>
      <w:pPr>
        <w:ind w:left="2220" w:hanging="272"/>
        <w:spacing w:after="0"/>
        <w:tabs>
          <w:tab w:leader="none" w:pos="22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maximum amount subject to Initial Elections for any Plan Year shall not exceed 35% of Total Compensation.</w:t>
      </w:r>
    </w:p>
    <w:p>
      <w:pPr>
        <w:spacing w:after="0" w:line="171" w:lineRule="exact"/>
        <w:rPr>
          <w:rFonts w:ascii="Arial" w:cs="Arial" w:eastAsia="Arial" w:hAnsi="Arial"/>
          <w:sz w:val="18"/>
          <w:szCs w:val="18"/>
          <w:color w:val="auto"/>
        </w:rPr>
      </w:pPr>
    </w:p>
    <w:p>
      <w:pPr>
        <w:ind w:firstLine="1948"/>
        <w:spacing w:after="0" w:line="298" w:lineRule="auto"/>
        <w:tabs>
          <w:tab w:leader="none" w:pos="2218" w:val="left"/>
        </w:tabs>
        <w:numPr>
          <w:ilvl w:val="1"/>
          <w:numId w:val="43"/>
        </w:numPr>
        <w:rPr>
          <w:rFonts w:ascii="Arial" w:cs="Arial" w:eastAsia="Arial" w:hAnsi="Arial"/>
          <w:sz w:val="16"/>
          <w:szCs w:val="16"/>
          <w:color w:val="auto"/>
        </w:rPr>
      </w:pPr>
      <w:r>
        <w:rPr>
          <w:rFonts w:ascii="Arial" w:cs="Arial" w:eastAsia="Arial" w:hAnsi="Arial"/>
          <w:sz w:val="16"/>
          <w:szCs w:val="16"/>
          <w:color w:val="auto"/>
        </w:rPr>
        <w:t>No Initial Election with respect to Compensation expected to be earned in a Plan Year shall be effective if the sum of (x) the value of the Eligible Employee’s Account in the Plan, plus (y) the value of the Eligible Employee’s Account in the Prior Plan, plus (z) the value of the Eligible Employee’s Account in the Comcast Corporation 2002 Restricted Stock Plan (or any successor plan) to the extent such Account is credited to the “Income Fund” thereunder, exceeds the Contribution Limit with respect to such Plan Year, determined as of September 30</w:t>
      </w:r>
      <w:r>
        <w:rPr>
          <w:rFonts w:ascii="Arial" w:cs="Arial" w:eastAsia="Arial" w:hAnsi="Arial"/>
          <w:sz w:val="10"/>
          <w:szCs w:val="10"/>
          <w:color w:val="auto"/>
        </w:rPr>
        <w:t>th</w:t>
      </w:r>
      <w:r>
        <w:rPr>
          <w:rFonts w:ascii="Arial" w:cs="Arial" w:eastAsia="Arial" w:hAnsi="Arial"/>
          <w:sz w:val="16"/>
          <w:szCs w:val="16"/>
          <w:color w:val="auto"/>
        </w:rPr>
        <w:t xml:space="preserve"> immediately preceding such Plan Year.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NBCUniversal</w:t>
      </w:r>
      <w:r>
        <w:rPr>
          <w:rFonts w:ascii="Arial" w:cs="Arial" w:eastAsia="Arial" w:hAnsi="Arial"/>
          <w:sz w:val="18"/>
          <w:szCs w:val="18"/>
          <w:color w:val="auto"/>
        </w:rPr>
        <w:t>” means NBCUniversal, LLC and its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Effective before January 1, 2014, each employee of a Participating Company:</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who becomes an employee of a Participating Company and has an Annual Rate of Pay of $200,000 or more as of his employment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commencement date, or</w:t>
      </w:r>
    </w:p>
    <w:p>
      <w:pPr>
        <w:spacing w:after="0" w:line="164" w:lineRule="exact"/>
        <w:rPr>
          <w:rFonts w:ascii="Arial" w:cs="Arial" w:eastAsia="Arial" w:hAnsi="Arial"/>
          <w:sz w:val="16"/>
          <w:szCs w:val="16"/>
          <w:color w:val="auto"/>
        </w:rPr>
      </w:pPr>
    </w:p>
    <w:p>
      <w:pPr>
        <w:ind w:left="1760" w:hanging="268"/>
        <w:spacing w:after="0"/>
        <w:tabs>
          <w:tab w:leader="none" w:pos="1760" w:val="left"/>
        </w:tabs>
        <w:numPr>
          <w:ilvl w:val="1"/>
          <w:numId w:val="44"/>
        </w:numPr>
        <w:rPr>
          <w:rFonts w:ascii="Arial" w:cs="Arial" w:eastAsia="Arial" w:hAnsi="Arial"/>
          <w:sz w:val="15"/>
          <w:szCs w:val="15"/>
          <w:color w:val="auto"/>
        </w:rPr>
      </w:pPr>
      <w:r>
        <w:rPr>
          <w:rFonts w:ascii="Arial" w:cs="Arial" w:eastAsia="Arial" w:hAnsi="Arial"/>
          <w:sz w:val="15"/>
          <w:szCs w:val="15"/>
          <w:color w:val="auto"/>
        </w:rPr>
        <w:t>who has an Annual Rate of Pay that is increased to $200,000 or more and who, immediately preceding such increase, was not an Eligible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Employee.</w:t>
      </w:r>
    </w:p>
    <w:p>
      <w:pPr>
        <w:spacing w:after="0" w:line="164" w:lineRule="exact"/>
        <w:rPr>
          <w:rFonts w:ascii="Arial" w:cs="Arial" w:eastAsia="Arial" w:hAnsi="Arial"/>
          <w:sz w:val="15"/>
          <w:szCs w:val="15"/>
          <w:color w:val="auto"/>
        </w:rPr>
      </w:pPr>
    </w:p>
    <w:p>
      <w:pPr>
        <w:ind w:left="1160" w:hanging="239"/>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Effective after December 31, 2013, each employee of a Participating Company:</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who becomes an employee of a Participating Company and has an Annual Rate of Pay of $250,000 or more as of his employment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commencement date, or</w:t>
      </w:r>
    </w:p>
    <w:p>
      <w:pPr>
        <w:spacing w:after="0" w:line="164" w:lineRule="exact"/>
        <w:rPr>
          <w:rFonts w:ascii="Arial" w:cs="Arial" w:eastAsia="Arial" w:hAnsi="Arial"/>
          <w:sz w:val="16"/>
          <w:szCs w:val="16"/>
          <w:color w:val="auto"/>
        </w:rPr>
      </w:pPr>
    </w:p>
    <w:p>
      <w:pPr>
        <w:ind w:left="1760" w:hanging="268"/>
        <w:spacing w:after="0"/>
        <w:tabs>
          <w:tab w:leader="none" w:pos="1760" w:val="left"/>
        </w:tabs>
        <w:numPr>
          <w:ilvl w:val="1"/>
          <w:numId w:val="44"/>
        </w:numPr>
        <w:rPr>
          <w:rFonts w:ascii="Arial" w:cs="Arial" w:eastAsia="Arial" w:hAnsi="Arial"/>
          <w:sz w:val="15"/>
          <w:szCs w:val="15"/>
          <w:color w:val="auto"/>
        </w:rPr>
      </w:pPr>
      <w:r>
        <w:rPr>
          <w:rFonts w:ascii="Arial" w:cs="Arial" w:eastAsia="Arial" w:hAnsi="Arial"/>
          <w:sz w:val="15"/>
          <w:szCs w:val="15"/>
          <w:color w:val="auto"/>
        </w:rPr>
        <w:t>who has an Annual Rate of Pay that is increased to $250,000 or more and who, immediately preceding such increase, was not an Eligible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Employee.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57" w:name="page58"/>
    <w:bookmarkEnd w:id="57"/>
    <w:p>
      <w:pPr>
        <w:ind w:right="540" w:firstLine="921"/>
        <w:spacing w:after="0" w:line="332" w:lineRule="auto"/>
        <w:tabs>
          <w:tab w:leader="none" w:pos="1152" w:val="left"/>
        </w:tabs>
        <w:numPr>
          <w:ilvl w:val="0"/>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85" w:lineRule="exact"/>
        <w:rPr>
          <w:rFonts w:ascii="Arial" w:cs="Arial" w:eastAsia="Arial" w:hAnsi="Arial"/>
          <w:sz w:val="16"/>
          <w:szCs w:val="16"/>
          <w:color w:val="auto"/>
        </w:rPr>
      </w:pPr>
    </w:p>
    <w:p>
      <w:pPr>
        <w:ind w:right="360" w:firstLine="921"/>
        <w:spacing w:after="0" w:line="268" w:lineRule="auto"/>
        <w:tabs>
          <w:tab w:leader="none" w:pos="1162"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a Participant who is an Outside Director or Director Emeritus immediately preceding his termination of service, the Participant’s normal retirement from the Board.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not an employee of a Participating Company.</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2.37. “</w:t>
      </w:r>
      <w:r>
        <w:rPr>
          <w:rFonts w:ascii="Arial" w:cs="Arial" w:eastAsia="Arial" w:hAnsi="Arial"/>
          <w:sz w:val="16"/>
          <w:szCs w:val="16"/>
          <w:u w:val="single" w:color="auto"/>
          <w:color w:val="auto"/>
        </w:rPr>
        <w:t>Participant</w:t>
      </w:r>
      <w:r>
        <w:rPr>
          <w:rFonts w:ascii="Arial" w:cs="Arial" w:eastAsia="Arial" w:hAnsi="Arial"/>
          <w:sz w:val="16"/>
          <w:szCs w:val="16"/>
          <w:color w:val="auto"/>
        </w:rPr>
        <w:t>” 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spacing w:after="0" w:line="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2.38. “</w:t>
      </w:r>
      <w:r>
        <w:rPr>
          <w:rFonts w:ascii="Arial" w:cs="Arial" w:eastAsia="Arial" w:hAnsi="Arial"/>
          <w:sz w:val="16"/>
          <w:szCs w:val="16"/>
          <w:u w:val="single" w:color="auto"/>
          <w:color w:val="auto"/>
        </w:rPr>
        <w:t>Participating Company</w:t>
      </w:r>
      <w:r>
        <w:rPr>
          <w:rFonts w:ascii="Arial" w:cs="Arial" w:eastAsia="Arial" w:hAnsi="Arial"/>
          <w:sz w:val="16"/>
          <w:szCs w:val="16"/>
          <w:color w:val="auto"/>
        </w:rPr>
        <w:t>” means the Company and each Affiliate of the Company designated by the Committee in which the Company owns, directly or indirectly, 50 percent or more of the voting interests or value.Notwithstanding the foregoing, the Administrator may delegate its authority to designate an eligible Affiliate as a Participating Company under this Section 2.38 to an officer of the Company or committee of two or more officers of the Company.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2.40. “</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a period of at least 12 months during which a Participant may earn Performance-Based Compensation.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2005 Deferred Compensation Plan, as set forth herein, and as amended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2.45. “</w:t>
      </w:r>
      <w:r>
        <w:rPr>
          <w:rFonts w:ascii="Arial" w:cs="Arial" w:eastAsia="Arial" w:hAnsi="Arial"/>
          <w:sz w:val="18"/>
          <w:szCs w:val="18"/>
          <w:u w:val="single" w:color="auto"/>
          <w:color w:val="auto"/>
        </w:rPr>
        <w:t>Prior Plan</w:t>
      </w:r>
      <w:r>
        <w:rPr>
          <w:rFonts w:ascii="Arial" w:cs="Arial" w:eastAsia="Arial" w:hAnsi="Arial"/>
          <w:sz w:val="18"/>
          <w:szCs w:val="18"/>
          <w:color w:val="auto"/>
        </w:rPr>
        <w:t>” means the Comcast Corporation 2002 Deferred Compensation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2.46. “</w:t>
      </w:r>
      <w:r>
        <w:rPr>
          <w:rFonts w:ascii="Arial" w:cs="Arial" w:eastAsia="Arial" w:hAnsi="Arial"/>
          <w:sz w:val="18"/>
          <w:szCs w:val="18"/>
          <w:u w:val="single" w:color="auto"/>
          <w:color w:val="auto"/>
        </w:rPr>
        <w:t>Protected Account Balance</w:t>
      </w:r>
      <w:r>
        <w:rPr>
          <w:rFonts w:ascii="Arial" w:cs="Arial" w:eastAsia="Arial" w:hAnsi="Arial"/>
          <w:sz w:val="18"/>
          <w:szCs w:val="18"/>
          <w:color w:val="auto"/>
        </w:rPr>
        <w:t>” means: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58" w:name="page59"/>
    <w:bookmarkEnd w:id="58"/>
    <w:p>
      <w:pPr>
        <w:ind w:right="200" w:firstLine="921"/>
        <w:spacing w:after="0" w:line="259" w:lineRule="auto"/>
        <w:tabs>
          <w:tab w:leader="none" w:pos="1152"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 credited to the Account of an Eligible Comcast Employee, Outside Director or Director Emeritus pursuant to Initial Elections and Subsequent Elections with respect to Compensation earned before January 1, 2014 or pursuant to Company Credits described in Section 3.8 that are credited before January 1, 2014, including interest credits attributable to such amount.</w:t>
      </w:r>
    </w:p>
    <w:p>
      <w:pPr>
        <w:spacing w:after="0" w:line="140" w:lineRule="exact"/>
        <w:rPr>
          <w:rFonts w:ascii="Arial" w:cs="Arial" w:eastAsia="Arial" w:hAnsi="Arial"/>
          <w:sz w:val="18"/>
          <w:szCs w:val="18"/>
          <w:color w:val="auto"/>
        </w:rPr>
      </w:pPr>
    </w:p>
    <w:p>
      <w:pPr>
        <w:ind w:right="140" w:firstLine="921"/>
        <w:spacing w:after="0" w:line="332" w:lineRule="auto"/>
        <w:tabs>
          <w:tab w:leader="none" w:pos="1162"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portion of an Eligible Comcast Employee’s Account attributable to Company Credits described in Section 3.8 that are made pursuant to an employment agreement entered into on or before December 31, 2013, including interest credits attributable to such amount.</w:t>
      </w:r>
    </w:p>
    <w:p>
      <w:pPr>
        <w:spacing w:after="0" w:line="85" w:lineRule="exact"/>
        <w:rPr>
          <w:rFonts w:ascii="Arial" w:cs="Arial" w:eastAsia="Arial" w:hAnsi="Arial"/>
          <w:sz w:val="16"/>
          <w:szCs w:val="16"/>
          <w:color w:val="auto"/>
        </w:rPr>
      </w:pPr>
    </w:p>
    <w:p>
      <w:pPr>
        <w:ind w:right="40" w:firstLine="921"/>
        <w:spacing w:after="0" w:line="294" w:lineRule="auto"/>
        <w:tabs>
          <w:tab w:leader="none" w:pos="11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amount credited pursuant to Initial Elections with respect to Compensation earned on and after January 1, 2014, if, as of the September 30th immediately preceding the Plan Year to which the Initial Election applies, the sum of (i) an Eligible Comcast Employee’s Account, plus (ii) such Eligible Comcast Employee’s Account in the Prior Plan, plus (iii) such Eligible Employee’s Account in the Comcast Corporation 2002 Restricted Stock Plan (or any successor plan) to the extent such Account is credited to the “Income Fund,” does not exceed the Participant’s highest total account balance as of the last day of any calendar quarter ending during the five-consecutive-year period ending December 31, 2013, including interest credits attributable to such amount.</w:t>
      </w:r>
    </w:p>
    <w:p>
      <w:pPr>
        <w:spacing w:after="0" w:line="115" w:lineRule="exact"/>
        <w:rPr>
          <w:rFonts w:ascii="Arial" w:cs="Arial" w:eastAsia="Arial" w:hAnsi="Arial"/>
          <w:sz w:val="16"/>
          <w:szCs w:val="16"/>
          <w:color w:val="auto"/>
        </w:rPr>
      </w:pPr>
    </w:p>
    <w:p>
      <w:pPr>
        <w:ind w:right="100" w:firstLine="921"/>
        <w:spacing w:after="0" w:line="268" w:lineRule="auto"/>
        <w:tabs>
          <w:tab w:leader="none" w:pos="116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 credited pursuant to Subsequent Elections filed after December 31, 2013 that are attributable to any portion of an Eligible Comcast Employee’s Account described in this Section 2.46.</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2.47. “</w:t>
      </w:r>
      <w:r>
        <w:rPr>
          <w:rFonts w:ascii="Arial" w:cs="Arial" w:eastAsia="Arial" w:hAnsi="Arial"/>
          <w:sz w:val="18"/>
          <w:szCs w:val="18"/>
          <w:u w:val="single" w:color="auto"/>
          <w:color w:val="auto"/>
        </w:rPr>
        <w:t>Retired Participant</w:t>
      </w:r>
      <w:r>
        <w:rPr>
          <w:rFonts w:ascii="Arial" w:cs="Arial" w:eastAsia="Arial" w:hAnsi="Arial"/>
          <w:sz w:val="18"/>
          <w:szCs w:val="18"/>
          <w:color w:val="auto"/>
        </w:rPr>
        <w:t>” means a Participant who has terminated service pursuant to a Normal Retirement.</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2.48. “</w:t>
      </w:r>
      <w:r>
        <w:rPr>
          <w:rFonts w:ascii="Arial" w:cs="Arial" w:eastAsia="Arial" w:hAnsi="Arial"/>
          <w:sz w:val="18"/>
          <w:szCs w:val="18"/>
          <w:u w:val="single" w:color="auto"/>
          <w:color w:val="auto"/>
        </w:rPr>
        <w:t>Severance Pay</w:t>
      </w:r>
      <w:r>
        <w:rPr>
          <w:rFonts w:ascii="Arial" w:cs="Arial" w:eastAsia="Arial" w:hAnsi="Arial"/>
          <w:sz w:val="18"/>
          <w:szCs w:val="18"/>
          <w:color w:val="auto"/>
        </w:rPr>
        <w:t>”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2.49. “</w:t>
      </w:r>
      <w:r>
        <w:rPr>
          <w:rFonts w:ascii="Arial" w:cs="Arial" w:eastAsia="Arial" w:hAnsi="Arial"/>
          <w:sz w:val="18"/>
          <w:szCs w:val="18"/>
          <w:u w:val="single" w:color="auto"/>
          <w:color w:val="auto"/>
        </w:rPr>
        <w:t>Signing Bonus</w:t>
      </w:r>
      <w:r>
        <w:rPr>
          <w:rFonts w:ascii="Arial" w:cs="Arial" w:eastAsia="Arial" w:hAnsi="Arial"/>
          <w:sz w:val="18"/>
          <w:szCs w:val="18"/>
          <w:color w:val="auto"/>
        </w:rPr>
        <w:t>” means Compensation payable in cash and designated by the Administrator as a special bonus intended to induce an individual to accept initial employment (or re-employment) by a Participating Company or to execute an employment agreement, or an amount payable in connection with a promotion.</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2.50. “</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one or more written elections on a form provided by the Administrator, filed with the Administrator in accordance with Article 3, pursuant to which a Participant or Beneficiary may elect to defer the time of payment of amounts previously deferred in accordance with the terms of a previously made Initial Election or Subsequent Election.</w:t>
      </w:r>
    </w:p>
    <w:p>
      <w:pPr>
        <w:spacing w:after="0" w:line="140" w:lineRule="exact"/>
        <w:rPr>
          <w:sz w:val="20"/>
          <w:szCs w:val="20"/>
          <w:color w:val="auto"/>
        </w:rPr>
      </w:pPr>
    </w:p>
    <w:p>
      <w:pPr>
        <w:jc w:val="center"/>
        <w:ind w:right="240"/>
        <w:spacing w:after="0" w:line="440" w:lineRule="auto"/>
        <w:rPr>
          <w:sz w:val="20"/>
          <w:szCs w:val="20"/>
          <w:color w:val="auto"/>
        </w:rPr>
      </w:pPr>
      <w:r>
        <w:rPr>
          <w:rFonts w:ascii="Arial" w:cs="Arial" w:eastAsia="Arial" w:hAnsi="Arial"/>
          <w:sz w:val="18"/>
          <w:szCs w:val="18"/>
          <w:color w:val="auto"/>
        </w:rPr>
        <w:t>2.51. “</w:t>
      </w:r>
      <w:r>
        <w:rPr>
          <w:rFonts w:ascii="Arial" w:cs="Arial" w:eastAsia="Arial" w:hAnsi="Arial"/>
          <w:sz w:val="18"/>
          <w:szCs w:val="18"/>
          <w:u w:val="single" w:color="auto"/>
          <w:color w:val="auto"/>
        </w:rPr>
        <w:t>Surviving Spouse</w:t>
      </w:r>
      <w:r>
        <w:rPr>
          <w:rFonts w:ascii="Arial" w:cs="Arial" w:eastAsia="Arial" w:hAnsi="Arial"/>
          <w:sz w:val="18"/>
          <w:szCs w:val="18"/>
          <w:color w:val="auto"/>
        </w:rPr>
        <w:t>” means the widow or widower, as the case may be, of a Deceased Participant or a Deceased Beneficiary (as applicable). -12-</w:t>
      </w:r>
    </w:p>
    <w:p>
      <w:pPr>
        <w:sectPr>
          <w:pgSz w:w="11900" w:h="16838" w:orient="portrait"/>
          <w:cols w:equalWidth="0" w:num="1">
            <w:col w:w="11360"/>
          </w:cols>
          <w:pgMar w:left="240" w:top="280" w:right="299" w:bottom="1440" w:gutter="0" w:footer="0" w:header="0"/>
        </w:sectPr>
      </w:pPr>
    </w:p>
    <w:bookmarkStart w:id="59" w:name="page60"/>
    <w:bookmarkEnd w:id="59"/>
    <w:p>
      <w:pPr>
        <w:ind w:right="3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2.52.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132"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2.53. “</w:t>
      </w:r>
      <w:r>
        <w:rPr>
          <w:rFonts w:ascii="Arial" w:cs="Arial" w:eastAsia="Arial" w:hAnsi="Arial"/>
          <w:sz w:val="18"/>
          <w:szCs w:val="18"/>
          <w:u w:val="single" w:color="auto"/>
          <w:color w:val="auto"/>
        </w:rPr>
        <w:t>Total Compensation</w:t>
      </w:r>
      <w:r>
        <w:rPr>
          <w:rFonts w:ascii="Arial" w:cs="Arial" w:eastAsia="Arial" w:hAnsi="Arial"/>
          <w:sz w:val="18"/>
          <w:szCs w:val="18"/>
          <w:color w:val="auto"/>
        </w:rPr>
        <w:t>” means, for any Plan Year, the sum of an Eligible Employee’s Annual Rate of Pay, plus Company Credits described in Section 3.8, plus any target bonus amount under an annual cash bonus award, plus the grant date value (for Eligible Comcast Employees) or the target value (for Eligible NBCU Employees) of any annual long-term incentive award granted in the immediately preceding Plan Year, all as determined by the Administrator in its sole discretion, as of the September 30th immediately preceding the Plan Year. For the purpose of determining Total Compensation under the Plan, the Administrator, in its sole discretion, may determine the applicable value of an Eligible Employee’s annual long-term incentive award in appropriate circumstances, such as where the Eligible Employee’s actual annual long-term incentive award (if any) reflects a new hire’s short period of service, or other similar circumstances.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 – INITIAL AND SUBSEQUENT ELECTIONS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Elections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8" w:lineRule="auto"/>
        <w:tabs>
          <w:tab w:leader="none" w:pos="1152"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Initial Elections</w:t>
      </w:r>
      <w:r>
        <w:rPr>
          <w:rFonts w:ascii="Arial" w:cs="Arial" w:eastAsia="Arial" w:hAnsi="Arial"/>
          <w:sz w:val="16"/>
          <w:szCs w:val="16"/>
          <w:color w:val="auto"/>
        </w:rPr>
        <w:t>. Subject to any applicable limitations or restrictions on Initial Elections, each Outside Director, Director Emeritus and Eligible Employee shall have the right to defer Compensation by filing an Initial Election with respect to Compensation that he would otherwise be entitled to receive for a calendar year at the time and in the manner described in this Article 3. The Compensation of such Outside Director, Director Emeritus or Eligible Employee for a calendar year shall be reduced in an amount equal to the portion of the Compensation deferred by such Outside Director, Director Emeritus or Eligible Employee for such calendar year pursuant to such Outside Director’s, Director Emeritus’s or Eligible Employee’s Initial Election. Such reduction shall be effected on a pro rata basis from each periodic installment payment of such Outside Director’s, Director Emeritus’s or Eligible Employee’s Compensation for the calendar year (in accordance with the general pay practices of the Participating Company), and credited, as a bookkeeping entry, to such Outside Director’s, Director Emeritus’s or Eligible Employee’s Account in accordance with Section 5.1. Amounts credited to the Accounts of Outside Directors in the form of Company Stock shall be credited to the Company Stock Fund and credited with income, gains and losses in accordance with Section 5.2(c).</w:t>
      </w:r>
    </w:p>
    <w:p>
      <w:pPr>
        <w:spacing w:after="0" w:line="119" w:lineRule="exact"/>
        <w:rPr>
          <w:rFonts w:ascii="Arial" w:cs="Arial" w:eastAsia="Arial" w:hAnsi="Arial"/>
          <w:sz w:val="16"/>
          <w:szCs w:val="16"/>
          <w:color w:val="auto"/>
        </w:rPr>
      </w:pPr>
    </w:p>
    <w:p>
      <w:pPr>
        <w:ind w:right="540" w:firstLine="921"/>
        <w:spacing w:after="0" w:line="259" w:lineRule="auto"/>
        <w:tabs>
          <w:tab w:leader="none" w:pos="116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Subsequent Elections</w:t>
      </w:r>
      <w:r>
        <w:rPr>
          <w:rFonts w:ascii="Arial" w:cs="Arial" w:eastAsia="Arial" w:hAnsi="Arial"/>
          <w:sz w:val="18"/>
          <w:szCs w:val="18"/>
          <w:color w:val="auto"/>
        </w:rPr>
        <w:t>. Each Participant or Beneficiary shall have the right to elect to defer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Filing of Initial Election: General</w:t>
      </w:r>
      <w:r>
        <w:rPr>
          <w:rFonts w:ascii="Arial" w:cs="Arial" w:eastAsia="Arial" w:hAnsi="Arial"/>
          <w:sz w:val="18"/>
          <w:szCs w:val="18"/>
          <w:color w:val="auto"/>
        </w:rPr>
        <w:t>. An Initial Election shall be made on the form provided by the Administrator for this purpose. Except as provided in Section 3.3, no such Initial Election shall be effective with respect to Compensation other than Performance-Based Compensation unless it is filed with the Administrator on or before December 31 of the calendar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60" w:name="page61"/>
    <w:bookmarkEnd w:id="60"/>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 preceding the calendar year to which the Initial Election applies. No such Initial Election shall be effective with respect to Performance-Based Compensation unless it is filed with the Administrator at least six months before the end of the Performance Period during which such Performance-Based Compensation may be earned.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Filing of Initial Election by New Key Employees and New Outside Directors</w:t>
      </w:r>
      <w:r>
        <w:rPr>
          <w:rFonts w:ascii="Arial" w:cs="Arial" w:eastAsia="Arial" w:hAnsi="Arial"/>
          <w:sz w:val="18"/>
          <w:szCs w:val="18"/>
          <w:color w:val="auto"/>
        </w:rPr>
        <w:t>.</w:t>
      </w:r>
    </w:p>
    <w:p>
      <w:pPr>
        <w:spacing w:after="0" w:line="171" w:lineRule="exact"/>
        <w:rPr>
          <w:sz w:val="20"/>
          <w:szCs w:val="20"/>
          <w:color w:val="auto"/>
        </w:rPr>
      </w:pPr>
    </w:p>
    <w:p>
      <w:pPr>
        <w:ind w:right="60" w:firstLine="921"/>
        <w:spacing w:after="0" w:line="289" w:lineRule="auto"/>
        <w:tabs>
          <w:tab w:leader="none" w:pos="1152"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New Key Employees</w:t>
      </w:r>
      <w:r>
        <w:rPr>
          <w:rFonts w:ascii="Arial" w:cs="Arial" w:eastAsia="Arial" w:hAnsi="Arial"/>
          <w:sz w:val="16"/>
          <w:szCs w:val="16"/>
          <w:color w:val="auto"/>
        </w:rPr>
        <w:t>. Notwithstanding Section 3.1 and Section 3.2, a New Key Employee may elect to defer Compensation by filing an Initial Election with respect to (i) base salary portion of his Compensation that he would otherwise be entitled to receive based on services performed in the calendar year in which the New Key Employee was hired or promoted, beginning with the payroll period next following the filing of an Initial Election with the Administrator and before the close of such calendar year, and (ii) the Performance-Based Compensation that he would otherwise be entitled to receive based on services performed for Performance Periods that include the calendar year in which the New Key Employee was hired or promoted and after the filing of the Initial Election. Such Initial Election must be filed with the Administrator within 30 days of such New Key Employee’s date of hire or within 30 days of the date such New Key Employee first becomes eligible to participate in the Plan. Any Initial Election by such New Key Employee for succeeding calendar years shall be made in accordance with Section 3.1 and Section 3.2.</w:t>
      </w:r>
    </w:p>
    <w:p>
      <w:pPr>
        <w:spacing w:after="0" w:line="118" w:lineRule="exact"/>
        <w:rPr>
          <w:rFonts w:ascii="Arial" w:cs="Arial" w:eastAsia="Arial" w:hAnsi="Arial"/>
          <w:sz w:val="16"/>
          <w:szCs w:val="16"/>
          <w:color w:val="auto"/>
        </w:rPr>
      </w:pPr>
    </w:p>
    <w:p>
      <w:pPr>
        <w:ind w:right="100" w:firstLine="921"/>
        <w:spacing w:after="0" w:line="291" w:lineRule="auto"/>
        <w:tabs>
          <w:tab w:leader="none" w:pos="1161"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New Outside Directors</w:t>
      </w:r>
      <w:r>
        <w:rPr>
          <w:rFonts w:ascii="Arial" w:cs="Arial" w:eastAsia="Arial" w:hAnsi="Arial"/>
          <w:sz w:val="16"/>
          <w:szCs w:val="16"/>
          <w:color w:val="auto"/>
        </w:rPr>
        <w:t>. Notwithstanding Section 3.1 and Section 3.2, an Outside Director may elect to defer Compensation by filing an Initial Election with respect to his Compensation attributable to services provided as an Outside Director in the calendar year in which an Outside Director’s election as a member of the Board becomes effective (provided that such Outside Director is not a member of the Board immediately preceding such effective date), beginning with Compensation earned following the filing of an Initial Election with the Administrator and before the close of such calendar year. Such Initial Election must be filed with the Administrator within 30 days of the effective date of such Outside Director’s election. Any Initial Election by such Outside Director for succeeding calendar years shall be made in accordance with Section 3.1 and Section 3.2</w:t>
      </w:r>
    </w:p>
    <w:p>
      <w:pPr>
        <w:spacing w:after="0" w:line="12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Calendar Years to which Initial Election May Apply</w:t>
      </w:r>
      <w:r>
        <w:rPr>
          <w:rFonts w:ascii="Arial" w:cs="Arial" w:eastAsia="Arial" w:hAnsi="Arial"/>
          <w:sz w:val="18"/>
          <w:szCs w:val="18"/>
          <w:color w:val="auto"/>
        </w:rPr>
        <w:t>. A separate Initial Election may be made for each calendar year as to which an Outside Director, Director Emeritus or Eligible Employee desires to defer such Outside Director’s, Director Emeritus’s or Eligible Employee’s Compensation. The failure of an Outside Director, Director Emeritus or Eligible Employee to make an Initial Election for any calendar year shall not affect such Outside Director’s or Eligible Employee’s right to make an Initial Election for any other calendar year.</w:t>
      </w:r>
    </w:p>
    <w:p>
      <w:pPr>
        <w:spacing w:after="0" w:line="143" w:lineRule="exact"/>
        <w:rPr>
          <w:sz w:val="20"/>
          <w:szCs w:val="20"/>
          <w:color w:val="auto"/>
        </w:rPr>
      </w:pPr>
    </w:p>
    <w:p>
      <w:pPr>
        <w:ind w:firstLine="921"/>
        <w:spacing w:after="0" w:line="255" w:lineRule="auto"/>
        <w:tabs>
          <w:tab w:leader="none" w:pos="115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Initial Election of Distribution Date</w:t>
      </w:r>
      <w:r>
        <w:rPr>
          <w:rFonts w:ascii="Arial" w:cs="Arial" w:eastAsia="Arial" w:hAnsi="Arial"/>
          <w:sz w:val="18"/>
          <w:szCs w:val="18"/>
          <w:color w:val="auto"/>
        </w:rPr>
        <w:t>. Each Outside Director, Director Emeritus or Eligible Employee shall, contemporaneously with an Initial Election, also elect the time of payment of the amount of the deferred Compensation to which such Initial Election relates; provided, however, that, except as otherwise specifically provided by the Plan, no distribution may commence earlier than January 2nd of the second calendar year beginning after the date the compensation subject to the Initial Election would be paid but for the Initial Election, nor later than January 2nd of the tenth calendar year beginning after the date the date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61" w:name="page62"/>
    <w:bookmarkEnd w:id="61"/>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compensation subject to the Initial Election would be paid but for the Initial Election. Further, each Outside Director, Director Emeritus or Eligible Employee may select with each Initial Election the manner of distribution in accordance with Article 4.</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Subsequent Elections</w:t>
      </w:r>
      <w:r>
        <w:rPr>
          <w:rFonts w:ascii="Arial" w:cs="Arial" w:eastAsia="Arial" w:hAnsi="Arial"/>
          <w:sz w:val="16"/>
          <w:szCs w:val="16"/>
          <w:color w:val="auto"/>
        </w:rPr>
        <w:t>. No Subsequent Election shall be effective until 12 months after the date on which such Subsequent Election is made.</w:t>
      </w:r>
    </w:p>
    <w:p>
      <w:pPr>
        <w:spacing w:after="0" w:line="194" w:lineRule="exact"/>
        <w:rPr>
          <w:sz w:val="20"/>
          <w:szCs w:val="20"/>
          <w:color w:val="auto"/>
        </w:rPr>
      </w:pPr>
    </w:p>
    <w:p>
      <w:pPr>
        <w:ind w:right="260" w:firstLine="921"/>
        <w:spacing w:after="0" w:line="298" w:lineRule="auto"/>
        <w:tabs>
          <w:tab w:leader="none" w:pos="1152"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Active Participants</w:t>
      </w:r>
      <w:r>
        <w:rPr>
          <w:rFonts w:ascii="Arial" w:cs="Arial" w:eastAsia="Arial" w:hAnsi="Arial"/>
          <w:sz w:val="16"/>
          <w:szCs w:val="16"/>
          <w:color w:val="auto"/>
        </w:rPr>
        <w:t>. Each Active Participant, who has made an Initial Election, or who has made a Subsequent Election, may elect to defer the time of payment of any part or all of such Participant’s Account for a minimum of five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3.5(a) shall not be limited.</w:t>
      </w:r>
    </w:p>
    <w:p>
      <w:pPr>
        <w:spacing w:after="0" w:line="112" w:lineRule="exact"/>
        <w:rPr>
          <w:rFonts w:ascii="Arial" w:cs="Arial" w:eastAsia="Arial" w:hAnsi="Arial"/>
          <w:sz w:val="16"/>
          <w:szCs w:val="16"/>
          <w:color w:val="auto"/>
        </w:rPr>
      </w:pPr>
    </w:p>
    <w:p>
      <w:pPr>
        <w:ind w:right="40" w:firstLine="921"/>
        <w:spacing w:after="0" w:line="255" w:lineRule="auto"/>
        <w:tabs>
          <w:tab w:leader="none" w:pos="1161"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Inactive Participants</w:t>
      </w:r>
      <w:r>
        <w:rPr>
          <w:rFonts w:ascii="Arial" w:cs="Arial" w:eastAsia="Arial" w:hAnsi="Arial"/>
          <w:sz w:val="18"/>
          <w:szCs w:val="18"/>
          <w:color w:val="auto"/>
        </w:rPr>
        <w:t>. The Committee may, in its sole and absolute discretion, permit an Inactive Participant to make a Subsequent Election defer the time of payment of any part or all of such Inactive Participant’s Account for a minimum of five years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3.5(b) shall be determined by the Committee in its sole and absolute discretion.</w:t>
      </w:r>
    </w:p>
    <w:p>
      <w:pPr>
        <w:spacing w:after="0" w:line="142" w:lineRule="exact"/>
        <w:rPr>
          <w:rFonts w:ascii="Arial" w:cs="Arial" w:eastAsia="Arial" w:hAnsi="Arial"/>
          <w:sz w:val="18"/>
          <w:szCs w:val="18"/>
          <w:color w:val="auto"/>
        </w:rPr>
      </w:pPr>
    </w:p>
    <w:p>
      <w:pPr>
        <w:ind w:left="1160" w:hanging="239"/>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Surviving Spouses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1492"/>
        <w:spacing w:after="0" w:line="253" w:lineRule="auto"/>
        <w:tabs>
          <w:tab w:leader="none" w:pos="1693"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Subsequent Election</w:t>
      </w:r>
      <w:r>
        <w:rPr>
          <w:rFonts w:ascii="Arial" w:cs="Arial" w:eastAsia="Arial" w:hAnsi="Arial"/>
          <w:sz w:val="18"/>
          <w:szCs w:val="18"/>
          <w:color w:val="auto"/>
        </w:rPr>
        <w:t>. A Surviving Spouse who is a Deceased Participant’s Beneficiary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Surviving Spouse shall specify the change in the time of payment, which shall be no less than five (5) years nor more than ten (10) years from the previously-elected payment date, or such Surviving Spouse may elect to defer payment until such Surviving Spouse’s death. A Surviving Spouse may make a total of two (2) Subsequent Elections under this Section 3.5(c)(ii), with respect to all or any part of the Deceased Participant’s Account. Subsequent Elections pursuant to this Section 3.5(c)(ii) may specify different changes with respect to different parts of the Deceased Participant’s Account.</w:t>
      </w:r>
    </w:p>
    <w:p>
      <w:pPr>
        <w:spacing w:after="0" w:line="147" w:lineRule="exact"/>
        <w:rPr>
          <w:rFonts w:ascii="Arial" w:cs="Arial" w:eastAsia="Arial" w:hAnsi="Arial"/>
          <w:sz w:val="18"/>
          <w:szCs w:val="18"/>
          <w:color w:val="auto"/>
        </w:rPr>
      </w:pPr>
    </w:p>
    <w:p>
      <w:pPr>
        <w:ind w:left="1160" w:hanging="239"/>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Beneficiary of a Deceased Participant Other Than a Surviving Spouse.</w:t>
      </w:r>
    </w:p>
    <w:p>
      <w:pPr>
        <w:spacing w:after="0" w:line="171" w:lineRule="exact"/>
        <w:rPr>
          <w:rFonts w:ascii="Arial" w:cs="Arial" w:eastAsia="Arial" w:hAnsi="Arial"/>
          <w:sz w:val="18"/>
          <w:szCs w:val="18"/>
          <w:color w:val="auto"/>
        </w:rPr>
      </w:pPr>
    </w:p>
    <w:p>
      <w:pPr>
        <w:jc w:val="both"/>
        <w:ind w:right="40" w:firstLine="1492"/>
        <w:spacing w:after="0" w:line="256" w:lineRule="auto"/>
        <w:tabs>
          <w:tab w:leader="none" w:pos="1693"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Subsequent Election</w:t>
      </w:r>
      <w:r>
        <w:rPr>
          <w:rFonts w:ascii="Arial" w:cs="Arial" w:eastAsia="Arial" w:hAnsi="Arial"/>
          <w:sz w:val="18"/>
          <w:szCs w:val="18"/>
          <w:color w:val="auto"/>
        </w:rPr>
        <w:t>. A Beneficiary of a Deceased Participant other than a Surviving Spouse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Beneficiary shall specify the deferral of the time of payment, which shall be no less than five (5) years nor more than ten (10) years from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62" w:name="page63"/>
    <w:bookmarkEnd w:id="62"/>
    <w:p>
      <w:pPr>
        <w:ind w:right="5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previously-elected payment date. A Beneficiary may make one (1) Subsequent Election under this Section 3.5(d)(i), with respect to all or any part of the Deceased Participant’s Account. Subsequent Elections pursuant to this Section 3.5(d)(i) may specify different changes with respect to different parts of the Deceased Participant’s Account.</w:t>
      </w:r>
    </w:p>
    <w:p>
      <w:pPr>
        <w:spacing w:after="0" w:line="140" w:lineRule="exact"/>
        <w:rPr>
          <w:sz w:val="20"/>
          <w:szCs w:val="20"/>
          <w:color w:val="auto"/>
        </w:rPr>
      </w:pPr>
    </w:p>
    <w:p>
      <w:pPr>
        <w:ind w:right="20" w:firstLine="921"/>
        <w:spacing w:after="0" w:line="291" w:lineRule="auto"/>
        <w:tabs>
          <w:tab w:leader="none" w:pos="1152"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Retired Participants and Disabled Participants</w:t>
      </w:r>
      <w:r>
        <w:rPr>
          <w:rFonts w:ascii="Arial" w:cs="Arial" w:eastAsia="Arial" w:hAnsi="Arial"/>
          <w:sz w:val="16"/>
          <w:szCs w:val="16"/>
          <w:color w:val="auto"/>
        </w:rPr>
        <w:t>. The Committee may, in its sole and absolute discretion, permit a Retired Participant or a Disabled Participant to make a Subsequent Election to defer the time of payment of any part or all of such Retired or Disabled Participant’s Account that would not otherwise become payable within twelve (12) months of such Subsequent Election for a minimum of five (5) years and a maximum of ten (10) additional years from the previously-elected payment date, by filing a Subsequent Election with the Administrator on or before the close of business on the date that is at least twelve (12) months before the date on which the lump-sum distribution or initial installment payment would otherwise be made. The number of Subsequent Elections under this Section 3.5(f) shall be determined by the Committee in its sole and absolute discretion.</w:t>
      </w:r>
    </w:p>
    <w:p>
      <w:pPr>
        <w:spacing w:after="0" w:line="120" w:lineRule="exact"/>
        <w:rPr>
          <w:rFonts w:ascii="Arial" w:cs="Arial" w:eastAsia="Arial" w:hAnsi="Arial"/>
          <w:sz w:val="16"/>
          <w:szCs w:val="16"/>
          <w:color w:val="auto"/>
        </w:rPr>
      </w:pPr>
    </w:p>
    <w:p>
      <w:pPr>
        <w:ind w:right="20" w:firstLine="921"/>
        <w:spacing w:after="0" w:line="259" w:lineRule="auto"/>
        <w:tabs>
          <w:tab w:leader="none" w:pos="113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Most Recently Filed Initial Election or Subsequent Election Controlling</w:t>
      </w:r>
      <w:r>
        <w:rPr>
          <w:rFonts w:ascii="Arial" w:cs="Arial" w:eastAsia="Arial" w:hAnsi="Arial"/>
          <w:sz w:val="18"/>
          <w:szCs w:val="18"/>
          <w:color w:val="auto"/>
        </w:rPr>
        <w:t>. Except as otherwise specifically provided by the Plan, no distribution of the amounts deferred by a Participant for any calendar year shall be made before the payment date designated by the Participant or Beneficiary on the most recently filed Initial Election or Subsequent Election with respect to each deferred amount.</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Discretion to Provide for Distribution in Full Upon or Following a Change of Control</w:t>
      </w:r>
      <w:r>
        <w:rPr>
          <w:rFonts w:ascii="Arial" w:cs="Arial" w:eastAsia="Arial" w:hAnsi="Arial"/>
          <w:sz w:val="16"/>
          <w:szCs w:val="16"/>
          <w:color w:val="auto"/>
        </w:rPr>
        <w:t>. To the extent permitted bySection 409A, in connection with a Change of Control, and for the 12-month period following a Change of Control, the Committee may exercise its discretion to terminate the Plan and, notwithstanding any other provision of the Plan or the terms of any Initial Election or Subsequent Election, distribute the Account balance of each Participant in full and thereby effect the revocation of any outstanding Initial Elections or Subsequent Elections.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Withholding and Payment of Death Taxes</w:t>
      </w:r>
      <w:r>
        <w:rPr>
          <w:rFonts w:ascii="Arial" w:cs="Arial" w:eastAsia="Arial" w:hAnsi="Arial"/>
          <w:sz w:val="18"/>
          <w:szCs w:val="18"/>
          <w:color w:val="auto"/>
        </w:rPr>
        <w:t>.</w:t>
      </w:r>
    </w:p>
    <w:p>
      <w:pPr>
        <w:spacing w:after="0" w:line="171" w:lineRule="exact"/>
        <w:rPr>
          <w:sz w:val="20"/>
          <w:szCs w:val="20"/>
          <w:color w:val="auto"/>
        </w:rPr>
      </w:pPr>
    </w:p>
    <w:p>
      <w:pPr>
        <w:ind w:right="180" w:firstLine="921"/>
        <w:spacing w:after="0" w:line="298" w:lineRule="auto"/>
        <w:tabs>
          <w:tab w:leader="none" w:pos="1152"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and to the extent permitted bySection 409A, the Administrator shall apply the terms of Section 3.7(b) to the Decedent’s Account unless the Decedent affirmatively has elected, in writing, filed with the Administrator, to waive the application of Section 3.7(b).</w:t>
      </w:r>
    </w:p>
    <w:p>
      <w:pPr>
        <w:spacing w:after="0" w:line="112" w:lineRule="exact"/>
        <w:rPr>
          <w:rFonts w:ascii="Arial" w:cs="Arial" w:eastAsia="Arial" w:hAnsi="Arial"/>
          <w:sz w:val="16"/>
          <w:szCs w:val="16"/>
          <w:color w:val="auto"/>
        </w:rPr>
      </w:pPr>
    </w:p>
    <w:p>
      <w:pPr>
        <w:ind w:right="220" w:firstLine="921"/>
        <w:spacing w:after="0" w:line="268" w:lineRule="auto"/>
        <w:tabs>
          <w:tab w:leader="none" w:pos="1162"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Unless the Decedent affirmatively has elected, pursuant to Section 3.7(a), that the terms of this Section 3.7(b) not apply, but only to the extent permitted under Section 409A:</w:t>
      </w:r>
    </w:p>
    <w:p>
      <w:pPr>
        <w:spacing w:after="0" w:line="131" w:lineRule="exact"/>
        <w:rPr>
          <w:rFonts w:ascii="Arial" w:cs="Arial" w:eastAsia="Arial" w:hAnsi="Arial"/>
          <w:sz w:val="18"/>
          <w:szCs w:val="18"/>
          <w:color w:val="auto"/>
        </w:rPr>
      </w:pPr>
    </w:p>
    <w:p>
      <w:pPr>
        <w:ind w:left="1700" w:hanging="208"/>
        <w:spacing w:after="0"/>
        <w:tabs>
          <w:tab w:leader="none" w:pos="17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Administrator shall prohibit the Decedent’s Beneficiary from taking any action under any of the provisions of the Plan with regard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80" w:right="29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Decedent’s Account other than the Beneficiary’s making of a Subsequent Election pursuant to Section 3.5;</w:t>
      </w:r>
    </w:p>
    <w:p>
      <w:pPr>
        <w:spacing w:after="0" w:line="171" w:lineRule="exact"/>
        <w:rPr>
          <w:sz w:val="20"/>
          <w:szCs w:val="20"/>
          <w:color w:val="auto"/>
        </w:rPr>
      </w:pPr>
    </w:p>
    <w:p>
      <w:pPr>
        <w:ind w:right="160" w:firstLine="1492"/>
        <w:spacing w:after="0" w:line="268" w:lineRule="auto"/>
        <w:tabs>
          <w:tab w:leader="none" w:pos="174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Administrator shall defer payment of the Decedent’s Account until the later of the Death Tax Clearance Date and the payment date designated in the Decedent’s Initial Election or Subsequent Election;</w:t>
      </w:r>
    </w:p>
    <w:p>
      <w:pPr>
        <w:spacing w:after="0" w:line="131" w:lineRule="exact"/>
        <w:rPr>
          <w:rFonts w:ascii="Arial" w:cs="Arial" w:eastAsia="Arial" w:hAnsi="Arial"/>
          <w:sz w:val="18"/>
          <w:szCs w:val="18"/>
          <w:color w:val="auto"/>
        </w:rPr>
      </w:pPr>
    </w:p>
    <w:p>
      <w:pPr>
        <w:ind w:right="320" w:firstLine="1492"/>
        <w:spacing w:after="0" w:line="298" w:lineRule="auto"/>
        <w:tabs>
          <w:tab w:leader="none" w:pos="1791"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12" w:lineRule="exact"/>
        <w:rPr>
          <w:rFonts w:ascii="Arial" w:cs="Arial" w:eastAsia="Arial" w:hAnsi="Arial"/>
          <w:sz w:val="16"/>
          <w:szCs w:val="16"/>
          <w:color w:val="auto"/>
        </w:rPr>
      </w:pPr>
    </w:p>
    <w:p>
      <w:pPr>
        <w:ind w:right="180" w:firstLine="1492"/>
        <w:spacing w:after="0" w:line="291" w:lineRule="auto"/>
        <w:tabs>
          <w:tab w:leader="none" w:pos="1781"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20" w:lineRule="exact"/>
        <w:rPr>
          <w:rFonts w:ascii="Arial" w:cs="Arial" w:eastAsia="Arial" w:hAnsi="Arial"/>
          <w:sz w:val="16"/>
          <w:szCs w:val="16"/>
          <w:color w:val="auto"/>
        </w:rPr>
      </w:pPr>
    </w:p>
    <w:p>
      <w:pPr>
        <w:ind w:firstLine="1492"/>
        <w:spacing w:after="0" w:line="332" w:lineRule="auto"/>
        <w:tabs>
          <w:tab w:leader="none" w:pos="1732"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85" w:lineRule="exact"/>
        <w:rPr>
          <w:rFonts w:ascii="Arial" w:cs="Arial" w:eastAsia="Arial" w:hAnsi="Arial"/>
          <w:sz w:val="16"/>
          <w:szCs w:val="16"/>
          <w:color w:val="auto"/>
        </w:rPr>
      </w:pPr>
    </w:p>
    <w:p>
      <w:pPr>
        <w:ind w:right="20" w:firstLine="1492"/>
        <w:spacing w:after="0" w:line="268" w:lineRule="auto"/>
        <w:tabs>
          <w:tab w:leader="none" w:pos="1781"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Within 30 days after the Death Tax Clearance Date or upon the payment date designated in the Decedent’s Initial Election or Subsequent Election, if later, the Administrator shall pay the Decedent’s Account to the Beneficiary.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64" w:name="page65"/>
    <w:bookmarkEnd w:id="64"/>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3.8. </w:t>
      </w:r>
      <w:r>
        <w:rPr>
          <w:rFonts w:ascii="Arial" w:cs="Arial" w:eastAsia="Arial" w:hAnsi="Arial"/>
          <w:sz w:val="16"/>
          <w:szCs w:val="16"/>
          <w:u w:val="single" w:color="auto"/>
          <w:color w:val="auto"/>
        </w:rPr>
        <w:t>Company Credits</w:t>
      </w:r>
      <w:r>
        <w:rPr>
          <w:rFonts w:ascii="Arial" w:cs="Arial" w:eastAsia="Arial" w:hAnsi="Arial"/>
          <w:sz w:val="16"/>
          <w:szCs w:val="16"/>
          <w:color w:val="auto"/>
        </w:rPr>
        <w:t>. In addition to the amounts credited to Participants’ Accounts pursuant to Initial Elections with respect to Compensation, the Committee may provide for additional amounts to be credited to the Accounts of one or more designated Eligible Employees (“Company Credits”) for any year. A Participant whose Account is designated to receive Company Credits may not elect to receive any portion of the Company Credits as additional Compensation in lieu of deferral as provided by this Section 3.8. The total amount of Company Credits designated with respect to an Eligible Employee’s Account for any Plan Year shall be credited to such Eligible Employee’s Account as of the time or times designated by the Committee, as a bookkeeping entry to such Eligible Employee’s Account in accordance with Section 5.1. From and after the date Company Credits are allocated as designated by the Committee, Company Credits shall be credited to the Income Fund. Company Credits and income, gains and losses credited with respect to Company Credits shall be distributable to the Participant on the same basis as if the Participant had made an Initial Election to receive a lump sum distribution of such amount on January 2</w:t>
      </w:r>
      <w:r>
        <w:rPr>
          <w:rFonts w:ascii="Arial" w:cs="Arial" w:eastAsia="Arial" w:hAnsi="Arial"/>
          <w:sz w:val="10"/>
          <w:szCs w:val="10"/>
          <w:color w:val="auto"/>
        </w:rPr>
        <w:t>nd</w:t>
      </w:r>
      <w:r>
        <w:rPr>
          <w:rFonts w:ascii="Arial" w:cs="Arial" w:eastAsia="Arial" w:hAnsi="Arial"/>
          <w:sz w:val="16"/>
          <w:szCs w:val="16"/>
          <w:color w:val="auto"/>
        </w:rPr>
        <w:t xml:space="preserve"> of the third calendar year beginning after the Plan Year with respect to which the Company Credits were authorized, unless the Participant timely designates another time and form of payment that is a permissible time and form of payment for amounts subject to an Initial Election under Section 3.4(a) and Section 4.1. In addition, the Participant may make one or more Subsequent Elections with respect to such Company Credits (and income, gains and losses credited with respect to Company Credits) on the same basis as all other amounts credited to such Participant’s Account.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w:t>
      </w:r>
    </w:p>
    <w:p>
      <w:pPr>
        <w:spacing w:after="0" w:line="171" w:lineRule="exact"/>
        <w:rPr>
          <w:sz w:val="20"/>
          <w:szCs w:val="20"/>
          <w:color w:val="auto"/>
        </w:rPr>
      </w:pPr>
    </w:p>
    <w:p>
      <w:pPr>
        <w:ind w:right="60" w:firstLine="921"/>
        <w:spacing w:after="0" w:line="298" w:lineRule="auto"/>
        <w:tabs>
          <w:tab w:leader="none" w:pos="1152"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Required Suspension of Payment of Benefits</w:t>
      </w:r>
      <w:r>
        <w:rPr>
          <w:rFonts w:ascii="Arial" w:cs="Arial" w:eastAsia="Arial" w:hAnsi="Arial"/>
          <w:sz w:val="16"/>
          <w:szCs w:val="16"/>
          <w:color w:val="auto"/>
        </w:rPr>
        <w:t>. To the extent compliance with the requirements of Treas. Reg. § 1.409A-3(i)(2) (or any successor provision) is necessary to avoid the application of an additional tax under Section 409A to payments due to a Participant upon or following his separation from service, then notwithstanding any other provision of this Plan, any such payments that are otherwise due within six months following the Participant’s separation from service will be deferred and paid to the Participant in a lump sum immediately following that six-month period.</w:t>
      </w:r>
    </w:p>
    <w:p>
      <w:pPr>
        <w:spacing w:after="0" w:line="112" w:lineRule="exact"/>
        <w:rPr>
          <w:rFonts w:ascii="Arial" w:cs="Arial" w:eastAsia="Arial" w:hAnsi="Arial"/>
          <w:sz w:val="16"/>
          <w:szCs w:val="16"/>
          <w:color w:val="auto"/>
        </w:rPr>
      </w:pPr>
    </w:p>
    <w:p>
      <w:pPr>
        <w:ind w:right="40" w:firstLine="921"/>
        <w:spacing w:after="0" w:line="323" w:lineRule="auto"/>
        <w:tabs>
          <w:tab w:leader="none" w:pos="1161" w:val="left"/>
        </w:tabs>
        <w:numPr>
          <w:ilvl w:val="0"/>
          <w:numId w:val="54"/>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w:t>
      </w:r>
      <w:r>
        <w:rPr>
          <w:rFonts w:ascii="Arial" w:cs="Arial" w:eastAsia="Arial" w:hAnsi="Arial"/>
          <w:sz w:val="15"/>
          <w:szCs w:val="15"/>
          <w:color w:val="auto"/>
        </w:rPr>
        <w:t>. For purposes of the Plan, a transfer of an employee between two employers, each of which is a Company, shall not be deemed a termination of employment. A Participant who is a Non-Employee Director shall be treated as having terminated employment on the Participant’s termination of service as a Non-Employee Director, provided that if such a Participant is designated as a Director Emeritus upon termination of service as a Non-Employee Director, such Participant shall not be treated as having terminated employment until the Participant’s termination of service as a Director Emeritus.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4 – MANNER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Manner of Distribution</w:t>
      </w:r>
      <w:r>
        <w:rPr>
          <w:rFonts w:ascii="Arial" w:cs="Arial" w:eastAsia="Arial" w:hAnsi="Arial"/>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Amounts credited to an Account shall be distributed, pursuant to an Initial Election or Subsequent Election in either (i) a lump sum payment or</w:t>
      </w:r>
    </w:p>
    <w:p>
      <w:pPr>
        <w:spacing w:after="0" w:line="38" w:lineRule="exact"/>
        <w:rPr>
          <w:rFonts w:ascii="Arial" w:cs="Arial" w:eastAsia="Arial" w:hAnsi="Arial"/>
          <w:sz w:val="16"/>
          <w:szCs w:val="16"/>
          <w:color w:val="auto"/>
        </w:rPr>
      </w:pPr>
    </w:p>
    <w:p>
      <w:pPr>
        <w:ind w:right="160" w:firstLine="8"/>
        <w:spacing w:after="0" w:line="261" w:lineRule="auto"/>
        <w:tabs>
          <w:tab w:leader="none" w:pos="258"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substantially equal monthly or annual installments over a five (5), ten (10) or fifteen (15) year period. Installment distributions payable in the form of shares of Company Stock shall be rounded to the nearest whole share.</w:t>
      </w:r>
    </w:p>
    <w:p>
      <w:pPr>
        <w:spacing w:after="0" w:line="137" w:lineRule="exact"/>
        <w:rPr>
          <w:rFonts w:ascii="Arial" w:cs="Arial" w:eastAsia="Arial" w:hAnsi="Arial"/>
          <w:sz w:val="18"/>
          <w:szCs w:val="18"/>
          <w:color w:val="auto"/>
        </w:rPr>
      </w:pPr>
    </w:p>
    <w:p>
      <w:pPr>
        <w:ind w:left="1160" w:hanging="239"/>
        <w:spacing w:after="0"/>
        <w:tabs>
          <w:tab w:leader="none" w:pos="11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To the extent permitted by Section 409A, notwithstanding any Initial Election, Subsequent Election or any other provision of the Plan to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contrary:</w:t>
      </w:r>
    </w:p>
    <w:p>
      <w:pPr>
        <w:spacing w:after="0" w:line="164" w:lineRule="exact"/>
        <w:rPr>
          <w:rFonts w:ascii="Arial" w:cs="Arial" w:eastAsia="Arial" w:hAnsi="Arial"/>
          <w:sz w:val="16"/>
          <w:szCs w:val="16"/>
          <w:color w:val="auto"/>
        </w:rPr>
      </w:pPr>
    </w:p>
    <w:p>
      <w:pPr>
        <w:ind w:right="80" w:firstLine="1492"/>
        <w:spacing w:after="0" w:line="259" w:lineRule="auto"/>
        <w:tabs>
          <w:tab w:leader="none" w:pos="1693" w:val="left"/>
        </w:tabs>
        <w:numPr>
          <w:ilvl w:val="2"/>
          <w:numId w:val="56"/>
        </w:numPr>
        <w:rPr>
          <w:rFonts w:ascii="Arial" w:cs="Arial" w:eastAsia="Arial" w:hAnsi="Arial"/>
          <w:sz w:val="18"/>
          <w:szCs w:val="18"/>
          <w:color w:val="auto"/>
        </w:rPr>
      </w:pPr>
      <w:r>
        <w:rPr>
          <w:rFonts w:ascii="Arial" w:cs="Arial" w:eastAsia="Arial" w:hAnsi="Arial"/>
          <w:sz w:val="18"/>
          <w:szCs w:val="18"/>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140" w:lineRule="exact"/>
        <w:rPr>
          <w:rFonts w:ascii="Arial" w:cs="Arial" w:eastAsia="Arial" w:hAnsi="Arial"/>
          <w:sz w:val="18"/>
          <w:szCs w:val="18"/>
          <w:color w:val="auto"/>
        </w:rPr>
      </w:pPr>
    </w:p>
    <w:p>
      <w:pPr>
        <w:ind w:left="1760" w:hanging="268"/>
        <w:spacing w:after="0"/>
        <w:tabs>
          <w:tab w:leader="none" w:pos="1760" w:val="left"/>
        </w:tabs>
        <w:numPr>
          <w:ilvl w:val="2"/>
          <w:numId w:val="56"/>
        </w:numPr>
        <w:rPr>
          <w:rFonts w:ascii="Arial" w:cs="Arial" w:eastAsia="Arial" w:hAnsi="Arial"/>
          <w:sz w:val="16"/>
          <w:szCs w:val="16"/>
          <w:color w:val="auto"/>
        </w:rPr>
      </w:pPr>
      <w:r>
        <w:rPr>
          <w:rFonts w:ascii="Arial" w:cs="Arial" w:eastAsia="Arial" w:hAnsi="Arial"/>
          <w:sz w:val="16"/>
          <w:szCs w:val="16"/>
          <w:color w:val="auto"/>
        </w:rPr>
        <w:t>following a Participant’s termination of employment for any reason, if the amount credited to the Participant’s Account has a value of</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$10,000 or less, the Administrator may, in its sole discretion, direct that such amount be distributed to the Participant (or Beneficiary, as applicable) in one lump sum payment, provided that the payment is made on or before the later of (i) December 31 of the calendar year in which the Participant terminates employment or (ii) the date two and one-half months after the Participant terminates employment.</w:t>
      </w:r>
    </w:p>
    <w:p>
      <w:pPr>
        <w:spacing w:after="0" w:line="14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Determination of Account Balances for Purposes of Distribution</w:t>
      </w:r>
      <w:r>
        <w:rPr>
          <w:rFonts w:ascii="Arial" w:cs="Arial" w:eastAsia="Arial" w:hAnsi="Arial"/>
          <w:sz w:val="18"/>
          <w:szCs w:val="18"/>
          <w:color w:val="auto"/>
        </w:rPr>
        <w:t>. The amount of any distribution made pursuant to Section 4.1 shall be based on the balances in the Participant’s Account on the date the recordkeeper appointed by the Administrator transmits the distribution request for a Participant to the Administrator for payment and processing, provided that payment with respect to such distribution shall be made as soon as reasonably practicable following the date the distribution request is transmitted to the Administrator. For this purpose, the balance in a Participant’s Account shall be calculated by crediting income, gains and losses under the Company Stock Fund and Income Fund, as applicable, through the date immediately preceding the date on which the distribution request is transmitted to the recordkeeper.</w:t>
      </w:r>
    </w:p>
    <w:p>
      <w:pPr>
        <w:spacing w:after="0" w:line="144"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Plan-to-Plan Transfers; Change in Time and Form of Election Pursuant to Special Section 409A Transition Rules</w:t>
      </w:r>
      <w:r>
        <w:rPr>
          <w:rFonts w:ascii="Arial" w:cs="Arial" w:eastAsia="Arial" w:hAnsi="Arial"/>
          <w:sz w:val="18"/>
          <w:szCs w:val="18"/>
          <w:color w:val="auto"/>
        </w:rPr>
        <w:t>. The Administrator may delegate its authority to arrange for plan-to-plan transfers or to permit benefit elections as described in this Section 4.3 to an officer of the Company or committee of two or more officers of the Company.</w:t>
      </w:r>
    </w:p>
    <w:p>
      <w:pPr>
        <w:spacing w:after="0" w:line="140" w:lineRule="exact"/>
        <w:rPr>
          <w:sz w:val="20"/>
          <w:szCs w:val="20"/>
          <w:color w:val="auto"/>
        </w:rPr>
      </w:pPr>
    </w:p>
    <w:p>
      <w:pPr>
        <w:jc w:val="both"/>
        <w:ind w:firstLine="921"/>
        <w:spacing w:after="0" w:line="256" w:lineRule="auto"/>
        <w:tabs>
          <w:tab w:leader="none" w:pos="115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 with respect to the benefit transferred, the Participant shall have no further right to payment under this Plan.</w:t>
      </w:r>
    </w:p>
    <w:p>
      <w:pPr>
        <w:spacing w:after="0" w:line="171" w:lineRule="exact"/>
        <w:rPr>
          <w:sz w:val="20"/>
          <w:szCs w:val="20"/>
          <w:color w:val="auto"/>
        </w:rPr>
      </w:pPr>
    </w:p>
    <w:p>
      <w:pPr>
        <w:ind w:right="80" w:firstLine="921"/>
        <w:spacing w:after="0" w:line="294" w:lineRule="auto"/>
        <w:tabs>
          <w:tab w:leader="none" w:pos="1162"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Administrator may, with a Participant’s consent, make such arrangements as it may deem appropriate to assume another employer’s obligation to pay benefits with respect to such Participant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Participant, and the Account shall be subject to the rules of this Plan, as in effect from time to time.</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5 – BOOK ACCOUNTS</w:t>
      </w:r>
    </w:p>
    <w:p>
      <w:pPr>
        <w:spacing w:after="0" w:line="17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Deferred Compensation Account</w:t>
      </w:r>
      <w:r>
        <w:rPr>
          <w:rFonts w:ascii="Arial" w:cs="Arial" w:eastAsia="Arial" w:hAnsi="Arial"/>
          <w:sz w:val="16"/>
          <w:szCs w:val="16"/>
          <w:color w:val="auto"/>
        </w:rPr>
        <w:t>. A Deferred Compensation Account shall be established for each Outside Director, Director Emeritus and Eligible Employee when such Outside Director, Director Emeritus or Eligible Employee becomes a Participant. Compensation deferred pursuant to the Plan shall be credited to the Account on the date such Compensation would otherwise have been payable to the Participant.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w:t>
      </w:r>
    </w:p>
    <w:p>
      <w:pPr>
        <w:spacing w:after="0" w:line="171" w:lineRule="exact"/>
        <w:rPr>
          <w:sz w:val="20"/>
          <w:szCs w:val="20"/>
          <w:color w:val="auto"/>
        </w:rPr>
      </w:pPr>
    </w:p>
    <w:p>
      <w:pPr>
        <w:ind w:right="600" w:firstLine="921"/>
        <w:spacing w:after="0" w:line="268" w:lineRule="auto"/>
        <w:tabs>
          <w:tab w:leader="none" w:pos="1152"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this Section 5.2, the Administrator shall credit income, gains and losses with respect to each Participant’s Account as if it were invested in the Income Fund.</w:t>
      </w:r>
    </w:p>
    <w:p>
      <w:pPr>
        <w:spacing w:after="0" w:line="131" w:lineRule="exact"/>
        <w:rPr>
          <w:rFonts w:ascii="Arial" w:cs="Arial" w:eastAsia="Arial" w:hAnsi="Arial"/>
          <w:sz w:val="18"/>
          <w:szCs w:val="18"/>
          <w:color w:val="auto"/>
        </w:rPr>
      </w:pPr>
    </w:p>
    <w:p>
      <w:pPr>
        <w:jc w:val="both"/>
        <w:ind w:firstLine="921"/>
        <w:spacing w:after="0" w:line="259" w:lineRule="auto"/>
        <w:tabs>
          <w:tab w:leader="none" w:pos="1161"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Investment Fund Elections</w:t>
      </w:r>
      <w:r>
        <w:rPr>
          <w:rFonts w:ascii="Arial" w:cs="Arial" w:eastAsia="Arial" w:hAnsi="Arial"/>
          <w:sz w:val="18"/>
          <w:szCs w:val="18"/>
          <w:color w:val="auto"/>
        </w:rPr>
        <w:t>. Except for amounts credited to the Accounts of Participants who are Outside Directors who have elected to defer the receipt of Compensation payable in the form of Company Stock, all amounts credited to Participants’ Accounts shall be credited with income, gains and losses as if it were invested in the Income Fund.</w:t>
      </w:r>
    </w:p>
    <w:p>
      <w:pPr>
        <w:spacing w:after="0" w:line="140" w:lineRule="exact"/>
        <w:rPr>
          <w:rFonts w:ascii="Arial" w:cs="Arial" w:eastAsia="Arial" w:hAnsi="Arial"/>
          <w:sz w:val="18"/>
          <w:szCs w:val="18"/>
          <w:color w:val="auto"/>
        </w:rPr>
      </w:pPr>
    </w:p>
    <w:p>
      <w:pPr>
        <w:ind w:right="180" w:firstLine="921"/>
        <w:spacing w:after="0" w:line="256" w:lineRule="auto"/>
        <w:tabs>
          <w:tab w:leader="none" w:pos="1152"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Outside Director Stock Fund Credits</w:t>
      </w:r>
      <w:r>
        <w:rPr>
          <w:rFonts w:ascii="Arial" w:cs="Arial" w:eastAsia="Arial" w:hAnsi="Arial"/>
          <w:sz w:val="18"/>
          <w:szCs w:val="18"/>
          <w:color w:val="auto"/>
        </w:rPr>
        <w:t>. Amounts credited to the Accounts of Outside Directors in the form of Company Stock shall be credited with income, gains and losses as if they were invested in the Company Stock Fund. No portion of such Participant’s Account may be deemed transferred to the Income Fund. Distributions of amounts credited to the Company Stock Fund with respect to Outside Directors’ Accounts shall be distributable in the form of Company Stock, rounded to the nearest whole share.</w:t>
      </w:r>
    </w:p>
    <w:p>
      <w:pPr>
        <w:spacing w:after="0" w:line="143" w:lineRule="exact"/>
        <w:rPr>
          <w:rFonts w:ascii="Arial" w:cs="Arial" w:eastAsia="Arial" w:hAnsi="Arial"/>
          <w:sz w:val="18"/>
          <w:szCs w:val="18"/>
          <w:color w:val="auto"/>
        </w:rPr>
      </w:pPr>
    </w:p>
    <w:p>
      <w:pPr>
        <w:ind w:right="180" w:firstLine="921"/>
        <w:spacing w:after="0" w:line="255" w:lineRule="auto"/>
        <w:tabs>
          <w:tab w:leader="none" w:pos="1161"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Timing of Credits</w:t>
      </w:r>
      <w:r>
        <w:rPr>
          <w:rFonts w:ascii="Arial" w:cs="Arial" w:eastAsia="Arial" w:hAnsi="Arial"/>
          <w:sz w:val="18"/>
          <w:szCs w:val="18"/>
          <w:color w:val="auto"/>
        </w:rPr>
        <w:t>. Compensation deferred pursuant to the Plan shall be deemed invested in the Income Fund on the date such Compensation would otherwise have been payable to the Participant, provided that if (i) Compensation would otherwise have been payable to a Participant on a Company payroll date that falls within five days of the end of a calendar month, and (ii) based on the Administrator’s regular administrative practices, it is not administratively practicable for the Administrator to transmit the deferred amount of such Compensation to the Plan’s recordkeeper on or before the last day of the month, such deferred</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80" w:right="299" w:bottom="1440" w:gutter="0" w:footer="0" w:header="0"/>
        </w:sectPr>
      </w:pPr>
    </w:p>
    <w:bookmarkStart w:id="67" w:name="page68"/>
    <w:bookmarkEnd w:id="67"/>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shall not be deemed invested in the Income Fund until the first day of the calendar month next following such Company payroll date. Accumulated Account balances subject to an investment fund election under Section 5.2(b)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Regardless of whether or not the Company is a Participant’s employer, all Compensation deferred under this Plan shall continue for all purposes to be a part of the general funds of the Company.</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Participants’ Status as General Creditors</w:t>
      </w:r>
      <w:r>
        <w:rPr>
          <w:rFonts w:ascii="Arial" w:cs="Arial" w:eastAsia="Arial" w:hAnsi="Arial"/>
          <w:sz w:val="18"/>
          <w:szCs w:val="18"/>
          <w:color w:val="auto"/>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 – NO ALIENATION OF BENEFITS; PAYEE DESIGNATION</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Non-Alienation</w:t>
      </w:r>
      <w:r>
        <w:rPr>
          <w:rFonts w:ascii="Arial" w:cs="Arial" w:eastAsia="Arial" w:hAnsi="Arial"/>
          <w:sz w:val="18"/>
          <w:szCs w:val="18"/>
          <w:color w:val="auto"/>
        </w:rPr>
        <w:t>. Except as otherwise required by applicable law, or as provided by Section 6.2,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Domestic Relations Orders</w:t>
      </w:r>
      <w:r>
        <w:rPr>
          <w:rFonts w:ascii="Arial" w:cs="Arial" w:eastAsia="Arial" w:hAnsi="Arial"/>
          <w:sz w:val="16"/>
          <w:szCs w:val="16"/>
          <w:color w:val="auto"/>
        </w:rPr>
        <w:t>. Notwithstanding any other provision of the Plan or the terms of any Initial Election or Subsequent Election, the Plan shall honor the terms of a Domestic Relations Order if the Administrator determines that it satisfies the requirements of the Plan’s policies relating to Domestic Relations Orders as in effect from time to time, provided that a Domestic Relations Order shall not be honored unless (i) it provides for payment of all or a portion of a Participant’s Account under the Plan to the Participant’s spouse or former spouse and (ii) it provides for such payment in the form of a single cash lump sum that is payable as soon as administratively practicable following the determination that the Domestic Relations Order meets the conditions for approval.</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Payee Designation</w:t>
      </w:r>
      <w:r>
        <w:rPr>
          <w:rFonts w:ascii="Arial" w:cs="Arial" w:eastAsia="Arial" w:hAnsi="Arial"/>
          <w:sz w:val="18"/>
          <w:szCs w:val="18"/>
          <w:color w:val="auto"/>
        </w:rPr>
        <w:t>.Subject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68" w:name="page69"/>
    <w:bookmarkEnd w:id="68"/>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immediately preceding the time of payment. The Company’s payment pursuant to such a payee designation shall relieve the Company and its Affiliates of all liability for such payment.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 – DEATH OF PARTICIPANT</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Death of Participant</w:t>
      </w:r>
      <w:r>
        <w:rPr>
          <w:rFonts w:ascii="Arial" w:cs="Arial" w:eastAsia="Arial" w:hAnsi="Arial"/>
          <w:sz w:val="18"/>
          <w:szCs w:val="18"/>
          <w:color w:val="auto"/>
        </w:rPr>
        <w:t>. A Deceased Participant’s Account shall be distributed in accordance with the last Initial Election or Subsequent Election made by the Deceased Participant before the Deceased Participant’s death, unless the Deceased Participant’s Surviving Spouse or other Beneficiary timely elects to defer the time of payment pursuant to Section 3.5.</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Designation of Beneficiaries</w:t>
      </w:r>
      <w:r>
        <w:rPr>
          <w:rFonts w:ascii="Arial" w:cs="Arial" w:eastAsia="Arial" w:hAnsi="Arial"/>
          <w:sz w:val="16"/>
          <w:szCs w:val="16"/>
          <w:color w:val="auto"/>
        </w:rPr>
        <w:t>. Each Participant (and Beneficiary) shall have the right to designate one or more Beneficiaries to receive distributions in the event of the Participant’s (or Beneficiary’s) death by filing with the Administrator a Beneficiary designation on a form that may be prescribed by the Administrator for such purpose from time to time. The designation of a Beneficiary or Beneficiaries may be changed by a Participant (or Beneficiary) at any time prior to such Participant’s (or Beneficiary’s) death by the delivery to the Administrator of a new Beneficiary designation form. The Administrator may require that only the Beneficiary or Beneficiaries identified on the Beneficiary designation form prescribed by the Administrator be recognized as a Participant’s (or Beneficiary’s) Beneficiary or Beneficiaries under the Plan, and that absent the completion of the currently prescribed Beneficiary designation form, the Participants (or Beneficiary’s) Beneficiary designation shall be the Participant’s (or Beneficiary’s) estate.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 – HARDSHIP AND OTHER ACCELERATION EVENTS</w:t>
      </w:r>
    </w:p>
    <w:p>
      <w:pPr>
        <w:spacing w:after="0" w:line="17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Hardship</w:t>
      </w:r>
      <w:r>
        <w:rPr>
          <w:rFonts w:ascii="Arial" w:cs="Arial" w:eastAsia="Arial" w:hAnsi="Arial"/>
          <w:sz w:val="16"/>
          <w:szCs w:val="16"/>
          <w:color w:val="auto"/>
        </w:rPr>
        <w:t>. Notwithstanding the terms of an Initial Election or Subsequent Election, if, at the Participant’s request, the Committee determines that the Participant has incurred a Hardship, the Board may, in its discretion, authorize the immediate distribution of all or any portion of the Participant’s Account.</w:t>
      </w:r>
    </w:p>
    <w:p>
      <w:pPr>
        <w:spacing w:after="0" w:line="85"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To the extent permitted by Section 409A, notwithstanding the terms of an Initial Election or Subsequent Election, distribution of all or part of a Participant’s Account may be made:</w:t>
      </w:r>
    </w:p>
    <w:p>
      <w:pPr>
        <w:spacing w:after="0" w:line="132" w:lineRule="exact"/>
        <w:rPr>
          <w:sz w:val="20"/>
          <w:szCs w:val="20"/>
          <w:color w:val="auto"/>
        </w:rPr>
      </w:pPr>
    </w:p>
    <w:p>
      <w:pPr>
        <w:ind w:right="420" w:firstLine="921"/>
        <w:spacing w:after="0" w:line="268" w:lineRule="auto"/>
        <w:tabs>
          <w:tab w:leader="none" w:pos="11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fulfill a domestic relations order (as defined in section 414(p)(1)(B) of the Code) to the extent permitted by Treasury Regulations section 1.409A-3(j)(4)(ii) or any successor provision of law).</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the extent necessary to comply with laws relating to avoidance of conflicts of interest, as provided in Treasury Regulation section 1.409A-3(j)</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(4)(iii) (or any successor provision of law).</w:t>
      </w:r>
    </w:p>
    <w:p>
      <w:pPr>
        <w:spacing w:after="0" w:line="164" w:lineRule="exact"/>
        <w:rPr>
          <w:rFonts w:ascii="Arial" w:cs="Arial" w:eastAsia="Arial" w:hAnsi="Arial"/>
          <w:sz w:val="16"/>
          <w:szCs w:val="16"/>
          <w:color w:val="auto"/>
        </w:rPr>
      </w:pPr>
    </w:p>
    <w:p>
      <w:pPr>
        <w:ind w:left="1160" w:hanging="239"/>
        <w:spacing w:after="0"/>
        <w:tabs>
          <w:tab w:leader="none" w:pos="11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pay employment taxes to the extent permitted by Treasury Regulation section 1.409A-3(j)(4)(vi) (or any successor provision of law).</w:t>
      </w:r>
    </w:p>
    <w:p>
      <w:pPr>
        <w:spacing w:after="0" w:line="194" w:lineRule="exact"/>
        <w:rPr>
          <w:rFonts w:ascii="Arial" w:cs="Arial" w:eastAsia="Arial" w:hAnsi="Arial"/>
          <w:sz w:val="16"/>
          <w:szCs w:val="16"/>
          <w:color w:val="auto"/>
        </w:rPr>
      </w:pPr>
    </w:p>
    <w:p>
      <w:pPr>
        <w:ind w:right="720" w:firstLine="921"/>
        <w:spacing w:after="0" w:line="268" w:lineRule="auto"/>
        <w:tabs>
          <w:tab w:leader="none" w:pos="116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connection with the recognition of income as the result of a failure to comply with Section 409A, to the extent permitted by Treasury Regulation section 1.409A-3(j)(4)(vii) (or any successor provision of law).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69" w:name="page70"/>
    <w:bookmarkEnd w:id="69"/>
    <w:p>
      <w:pPr>
        <w:ind w:left="1160" w:hanging="239"/>
        <w:spacing w:after="0"/>
        <w:tabs>
          <w:tab w:leader="none" w:pos="1160" w:val="left"/>
        </w:tabs>
        <w:numPr>
          <w:ilvl w:val="0"/>
          <w:numId w:val="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pay state, local or foreign taxes to the extent permitted by Treasury Regulation section 1.409A-3(j)(4)(xi) (or any successor provision of law).</w:t>
      </w:r>
    </w:p>
    <w:p>
      <w:pPr>
        <w:spacing w:after="0" w:line="194" w:lineRule="exact"/>
        <w:rPr>
          <w:rFonts w:ascii="Arial" w:cs="Arial" w:eastAsia="Arial" w:hAnsi="Arial"/>
          <w:sz w:val="16"/>
          <w:szCs w:val="16"/>
          <w:color w:val="auto"/>
        </w:rPr>
      </w:pPr>
    </w:p>
    <w:p>
      <w:pPr>
        <w:ind w:right="20" w:firstLine="921"/>
        <w:spacing w:after="0" w:line="259" w:lineRule="auto"/>
        <w:tabs>
          <w:tab w:leader="none" w:pos="113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satisfaction of a debt of a Participant to a Participating Company where such debt is incurred in the ordinary course of the service relationship between the Participant and the Participating Company, to the extent permitted by Treasury Regulation section 1.409A-3(j)(4)(xiii) (or any successor provision of law).</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connection with a bona fide dispute as to a Participant’s right to payment, to the extent permitted by Treasury Regulation section 1.409A-3(j)</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(4)(xiv) (or any successor provision of law).</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 INTERPRETATION</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The Committee shall have full and exclusive authority to construe, interpret and administer this Plan and the Committee’s construction and interpretation thereof shall be binding and conclusive on all persons for all purposes.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Claims Procedure</w:t>
      </w:r>
      <w:r>
        <w:rPr>
          <w:rFonts w:ascii="Arial" w:cs="Arial" w:eastAsia="Arial" w:hAnsi="Arial"/>
          <w:sz w:val="18"/>
          <w:szCs w:val="18"/>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132" w:lineRule="exact"/>
        <w:rPr>
          <w:sz w:val="20"/>
          <w:szCs w:val="20"/>
          <w:color w:val="auto"/>
        </w:rPr>
      </w:pPr>
    </w:p>
    <w:p>
      <w:pPr>
        <w:ind w:left="1160" w:hanging="239"/>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171" w:lineRule="exact"/>
        <w:rPr>
          <w:rFonts w:ascii="Arial" w:cs="Arial" w:eastAsia="Arial" w:hAnsi="Arial"/>
          <w:sz w:val="18"/>
          <w:szCs w:val="18"/>
          <w:color w:val="auto"/>
        </w:rPr>
      </w:pPr>
    </w:p>
    <w:p>
      <w:pPr>
        <w:ind w:right="100" w:firstLine="921"/>
        <w:spacing w:after="0" w:line="268" w:lineRule="auto"/>
        <w:tabs>
          <w:tab w:leader="none" w:pos="11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Applicant to perfect the claim and an explanation of why such material or information is necessary; and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70" w:name="page71"/>
    <w:bookmarkEnd w:id="70"/>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Claims for benefits under the Plan must be filed with the Administrator at the following address: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ComcastCorporation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OneComcastCenter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 – AMENDMENT OR TERMINATION</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Amendment of Rate of Credited Earnings</w:t>
      </w:r>
      <w:r>
        <w:rPr>
          <w:rFonts w:ascii="Arial" w:cs="Arial" w:eastAsia="Arial" w:hAnsi="Arial"/>
          <w:sz w:val="16"/>
          <w:szCs w:val="16"/>
          <w:color w:val="auto"/>
        </w:rPr>
        <w:t>. No amendment shall change the Applicable Interest Rate with respect to the portion of a Participant’s Account that is attributable to an Initial Election or Subsequent Election made with respect to Compensation earned in a calendar year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 – WITHHOLDING OF TAXES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71" w:name="page72"/>
    <w:bookmarkEnd w:id="71"/>
    <w:p>
      <w:pPr>
        <w:ind w:right="6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payable by the Participating Company to the Participant, or by the Participant’s delivery of cash to the Participating Company in an amount equal to the applicable withholding tax.</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12 – MISCELLANEOUS PROVISIONS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No Right to Continued Employment</w:t>
      </w:r>
      <w:r>
        <w:rPr>
          <w:rFonts w:ascii="Arial" w:cs="Arial" w:eastAsia="Arial" w:hAnsi="Arial"/>
          <w:sz w:val="16"/>
          <w:szCs w:val="16"/>
          <w:color w:val="auto"/>
        </w:rPr>
        <w:t>. Nothing contained herein shall be construed as conferring upon any Participant the right to remain in service as an Outside Director or Director Emeritus or in the employment of a Participating Company as an executive or in any other capacity.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Expenses of Plan</w:t>
      </w:r>
      <w:r>
        <w:rPr>
          <w:rFonts w:ascii="Arial" w:cs="Arial" w:eastAsia="Arial" w:hAnsi="Arial"/>
          <w:sz w:val="18"/>
          <w:szCs w:val="18"/>
          <w:color w:val="auto"/>
        </w:rPr>
        <w:t>. All expenses of the Plan shall be paid by the Participating Companies.</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Gender and Number</w:t>
      </w:r>
      <w:r>
        <w:rPr>
          <w:rFonts w:ascii="Arial" w:cs="Arial" w:eastAsia="Arial" w:hAnsi="Arial"/>
          <w:sz w:val="16"/>
          <w:szCs w:val="16"/>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16"/>
          <w:szCs w:val="16"/>
          <w:i w:val="1"/>
          <w:iCs w:val="1"/>
          <w:color w:val="auto"/>
        </w:rPr>
        <w:t>vice versa</w:t>
      </w:r>
      <w:r>
        <w:rPr>
          <w:rFonts w:ascii="Arial" w:cs="Arial" w:eastAsia="Arial" w:hAnsi="Arial"/>
          <w:sz w:val="16"/>
          <w:szCs w:val="16"/>
          <w:color w:val="auto"/>
        </w:rPr>
        <w:t>, as the context may require.</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Law Governing Construction</w:t>
      </w:r>
      <w:r>
        <w:rPr>
          <w:rFonts w:ascii="Arial" w:cs="Arial" w:eastAsia="Arial" w:hAnsi="Arial"/>
          <w:sz w:val="18"/>
          <w:szCs w:val="18"/>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Headings Not a Part Hereof</w:t>
      </w:r>
      <w:r>
        <w:rPr>
          <w:rFonts w:ascii="Arial" w:cs="Arial" w:eastAsia="Arial" w:hAnsi="Arial"/>
          <w:sz w:val="16"/>
          <w:szCs w:val="16"/>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85"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24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ARTICLE 13 – EFFECTIVE DATE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original effective date of the Plan is January 1, 2005.</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280" w:right="339" w:bottom="1440" w:gutter="0" w:footer="0" w:header="0"/>
        </w:sectPr>
      </w:pPr>
    </w:p>
    <w:bookmarkStart w:id="72" w:name="page73"/>
    <w:bookmarkEnd w:id="7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COMCAST CORPORATION has caused this Plan to be executed by its officers thereunto duly authorized, and its corporate seal to be affixed hereto, on the 29</w:t>
      </w:r>
      <w:r>
        <w:rPr>
          <w:rFonts w:ascii="Arial" w:cs="Arial" w:eastAsia="Arial" w:hAnsi="Arial"/>
          <w:sz w:val="11"/>
          <w:szCs w:val="11"/>
          <w:color w:val="auto"/>
        </w:rPr>
        <w:t>th</w:t>
      </w:r>
      <w:r>
        <w:rPr>
          <w:rFonts w:ascii="Arial" w:cs="Arial" w:eastAsia="Arial" w:hAnsi="Arial"/>
          <w:sz w:val="18"/>
          <w:szCs w:val="18"/>
          <w:color w:val="auto"/>
        </w:rPr>
        <w:t xml:space="preserve"> day of August, 2012.</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ATTEST: </w:t>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14605</wp:posOffset>
            </wp:positionV>
            <wp:extent cx="24098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60"/>
          </w:cols>
          <w:pgMar w:left="240" w:top="280" w:right="49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RESTRICTED STOCK PLAN</w:t>
      </w:r>
    </w:p>
    <w:p>
      <w:pPr>
        <w:spacing w:after="0" w:line="212"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w:t>
      </w:r>
    </w:p>
    <w:p>
      <w:pPr>
        <w:spacing w:after="0" w:line="96" w:lineRule="exact"/>
        <w:rPr>
          <w:rFonts w:ascii="Arial" w:cs="Arial" w:eastAsia="Arial" w:hAnsi="Arial"/>
          <w:sz w:val="18"/>
          <w:szCs w:val="18"/>
          <w:b w:val="1"/>
          <w:bCs w:val="1"/>
          <w:color w:val="auto"/>
        </w:rPr>
      </w:pPr>
    </w:p>
    <w:p>
      <w:pPr>
        <w:ind w:firstLine="464"/>
        <w:spacing w:after="0" w:line="256" w:lineRule="auto"/>
        <w:tabs>
          <w:tab w:leader="none" w:pos="695"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Amendment and Restatement of Plan</w:t>
      </w:r>
      <w:r>
        <w:rPr>
          <w:rFonts w:ascii="Arial" w:cs="Arial" w:eastAsia="Arial" w:hAnsi="Arial"/>
          <w:sz w:val="18"/>
          <w:szCs w:val="18"/>
          <w:color w:val="auto"/>
        </w:rPr>
        <w:t>. COMCAST CORPORATION, a Pennsylvania corporation, hereby amends and restates the Comcast Corporation 2002 Restricted Stock Plan (the “Plan”).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143" w:lineRule="exact"/>
        <w:rPr>
          <w:rFonts w:ascii="Arial" w:cs="Arial" w:eastAsia="Arial" w:hAnsi="Arial"/>
          <w:sz w:val="18"/>
          <w:szCs w:val="18"/>
          <w:color w:val="auto"/>
        </w:rPr>
      </w:pPr>
    </w:p>
    <w:p>
      <w:pPr>
        <w:ind w:right="40" w:firstLine="464"/>
        <w:spacing w:after="0" w:line="290" w:lineRule="auto"/>
        <w:tabs>
          <w:tab w:leader="none" w:pos="705"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Purpose of the Amendment; Credits Affected</w:t>
      </w:r>
      <w:r>
        <w:rPr>
          <w:rFonts w:ascii="Arial" w:cs="Arial" w:eastAsia="Arial" w:hAnsi="Arial"/>
          <w:sz w:val="16"/>
          <w:szCs w:val="16"/>
          <w:color w:val="auto"/>
        </w:rPr>
        <w:t>. The Plan was previously amended and restated, effective January 1, 2005 in order (i) to preserve the favorable tax treatment available to amounts deferred pursuant to the Plan before January 1, 2005 and the earnings credited in respect of such amounts (each a “Grandfathered Amount”)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(ii) with respect to all other amounts eligible to be deferred under the Plan, to comply with the requirements of Section 409A. Grandfathered Amounts will continue to be subject to the terms and conditions of the Plan as in effect prior to January 1, 2005. All amounts eligible to be deferred under the Plan other than Grandfathered Amounts will be subject to the terms of this amendment and restatement of the Plan and Section 409A.</w:t>
      </w:r>
    </w:p>
    <w:p>
      <w:pPr>
        <w:spacing w:after="0" w:line="118" w:lineRule="exact"/>
        <w:rPr>
          <w:rFonts w:ascii="Arial" w:cs="Arial" w:eastAsia="Arial" w:hAnsi="Arial"/>
          <w:sz w:val="16"/>
          <w:szCs w:val="16"/>
          <w:color w:val="auto"/>
        </w:rPr>
      </w:pPr>
    </w:p>
    <w:p>
      <w:pPr>
        <w:jc w:val="both"/>
        <w:ind w:right="120" w:firstLine="464"/>
        <w:spacing w:after="0" w:line="259" w:lineRule="auto"/>
        <w:tabs>
          <w:tab w:leader="none" w:pos="695"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Reservation of Right to Amend to Comply with Section 409A</w:t>
      </w:r>
      <w:r>
        <w:rPr>
          <w:rFonts w:ascii="Arial" w:cs="Arial" w:eastAsia="Arial" w:hAnsi="Arial"/>
          <w:sz w:val="18"/>
          <w:szCs w:val="18"/>
          <w:color w:val="auto"/>
        </w:rPr>
        <w:t>. In addition to the powers reserved to the Board and the Committee under Paragraph 14 of the Plan, the Board and the Committee reserve the right to amend the Plan, either retroactively or prospectively, in whatever respect is required to achieve and maintain compliance with the requirements of the Section 409A.</w:t>
      </w:r>
    </w:p>
    <w:p>
      <w:pPr>
        <w:spacing w:after="0" w:line="134" w:lineRule="exact"/>
        <w:rPr>
          <w:rFonts w:ascii="Arial" w:cs="Arial" w:eastAsia="Arial" w:hAnsi="Arial"/>
          <w:sz w:val="18"/>
          <w:szCs w:val="18"/>
          <w:color w:val="auto"/>
        </w:rPr>
      </w:pPr>
    </w:p>
    <w:p>
      <w:pPr>
        <w:ind w:right="60" w:firstLine="464"/>
        <w:spacing w:after="0" w:line="296" w:lineRule="auto"/>
        <w:tabs>
          <w:tab w:leader="none" w:pos="705"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Deferral Provisions of Plan Unfunded and Limited to Select Group of Management or Highly Compensated Employees</w:t>
      </w:r>
      <w:r>
        <w:rPr>
          <w:rFonts w:ascii="Arial" w:cs="Arial" w:eastAsia="Arial" w:hAnsi="Arial"/>
          <w:sz w:val="16"/>
          <w:szCs w:val="16"/>
          <w:b w:val="1"/>
          <w:bCs w:val="1"/>
          <w:color w:val="auto"/>
        </w:rPr>
        <w:t>.</w:t>
      </w:r>
      <w:r>
        <w:rPr>
          <w:rFonts w:ascii="Arial" w:cs="Arial" w:eastAsia="Arial" w:hAnsi="Arial"/>
          <w:sz w:val="16"/>
          <w:szCs w:val="16"/>
          <w:color w:val="auto"/>
        </w:rPr>
        <w:t xml:space="preserve"> Deferral Eligible Grantees and Non-Employee Directors may elect to defer the receipt of Restricted Stock and Restricted Stock Units as provided in Paragraph 8. The deferral provisions of Paragraph 8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pacing w:after="0" w:line="113" w:lineRule="exact"/>
        <w:rPr>
          <w:rFonts w:ascii="Arial" w:cs="Arial" w:eastAsia="Arial" w:hAnsi="Arial"/>
          <w:sz w:val="16"/>
          <w:szCs w:val="16"/>
          <w:color w:val="auto"/>
        </w:rPr>
      </w:pPr>
    </w:p>
    <w:p>
      <w:pPr>
        <w:ind w:right="380" w:firstLine="464"/>
        <w:spacing w:after="0" w:line="268" w:lineRule="auto"/>
        <w:tabs>
          <w:tab w:leader="none" w:pos="695"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References to Written Forms, Elections and Notices</w:t>
      </w:r>
      <w:r>
        <w:rPr>
          <w:rFonts w:ascii="Arial" w:cs="Arial" w:eastAsia="Arial" w:hAnsi="Arial"/>
          <w:sz w:val="18"/>
          <w:szCs w:val="18"/>
          <w:color w:val="auto"/>
        </w:rPr>
        <w:t>. Any action under the Plan that requires a written form, election, notice or other action shall be treated as completed if taken via electronic or other means, to the extent authorized by the Committee.</w:t>
      </w:r>
    </w:p>
    <w:p>
      <w:pPr>
        <w:sectPr>
          <w:pgSz w:w="11900" w:h="16838" w:orient="portrait"/>
          <w:cols w:equalWidth="0" w:num="1">
            <w:col w:w="11420"/>
          </w:cols>
          <w:pgMar w:left="240" w:top="125" w:right="239" w:bottom="1440" w:gutter="0" w:footer="0" w:header="0"/>
        </w:sectPr>
      </w:pPr>
    </w:p>
    <w:bookmarkStart w:id="74" w:name="page75"/>
    <w:bookmarkEnd w:id="74"/>
    <w:p>
      <w:pPr>
        <w:ind w:left="452" w:hanging="452"/>
        <w:spacing w:after="0"/>
        <w:tabs>
          <w:tab w:leader="none" w:pos="45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DEFINITIONS</w:t>
      </w:r>
    </w:p>
    <w:p>
      <w:pPr>
        <w:spacing w:after="0" w:line="96" w:lineRule="exact"/>
        <w:rPr>
          <w:rFonts w:ascii="Arial" w:cs="Arial" w:eastAsia="Arial" w:hAnsi="Arial"/>
          <w:sz w:val="18"/>
          <w:szCs w:val="18"/>
          <w:b w:val="1"/>
          <w:bCs w:val="1"/>
          <w:color w:val="auto"/>
        </w:rPr>
      </w:pPr>
    </w:p>
    <w:p>
      <w:pPr>
        <w:ind w:left="692" w:hanging="236"/>
        <w:spacing w:after="0"/>
        <w:tabs>
          <w:tab w:leader="none" w:pos="692" w:val="left"/>
        </w:tabs>
        <w:numPr>
          <w:ilvl w:val="1"/>
          <w:numId w:val="64"/>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left="-8" w:right="40" w:firstLine="464"/>
        <w:spacing w:after="0" w:line="298" w:lineRule="auto"/>
        <w:tabs>
          <w:tab w:leader="none" w:pos="697" w:val="left"/>
        </w:tabs>
        <w:numPr>
          <w:ilvl w:val="1"/>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w:t>
      </w:r>
      <w:r>
        <w:rPr>
          <w:rFonts w:ascii="Arial" w:cs="Arial" w:eastAsia="Arial" w:hAnsi="Arial"/>
          <w:sz w:val="16"/>
          <w:szCs w:val="16"/>
          <w:color w:val="auto"/>
        </w:rPr>
        <w:t>” means unfunded bookkeeping accounts established pursuant to Paragraph 8(h) and maintained by the Committee in the names of the respective Grantees (i) to which Deferred Stock Units, dividend equivalents and earnings on dividend equivalents shall be credited with respect to the portion of the Account allocated to the Company Stock Fund and (ii) to which an amount equal to the Fair Market Value of Deferred Stock Units with respect to which a Diversification Election has been made and interest thereon are deemed credited, reduced by distributions in accordance with the Plan.</w:t>
      </w:r>
    </w:p>
    <w:p>
      <w:pPr>
        <w:spacing w:after="0" w:line="112" w:lineRule="exact"/>
        <w:rPr>
          <w:rFonts w:ascii="Arial" w:cs="Arial" w:eastAsia="Arial" w:hAnsi="Arial"/>
          <w:sz w:val="16"/>
          <w:szCs w:val="16"/>
          <w:color w:val="auto"/>
        </w:rPr>
      </w:pPr>
    </w:p>
    <w:p>
      <w:pPr>
        <w:ind w:left="692" w:hanging="236"/>
        <w:spacing w:after="0"/>
        <w:tabs>
          <w:tab w:leader="none" w:pos="692"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Grantee</w:t>
      </w:r>
      <w:r>
        <w:rPr>
          <w:rFonts w:ascii="Arial" w:cs="Arial" w:eastAsia="Arial" w:hAnsi="Arial"/>
          <w:sz w:val="18"/>
          <w:szCs w:val="18"/>
          <w:color w:val="auto"/>
        </w:rPr>
        <w:t>” means each Grantee who is actively employed by a Participating Company.</w:t>
      </w:r>
    </w:p>
    <w:p>
      <w:pPr>
        <w:spacing w:after="0" w:line="171" w:lineRule="exact"/>
        <w:rPr>
          <w:rFonts w:ascii="Arial" w:cs="Arial" w:eastAsia="Arial" w:hAnsi="Arial"/>
          <w:sz w:val="18"/>
          <w:szCs w:val="18"/>
          <w:color w:val="auto"/>
        </w:rPr>
      </w:pPr>
    </w:p>
    <w:p>
      <w:pPr>
        <w:ind w:left="-8" w:firstLine="464"/>
        <w:spacing w:after="0" w:line="256" w:lineRule="auto"/>
        <w:tabs>
          <w:tab w:leader="none" w:pos="697"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left="-8" w:right="480" w:firstLine="464"/>
        <w:spacing w:after="0" w:line="268" w:lineRule="auto"/>
        <w:tabs>
          <w:tab w:leader="none" w:pos="687"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131" w:lineRule="exact"/>
        <w:rPr>
          <w:rFonts w:ascii="Arial" w:cs="Arial" w:eastAsia="Arial" w:hAnsi="Arial"/>
          <w:sz w:val="18"/>
          <w:szCs w:val="18"/>
          <w:color w:val="auto"/>
        </w:rPr>
      </w:pPr>
    </w:p>
    <w:p>
      <w:pPr>
        <w:ind w:left="672" w:hanging="216"/>
        <w:spacing w:after="0"/>
        <w:tabs>
          <w:tab w:leader="none" w:pos="672"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64"/>
        </w:numPr>
        <w:rPr>
          <w:rFonts w:ascii="Arial" w:cs="Arial" w:eastAsia="Arial" w:hAnsi="Arial"/>
          <w:sz w:val="18"/>
          <w:szCs w:val="18"/>
          <w:color w:val="auto"/>
        </w:rPr>
      </w:pPr>
      <w:r>
        <w:rPr>
          <w:rFonts w:ascii="Arial" w:cs="Arial" w:eastAsia="Arial" w:hAnsi="Arial"/>
          <w:sz w:val="18"/>
          <w:szCs w:val="18"/>
          <w:color w:val="auto"/>
        </w:rPr>
        <w:t>Except as otherwise provided in Paragraph 2(f)(ii):</w:t>
      </w:r>
    </w:p>
    <w:p>
      <w:pPr>
        <w:spacing w:after="0" w:line="90" w:lineRule="exact"/>
        <w:rPr>
          <w:rFonts w:ascii="Arial" w:cs="Arial" w:eastAsia="Arial" w:hAnsi="Arial"/>
          <w:sz w:val="18"/>
          <w:szCs w:val="18"/>
          <w:color w:val="auto"/>
        </w:rPr>
      </w:pPr>
    </w:p>
    <w:p>
      <w:pPr>
        <w:ind w:left="1912" w:right="20" w:hanging="440"/>
        <w:spacing w:after="0" w:line="294" w:lineRule="auto"/>
        <w:tabs>
          <w:tab w:leader="none" w:pos="1912" w:val="left"/>
        </w:tabs>
        <w:numPr>
          <w:ilvl w:val="3"/>
          <w:numId w:val="64"/>
        </w:numPr>
        <w:rPr>
          <w:rFonts w:ascii="Arial" w:cs="Arial" w:eastAsia="Arial" w:hAnsi="Arial"/>
          <w:sz w:val="16"/>
          <w:szCs w:val="16"/>
          <w:color w:val="auto"/>
        </w:rPr>
      </w:pPr>
      <w:r>
        <w:rPr>
          <w:rFonts w:ascii="Arial" w:cs="Arial" w:eastAsia="Arial" w:hAnsi="Arial"/>
          <w:sz w:val="16"/>
          <w:szCs w:val="16"/>
          <w:color w:val="auto"/>
        </w:rPr>
        <w:t>The Applicable Interest Rate with respect to amounts credited to the Income Fund that are attributable to (1) dividends and other distributions credited with respect to Deferred Stock Units that are deferred pursuant to Initial Elections made before January 1, 2010 and (2) Diversification Elections and Special Diversification Elections made before January 1, 2010 shall be the interest rate that, when compounded annually pursuant to rules established by the Committee from time to time, is mathematically equivalent to 8% (0.08) per annum, or such other interest rate established by the Committee from time to time.</w:t>
      </w:r>
    </w:p>
    <w:p>
      <w:pPr>
        <w:spacing w:after="0" w:line="102"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92"/>
          </w:cols>
          <w:pgMar w:left="248" w:top="274" w:right="359" w:bottom="1440" w:gutter="0" w:footer="0" w:header="0"/>
        </w:sectPr>
      </w:pPr>
    </w:p>
    <w:bookmarkStart w:id="75" w:name="page76"/>
    <w:bookmarkEnd w:id="75"/>
    <w:p>
      <w:pPr>
        <w:ind w:left="1007" w:right="200" w:hanging="440"/>
        <w:spacing w:after="0" w:line="254" w:lineRule="auto"/>
        <w:tabs>
          <w:tab w:leader="none" w:pos="1007" w:val="left"/>
        </w:tabs>
        <w:numPr>
          <w:ilvl w:val="1"/>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Applicable Interest Rate with respect to amounts credited to the Income Fund that are attributable to (1) dividends and other distributions credited with respect to Deferred Stock Units that are deferred pursuant to Initial Elections made on or after January 1, 2010 and before January 1, 2014 and (2) Diversification Elections and Special Diversification Elections made on or after January 1, 2010 and before January 1, 2014, shall bethe interest rate that, when compounded annually pursuant to rules established by the Committee from time to time, is mathematically equivalent to 12% per annum, or such other interest rate established by the Committee from time to time.</w:t>
      </w:r>
    </w:p>
    <w:p>
      <w:pPr>
        <w:spacing w:after="0" w:line="63" w:lineRule="exact"/>
        <w:rPr>
          <w:rFonts w:ascii="Arial" w:cs="Arial" w:eastAsia="Arial" w:hAnsi="Arial"/>
          <w:sz w:val="18"/>
          <w:szCs w:val="18"/>
          <w:color w:val="auto"/>
        </w:rPr>
      </w:pPr>
    </w:p>
    <w:p>
      <w:pPr>
        <w:ind w:left="1007" w:hanging="440"/>
        <w:spacing w:after="0" w:line="301" w:lineRule="auto"/>
        <w:tabs>
          <w:tab w:leader="none" w:pos="1007" w:val="left"/>
        </w:tabs>
        <w:numPr>
          <w:ilvl w:val="1"/>
          <w:numId w:val="65"/>
        </w:numPr>
        <w:rPr>
          <w:rFonts w:ascii="Arial" w:cs="Arial" w:eastAsia="Arial" w:hAnsi="Arial"/>
          <w:sz w:val="15"/>
          <w:szCs w:val="15"/>
          <w:color w:val="auto"/>
        </w:rPr>
      </w:pPr>
      <w:r>
        <w:rPr>
          <w:rFonts w:ascii="Arial" w:cs="Arial" w:eastAsia="Arial" w:hAnsi="Arial"/>
          <w:sz w:val="15"/>
          <w:szCs w:val="15"/>
          <w:color w:val="auto"/>
        </w:rPr>
        <w:t>Effective with respect to amounts credited to the Income Fund that are attributable to dividends and other distributions credited with respect to Deferred Stock Units that are deferred pursuant to Initial Elections made on or after January 1, 2014, and (2) Diversification Elections and Special Diversification Elections made on or after January 1, 2014, the “Applicable Interest Rate” shall be the Applicable Interest Rate that applies to “Protected Benefits” under the Comcast Corporation 2005 Deferred Compensation Plan (the “2005 Deferred Compensation Plan”) if, as of the September 30</w:t>
      </w:r>
      <w:r>
        <w:rPr>
          <w:rFonts w:ascii="Arial" w:cs="Arial" w:eastAsia="Arial" w:hAnsi="Arial"/>
          <w:sz w:val="10"/>
          <w:szCs w:val="10"/>
          <w:color w:val="auto"/>
        </w:rPr>
        <w:t>th</w:t>
      </w:r>
      <w:r>
        <w:rPr>
          <w:rFonts w:ascii="Arial" w:cs="Arial" w:eastAsia="Arial" w:hAnsi="Arial"/>
          <w:sz w:val="15"/>
          <w:szCs w:val="15"/>
          <w:color w:val="auto"/>
        </w:rPr>
        <w:t xml:space="preserve"> immediately preceding the Plan Year to which the Initial Election or Diversification Election applies, the sum of (x) the Grantee’s Account under the 2005 Deferred Compensation Plan, plus (y) the Grantee’s Account under the Comcast Corporation 2002 Deferred Compensation Plan (the “2002 Deferred Compensation Plan”), plus</w:t>
      </w:r>
    </w:p>
    <w:p>
      <w:pPr>
        <w:spacing w:after="0" w:line="4" w:lineRule="exact"/>
        <w:rPr>
          <w:rFonts w:ascii="Arial" w:cs="Arial" w:eastAsia="Arial" w:hAnsi="Arial"/>
          <w:sz w:val="15"/>
          <w:szCs w:val="15"/>
          <w:color w:val="auto"/>
        </w:rPr>
      </w:pPr>
    </w:p>
    <w:p>
      <w:pPr>
        <w:ind w:left="1007"/>
        <w:spacing w:after="0" w:line="292" w:lineRule="auto"/>
        <w:rPr>
          <w:rFonts w:ascii="Arial" w:cs="Arial" w:eastAsia="Arial" w:hAnsi="Arial"/>
          <w:sz w:val="15"/>
          <w:szCs w:val="15"/>
          <w:color w:val="auto"/>
        </w:rPr>
      </w:pPr>
      <w:r>
        <w:rPr>
          <w:rFonts w:ascii="Arial" w:cs="Arial" w:eastAsia="Arial" w:hAnsi="Arial"/>
          <w:sz w:val="16"/>
          <w:szCs w:val="16"/>
          <w:color w:val="auto"/>
        </w:rPr>
        <w:t>(z) the portion of the Grantee’s Account under this Plan credited to the Income Fund, does not exceed the Grantee’s highest sum of the amounts described in (x), (y) and (z) above as of the last day of any calendar quarter ending during the five-consecutive-year period ending December 31, 2013. If the conditions described in the preceding sentence do not apply, the “Applicable Interest Rate” shall be the Applicable Interest Rate that applies under the 2005 Deferred Compensation Plan to amounts credited pursuant to Initial Elections with respect to compensation earned after December 31, 2013, that are not Protected Benefits.</w:t>
      </w:r>
    </w:p>
    <w:p>
      <w:pPr>
        <w:spacing w:after="0" w:line="35" w:lineRule="exact"/>
        <w:rPr>
          <w:rFonts w:ascii="Arial" w:cs="Arial" w:eastAsia="Arial" w:hAnsi="Arial"/>
          <w:sz w:val="15"/>
          <w:szCs w:val="15"/>
          <w:color w:val="auto"/>
        </w:rPr>
      </w:pPr>
    </w:p>
    <w:p>
      <w:pPr>
        <w:ind w:left="567" w:right="40" w:hanging="567"/>
        <w:spacing w:after="0" w:line="332" w:lineRule="auto"/>
        <w:tabs>
          <w:tab w:leader="none" w:pos="567" w:val="left"/>
        </w:tabs>
        <w:numPr>
          <w:ilvl w:val="0"/>
          <w:numId w:val="66"/>
        </w:numPr>
        <w:rPr>
          <w:rFonts w:ascii="Arial" w:cs="Arial" w:eastAsia="Arial" w:hAnsi="Arial"/>
          <w:sz w:val="16"/>
          <w:szCs w:val="16"/>
          <w:color w:val="auto"/>
        </w:rPr>
      </w:pPr>
      <w:r>
        <w:rPr>
          <w:rFonts w:ascii="Arial" w:cs="Arial" w:eastAsia="Arial" w:hAnsi="Arial"/>
          <w:sz w:val="16"/>
          <w:szCs w:val="16"/>
          <w:color w:val="auto"/>
        </w:rPr>
        <w:t>Effective for the period beginning as soon as administratively practicable following a Grantee’s employment termination date to the date the Grantee’s Account is distributed in full, the Committee, in its sole and absolute discretion, may designate the</w:t>
      </w:r>
    </w:p>
    <w:p>
      <w:pPr>
        <w:spacing w:after="0" w:line="72"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67"/>
          </w:cols>
          <w:pgMar w:left="1153" w:top="280" w:right="279" w:bottom="1440" w:gutter="0" w:footer="0" w:header="0"/>
        </w:sectPr>
      </w:pPr>
    </w:p>
    <w:bookmarkStart w:id="76" w:name="page77"/>
    <w:bookmarkEnd w:id="76"/>
    <w:p>
      <w:pPr>
        <w:ind w:left="14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“Applicable Interest Rate” for such Grantee’s Account to mean the lesser of: (A) the rate in effect under Paragraph 2(f)(i) or (B) the interest rate that, when compounded annually pursuant to rules established by the Committee from time to time, is mathematically equivalent to the Prime Rate plus one percent, compounded annually as of the last day of the calendar year. Notwithstanding the foregoing, the Committee may delegate its authority to determine the Applicable Interest Rate under this Paragraph 2(f)(ii) to an officer of the Company or committee of two or more officers of the Company.</w:t>
      </w:r>
    </w:p>
    <w:p>
      <w:pPr>
        <w:spacing w:after="0" w:line="143" w:lineRule="exact"/>
        <w:rPr>
          <w:sz w:val="20"/>
          <w:szCs w:val="20"/>
          <w:color w:val="auto"/>
        </w:rPr>
      </w:pPr>
    </w:p>
    <w:p>
      <w:pPr>
        <w:ind w:left="-20" w:right="460" w:firstLine="464"/>
        <w:spacing w:after="0" w:line="268" w:lineRule="auto"/>
        <w:tabs>
          <w:tab w:leader="none" w:pos="685"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LLC) by the Company.</w:t>
      </w:r>
    </w:p>
    <w:p>
      <w:pPr>
        <w:spacing w:after="0" w:line="131" w:lineRule="exact"/>
        <w:rPr>
          <w:rFonts w:ascii="Arial" w:cs="Arial" w:eastAsia="Arial" w:hAnsi="Arial"/>
          <w:sz w:val="18"/>
          <w:szCs w:val="18"/>
          <w:color w:val="auto"/>
        </w:rPr>
      </w:pPr>
    </w:p>
    <w:p>
      <w:pPr>
        <w:ind w:left="700" w:hanging="25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Restricted Stock or Restricted Stock Units granted under the Plan.</w:t>
      </w:r>
    </w:p>
    <w:p>
      <w:pPr>
        <w:spacing w:after="0" w:line="171" w:lineRule="exact"/>
        <w:rPr>
          <w:rFonts w:ascii="Arial" w:cs="Arial" w:eastAsia="Arial" w:hAnsi="Arial"/>
          <w:sz w:val="18"/>
          <w:szCs w:val="18"/>
          <w:color w:val="auto"/>
        </w:rPr>
      </w:pPr>
    </w:p>
    <w:p>
      <w:pPr>
        <w:ind w:left="660" w:hanging="216"/>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left="660" w:hanging="216"/>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right="40" w:hanging="567"/>
        <w:spacing w:after="0" w:line="255" w:lineRule="auto"/>
        <w:tabs>
          <w:tab w:leader="none" w:pos="14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For all purposes of the Plan other than Paragraph 8,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61" w:lineRule="exact"/>
        <w:rPr>
          <w:rFonts w:ascii="Arial" w:cs="Arial" w:eastAsia="Arial" w:hAnsi="Arial"/>
          <w:sz w:val="18"/>
          <w:szCs w:val="18"/>
          <w:color w:val="auto"/>
        </w:rPr>
      </w:pPr>
    </w:p>
    <w:p>
      <w:pPr>
        <w:ind w:left="1460" w:right="400" w:hanging="567"/>
        <w:spacing w:after="0" w:line="332" w:lineRule="auto"/>
        <w:tabs>
          <w:tab w:leader="none" w:pos="14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For purposes of Paragraph 8, any transaction or series of transactions that constitutes a change in the ownership or effective control or a change in the ownership of a substantial portion of the assets of the Company, within the meaning of Section 409A.</w:t>
      </w:r>
    </w:p>
    <w:p>
      <w:pPr>
        <w:spacing w:after="0" w:line="85" w:lineRule="exact"/>
        <w:rPr>
          <w:rFonts w:ascii="Arial" w:cs="Arial" w:eastAsia="Arial" w:hAnsi="Arial"/>
          <w:sz w:val="16"/>
          <w:szCs w:val="16"/>
          <w:color w:val="auto"/>
        </w:rPr>
      </w:pPr>
    </w:p>
    <w:p>
      <w:pPr>
        <w:ind w:left="700" w:hanging="25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left="-20" w:right="160" w:firstLine="464"/>
        <w:spacing w:after="0" w:line="256" w:lineRule="auto"/>
        <w:tabs>
          <w:tab w:leader="none" w:pos="6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Plan</w:t>
      </w:r>
      <w:r>
        <w:rPr>
          <w:rFonts w:ascii="Arial" w:cs="Arial" w:eastAsia="Arial" w:hAnsi="Arial"/>
          <w:sz w:val="18"/>
          <w:szCs w:val="18"/>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143" w:lineRule="exact"/>
        <w:rPr>
          <w:rFonts w:ascii="Arial" w:cs="Arial" w:eastAsia="Arial" w:hAnsi="Arial"/>
          <w:sz w:val="18"/>
          <w:szCs w:val="18"/>
          <w:color w:val="auto"/>
        </w:rPr>
      </w:pPr>
    </w:p>
    <w:p>
      <w:pPr>
        <w:ind w:left="-20" w:right="380" w:firstLine="464"/>
        <w:spacing w:after="0" w:line="268" w:lineRule="auto"/>
        <w:tabs>
          <w:tab w:leader="none" w:pos="734"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provided that all references to the Committee shall be treated as references to the Committee’s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delegate with respect to any Award granted within the scope of the delegate’s authority pursuant to Paragraph 5(f).</w:t>
      </w:r>
    </w:p>
    <w:p>
      <w:pPr>
        <w:spacing w:after="0" w:line="171" w:lineRule="exact"/>
        <w:rPr>
          <w:sz w:val="20"/>
          <w:szCs w:val="20"/>
          <w:color w:val="auto"/>
        </w:rPr>
      </w:pPr>
    </w:p>
    <w:p>
      <w:pPr>
        <w:ind w:left="720" w:hanging="256"/>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Class A Common Stock, par value $0.01, of the Company.</w:t>
      </w:r>
    </w:p>
    <w:p>
      <w:pPr>
        <w:spacing w:after="0" w:line="171" w:lineRule="exact"/>
        <w:rPr>
          <w:rFonts w:ascii="Arial" w:cs="Arial" w:eastAsia="Arial" w:hAnsi="Arial"/>
          <w:sz w:val="18"/>
          <w:szCs w:val="18"/>
          <w:color w:val="auto"/>
        </w:rPr>
      </w:pPr>
    </w:p>
    <w:p>
      <w:pPr>
        <w:ind w:right="280" w:firstLine="464"/>
        <w:spacing w:after="0" w:line="268" w:lineRule="auto"/>
        <w:tabs>
          <w:tab w:leader="none" w:pos="7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1" w:lineRule="exact"/>
        <w:rPr>
          <w:rFonts w:ascii="Arial" w:cs="Arial" w:eastAsia="Arial" w:hAnsi="Arial"/>
          <w:sz w:val="18"/>
          <w:szCs w:val="18"/>
          <w:color w:val="auto"/>
        </w:rPr>
      </w:pPr>
    </w:p>
    <w:p>
      <w:pPr>
        <w:ind w:firstLine="464"/>
        <w:spacing w:after="0" w:line="288" w:lineRule="auto"/>
        <w:tabs>
          <w:tab w:leader="none" w:pos="705"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or Special Common Stock otherwise deliverable as Shares upon the Vesting Date associated with Restricted Stock or Restricted Stock Units, and all dividends and other distributions paid with respect to Common Stock or Special Common Stock were credited to the Income Fund, held uninvested in cash and credited with interest at the Applicable Interest Rate as of the next succeeding December 31 (to the extent the Account continues to be deemed credited in the form of Deferred Stock Units through such December 31), provided that dividends and other distributions paid with respect to Common Stock or Special Common Stock after December 31, 2011 shall be credited with interest at the Applicable Interest Rate commencing as of the date on which dividends or other distributions are paid.</w:t>
      </w:r>
    </w:p>
    <w:p>
      <w:pPr>
        <w:spacing w:after="0" w:line="119" w:lineRule="exact"/>
        <w:rPr>
          <w:rFonts w:ascii="Arial" w:cs="Arial" w:eastAsia="Arial" w:hAnsi="Arial"/>
          <w:sz w:val="16"/>
          <w:szCs w:val="16"/>
          <w:color w:val="auto"/>
        </w:rPr>
      </w:pPr>
    </w:p>
    <w:p>
      <w:pPr>
        <w:ind w:left="720" w:hanging="256"/>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Deceased Grantee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death;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Grantee who dies following termination of employment by a Participating Company.</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Deferral Eligible Employee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Effective before January 1, 2014:</w:t>
      </w:r>
    </w:p>
    <w:p>
      <w:pPr>
        <w:spacing w:after="0" w:line="90" w:lineRule="exact"/>
        <w:rPr>
          <w:rFonts w:ascii="Arial" w:cs="Arial" w:eastAsia="Arial" w:hAnsi="Arial"/>
          <w:sz w:val="18"/>
          <w:szCs w:val="18"/>
          <w:color w:val="auto"/>
        </w:rPr>
      </w:pPr>
    </w:p>
    <w:p>
      <w:pPr>
        <w:ind w:left="1920" w:right="40" w:hanging="440"/>
        <w:spacing w:after="0" w:line="268" w:lineRule="auto"/>
        <w:tabs>
          <w:tab w:leader="none" w:pos="1920" w:val="left"/>
        </w:tabs>
        <w:numPr>
          <w:ilvl w:val="2"/>
          <w:numId w:val="68"/>
        </w:numPr>
        <w:rPr>
          <w:rFonts w:ascii="Arial" w:cs="Arial" w:eastAsia="Arial" w:hAnsi="Arial"/>
          <w:sz w:val="18"/>
          <w:szCs w:val="18"/>
          <w:color w:val="auto"/>
        </w:rPr>
      </w:pPr>
      <w:r>
        <w:rPr>
          <w:rFonts w:ascii="Arial" w:cs="Arial" w:eastAsia="Arial" w:hAnsi="Arial"/>
          <w:sz w:val="18"/>
          <w:szCs w:val="18"/>
          <w:color w:val="auto"/>
        </w:rPr>
        <w:t>An Eligible Employee whose Annual Rate of Pay is $200,000 or more as of both: (x) the date on which an Initial Election is filed with the Committee; and (y) the first day of the calendar year in which such Initial Election filed.</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2"/>
          <w:numId w:val="68"/>
        </w:numPr>
        <w:rPr>
          <w:rFonts w:ascii="Arial" w:cs="Arial" w:eastAsia="Arial" w:hAnsi="Arial"/>
          <w:sz w:val="18"/>
          <w:szCs w:val="18"/>
          <w:color w:val="auto"/>
        </w:rPr>
      </w:pPr>
      <w:r>
        <w:rPr>
          <w:rFonts w:ascii="Arial" w:cs="Arial" w:eastAsia="Arial" w:hAnsi="Arial"/>
          <w:sz w:val="18"/>
          <w:szCs w:val="18"/>
          <w:color w:val="auto"/>
        </w:rPr>
        <w:t>An Eligible Employee whose Annual Rate of Pay is $125,000 as of each of: (x) June 30, 2002; (y) the date 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78" w:name="page79"/>
    <w:bookmarkEnd w:id="78"/>
    <w:p>
      <w:pPr>
        <w:ind w:left="19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an Initial Election is filed with the Committee; and (z) the first day of each calendar year beginning after December 31, 2002.</w:t>
      </w:r>
    </w:p>
    <w:p>
      <w:pPr>
        <w:spacing w:after="0" w:line="113" w:lineRule="exact"/>
        <w:rPr>
          <w:sz w:val="20"/>
          <w:szCs w:val="20"/>
          <w:color w:val="auto"/>
        </w:rPr>
      </w:pPr>
    </w:p>
    <w:p>
      <w:pPr>
        <w:ind w:left="1920" w:hanging="440"/>
        <w:spacing w:after="0"/>
        <w:tabs>
          <w:tab w:leader="none" w:pos="19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90" w:lineRule="exact"/>
        <w:rPr>
          <w:rFonts w:ascii="Arial" w:cs="Arial" w:eastAsia="Arial" w:hAnsi="Arial"/>
          <w:sz w:val="18"/>
          <w:szCs w:val="18"/>
          <w:color w:val="auto"/>
        </w:rPr>
      </w:pPr>
    </w:p>
    <w:p>
      <w:pPr>
        <w:ind w:left="1920" w:hanging="440"/>
        <w:spacing w:after="0" w:line="268" w:lineRule="auto"/>
        <w:tabs>
          <w:tab w:leader="none" w:pos="19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Effective on and after January 1, 2014:</w:t>
      </w:r>
    </w:p>
    <w:p>
      <w:pPr>
        <w:spacing w:after="0" w:line="90" w:lineRule="exact"/>
        <w:rPr>
          <w:rFonts w:ascii="Arial" w:cs="Arial" w:eastAsia="Arial" w:hAnsi="Arial"/>
          <w:sz w:val="18"/>
          <w:szCs w:val="18"/>
          <w:color w:val="auto"/>
        </w:rPr>
      </w:pPr>
    </w:p>
    <w:p>
      <w:pPr>
        <w:ind w:left="1920" w:right="20" w:hanging="440"/>
        <w:spacing w:after="0" w:line="268" w:lineRule="auto"/>
        <w:tabs>
          <w:tab w:leader="none" w:pos="19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 Eligible Employee whose Annual Rate of Pay is $250,000 or more as of both: (x) the date on which an Initial Election is filed with the Committee; and (y) the first day of the calendar year in which such Initial Election filed.</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90" w:lineRule="exact"/>
        <w:rPr>
          <w:rFonts w:ascii="Arial" w:cs="Arial" w:eastAsia="Arial" w:hAnsi="Arial"/>
          <w:sz w:val="18"/>
          <w:szCs w:val="18"/>
          <w:color w:val="auto"/>
        </w:rPr>
      </w:pPr>
    </w:p>
    <w:p>
      <w:pPr>
        <w:ind w:left="1920" w:hanging="440"/>
        <w:spacing w:after="0" w:line="268" w:lineRule="auto"/>
        <w:tabs>
          <w:tab w:leader="none" w:pos="19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Notwithstanding anything in this Paragraph 2(s) to the contrary, except as otherwise provided by the Committee or its delegate, no Grantee who is an employee of NBCUniversal, LLC, a Delaware limited liability company, and its subsidiaries (collectively, “NBCUniversal”) shall be a Deferral Eligible Employee with respect to any Award granted to such Grantee on or after January 29, 2011.</w:t>
      </w:r>
    </w:p>
    <w:p>
      <w:pPr>
        <w:spacing w:after="0" w:line="140" w:lineRule="exact"/>
        <w:rPr>
          <w:sz w:val="20"/>
          <w:szCs w:val="20"/>
          <w:color w:val="auto"/>
        </w:rPr>
      </w:pPr>
    </w:p>
    <w:p>
      <w:pPr>
        <w:ind w:left="680" w:hanging="216"/>
        <w:spacing w:after="0"/>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80" w:right="100" w:hanging="567"/>
        <w:spacing w:after="0" w:line="259" w:lineRule="auto"/>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Grantee’s substantial inability to perform Grantee’s employment duties due to partial or total disability or incapacity resulting from a mental or physical illness, injury or other health-related cause for a period of 12 consecutive months or for a cumulative period of 52 weeks in any two calendar year period; or</w:t>
      </w:r>
    </w:p>
    <w:p>
      <w:pPr>
        <w:spacing w:after="0" w:line="59" w:lineRule="exact"/>
        <w:rPr>
          <w:rFonts w:ascii="Arial" w:cs="Arial" w:eastAsia="Arial" w:hAnsi="Arial"/>
          <w:sz w:val="18"/>
          <w:szCs w:val="18"/>
          <w:color w:val="auto"/>
        </w:rPr>
      </w:pPr>
    </w:p>
    <w:p>
      <w:pPr>
        <w:ind w:left="1480" w:right="540" w:hanging="567"/>
        <w:spacing w:after="0" w:line="268" w:lineRule="auto"/>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If different from the definition in Paragraph 2(u)(i) above, “Disability” as it may be defined in such Grantee’s employment agreement between the Grantee and the Company or an Affiliate, if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79" w:name="page80"/>
    <w:bookmarkEnd w:id="79"/>
    <w:p>
      <w:pPr>
        <w:ind w:left="720" w:hanging="256"/>
        <w:spacing w:after="0"/>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reason of Disability;</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Paragraph 2(v)(i) acting on behalf of such individual.</w:t>
      </w:r>
    </w:p>
    <w:p>
      <w:pPr>
        <w:spacing w:after="0" w:line="171" w:lineRule="exact"/>
        <w:rPr>
          <w:rFonts w:ascii="Arial" w:cs="Arial" w:eastAsia="Arial" w:hAnsi="Arial"/>
          <w:sz w:val="18"/>
          <w:szCs w:val="18"/>
          <w:color w:val="auto"/>
        </w:rPr>
      </w:pPr>
    </w:p>
    <w:p>
      <w:pPr>
        <w:ind w:firstLine="464"/>
        <w:spacing w:after="0" w:line="259" w:lineRule="auto"/>
        <w:tabs>
          <w:tab w:leader="none" w:pos="7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means a Grantee’s election to have a portion of the Grantee’s Account credited in the form of Deferred Stock Units and attributable to any grant of Restricted Stock or Restricted Stock Units deemed liquidated and credited thereafter under the Income Fund, as provided in Paragraph 8(k).</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w:t>
      </w:r>
      <w:r>
        <w:rPr>
          <w:rFonts w:ascii="Arial" w:cs="Arial" w:eastAsia="Arial" w:hAnsi="Arial"/>
          <w:sz w:val="18"/>
          <w:szCs w:val="18"/>
          <w:color w:val="auto"/>
        </w:rPr>
        <w:t>” means, as applicable, an Initial Election or a Subsequent Election.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a Participating Company, as determined by the Committee.</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80" w:right="540" w:hanging="567"/>
        <w:spacing w:after="0" w:line="357" w:lineRule="auto"/>
        <w:tabs>
          <w:tab w:leader="none" w:pos="1480" w:val="left"/>
        </w:tabs>
        <w:numPr>
          <w:ilvl w:val="1"/>
          <w:numId w:val="72"/>
        </w:numPr>
        <w:rPr>
          <w:rFonts w:ascii="Arial" w:cs="Arial" w:eastAsia="Arial" w:hAnsi="Arial"/>
          <w:sz w:val="15"/>
          <w:szCs w:val="15"/>
          <w:color w:val="auto"/>
        </w:rPr>
      </w:pPr>
      <w:r>
        <w:rPr>
          <w:rFonts w:ascii="Arial" w:cs="Arial" w:eastAsia="Arial" w:hAnsi="Arial"/>
          <w:sz w:val="15"/>
          <w:szCs w:val="15"/>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jc w:val="both"/>
        <w:ind w:left="1480" w:hanging="567"/>
        <w:spacing w:after="0" w:line="259" w:lineRule="auto"/>
        <w:tabs>
          <w:tab w:leader="none" w:pos="14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72"/>
        </w:numPr>
        <w:rPr>
          <w:rFonts w:ascii="Arial" w:cs="Arial" w:eastAsia="Arial" w:hAnsi="Arial"/>
          <w:sz w:val="16"/>
          <w:szCs w:val="16"/>
          <w:color w:val="auto"/>
        </w:rPr>
      </w:pPr>
      <w:r>
        <w:rPr>
          <w:rFonts w:ascii="Arial" w:cs="Arial" w:eastAsia="Arial" w:hAnsi="Arial"/>
          <w:sz w:val="16"/>
          <w:szCs w:val="16"/>
          <w:color w:val="auto"/>
        </w:rPr>
        <w:t>If Shares are not so listed nor trades of Shares so reported, Fair Market Value shall be determined by the Committee in good faith.</w:t>
      </w:r>
    </w:p>
    <w:p>
      <w:pPr>
        <w:spacing w:after="0" w:line="194" w:lineRule="exact"/>
        <w:rPr>
          <w:sz w:val="20"/>
          <w:szCs w:val="20"/>
          <w:color w:val="auto"/>
        </w:rPr>
      </w:pPr>
    </w:p>
    <w:p>
      <w:pPr>
        <w:ind w:right="240" w:firstLine="464"/>
        <w:spacing w:after="0" w:line="332" w:lineRule="auto"/>
        <w:tabs>
          <w:tab w:leader="none" w:pos="773" w:val="left"/>
        </w:tabs>
        <w:numPr>
          <w:ilvl w:val="0"/>
          <w:numId w:val="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Family Member</w:t>
      </w:r>
      <w:r>
        <w:rPr>
          <w:rFonts w:ascii="Arial" w:cs="Arial" w:eastAsia="Arial" w:hAnsi="Arial"/>
          <w:sz w:val="16"/>
          <w:szCs w:val="16"/>
          <w:color w:val="auto"/>
        </w:rPr>
        <w:t>” has the meaning given to such term in General Instructions A.1(a)(5) to Form S-8 under the Securities Act of 1933, as amended, and any successor thereto.</w:t>
      </w:r>
    </w:p>
    <w:p>
      <w:pPr>
        <w:spacing w:after="0" w:line="85" w:lineRule="exact"/>
        <w:rPr>
          <w:rFonts w:ascii="Arial" w:cs="Arial" w:eastAsia="Arial" w:hAnsi="Arial"/>
          <w:sz w:val="16"/>
          <w:szCs w:val="16"/>
          <w:color w:val="auto"/>
        </w:rPr>
      </w:pPr>
    </w:p>
    <w:p>
      <w:pPr>
        <w:ind w:right="480" w:firstLine="464"/>
        <w:spacing w:after="0" w:line="268" w:lineRule="auto"/>
        <w:tabs>
          <w:tab w:leader="none" w:pos="793"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Grandfathered Amount</w:t>
      </w:r>
      <w:r>
        <w:rPr>
          <w:rFonts w:ascii="Arial" w:cs="Arial" w:eastAsia="Arial" w:hAnsi="Arial"/>
          <w:sz w:val="18"/>
          <w:szCs w:val="18"/>
          <w:color w:val="auto"/>
        </w:rPr>
        <w:t>” means amounts described in Paragraph 1(b) that were deferred under the Plan and that were earned and vested before January 1, 2005.</w:t>
      </w:r>
    </w:p>
    <w:p>
      <w:pPr>
        <w:spacing w:after="0" w:line="131" w:lineRule="exact"/>
        <w:rPr>
          <w:rFonts w:ascii="Arial" w:cs="Arial" w:eastAsia="Arial" w:hAnsi="Arial"/>
          <w:sz w:val="18"/>
          <w:szCs w:val="18"/>
          <w:color w:val="auto"/>
        </w:rPr>
      </w:pPr>
    </w:p>
    <w:p>
      <w:pPr>
        <w:ind w:left="780" w:hanging="31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or Non-Employee Director who is granted an Award.</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Hardship</w:t>
      </w:r>
      <w:r>
        <w:rPr>
          <w:rFonts w:ascii="Arial" w:cs="Arial" w:eastAsia="Arial" w:hAnsi="Arial"/>
          <w:sz w:val="16"/>
          <w:szCs w:val="16"/>
          <w:color w:val="auto"/>
        </w:rPr>
        <w:t>” means an “unforeseeable emergency,” as defined in Section 409A. The Committee shall determine whether the circumstances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Grantee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80" w:name="page81"/>
    <w:bookmarkEnd w:id="8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constitute an unforeseeable emergency and thus a Hardship within the meaning of this Paragraph 2(dd). Following a uniform procedure, the Committee’s 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 Hardship shall be based on the facts of each case; provided however, that all determinations as to Hardship shall be uniformly and consistently made according to the provisions of this Paragraph 2(dd) for all Grantees in similar circumstances.</w:t>
      </w:r>
    </w:p>
    <w:p>
      <w:pPr>
        <w:spacing w:after="0" w:line="143" w:lineRule="exact"/>
        <w:rPr>
          <w:sz w:val="20"/>
          <w:szCs w:val="20"/>
          <w:color w:val="auto"/>
        </w:rPr>
      </w:pPr>
    </w:p>
    <w:p>
      <w:pPr>
        <w:ind w:firstLine="464"/>
        <w:spacing w:after="0" w:line="291" w:lineRule="auto"/>
        <w:tabs>
          <w:tab w:leader="none" w:pos="773" w:val="left"/>
        </w:tabs>
        <w:numPr>
          <w:ilvl w:val="0"/>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 In addition, the Income Fund shall also be deemed to hold dividend equivalents and earnings on dividend equivalents credited to a Grantee’s Account as described in Section 2(b) and Section 2(p). Notwithstanding any other provision of the Plan to the contrary, for purposes of determining the time and form of payment of amounts credited to the Income Fund, the rules of the 2005 Deferred Compensation Plan shall apply on the same basis as if such amounts were credited to a participant’s account under such 2005 Deferred Compensation Plan.</w:t>
      </w:r>
    </w:p>
    <w:p>
      <w:pPr>
        <w:spacing w:after="0" w:line="120" w:lineRule="exact"/>
        <w:rPr>
          <w:rFonts w:ascii="Arial" w:cs="Arial" w:eastAsia="Arial" w:hAnsi="Arial"/>
          <w:sz w:val="16"/>
          <w:szCs w:val="16"/>
          <w:color w:val="auto"/>
        </w:rPr>
      </w:pPr>
    </w:p>
    <w:p>
      <w:pPr>
        <w:ind w:right="460" w:firstLine="464"/>
        <w:spacing w:after="0" w:line="306" w:lineRule="auto"/>
        <w:tabs>
          <w:tab w:leader="none" w:pos="731" w:val="left"/>
        </w:tabs>
        <w:numPr>
          <w:ilvl w:val="0"/>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Election</w:t>
      </w:r>
      <w:r>
        <w:rPr>
          <w:rFonts w:ascii="Arial" w:cs="Arial" w:eastAsia="Arial" w:hAnsi="Arial"/>
          <w:sz w:val="16"/>
          <w:szCs w:val="16"/>
          <w:color w:val="auto"/>
        </w:rPr>
        <w:t>” means a written election on a form provided by the Committee, pursuant to which a Grantee: (i) elects, within the time or times specified in Paragraph 8(a), to defer the distribution date of Shares issuable with respect to Restricted Stock or Restricted Stock Units; (ii) designates the distribution date of such Shares; or (iii) makes a tax withholding election as described in Paragraph 9(c)(iii).</w:t>
      </w:r>
    </w:p>
    <w:p>
      <w:pPr>
        <w:spacing w:after="0" w:line="106" w:lineRule="exact"/>
        <w:rPr>
          <w:rFonts w:ascii="Arial" w:cs="Arial" w:eastAsia="Arial" w:hAnsi="Arial"/>
          <w:sz w:val="16"/>
          <w:szCs w:val="16"/>
          <w:color w:val="auto"/>
        </w:rPr>
      </w:pPr>
    </w:p>
    <w:p>
      <w:pPr>
        <w:ind w:left="800" w:hanging="336"/>
        <w:spacing w:after="0"/>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Effective before January 1, 2014, each employee of a Participating Company who:</w:t>
      </w:r>
    </w:p>
    <w:p>
      <w:pPr>
        <w:spacing w:after="0" w:line="90" w:lineRule="exact"/>
        <w:rPr>
          <w:rFonts w:ascii="Arial" w:cs="Arial" w:eastAsia="Arial" w:hAnsi="Arial"/>
          <w:sz w:val="18"/>
          <w:szCs w:val="18"/>
          <w:color w:val="auto"/>
        </w:rPr>
      </w:pPr>
    </w:p>
    <w:p>
      <w:pPr>
        <w:ind w:left="1920" w:right="700" w:hanging="440"/>
        <w:spacing w:after="0" w:line="268" w:lineRule="auto"/>
        <w:tabs>
          <w:tab w:leader="none" w:pos="1920" w:val="left"/>
        </w:tabs>
        <w:numPr>
          <w:ilvl w:val="2"/>
          <w:numId w:val="74"/>
        </w:numPr>
        <w:rPr>
          <w:rFonts w:ascii="Arial" w:cs="Arial" w:eastAsia="Arial" w:hAnsi="Arial"/>
          <w:sz w:val="18"/>
          <w:szCs w:val="18"/>
          <w:color w:val="auto"/>
        </w:rPr>
      </w:pPr>
      <w:r>
        <w:rPr>
          <w:rFonts w:ascii="Arial" w:cs="Arial" w:eastAsia="Arial" w:hAnsi="Arial"/>
          <w:sz w:val="18"/>
          <w:szCs w:val="18"/>
          <w:color w:val="auto"/>
        </w:rPr>
        <w:t>becomes an employee of a Participating Company and has an Annual Rate of Pay of $200,000 or more as of his employment commencement date; or</w:t>
      </w:r>
    </w:p>
    <w:p>
      <w:pPr>
        <w:spacing w:after="0" w:line="50" w:lineRule="exact"/>
        <w:rPr>
          <w:rFonts w:ascii="Arial" w:cs="Arial" w:eastAsia="Arial" w:hAnsi="Arial"/>
          <w:sz w:val="18"/>
          <w:szCs w:val="18"/>
          <w:color w:val="auto"/>
        </w:rPr>
      </w:pPr>
    </w:p>
    <w:p>
      <w:pPr>
        <w:ind w:left="1920" w:right="240" w:hanging="440"/>
        <w:spacing w:after="0" w:line="268" w:lineRule="auto"/>
        <w:tabs>
          <w:tab w:leader="none" w:pos="1920" w:val="left"/>
        </w:tabs>
        <w:numPr>
          <w:ilvl w:val="2"/>
          <w:numId w:val="74"/>
        </w:numPr>
        <w:rPr>
          <w:rFonts w:ascii="Arial" w:cs="Arial" w:eastAsia="Arial" w:hAnsi="Arial"/>
          <w:sz w:val="18"/>
          <w:szCs w:val="18"/>
          <w:color w:val="auto"/>
        </w:rPr>
      </w:pPr>
      <w:r>
        <w:rPr>
          <w:rFonts w:ascii="Arial" w:cs="Arial" w:eastAsia="Arial" w:hAnsi="Arial"/>
          <w:sz w:val="18"/>
          <w:szCs w:val="18"/>
          <w:color w:val="auto"/>
        </w:rPr>
        <w:t>has an Annual Rate of Pay that is increased to $200,000 or more and who, immediately preceding such increase, was not a Deferral Eligible Employee.</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Effective on and after January 1, 2014, each employee of a Participating Company who:</w:t>
      </w:r>
    </w:p>
    <w:p>
      <w:pPr>
        <w:spacing w:after="0" w:line="90" w:lineRule="exact"/>
        <w:rPr>
          <w:rFonts w:ascii="Arial" w:cs="Arial" w:eastAsia="Arial" w:hAnsi="Arial"/>
          <w:sz w:val="18"/>
          <w:szCs w:val="18"/>
          <w:color w:val="auto"/>
        </w:rPr>
      </w:pPr>
    </w:p>
    <w:p>
      <w:pPr>
        <w:ind w:left="1920" w:right="700" w:hanging="440"/>
        <w:spacing w:after="0" w:line="268" w:lineRule="auto"/>
        <w:tabs>
          <w:tab w:leader="none" w:pos="1920" w:val="left"/>
        </w:tabs>
        <w:numPr>
          <w:ilvl w:val="2"/>
          <w:numId w:val="74"/>
        </w:numPr>
        <w:rPr>
          <w:rFonts w:ascii="Arial" w:cs="Arial" w:eastAsia="Arial" w:hAnsi="Arial"/>
          <w:sz w:val="18"/>
          <w:szCs w:val="18"/>
          <w:color w:val="auto"/>
        </w:rPr>
      </w:pPr>
      <w:r>
        <w:rPr>
          <w:rFonts w:ascii="Arial" w:cs="Arial" w:eastAsia="Arial" w:hAnsi="Arial"/>
          <w:sz w:val="18"/>
          <w:szCs w:val="18"/>
          <w:color w:val="auto"/>
        </w:rPr>
        <w:t>becomes an employee of a Participating Company and has an Annual Rate of Pay of $250,000 or more as of his employment commencement date;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81" w:name="page82"/>
    <w:bookmarkEnd w:id="81"/>
    <w:p>
      <w:pPr>
        <w:ind w:left="1860" w:right="200" w:hanging="440"/>
        <w:spacing w:after="0" w:line="268" w:lineRule="auto"/>
        <w:tabs>
          <w:tab w:leader="none" w:pos="1860" w:val="left"/>
        </w:tabs>
        <w:numPr>
          <w:ilvl w:val="2"/>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has an Annual Rate of Pay that is increased to $250,000 or more and who, immediately preceding such increase, was not a Deferral Eligible Employee.</w:t>
      </w:r>
    </w:p>
    <w:p>
      <w:pPr>
        <w:spacing w:after="0" w:line="131" w:lineRule="exact"/>
        <w:rPr>
          <w:rFonts w:ascii="Arial" w:cs="Arial" w:eastAsia="Arial" w:hAnsi="Arial"/>
          <w:sz w:val="18"/>
          <w:szCs w:val="18"/>
          <w:color w:val="auto"/>
        </w:rPr>
      </w:pPr>
    </w:p>
    <w:p>
      <w:pPr>
        <w:ind w:left="-60" w:right="140" w:firstLine="464"/>
        <w:spacing w:after="0" w:line="268" w:lineRule="auto"/>
        <w:tabs>
          <w:tab w:leader="none" w:pos="733"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the Company, including an individual who is a member of the Board and who previously was an employee of the Company.</w:t>
      </w:r>
    </w:p>
    <w:p>
      <w:pPr>
        <w:spacing w:after="0" w:line="131" w:lineRule="exact"/>
        <w:rPr>
          <w:rFonts w:ascii="Arial" w:cs="Arial" w:eastAsia="Arial" w:hAnsi="Arial"/>
          <w:sz w:val="18"/>
          <w:szCs w:val="18"/>
          <w:color w:val="auto"/>
        </w:rPr>
      </w:pPr>
    </w:p>
    <w:p>
      <w:pPr>
        <w:ind w:left="-60" w:right="40" w:firstLine="464"/>
        <w:spacing w:after="0" w:line="268"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a Grantee’s termination of employment that is treated by the Participating Company as a retirement under its employment policies and practices as in effect from time to time.</w:t>
      </w:r>
    </w:p>
    <w:p>
      <w:pPr>
        <w:spacing w:after="0" w:line="131" w:lineRule="exact"/>
        <w:rPr>
          <w:rFonts w:ascii="Arial" w:cs="Arial" w:eastAsia="Arial" w:hAnsi="Arial"/>
          <w:sz w:val="18"/>
          <w:szCs w:val="18"/>
          <w:color w:val="auto"/>
        </w:rPr>
      </w:pPr>
    </w:p>
    <w:p>
      <w:pPr>
        <w:ind w:left="660" w:hanging="25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90" w:lineRule="exact"/>
        <w:rPr>
          <w:rFonts w:ascii="Arial" w:cs="Arial" w:eastAsia="Arial" w:hAnsi="Arial"/>
          <w:sz w:val="18"/>
          <w:szCs w:val="18"/>
          <w:color w:val="auto"/>
        </w:rPr>
      </w:pPr>
    </w:p>
    <w:p>
      <w:pPr>
        <w:ind w:left="1420" w:hanging="567"/>
        <w:spacing w:after="0" w:line="259" w:lineRule="auto"/>
        <w:tabs>
          <w:tab w:leader="none" w:pos="14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total number of Shares owned by a Grantee or such Grantee’s Family Member that were not acquired by such Grantee or such Grantee’s Family Member pursuant to a Comcast Plan or otherwise in connection with the performance of services to the Company or an Affiliate; plus</w:t>
      </w:r>
    </w:p>
    <w:p>
      <w:pPr>
        <w:spacing w:after="0" w:line="59" w:lineRule="exact"/>
        <w:rPr>
          <w:rFonts w:ascii="Arial" w:cs="Arial" w:eastAsia="Arial" w:hAnsi="Arial"/>
          <w:sz w:val="18"/>
          <w:szCs w:val="18"/>
          <w:color w:val="auto"/>
        </w:rPr>
      </w:pPr>
    </w:p>
    <w:p>
      <w:pPr>
        <w:ind w:left="1420" w:hanging="567"/>
        <w:spacing w:after="0"/>
        <w:tabs>
          <w:tab w:leader="none" w:pos="14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90" w:lineRule="exact"/>
        <w:rPr>
          <w:rFonts w:ascii="Arial" w:cs="Arial" w:eastAsia="Arial" w:hAnsi="Arial"/>
          <w:sz w:val="18"/>
          <w:szCs w:val="18"/>
          <w:color w:val="auto"/>
        </w:rPr>
      </w:pPr>
    </w:p>
    <w:p>
      <w:pPr>
        <w:ind w:left="1860" w:right="100" w:hanging="440"/>
        <w:spacing w:after="0" w:line="268" w:lineRule="auto"/>
        <w:tabs>
          <w:tab w:leader="none" w:pos="1860"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total number of Shares owned by a Grantee or such Grantee’s Family Member other than the Shares described in Paragraph 2(jj) (i); over</w:t>
      </w:r>
    </w:p>
    <w:p>
      <w:pPr>
        <w:spacing w:after="0" w:line="50" w:lineRule="exact"/>
        <w:rPr>
          <w:rFonts w:ascii="Arial" w:cs="Arial" w:eastAsia="Arial" w:hAnsi="Arial"/>
          <w:sz w:val="18"/>
          <w:szCs w:val="18"/>
          <w:color w:val="auto"/>
        </w:rPr>
      </w:pPr>
    </w:p>
    <w:p>
      <w:pPr>
        <w:ind w:left="1860" w:hanging="440"/>
        <w:spacing w:after="0"/>
        <w:tabs>
          <w:tab w:leader="none" w:pos="1860"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sum of:</w:t>
      </w:r>
    </w:p>
    <w:p>
      <w:pPr>
        <w:spacing w:after="0" w:line="90" w:lineRule="exact"/>
        <w:rPr>
          <w:rFonts w:ascii="Arial" w:cs="Arial" w:eastAsia="Arial" w:hAnsi="Arial"/>
          <w:sz w:val="18"/>
          <w:szCs w:val="18"/>
          <w:color w:val="auto"/>
        </w:rPr>
      </w:pPr>
    </w:p>
    <w:p>
      <w:pPr>
        <w:ind w:left="2320" w:hanging="441"/>
        <w:spacing w:after="0"/>
        <w:tabs>
          <w:tab w:leader="none" w:pos="2320" w:val="left"/>
        </w:tabs>
        <w:numPr>
          <w:ilvl w:val="3"/>
          <w:numId w:val="76"/>
        </w:numPr>
        <w:rPr>
          <w:rFonts w:ascii="Arial" w:cs="Arial" w:eastAsia="Arial" w:hAnsi="Arial"/>
          <w:sz w:val="16"/>
          <w:szCs w:val="16"/>
          <w:color w:val="auto"/>
        </w:rPr>
      </w:pPr>
      <w:r>
        <w:rPr>
          <w:rFonts w:ascii="Arial" w:cs="Arial" w:eastAsia="Arial" w:hAnsi="Arial"/>
          <w:sz w:val="16"/>
          <w:szCs w:val="16"/>
          <w:color w:val="auto"/>
        </w:rPr>
        <w:t>The number of such Shares owned by such Grantee or such Grantee’s Family Member for less than six months; plus</w:t>
      </w:r>
    </w:p>
    <w:p>
      <w:pPr>
        <w:spacing w:after="0" w:line="113" w:lineRule="exact"/>
        <w:rPr>
          <w:rFonts w:ascii="Arial" w:cs="Arial" w:eastAsia="Arial" w:hAnsi="Arial"/>
          <w:sz w:val="16"/>
          <w:szCs w:val="16"/>
          <w:color w:val="auto"/>
        </w:rPr>
      </w:pPr>
    </w:p>
    <w:p>
      <w:pPr>
        <w:ind w:left="2320" w:right="220" w:hanging="441"/>
        <w:spacing w:after="0" w:line="259" w:lineRule="auto"/>
        <w:tabs>
          <w:tab w:leader="none" w:pos="2320" w:val="left"/>
        </w:tabs>
        <w:numPr>
          <w:ilvl w:val="3"/>
          <w:numId w:val="76"/>
        </w:numPr>
        <w:rPr>
          <w:rFonts w:ascii="Arial" w:cs="Arial" w:eastAsia="Arial" w:hAnsi="Arial"/>
          <w:sz w:val="18"/>
          <w:szCs w:val="18"/>
          <w:color w:val="auto"/>
        </w:rPr>
      </w:pPr>
      <w:r>
        <w:rPr>
          <w:rFonts w:ascii="Arial" w:cs="Arial" w:eastAsia="Arial" w:hAnsi="Arial"/>
          <w:sz w:val="18"/>
          <w:szCs w:val="18"/>
          <w:color w:val="auto"/>
        </w:rPr>
        <w:t>The number of such Shares owned by such Grantee or such Grantee’s Family Member that has, within the preceding six months, been the subject of a withholding certification pursuant to Paragraph 9(c)(ii) or any similar withholding certification under any other Comcast Plan; plus</w:t>
      </w:r>
    </w:p>
    <w:p>
      <w:pPr>
        <w:spacing w:after="0" w:line="59" w:lineRule="exact"/>
        <w:rPr>
          <w:rFonts w:ascii="Arial" w:cs="Arial" w:eastAsia="Arial" w:hAnsi="Arial"/>
          <w:sz w:val="18"/>
          <w:szCs w:val="18"/>
          <w:color w:val="auto"/>
        </w:rPr>
      </w:pPr>
    </w:p>
    <w:p>
      <w:pPr>
        <w:ind w:left="2320" w:right="100" w:hanging="441"/>
        <w:spacing w:after="0" w:line="323" w:lineRule="auto"/>
        <w:tabs>
          <w:tab w:leader="none" w:pos="2320" w:val="left"/>
        </w:tabs>
        <w:numPr>
          <w:ilvl w:val="3"/>
          <w:numId w:val="76"/>
        </w:numPr>
        <w:rPr>
          <w:rFonts w:ascii="Arial" w:cs="Arial" w:eastAsia="Arial" w:hAnsi="Arial"/>
          <w:sz w:val="15"/>
          <w:szCs w:val="15"/>
          <w:color w:val="auto"/>
        </w:rPr>
      </w:pPr>
      <w:r>
        <w:rPr>
          <w:rFonts w:ascii="Arial" w:cs="Arial" w:eastAsia="Arial" w:hAnsi="Arial"/>
          <w:sz w:val="15"/>
          <w:szCs w:val="15"/>
          <w:color w:val="auto"/>
        </w:rPr>
        <w:t>The number of such Shares owned by such Grantee or such Grantee’s Family Member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16" w:lineRule="exact"/>
        <w:rPr>
          <w:rFonts w:ascii="Arial" w:cs="Arial" w:eastAsia="Arial" w:hAnsi="Arial"/>
          <w:sz w:val="15"/>
          <w:szCs w:val="15"/>
          <w:color w:val="auto"/>
        </w:rPr>
      </w:pPr>
    </w:p>
    <w:p>
      <w:pPr>
        <w:ind w:left="2320" w:hanging="441"/>
        <w:spacing w:after="0"/>
        <w:tabs>
          <w:tab w:leader="none" w:pos="2320" w:val="left"/>
        </w:tabs>
        <w:numPr>
          <w:ilvl w:val="3"/>
          <w:numId w:val="76"/>
        </w:numPr>
        <w:rPr>
          <w:rFonts w:ascii="Arial" w:cs="Arial" w:eastAsia="Arial" w:hAnsi="Arial"/>
          <w:sz w:val="18"/>
          <w:szCs w:val="18"/>
          <w:color w:val="auto"/>
        </w:rPr>
      </w:pPr>
      <w:r>
        <w:rPr>
          <w:rFonts w:ascii="Arial" w:cs="Arial" w:eastAsia="Arial" w:hAnsi="Arial"/>
          <w:sz w:val="18"/>
          <w:szCs w:val="18"/>
          <w:color w:val="auto"/>
        </w:rPr>
        <w:t>The number of such Shares owned by such Grantee or such Grantee’s Family Member as to which evidence 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300" w:top="280" w:right="299" w:bottom="1440" w:gutter="0" w:footer="0" w:header="0"/>
        </w:sectPr>
      </w:pPr>
    </w:p>
    <w:bookmarkStart w:id="82" w:name="page83"/>
    <w:bookmarkEnd w:id="82"/>
    <w:p>
      <w:pPr>
        <w:ind w:left="2400"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14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For purposes of this Paragraph 2(jj), a Share that is subject to an Election pursuant to Paragraph 8 or a deferral election pursuant to another Comcast Plan shall not be treated as owned by a Grantee until all conditions to the delivery of such Share have lapsed. The number of Other Available Shares shall be determined separately for Common Stock and Special Common Stock, provided that Shares of Common Stock or Special Common Stock that otherwise qualify as “Other Available Shares” under this Paragraph 2(jj), or any combination thereof, shall be permitted to support any attestation to ownership referenced in the Plan for any purpose for which attestation may be necessary or appropriate. For purposes of determining the number of Other Available Shares, the term “Shares” shall also include the securities held by a Grantee or such Grantee’s Family Member immediately before the consummation of the AT&amp;T Broadband Transaction that became Shares as a result of the AT&amp;T Broadband Transaction.</w:t>
      </w:r>
    </w:p>
    <w:p>
      <w:pPr>
        <w:spacing w:after="0" w:line="118" w:lineRule="exact"/>
        <w:rPr>
          <w:sz w:val="20"/>
          <w:szCs w:val="20"/>
          <w:color w:val="auto"/>
        </w:rPr>
      </w:pPr>
    </w:p>
    <w:p>
      <w:pPr>
        <w:ind w:left="800" w:hanging="336"/>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Company and each of the Subsidiary Companies.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171" w:lineRule="exact"/>
        <w:rPr>
          <w:rFonts w:ascii="Arial" w:cs="Arial" w:eastAsia="Arial" w:hAnsi="Arial"/>
          <w:sz w:val="18"/>
          <w:szCs w:val="18"/>
          <w:color w:val="auto"/>
        </w:rPr>
      </w:pPr>
    </w:p>
    <w:p>
      <w:pPr>
        <w:ind w:left="900" w:hanging="43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a period of at least 12 months during which a Grantee may earn Performance-Based Compensation.</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as set forth herein, and as amended from time to time.</w:t>
      </w:r>
    </w:p>
    <w:p>
      <w:pPr>
        <w:spacing w:after="0" w:line="171" w:lineRule="exact"/>
        <w:rPr>
          <w:rFonts w:ascii="Arial" w:cs="Arial" w:eastAsia="Arial" w:hAnsi="Arial"/>
          <w:sz w:val="18"/>
          <w:szCs w:val="18"/>
          <w:color w:val="auto"/>
        </w:rPr>
      </w:pPr>
    </w:p>
    <w:p>
      <w:pPr>
        <w:ind w:firstLine="464"/>
        <w:spacing w:after="0" w:line="256" w:lineRule="auto"/>
        <w:tabs>
          <w:tab w:leader="none" w:pos="793"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Committee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43" w:lineRule="exact"/>
        <w:rPr>
          <w:rFonts w:ascii="Arial" w:cs="Arial" w:eastAsia="Arial" w:hAnsi="Arial"/>
          <w:sz w:val="18"/>
          <w:szCs w:val="18"/>
          <w:color w:val="auto"/>
        </w:rPr>
      </w:pPr>
    </w:p>
    <w:p>
      <w:pPr>
        <w:ind w:left="800" w:hanging="336"/>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subject to restrictions as set forth in an Award.</w:t>
      </w:r>
    </w:p>
    <w:p>
      <w:pPr>
        <w:spacing w:after="0" w:line="171" w:lineRule="exact"/>
        <w:rPr>
          <w:rFonts w:ascii="Arial" w:cs="Arial" w:eastAsia="Arial" w:hAnsi="Arial"/>
          <w:sz w:val="18"/>
          <w:szCs w:val="18"/>
          <w:color w:val="auto"/>
        </w:rPr>
      </w:pPr>
    </w:p>
    <w:p>
      <w:pPr>
        <w:ind w:left="740" w:hanging="276"/>
        <w:spacing w:after="0"/>
        <w:tabs>
          <w:tab w:leader="none" w:pos="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unit that entitles the Grantee, upon the Vesting Date set forth in an Award, to receive one Share.</w:t>
      </w:r>
    </w:p>
    <w:p>
      <w:pPr>
        <w:spacing w:after="0" w:line="171" w:lineRule="exact"/>
        <w:rPr>
          <w:rFonts w:ascii="Arial" w:cs="Arial" w:eastAsia="Arial" w:hAnsi="Arial"/>
          <w:sz w:val="18"/>
          <w:szCs w:val="18"/>
          <w:color w:val="auto"/>
        </w:rPr>
      </w:pPr>
    </w:p>
    <w:p>
      <w:pPr>
        <w:ind w:left="760" w:hanging="296"/>
        <w:spacing w:after="0"/>
        <w:tabs>
          <w:tab w:leader="none" w:pos="7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Retired Grantee</w:t>
      </w:r>
      <w:r>
        <w:rPr>
          <w:rFonts w:ascii="Arial" w:cs="Arial" w:eastAsia="Arial" w:hAnsi="Arial"/>
          <w:sz w:val="16"/>
          <w:szCs w:val="16"/>
          <w:color w:val="auto"/>
        </w:rPr>
        <w:t>” means a Grantee who has terminated employment pursuant to a Normal Retirement.</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83" w:name="page84"/>
    <w:bookmarkEnd w:id="83"/>
    <w:p>
      <w:pPr>
        <w:ind w:left="680" w:hanging="256"/>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171" w:lineRule="exact"/>
        <w:rPr>
          <w:rFonts w:ascii="Arial" w:cs="Arial" w:eastAsia="Arial" w:hAnsi="Arial"/>
          <w:sz w:val="18"/>
          <w:szCs w:val="18"/>
          <w:color w:val="auto"/>
        </w:rPr>
      </w:pPr>
    </w:p>
    <w:p>
      <w:pPr>
        <w:ind w:left="760" w:hanging="336"/>
        <w:spacing w:after="0"/>
        <w:tabs>
          <w:tab w:leader="none" w:pos="7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16(b) Officer</w:t>
      </w:r>
      <w:r>
        <w:rPr>
          <w:rFonts w:ascii="Arial" w:cs="Arial" w:eastAsia="Arial" w:hAnsi="Arial"/>
          <w:sz w:val="16"/>
          <w:szCs w:val="16"/>
          <w:color w:val="auto"/>
        </w:rPr>
        <w:t>” means an officer of the Company who is subject to the short-swing profit recapture rules of section 16(b) of the 1934 Act.</w:t>
      </w:r>
    </w:p>
    <w:p>
      <w:pPr>
        <w:spacing w:after="0" w:line="194" w:lineRule="exact"/>
        <w:rPr>
          <w:rFonts w:ascii="Arial" w:cs="Arial" w:eastAsia="Arial" w:hAnsi="Arial"/>
          <w:sz w:val="16"/>
          <w:szCs w:val="16"/>
          <w:color w:val="auto"/>
        </w:rPr>
      </w:pPr>
    </w:p>
    <w:p>
      <w:pPr>
        <w:ind w:left="760" w:hanging="336"/>
        <w:spacing w:after="0"/>
        <w:tabs>
          <w:tab w:leader="none" w:pos="7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40" w:hanging="567"/>
        <w:spacing w:after="0"/>
        <w:tabs>
          <w:tab w:leader="none" w:pos="14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except as provided in Paragraph 2(vv)(ii), a share or shares of Common Stock.</w:t>
      </w:r>
    </w:p>
    <w:p>
      <w:pPr>
        <w:spacing w:after="0" w:line="90" w:lineRule="exact"/>
        <w:rPr>
          <w:rFonts w:ascii="Arial" w:cs="Arial" w:eastAsia="Arial" w:hAnsi="Arial"/>
          <w:sz w:val="18"/>
          <w:szCs w:val="18"/>
          <w:color w:val="auto"/>
        </w:rPr>
      </w:pPr>
    </w:p>
    <w:p>
      <w:pPr>
        <w:ind w:left="1440" w:right="120" w:hanging="567"/>
        <w:spacing w:after="0" w:line="370" w:lineRule="auto"/>
        <w:tabs>
          <w:tab w:leader="none" w:pos="1440" w:val="left"/>
        </w:tabs>
        <w:numPr>
          <w:ilvl w:val="1"/>
          <w:numId w:val="78"/>
        </w:numPr>
        <w:rPr>
          <w:rFonts w:ascii="Arial" w:cs="Arial" w:eastAsia="Arial" w:hAnsi="Arial"/>
          <w:sz w:val="15"/>
          <w:szCs w:val="15"/>
          <w:color w:val="auto"/>
        </w:rPr>
      </w:pPr>
      <w:r>
        <w:rPr>
          <w:rFonts w:ascii="Arial" w:cs="Arial" w:eastAsia="Arial" w:hAnsi="Arial"/>
          <w:sz w:val="15"/>
          <w:szCs w:val="15"/>
          <w:color w:val="auto"/>
        </w:rPr>
        <w:t>with respect to Awards granted before the consummation of the AT&amp;T Broadband Transaction as to which a Vesting Date has not occurred, and for purposes of Paragraphs 2(jj) and 9(c), the term “Share” or “Shares” also means a share or shares of Special Common Stock.</w:t>
      </w:r>
    </w:p>
    <w:p>
      <w:pPr>
        <w:spacing w:after="0" w:line="62" w:lineRule="exact"/>
        <w:rPr>
          <w:rFonts w:ascii="Arial" w:cs="Arial" w:eastAsia="Arial" w:hAnsi="Arial"/>
          <w:sz w:val="15"/>
          <w:szCs w:val="15"/>
          <w:color w:val="auto"/>
        </w:rPr>
      </w:pPr>
    </w:p>
    <w:p>
      <w:pPr>
        <w:ind w:left="840" w:hanging="416"/>
        <w:spacing w:after="0"/>
        <w:tabs>
          <w:tab w:leader="none" w:pos="8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Common Stock</w:t>
      </w:r>
      <w:r>
        <w:rPr>
          <w:rFonts w:ascii="Arial" w:cs="Arial" w:eastAsia="Arial" w:hAnsi="Arial"/>
          <w:sz w:val="18"/>
          <w:szCs w:val="18"/>
          <w:color w:val="auto"/>
        </w:rPr>
        <w:t>” means Class A Special Common Stock, par value $0.01, of the Company.</w:t>
      </w:r>
    </w:p>
    <w:p>
      <w:pPr>
        <w:spacing w:after="0" w:line="171" w:lineRule="exact"/>
        <w:rPr>
          <w:rFonts w:ascii="Arial" w:cs="Arial" w:eastAsia="Arial" w:hAnsi="Arial"/>
          <w:sz w:val="18"/>
          <w:szCs w:val="18"/>
          <w:color w:val="auto"/>
        </w:rPr>
      </w:pPr>
    </w:p>
    <w:p>
      <w:pPr>
        <w:ind w:left="-40" w:right="180" w:firstLine="464"/>
        <w:spacing w:after="0" w:line="256" w:lineRule="auto"/>
        <w:tabs>
          <w:tab w:leader="none" w:pos="753"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Diversification Election</w:t>
      </w:r>
      <w:r>
        <w:rPr>
          <w:rFonts w:ascii="Arial" w:cs="Arial" w:eastAsia="Arial" w:hAnsi="Arial"/>
          <w:sz w:val="18"/>
          <w:szCs w:val="18"/>
          <w:color w:val="auto"/>
        </w:rPr>
        <w:t>” means, with respect to each separate Award, a Diversification Election by a Grantee other than a Non-Employee Director to have more than 40 percent of the Deferred Stock Units credited to such Grantee’s Account in the Company Stock Fund liquidated and credited thereafter under the Income Fund, as provided in Paragraph 8(k)(i), if (and to the extent that) it is approved by the Committee or its delegate in accordance with Paragraph 8(k)(ii).</w:t>
      </w:r>
    </w:p>
    <w:p>
      <w:pPr>
        <w:spacing w:after="0" w:line="143" w:lineRule="exact"/>
        <w:rPr>
          <w:rFonts w:ascii="Arial" w:cs="Arial" w:eastAsia="Arial" w:hAnsi="Arial"/>
          <w:sz w:val="18"/>
          <w:szCs w:val="18"/>
          <w:color w:val="auto"/>
        </w:rPr>
      </w:pPr>
    </w:p>
    <w:p>
      <w:pPr>
        <w:ind w:left="-40" w:firstLine="464"/>
        <w:spacing w:after="0" w:line="259" w:lineRule="auto"/>
        <w:tabs>
          <w:tab w:leader="none" w:pos="753"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a written election on a form provided by the Committee, filed with the Committee in accordance with 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140" w:lineRule="exact"/>
        <w:rPr>
          <w:rFonts w:ascii="Arial" w:cs="Arial" w:eastAsia="Arial" w:hAnsi="Arial"/>
          <w:sz w:val="18"/>
          <w:szCs w:val="18"/>
          <w:color w:val="auto"/>
        </w:rPr>
      </w:pPr>
    </w:p>
    <w:p>
      <w:pPr>
        <w:ind w:left="-40" w:right="20" w:firstLine="464"/>
        <w:spacing w:after="0" w:line="268" w:lineRule="auto"/>
        <w:tabs>
          <w:tab w:leader="none" w:pos="733"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Company, within the meaning of section 424(f) of the Code.</w:t>
      </w:r>
    </w:p>
    <w:p>
      <w:pPr>
        <w:spacing w:after="0" w:line="132" w:lineRule="exact"/>
        <w:rPr>
          <w:sz w:val="20"/>
          <w:szCs w:val="20"/>
          <w:color w:val="auto"/>
        </w:rPr>
      </w:pPr>
    </w:p>
    <w:p>
      <w:pPr>
        <w:ind w:left="-40" w:right="120" w:firstLine="464"/>
        <w:spacing w:after="0" w:line="332" w:lineRule="auto"/>
        <w:tabs>
          <w:tab w:leader="none" w:pos="811" w:val="left"/>
        </w:tabs>
        <w:numPr>
          <w:ilvl w:val="0"/>
          <w:numId w:val="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Successor-in-Interest</w:t>
      </w:r>
      <w:r>
        <w:rPr>
          <w:rFonts w:ascii="Arial" w:cs="Arial" w:eastAsia="Arial" w:hAnsi="Arial"/>
          <w:sz w:val="16"/>
          <w:szCs w:val="16"/>
          <w:color w:val="auto"/>
        </w:rPr>
        <w:t>” means the estate or beneficiary to whom the right to payment under the Plan shall have passed by will or the laws of descent and distribution.</w:t>
      </w:r>
    </w:p>
    <w:p>
      <w:pPr>
        <w:spacing w:after="0" w:line="85" w:lineRule="exact"/>
        <w:rPr>
          <w:rFonts w:ascii="Arial" w:cs="Arial" w:eastAsia="Arial" w:hAnsi="Arial"/>
          <w:sz w:val="16"/>
          <w:szCs w:val="16"/>
          <w:color w:val="auto"/>
        </w:rPr>
      </w:pPr>
    </w:p>
    <w:p>
      <w:pPr>
        <w:ind w:left="840" w:hanging="416"/>
        <w:spacing w:after="0"/>
        <w:tabs>
          <w:tab w:leader="none" w:pos="8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Terminating Event</w:t>
      </w:r>
      <w:r>
        <w:rPr>
          <w:rFonts w:ascii="Arial" w:cs="Arial" w:eastAsia="Arial" w:hAnsi="Arial"/>
          <w:sz w:val="16"/>
          <w:szCs w:val="16"/>
          <w:color w:val="auto"/>
        </w:rPr>
        <w:t>” means any of the following events:</w:t>
      </w:r>
    </w:p>
    <w:p>
      <w:pPr>
        <w:spacing w:after="0" w:line="113" w:lineRule="exact"/>
        <w:rPr>
          <w:rFonts w:ascii="Arial" w:cs="Arial" w:eastAsia="Arial" w:hAnsi="Arial"/>
          <w:sz w:val="16"/>
          <w:szCs w:val="16"/>
          <w:color w:val="auto"/>
        </w:rPr>
      </w:pPr>
    </w:p>
    <w:p>
      <w:pPr>
        <w:ind w:left="1440" w:hanging="567"/>
        <w:spacing w:after="0"/>
        <w:tabs>
          <w:tab w:leader="none" w:pos="14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90" w:lineRule="exact"/>
        <w:rPr>
          <w:rFonts w:ascii="Arial" w:cs="Arial" w:eastAsia="Arial" w:hAnsi="Arial"/>
          <w:sz w:val="18"/>
          <w:szCs w:val="18"/>
          <w:color w:val="auto"/>
        </w:rPr>
      </w:pPr>
    </w:p>
    <w:p>
      <w:pPr>
        <w:ind w:left="1440" w:hanging="567"/>
        <w:spacing w:after="0"/>
        <w:tabs>
          <w:tab w:leader="none" w:pos="14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80" w:top="280" w:right="259" w:bottom="1440" w:gutter="0" w:footer="0" w:header="0"/>
        </w:sectPr>
      </w:pPr>
    </w:p>
    <w:bookmarkStart w:id="84" w:name="page85"/>
    <w:bookmarkEnd w:id="84"/>
    <w:p>
      <w:pPr>
        <w:ind w:left="-8" w:right="340" w:firstLine="464"/>
        <w:spacing w:after="0" w:line="332" w:lineRule="auto"/>
        <w:tabs>
          <w:tab w:leader="none" w:pos="843" w:val="left"/>
        </w:tabs>
        <w:numPr>
          <w:ilvl w:val="1"/>
          <w:numId w:val="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together with such Person’s Affiliates, provided that the term “Third Party” shall not include the Company or an Affiliate of the Company.</w:t>
      </w:r>
    </w:p>
    <w:p>
      <w:pPr>
        <w:spacing w:after="0" w:line="85" w:lineRule="exact"/>
        <w:rPr>
          <w:rFonts w:ascii="Arial" w:cs="Arial" w:eastAsia="Arial" w:hAnsi="Arial"/>
          <w:sz w:val="16"/>
          <w:szCs w:val="16"/>
          <w:color w:val="auto"/>
        </w:rPr>
      </w:pPr>
    </w:p>
    <w:p>
      <w:pPr>
        <w:ind w:left="-8" w:right="140" w:firstLine="464"/>
        <w:spacing w:after="0" w:line="332" w:lineRule="auto"/>
        <w:tabs>
          <w:tab w:leader="none" w:pos="873" w:val="left"/>
        </w:tabs>
        <w:numPr>
          <w:ilvl w:val="1"/>
          <w:numId w:val="8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Vesting Date</w:t>
      </w:r>
      <w:r>
        <w:rPr>
          <w:rFonts w:ascii="Arial" w:cs="Arial" w:eastAsia="Arial" w:hAnsi="Arial"/>
          <w:sz w:val="16"/>
          <w:szCs w:val="16"/>
          <w:color w:val="auto"/>
        </w:rPr>
        <w:t>” means, as applicable: (i) the date on which the restrictions imposed on a Share of Restricted Stock lapse or (ii) the date on which the Grantee vests in a Restricted Stock Unit.</w:t>
      </w:r>
    </w:p>
    <w:p>
      <w:pPr>
        <w:spacing w:after="0" w:line="85" w:lineRule="exact"/>
        <w:rPr>
          <w:rFonts w:ascii="Arial" w:cs="Arial" w:eastAsia="Arial" w:hAnsi="Arial"/>
          <w:sz w:val="16"/>
          <w:szCs w:val="16"/>
          <w:color w:val="auto"/>
        </w:rPr>
      </w:pPr>
    </w:p>
    <w:p>
      <w:pPr>
        <w:ind w:left="852" w:hanging="396"/>
        <w:spacing w:after="0"/>
        <w:tabs>
          <w:tab w:leader="none" w:pos="852" w:val="left"/>
        </w:tabs>
        <w:numPr>
          <w:ilvl w:val="1"/>
          <w:numId w:val="8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1933 Act</w:t>
      </w:r>
      <w:r>
        <w:rPr>
          <w:rFonts w:ascii="Arial" w:cs="Arial" w:eastAsia="Arial" w:hAnsi="Arial"/>
          <w:sz w:val="16"/>
          <w:szCs w:val="16"/>
          <w:color w:val="auto"/>
        </w:rPr>
        <w:t>” means the Securities Act of 1933, as amended.</w:t>
      </w:r>
    </w:p>
    <w:p>
      <w:pPr>
        <w:spacing w:after="0" w:line="194" w:lineRule="exact"/>
        <w:rPr>
          <w:rFonts w:ascii="Arial" w:cs="Arial" w:eastAsia="Arial" w:hAnsi="Arial"/>
          <w:sz w:val="16"/>
          <w:szCs w:val="16"/>
          <w:color w:val="auto"/>
        </w:rPr>
      </w:pPr>
    </w:p>
    <w:p>
      <w:pPr>
        <w:ind w:left="792" w:hanging="336"/>
        <w:spacing w:after="0"/>
        <w:tabs>
          <w:tab w:leader="none" w:pos="792" w:val="left"/>
        </w:tabs>
        <w:numPr>
          <w:ilvl w:val="1"/>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86" w:lineRule="exact"/>
        <w:rPr>
          <w:rFonts w:ascii="Arial" w:cs="Arial" w:eastAsia="Arial" w:hAnsi="Arial"/>
          <w:sz w:val="18"/>
          <w:szCs w:val="18"/>
          <w:color w:val="auto"/>
        </w:rPr>
      </w:pPr>
    </w:p>
    <w:p>
      <w:pPr>
        <w:ind w:left="452" w:hanging="452"/>
        <w:spacing w:after="0"/>
        <w:tabs>
          <w:tab w:leader="none" w:pos="45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RIGHTS TO BE GRANTED</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Rights that may be granted under the Plan are:</w:t>
      </w:r>
    </w:p>
    <w:p>
      <w:pPr>
        <w:spacing w:after="0" w:line="171" w:lineRule="exact"/>
        <w:rPr>
          <w:rFonts w:ascii="Arial" w:cs="Arial" w:eastAsia="Arial" w:hAnsi="Arial"/>
          <w:sz w:val="18"/>
          <w:szCs w:val="18"/>
          <w:b w:val="1"/>
          <w:bCs w:val="1"/>
          <w:color w:val="auto"/>
        </w:rPr>
      </w:pPr>
    </w:p>
    <w:p>
      <w:pPr>
        <w:ind w:left="-8" w:right="120" w:firstLine="464"/>
        <w:spacing w:after="0" w:line="268" w:lineRule="auto"/>
        <w:tabs>
          <w:tab w:leader="none" w:pos="687" w:val="left"/>
        </w:tabs>
        <w:numPr>
          <w:ilvl w:val="1"/>
          <w:numId w:val="81"/>
        </w:numPr>
        <w:rPr>
          <w:rFonts w:ascii="Arial" w:cs="Arial" w:eastAsia="Arial" w:hAnsi="Arial"/>
          <w:sz w:val="18"/>
          <w:szCs w:val="18"/>
          <w:color w:val="auto"/>
        </w:rPr>
      </w:pPr>
      <w:r>
        <w:rPr>
          <w:rFonts w:ascii="Arial" w:cs="Arial" w:eastAsia="Arial" w:hAnsi="Arial"/>
          <w:sz w:val="18"/>
          <w:szCs w:val="18"/>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131" w:lineRule="exact"/>
        <w:rPr>
          <w:rFonts w:ascii="Arial" w:cs="Arial" w:eastAsia="Arial" w:hAnsi="Arial"/>
          <w:sz w:val="18"/>
          <w:szCs w:val="18"/>
          <w:color w:val="auto"/>
        </w:rPr>
      </w:pPr>
    </w:p>
    <w:p>
      <w:pPr>
        <w:ind w:left="-8" w:right="360" w:firstLine="464"/>
        <w:spacing w:after="0" w:line="259" w:lineRule="auto"/>
        <w:tabs>
          <w:tab w:leader="none" w:pos="697" w:val="left"/>
        </w:tabs>
        <w:numPr>
          <w:ilvl w:val="1"/>
          <w:numId w:val="81"/>
        </w:numPr>
        <w:rPr>
          <w:rFonts w:ascii="Arial" w:cs="Arial" w:eastAsia="Arial" w:hAnsi="Arial"/>
          <w:sz w:val="18"/>
          <w:szCs w:val="18"/>
          <w:color w:val="auto"/>
        </w:rPr>
      </w:pPr>
      <w:r>
        <w:rPr>
          <w:rFonts w:ascii="Arial" w:cs="Arial" w:eastAsia="Arial" w:hAnsi="Arial"/>
          <w:sz w:val="18"/>
          <w:szCs w:val="18"/>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2.0 million Shares.</w:t>
      </w:r>
    </w:p>
    <w:p>
      <w:pPr>
        <w:spacing w:after="0" w:line="255" w:lineRule="exact"/>
        <w:rPr>
          <w:rFonts w:ascii="Arial" w:cs="Arial" w:eastAsia="Arial" w:hAnsi="Arial"/>
          <w:sz w:val="18"/>
          <w:szCs w:val="18"/>
          <w:color w:val="auto"/>
        </w:rPr>
      </w:pPr>
    </w:p>
    <w:p>
      <w:pPr>
        <w:ind w:left="452" w:hanging="452"/>
        <w:spacing w:after="0"/>
        <w:tabs>
          <w:tab w:leader="none" w:pos="45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96" w:lineRule="exact"/>
        <w:rPr>
          <w:rFonts w:ascii="Arial" w:cs="Arial" w:eastAsia="Arial" w:hAnsi="Arial"/>
          <w:sz w:val="18"/>
          <w:szCs w:val="18"/>
          <w:b w:val="1"/>
          <w:bCs w:val="1"/>
          <w:color w:val="auto"/>
        </w:rPr>
      </w:pPr>
    </w:p>
    <w:p>
      <w:pPr>
        <w:ind w:left="-8" w:right="220" w:firstLine="464"/>
        <w:spacing w:after="0" w:line="370" w:lineRule="auto"/>
        <w:tabs>
          <w:tab w:leader="none" w:pos="687" w:val="left"/>
        </w:tabs>
        <w:numPr>
          <w:ilvl w:val="1"/>
          <w:numId w:val="81"/>
        </w:numPr>
        <w:rPr>
          <w:rFonts w:ascii="Arial" w:cs="Arial" w:eastAsia="Arial" w:hAnsi="Arial"/>
          <w:sz w:val="15"/>
          <w:szCs w:val="15"/>
          <w:color w:val="auto"/>
        </w:rPr>
      </w:pPr>
      <w:r>
        <w:rPr>
          <w:rFonts w:ascii="Arial" w:cs="Arial" w:eastAsia="Arial" w:hAnsi="Arial"/>
          <w:sz w:val="15"/>
          <w:szCs w:val="15"/>
          <w:color w:val="auto"/>
        </w:rPr>
        <w:t>Subject to adjustment as provided in Paragraph 10, not more than 96.5 million Shares in the aggregate may be issued under the Plan pursuant to the grant of Awards. The Shares issued under the Plan may, at the Company’s option, be either Shares held in treasury or Shares originally issued for such purpose.</w:t>
      </w:r>
    </w:p>
    <w:p>
      <w:pPr>
        <w:spacing w:after="0" w:line="62" w:lineRule="exact"/>
        <w:rPr>
          <w:rFonts w:ascii="Arial" w:cs="Arial" w:eastAsia="Arial" w:hAnsi="Arial"/>
          <w:sz w:val="15"/>
          <w:szCs w:val="15"/>
          <w:color w:val="auto"/>
        </w:rPr>
      </w:pPr>
    </w:p>
    <w:p>
      <w:pPr>
        <w:ind w:left="-8" w:right="60" w:firstLine="464"/>
        <w:spacing w:after="0" w:line="306" w:lineRule="auto"/>
        <w:tabs>
          <w:tab w:leader="none" w:pos="697" w:val="left"/>
        </w:tabs>
        <w:numPr>
          <w:ilvl w:val="1"/>
          <w:numId w:val="81"/>
        </w:numPr>
        <w:rPr>
          <w:rFonts w:ascii="Arial" w:cs="Arial" w:eastAsia="Arial" w:hAnsi="Arial"/>
          <w:sz w:val="16"/>
          <w:szCs w:val="16"/>
          <w:color w:val="auto"/>
        </w:rPr>
      </w:pPr>
      <w:r>
        <w:rPr>
          <w:rFonts w:ascii="Arial" w:cs="Arial" w:eastAsia="Arial" w:hAnsi="Arial"/>
          <w:sz w:val="16"/>
          <w:szCs w:val="16"/>
          <w:color w:val="auto"/>
        </w:rPr>
        <w:t>If (i) Restricted Stock or Restricted Stock Units are forfeited pursuant to the terms of an Award or (ii) with respect to Restricted Stock Units, the Company withholds Shares to satisfy its minimum tax withholding requirements as provided in Paragraph 9(c), other Awards may be granted covering the Shares that were forfeited, or covering the Shares so withheld to satisfy the Company’s minimum tax withholding requirements, as applicable.</w:t>
      </w:r>
    </w:p>
    <w:p>
      <w:pPr>
        <w:spacing w:after="0" w:line="222" w:lineRule="exact"/>
        <w:rPr>
          <w:rFonts w:ascii="Arial" w:cs="Arial" w:eastAsia="Arial" w:hAnsi="Arial"/>
          <w:sz w:val="16"/>
          <w:szCs w:val="16"/>
          <w:color w:val="auto"/>
        </w:rPr>
      </w:pPr>
    </w:p>
    <w:p>
      <w:pPr>
        <w:ind w:left="452" w:hanging="452"/>
        <w:spacing w:after="0"/>
        <w:tabs>
          <w:tab w:leader="none" w:pos="45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96" w:lineRule="exact"/>
        <w:rPr>
          <w:rFonts w:ascii="Arial" w:cs="Arial" w:eastAsia="Arial" w:hAnsi="Arial"/>
          <w:sz w:val="18"/>
          <w:szCs w:val="18"/>
          <w:b w:val="1"/>
          <w:bCs w:val="1"/>
          <w:color w:val="auto"/>
        </w:rPr>
      </w:pPr>
    </w:p>
    <w:p>
      <w:pPr>
        <w:ind w:left="-8" w:firstLine="464"/>
        <w:spacing w:after="0" w:line="370" w:lineRule="auto"/>
        <w:tabs>
          <w:tab w:leader="none" w:pos="687" w:val="left"/>
        </w:tabs>
        <w:numPr>
          <w:ilvl w:val="1"/>
          <w:numId w:val="81"/>
        </w:numPr>
        <w:rPr>
          <w:rFonts w:ascii="Arial" w:cs="Arial" w:eastAsia="Arial" w:hAnsi="Arial"/>
          <w:sz w:val="15"/>
          <w:szCs w:val="15"/>
          <w:color w:val="auto"/>
        </w:rPr>
      </w:pPr>
      <w:r>
        <w:rPr>
          <w:rFonts w:ascii="Arial" w:cs="Arial" w:eastAsia="Arial" w:hAnsi="Arial"/>
          <w:sz w:val="15"/>
          <w:szCs w:val="15"/>
          <w:u w:val="single" w:color="auto"/>
          <w:color w:val="auto"/>
        </w:rPr>
        <w:t>Administration</w:t>
      </w:r>
      <w:r>
        <w:rPr>
          <w:rFonts w:ascii="Arial" w:cs="Arial" w:eastAsia="Arial" w:hAnsi="Arial"/>
          <w:sz w:val="15"/>
          <w:szCs w:val="15"/>
          <w:color w:val="auto"/>
        </w:rPr>
        <w:t>. The Plan shall be administered by the Committee, provided that with respect to Awards to Non-Employee Directors, the rules of this Paragraph 5 shall apply so that all references in this Paragraph 5 to the Committee shall be treated as references to either the Board or the Committee acting alone.</w:t>
      </w:r>
    </w:p>
    <w:p>
      <w:pPr>
        <w:spacing w:after="0" w:line="4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12"/>
          </w:cols>
          <w:pgMar w:left="248" w:top="280" w:right="239" w:bottom="1440" w:gutter="0" w:footer="0" w:header="0"/>
        </w:sectPr>
      </w:pPr>
    </w:p>
    <w:bookmarkStart w:id="85" w:name="page86"/>
    <w:bookmarkEnd w:id="85"/>
    <w:p>
      <w:pPr>
        <w:ind w:left="720" w:hanging="256"/>
        <w:spacing w:after="0"/>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Grants</w:t>
      </w:r>
      <w:r>
        <w:rPr>
          <w:rFonts w:ascii="Arial" w:cs="Arial" w:eastAsia="Arial" w:hAnsi="Arial"/>
          <w:sz w:val="18"/>
          <w:szCs w:val="18"/>
          <w:color w:val="auto"/>
        </w:rPr>
        <w:t>. Subject to the express terms and conditions set forth in the Plan, the Committee shall have the power, from time to time, to:</w:t>
      </w:r>
    </w:p>
    <w:p>
      <w:pPr>
        <w:spacing w:after="0" w:line="90" w:lineRule="exact"/>
        <w:rPr>
          <w:rFonts w:ascii="Arial" w:cs="Arial" w:eastAsia="Arial" w:hAnsi="Arial"/>
          <w:sz w:val="18"/>
          <w:szCs w:val="18"/>
          <w:color w:val="auto"/>
        </w:rPr>
      </w:pPr>
    </w:p>
    <w:p>
      <w:pPr>
        <w:ind w:left="1480" w:right="140" w:hanging="567"/>
        <w:spacing w:after="0" w:line="256" w:lineRule="auto"/>
        <w:tabs>
          <w:tab w:leader="none" w:pos="14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and</w:t>
      </w:r>
    </w:p>
    <w:p>
      <w:pPr>
        <w:spacing w:after="0" w:line="62" w:lineRule="exact"/>
        <w:rPr>
          <w:rFonts w:ascii="Arial" w:cs="Arial" w:eastAsia="Arial" w:hAnsi="Arial"/>
          <w:sz w:val="18"/>
          <w:szCs w:val="18"/>
          <w:color w:val="auto"/>
        </w:rPr>
      </w:pPr>
    </w:p>
    <w:p>
      <w:pPr>
        <w:ind w:left="1480" w:right="120" w:hanging="567"/>
        <w:spacing w:after="0" w:line="268" w:lineRule="auto"/>
        <w:tabs>
          <w:tab w:leader="none" w:pos="14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interpret the Plan’s provisions, prescribe, amend and rescind rules and regulations for the Plan, and make all other determinations necessary or advisable for the administration of the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determination of the Committee in all matters as stated above shall be conclusive.</w:t>
      </w:r>
    </w:p>
    <w:p>
      <w:pPr>
        <w:spacing w:after="0" w:line="171" w:lineRule="exact"/>
        <w:rPr>
          <w:sz w:val="20"/>
          <w:szCs w:val="20"/>
          <w:color w:val="auto"/>
        </w:rPr>
      </w:pPr>
    </w:p>
    <w:p>
      <w:pPr>
        <w:ind w:right="180" w:firstLine="464"/>
        <w:spacing w:after="0" w:line="332" w:lineRule="auto"/>
        <w:tabs>
          <w:tab w:leader="none" w:pos="695"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85" w:lineRule="exact"/>
        <w:rPr>
          <w:rFonts w:ascii="Arial" w:cs="Arial" w:eastAsia="Arial" w:hAnsi="Arial"/>
          <w:sz w:val="16"/>
          <w:szCs w:val="16"/>
          <w:color w:val="auto"/>
        </w:rPr>
      </w:pPr>
    </w:p>
    <w:p>
      <w:pPr>
        <w:ind w:right="40" w:firstLine="464"/>
        <w:spacing w:after="0" w:line="298" w:lineRule="auto"/>
        <w:tabs>
          <w:tab w:leader="none" w:pos="705"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112" w:lineRule="exact"/>
        <w:rPr>
          <w:rFonts w:ascii="Arial" w:cs="Arial" w:eastAsia="Arial" w:hAnsi="Arial"/>
          <w:sz w:val="16"/>
          <w:szCs w:val="16"/>
          <w:color w:val="auto"/>
        </w:rPr>
      </w:pPr>
    </w:p>
    <w:p>
      <w:pPr>
        <w:jc w:val="both"/>
        <w:ind w:right="80" w:firstLine="464"/>
        <w:spacing w:after="0" w:line="255" w:lineRule="auto"/>
        <w:tabs>
          <w:tab w:leader="none" w:pos="69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42" w:lineRule="exact"/>
        <w:rPr>
          <w:rFonts w:ascii="Arial" w:cs="Arial" w:eastAsia="Arial" w:hAnsi="Arial"/>
          <w:sz w:val="18"/>
          <w:szCs w:val="18"/>
          <w:color w:val="auto"/>
        </w:rPr>
      </w:pPr>
    </w:p>
    <w:p>
      <w:pPr>
        <w:ind w:firstLine="464"/>
        <w:spacing w:after="0" w:line="256" w:lineRule="auto"/>
        <w:tabs>
          <w:tab w:leader="none" w:pos="676"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The Committee may delegate its authority with respect to the grant, amendment, interpretation and administration of grants and awards of restricted stock and restricted stock units to a person, persons or committee, in its sole and absolute discretion. Actions taken by the Committee’s duly-authorized delegate shall have the same force and effect as actions taken by the Committee. Any delegation of authority pursuant to this Paragraph 5(f) shall continue in effect until the earliest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86" w:name="page87"/>
    <w:bookmarkEnd w:id="86"/>
    <w:p>
      <w:pPr>
        <w:ind w:left="1480" w:hanging="567"/>
        <w:spacing w:after="0"/>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time as the Committee shall, in its sole and absolute discretion, revoke such delegation of authority;</w:t>
      </w:r>
    </w:p>
    <w:p>
      <w:pPr>
        <w:spacing w:after="0" w:line="90" w:lineRule="exact"/>
        <w:rPr>
          <w:rFonts w:ascii="Arial" w:cs="Arial" w:eastAsia="Arial" w:hAnsi="Arial"/>
          <w:sz w:val="18"/>
          <w:szCs w:val="18"/>
          <w:color w:val="auto"/>
        </w:rPr>
      </w:pPr>
    </w:p>
    <w:p>
      <w:pPr>
        <w:ind w:left="1480" w:right="140" w:hanging="567"/>
        <w:spacing w:after="0" w:line="268" w:lineRule="auto"/>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delegate shall notify the Committee that he or she declines to continue to exercise such authority.</w:t>
      </w:r>
    </w:p>
    <w:p>
      <w:pPr>
        <w:spacing w:after="0" w:line="286"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Awards may be granted only to Eligible Employees and Non-Employee Directors.</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AND RESTRICTED STOCK UNIT AWARDS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Committee may grant Awards in accordance with the Plan, provided that the Board or the Committee may grant Awards to Non-Employee Directors authorized by the Comcast Corporation 2002 Non-Employee Director Compensation Plan, or otherwise. With respect to Awards to Non-Employee Directors, the rules of this Paragraph 7 shall apply so that either the Board or the Committee acting alone shall have all of the authority otherwise reserved in this Paragraph 7 to the Committee.</w:t>
      </w:r>
    </w:p>
    <w:p>
      <w:pPr>
        <w:spacing w:after="0" w:line="14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terms and conditions of Awards shall be set forth in writing as determined from time to time by the Committee, consistent, however, with the following:</w:t>
      </w:r>
    </w:p>
    <w:p>
      <w:pPr>
        <w:spacing w:after="0" w:line="132" w:lineRule="exact"/>
        <w:rPr>
          <w:sz w:val="20"/>
          <w:szCs w:val="20"/>
          <w:color w:val="auto"/>
        </w:rPr>
      </w:pPr>
    </w:p>
    <w:p>
      <w:pPr>
        <w:ind w:left="700" w:hanging="236"/>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Awards shall be granted on or before May 11, 2021.</w:t>
      </w:r>
    </w:p>
    <w:p>
      <w:pPr>
        <w:spacing w:after="0" w:line="171" w:lineRule="exact"/>
        <w:rPr>
          <w:rFonts w:ascii="Arial" w:cs="Arial" w:eastAsia="Arial" w:hAnsi="Arial"/>
          <w:sz w:val="18"/>
          <w:szCs w:val="18"/>
          <w:color w:val="auto"/>
        </w:rPr>
      </w:pPr>
    </w:p>
    <w:p>
      <w:pPr>
        <w:ind w:right="180" w:firstLine="464"/>
        <w:spacing w:after="0" w:line="268" w:lineRule="auto"/>
        <w:tabs>
          <w:tab w:leader="none" w:pos="70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Terms of Awards</w:t>
      </w:r>
      <w:r>
        <w:rPr>
          <w:rFonts w:ascii="Arial" w:cs="Arial" w:eastAsia="Arial" w:hAnsi="Arial"/>
          <w:sz w:val="18"/>
          <w:szCs w:val="18"/>
          <w:color w:val="auto"/>
        </w:rPr>
        <w:t>. The provisions of Awards need not be the same with respect to each Grantee. No cash or other consideration shall be required to be paid by the Grantee in exchange for an Award.</w:t>
      </w:r>
    </w:p>
    <w:p>
      <w:pPr>
        <w:spacing w:after="0" w:line="131" w:lineRule="exact"/>
        <w:rPr>
          <w:rFonts w:ascii="Arial" w:cs="Arial" w:eastAsia="Arial" w:hAnsi="Arial"/>
          <w:sz w:val="18"/>
          <w:szCs w:val="18"/>
          <w:color w:val="auto"/>
        </w:rPr>
      </w:pPr>
    </w:p>
    <w:p>
      <w:pPr>
        <w:ind w:right="140" w:firstLine="464"/>
        <w:spacing w:after="0" w:line="298" w:lineRule="auto"/>
        <w:tabs>
          <w:tab w:leader="none" w:pos="695"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Awards and Agreements</w:t>
      </w:r>
      <w:r>
        <w:rPr>
          <w:rFonts w:ascii="Arial" w:cs="Arial" w:eastAsia="Arial" w:hAnsi="Arial"/>
          <w:sz w:val="16"/>
          <w:szCs w:val="16"/>
          <w:color w:val="auto"/>
        </w:rPr>
        <w:t>. Each Grantee shall be provided with an agreement specifying the terms of an Award. In addition, a certificate shall be issued to each Grantee in respect of Restricted Stock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112" w:lineRule="exact"/>
        <w:rPr>
          <w:rFonts w:ascii="Arial" w:cs="Arial" w:eastAsia="Arial" w:hAnsi="Arial"/>
          <w:sz w:val="16"/>
          <w:szCs w:val="16"/>
          <w:color w:val="auto"/>
        </w:rPr>
      </w:pPr>
    </w:p>
    <w:p>
      <w:pPr>
        <w:ind w:right="340" w:firstLine="464"/>
        <w:spacing w:after="0" w:line="332" w:lineRule="auto"/>
        <w:tabs>
          <w:tab w:leader="none" w:pos="705"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Subject to the provisions of the Plan and the Award, the Committee may establish a period commencing with the Date of Grant during which the Grantee shall not be permitted to sell, transfer, pledge or assign Restricted Stock or Restricted Stock Units awarded under the Plan.</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Vesting/Lapse of Restrictions</w:t>
      </w:r>
      <w:r>
        <w:rPr>
          <w:rFonts w:ascii="Arial" w:cs="Arial" w:eastAsia="Arial" w:hAnsi="Arial"/>
          <w:sz w:val="15"/>
          <w:szCs w:val="15"/>
          <w:color w:val="auto"/>
        </w:rPr>
        <w:t>. Subject to the provisions of the Plan and the Award, a Vesting Date for Restricted Stock or Restricted Stock Units subject</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to an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87" w:name="page88"/>
    <w:bookmarkEnd w:id="87"/>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Award shall occur at such time or times and on such terms and conditions as the Committee may determine and as are set forth in the Award; provided, however, that except as otherwise provided by the Committee,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provided that for avoidance of doubt, such unilateral discretion shall not apply to any grant of rights that is designated as intended to satisfy the rules for performance-based compensation under section 162(m) of the Code. All references to Shares in Awards granted before the consummation of the AT&amp;T Broadband Transaction as to which a Vesting Date has not occurred shall be deemed to be references to Special Common Stock.</w:t>
      </w:r>
    </w:p>
    <w:p>
      <w:pPr>
        <w:spacing w:after="0" w:line="118" w:lineRule="exact"/>
        <w:rPr>
          <w:sz w:val="20"/>
          <w:szCs w:val="20"/>
          <w:color w:val="auto"/>
        </w:rPr>
      </w:pPr>
    </w:p>
    <w:p>
      <w:pPr>
        <w:ind w:right="120" w:firstLine="464"/>
        <w:spacing w:after="0" w:line="306" w:lineRule="auto"/>
        <w:tabs>
          <w:tab w:leader="none" w:pos="676"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Rights of the Grantee</w:t>
      </w:r>
      <w:r>
        <w:rPr>
          <w:rFonts w:ascii="Arial" w:cs="Arial" w:eastAsia="Arial" w:hAnsi="Arial"/>
          <w:sz w:val="16"/>
          <w:szCs w:val="16"/>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or to receive dividend equivalents with respect to such Restricted Stock Units.</w:t>
      </w:r>
    </w:p>
    <w:p>
      <w:pPr>
        <w:spacing w:after="0" w:line="106" w:lineRule="exact"/>
        <w:rPr>
          <w:rFonts w:ascii="Arial" w:cs="Arial" w:eastAsia="Arial" w:hAnsi="Arial"/>
          <w:sz w:val="16"/>
          <w:szCs w:val="16"/>
          <w:color w:val="auto"/>
        </w:rPr>
      </w:pPr>
    </w:p>
    <w:p>
      <w:pPr>
        <w:ind w:firstLine="464"/>
        <w:spacing w:after="0" w:line="306" w:lineRule="auto"/>
        <w:tabs>
          <w:tab w:leader="none" w:pos="705"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Termination of Grantee’s Employment</w:t>
      </w:r>
      <w:r>
        <w:rPr>
          <w:rFonts w:ascii="Arial" w:cs="Arial" w:eastAsia="Arial" w:hAnsi="Arial"/>
          <w:sz w:val="16"/>
          <w:szCs w:val="16"/>
          <w:color w:val="auto"/>
        </w:rPr>
        <w:t>. A transfer of an Eligible Employee between two employers, each of which is a Participating Company, shall not be deemed a termination of employment. In the event that a Grantee terminates employment with all Participating Companies, all Restricted Shares and/or Restricted Stock Units as to which a Vesting Date has not occurred shall be forfeited by the Grantee and deemed canceled by the Company.</w:t>
      </w:r>
    </w:p>
    <w:p>
      <w:pPr>
        <w:spacing w:after="0" w:line="106" w:lineRule="exact"/>
        <w:rPr>
          <w:rFonts w:ascii="Arial" w:cs="Arial" w:eastAsia="Arial" w:hAnsi="Arial"/>
          <w:sz w:val="16"/>
          <w:szCs w:val="16"/>
          <w:color w:val="auto"/>
        </w:rPr>
      </w:pPr>
    </w:p>
    <w:p>
      <w:pPr>
        <w:ind w:firstLine="464"/>
        <w:spacing w:after="0" w:line="289" w:lineRule="auto"/>
        <w:tabs>
          <w:tab w:leader="none" w:pos="705"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For purposes of the Plan, the Company may satisfy its obligation to deliver Shares issuable under the Plan either by (i) delivery of a physical certificate for Shares issuable under the Plan or (ii) arranging for the recording of Grantee’s ownership of Shares issuable under the Plan on a book entry recordkeeping system maintained on behalf of the Company.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88" w:name="page89"/>
    <w:bookmarkEnd w:id="88"/>
    <w:p>
      <w:pPr>
        <w:ind w:left="460" w:hanging="452"/>
        <w:spacing w:after="0"/>
        <w:tabs>
          <w:tab w:leader="none" w:pos="4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DEFERRAL ELECTIONS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Grantee may elect to defer the receipt of Shares that would otherwise be issuable with respect to Restricted Stock Units as to which a Vesting Date has not occurred, as provided by the Committee in the Award, consistent, however, with the following:</w:t>
      </w:r>
    </w:p>
    <w:p>
      <w:pPr>
        <w:spacing w:after="0" w:line="132" w:lineRule="exact"/>
        <w:rPr>
          <w:sz w:val="20"/>
          <w:szCs w:val="20"/>
          <w:color w:val="auto"/>
        </w:rPr>
      </w:pPr>
    </w:p>
    <w:p>
      <w:pPr>
        <w:ind w:left="700" w:hanging="236"/>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1480" w:right="80" w:hanging="567"/>
        <w:spacing w:after="0" w:line="306" w:lineRule="auto"/>
        <w:tabs>
          <w:tab w:leader="none" w:pos="1480"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Election</w:t>
      </w:r>
      <w:r>
        <w:rPr>
          <w:rFonts w:ascii="Arial" w:cs="Arial" w:eastAsia="Arial" w:hAnsi="Arial"/>
          <w:sz w:val="16"/>
          <w:szCs w:val="16"/>
          <w:color w:val="auto"/>
        </w:rPr>
        <w:t>. Each Grantee who is a Non-Employee Director or a Deferral Eligible Employee shall have the right to defer the receipt of some or all of the Shares issuable with respect to Restricted Stock Units as to which a Vesting Date has not yet occurred, by filing an Initial Election to defer the receipt of such Shares on a form provided by the Committee for this purpose.</w:t>
      </w:r>
    </w:p>
    <w:p>
      <w:pPr>
        <w:spacing w:after="0" w:line="25" w:lineRule="exact"/>
        <w:rPr>
          <w:rFonts w:ascii="Arial" w:cs="Arial" w:eastAsia="Arial" w:hAnsi="Arial"/>
          <w:sz w:val="16"/>
          <w:szCs w:val="16"/>
          <w:color w:val="auto"/>
        </w:rPr>
      </w:pPr>
    </w:p>
    <w:p>
      <w:pPr>
        <w:ind w:left="1480" w:hanging="567"/>
        <w:spacing w:after="0" w:line="294" w:lineRule="auto"/>
        <w:tabs>
          <w:tab w:leader="none" w:pos="1480"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Deadline for Initial Election</w:t>
      </w:r>
      <w:r>
        <w:rPr>
          <w:rFonts w:ascii="Arial" w:cs="Arial" w:eastAsia="Arial" w:hAnsi="Arial"/>
          <w:sz w:val="16"/>
          <w:szCs w:val="16"/>
          <w:color w:val="auto"/>
        </w:rPr>
        <w:t>. No Initial Election to defer the receipt of Shares issuable with respect to Restricted Stock Units that are not Performance-Based Compensation shall be effective unless it is filed with the Committee on or before the 30</w:t>
      </w:r>
      <w:r>
        <w:rPr>
          <w:rFonts w:ascii="Arial" w:cs="Arial" w:eastAsia="Arial" w:hAnsi="Arial"/>
          <w:sz w:val="10"/>
          <w:szCs w:val="10"/>
          <w:color w:val="auto"/>
        </w:rPr>
        <w:t>th</w:t>
      </w:r>
      <w:r>
        <w:rPr>
          <w:rFonts w:ascii="Arial" w:cs="Arial" w:eastAsia="Arial" w:hAnsi="Arial"/>
          <w:sz w:val="16"/>
          <w:szCs w:val="16"/>
          <w:color w:val="auto"/>
        </w:rPr>
        <w:t xml:space="preserve"> day following the Date of Grant and 12 or more months in advance of the applicable Vesting Date. No Initial Election to defer the receipt of Shares issuable with respect to Restricted Stock Units that are Performance-Based Compensation shall be effective unless it is filed with the Administrator at least six months before the end of the Performance Period during which such Performance-Based Compensation may be earned.</w:t>
      </w:r>
    </w:p>
    <w:p>
      <w:pPr>
        <w:spacing w:after="0" w:line="115" w:lineRule="exact"/>
        <w:rPr>
          <w:rFonts w:ascii="Arial" w:cs="Arial" w:eastAsia="Arial" w:hAnsi="Arial"/>
          <w:sz w:val="16"/>
          <w:szCs w:val="16"/>
          <w:color w:val="auto"/>
        </w:rPr>
      </w:pPr>
    </w:p>
    <w:p>
      <w:pPr>
        <w:ind w:firstLine="464"/>
        <w:spacing w:after="0" w:line="268" w:lineRule="auto"/>
        <w:tabs>
          <w:tab w:leader="none" w:pos="70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Effect of Failure of Vesting Date to Occur</w:t>
      </w:r>
      <w:r>
        <w:rPr>
          <w:rFonts w:ascii="Arial" w:cs="Arial" w:eastAsia="Arial" w:hAnsi="Arial"/>
          <w:sz w:val="18"/>
          <w:szCs w:val="18"/>
          <w:color w:val="auto"/>
        </w:rPr>
        <w:t>. An Election shall be null and void if a Vesting Date with respect to the Restricted Stock Units does not occur before the distribution date for Shares issuable with respect to such Restricted Stock Units identified in such Election.</w:t>
      </w:r>
    </w:p>
    <w:p>
      <w:pPr>
        <w:spacing w:after="0" w:line="131" w:lineRule="exact"/>
        <w:rPr>
          <w:rFonts w:ascii="Arial" w:cs="Arial" w:eastAsia="Arial" w:hAnsi="Arial"/>
          <w:sz w:val="18"/>
          <w:szCs w:val="18"/>
          <w:color w:val="auto"/>
        </w:rPr>
      </w:pPr>
    </w:p>
    <w:p>
      <w:pPr>
        <w:ind w:right="60" w:firstLine="464"/>
        <w:spacing w:after="0" w:line="318" w:lineRule="auto"/>
        <w:tabs>
          <w:tab w:leader="none" w:pos="695" w:val="left"/>
        </w:tabs>
        <w:numPr>
          <w:ilvl w:val="0"/>
          <w:numId w:val="89"/>
        </w:numPr>
        <w:rPr>
          <w:rFonts w:ascii="Arial" w:cs="Arial" w:eastAsia="Arial" w:hAnsi="Arial"/>
          <w:sz w:val="15"/>
          <w:szCs w:val="15"/>
          <w:color w:val="auto"/>
        </w:rPr>
      </w:pPr>
      <w:r>
        <w:rPr>
          <w:rFonts w:ascii="Arial" w:cs="Arial" w:eastAsia="Arial" w:hAnsi="Arial"/>
          <w:sz w:val="15"/>
          <w:szCs w:val="15"/>
          <w:u w:val="single" w:color="auto"/>
          <w:color w:val="auto"/>
        </w:rPr>
        <w:t>Deferral Period</w:t>
      </w:r>
      <w:r>
        <w:rPr>
          <w:rFonts w:ascii="Arial" w:cs="Arial" w:eastAsia="Arial" w:hAnsi="Arial"/>
          <w:sz w:val="15"/>
          <w:szCs w:val="15"/>
          <w:color w:val="auto"/>
        </w:rPr>
        <w:t>. Except as otherwise provided in Paragraph 8(d), all Shares issuable with respect to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Except as otherwise specifically provided by the Plan, no distribution may be made earlier than January 2nd of the third calendar year beginning after the Vesting Date, nor later than January 2nd of the eleventh calendar year beginning after the Vesting Date. The distribution date may vary with each separate Election.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89" w:name="page90"/>
    <w:bookmarkEnd w:id="89"/>
    <w:p>
      <w:pPr>
        <w:ind w:left="-60" w:right="160" w:firstLine="464"/>
        <w:spacing w:after="0" w:line="268" w:lineRule="auto"/>
        <w:tabs>
          <w:tab w:leader="none" w:pos="645"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Elections</w:t>
      </w:r>
      <w:r>
        <w:rPr>
          <w:rFonts w:ascii="Arial" w:cs="Arial" w:eastAsia="Arial" w:hAnsi="Arial"/>
          <w:sz w:val="18"/>
          <w:szCs w:val="18"/>
          <w:color w:val="auto"/>
        </w:rPr>
        <w:t>. Notwithstanding anything in this Paragraph 8(d) to the contrary, no Subsequent Election shall be effective until 12 months after the date on which such Subsequent Election is made.</w:t>
      </w:r>
    </w:p>
    <w:p>
      <w:pPr>
        <w:spacing w:after="0" w:line="50" w:lineRule="exact"/>
        <w:rPr>
          <w:rFonts w:ascii="Arial" w:cs="Arial" w:eastAsia="Arial" w:hAnsi="Arial"/>
          <w:sz w:val="18"/>
          <w:szCs w:val="18"/>
          <w:color w:val="auto"/>
        </w:rPr>
      </w:pPr>
    </w:p>
    <w:p>
      <w:pPr>
        <w:ind w:left="1420" w:hanging="567"/>
        <w:spacing w:after="0" w:line="294" w:lineRule="auto"/>
        <w:tabs>
          <w:tab w:leader="none" w:pos="1420" w:val="left"/>
        </w:tabs>
        <w:numPr>
          <w:ilvl w:val="1"/>
          <w:numId w:val="90"/>
        </w:numPr>
        <w:rPr>
          <w:rFonts w:ascii="Arial" w:cs="Arial" w:eastAsia="Arial" w:hAnsi="Arial"/>
          <w:sz w:val="16"/>
          <w:szCs w:val="16"/>
          <w:color w:val="auto"/>
        </w:rPr>
      </w:pPr>
      <w:r>
        <w:rPr>
          <w:rFonts w:ascii="Arial" w:cs="Arial" w:eastAsia="Arial" w:hAnsi="Arial"/>
          <w:sz w:val="16"/>
          <w:szCs w:val="16"/>
          <w:color w:val="auto"/>
        </w:rPr>
        <w:t>Each Active Grantee who has previously made an Initial Election to receive a distribution of part or all of his or her Account, or who, pursuant to this Paragraph 8(d)(i) has made a Subsequent Election to defer the distribution date for Shares issuable with respect to Restricted Stock Units for an additional period from the originally-elected distribution date, may elect to defer the distribution date for a minimum of five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34" w:lineRule="exact"/>
        <w:rPr>
          <w:rFonts w:ascii="Arial" w:cs="Arial" w:eastAsia="Arial" w:hAnsi="Arial"/>
          <w:sz w:val="16"/>
          <w:szCs w:val="16"/>
          <w:color w:val="auto"/>
        </w:rPr>
      </w:pPr>
    </w:p>
    <w:p>
      <w:pPr>
        <w:ind w:left="1420" w:right="40" w:hanging="567"/>
        <w:spacing w:after="0" w:line="256" w:lineRule="auto"/>
        <w:tabs>
          <w:tab w:leader="none" w:pos="14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 Deceased Grantee’s Successor-in-Interest may elect to file a Subsequent Election to defer the distribution date for the Deceased Grantee’s Shares issuable with respect to Restricted Stock Units for five additional years from the date payment would otherwise be made. A Subsequent Election must be filed with the Committee at least one year before the date on which the distribution would otherwise be made, as reflected on the Deceased Grantee’s last Election.</w:t>
      </w:r>
    </w:p>
    <w:p>
      <w:pPr>
        <w:spacing w:after="0" w:line="62" w:lineRule="exact"/>
        <w:rPr>
          <w:rFonts w:ascii="Arial" w:cs="Arial" w:eastAsia="Arial" w:hAnsi="Arial"/>
          <w:sz w:val="18"/>
          <w:szCs w:val="18"/>
          <w:color w:val="auto"/>
        </w:rPr>
      </w:pPr>
    </w:p>
    <w:p>
      <w:pPr>
        <w:jc w:val="both"/>
        <w:ind w:left="1420" w:right="40" w:hanging="567"/>
        <w:spacing w:after="0" w:line="306" w:lineRule="auto"/>
        <w:tabs>
          <w:tab w:leader="none" w:pos="1420" w:val="left"/>
        </w:tabs>
        <w:numPr>
          <w:ilvl w:val="1"/>
          <w:numId w:val="90"/>
        </w:numPr>
        <w:rPr>
          <w:rFonts w:ascii="Arial" w:cs="Arial" w:eastAsia="Arial" w:hAnsi="Arial"/>
          <w:sz w:val="16"/>
          <w:szCs w:val="16"/>
          <w:color w:val="auto"/>
        </w:rPr>
      </w:pPr>
      <w:r>
        <w:rPr>
          <w:rFonts w:ascii="Arial" w:cs="Arial" w:eastAsia="Arial" w:hAnsi="Arial"/>
          <w:sz w:val="16"/>
          <w:szCs w:val="16"/>
          <w:color w:val="auto"/>
        </w:rPr>
        <w:t>A Retired Grantee may elect to defer the distribution date of the Retired Grantee’s Shares issuable with respect to Restricted Stock Units for five additional years from the date payment would otherwise be made. A Subsequent Election must be filed with the Committee at least one year before the date on which the distribution would otherwise be made, as reflected on the Retired Grantee’s last Election.</w:t>
      </w:r>
    </w:p>
    <w:p>
      <w:pPr>
        <w:spacing w:after="0" w:line="106" w:lineRule="exact"/>
        <w:rPr>
          <w:rFonts w:ascii="Arial" w:cs="Arial" w:eastAsia="Arial" w:hAnsi="Arial"/>
          <w:sz w:val="16"/>
          <w:szCs w:val="16"/>
          <w:color w:val="auto"/>
        </w:rPr>
      </w:pPr>
    </w:p>
    <w:p>
      <w:pPr>
        <w:ind w:left="-60" w:right="40" w:firstLine="464"/>
        <w:spacing w:after="0" w:line="298" w:lineRule="auto"/>
        <w:tabs>
          <w:tab w:leader="none" w:pos="635"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Discretion to Provide for Distribution in Full Upon or Following a Change of Control</w:t>
      </w:r>
      <w:r>
        <w:rPr>
          <w:rFonts w:ascii="Arial" w:cs="Arial" w:eastAsia="Arial" w:hAnsi="Arial"/>
          <w:sz w:val="16"/>
          <w:szCs w:val="16"/>
          <w:color w:val="auto"/>
        </w:rPr>
        <w:t>. To the extent permitted by Section 409A, in connection with a Change of Control, and for the 12-month period following a Change of Control, the Committee may exercise its discretion to terminate the deferral provisions of the Plan and, notwithstanding any other provision of the Plan or the terms of any Initial Election or Subsequent Election, distribute the Account of each Grantee in full and thereby effect the revocation of any outstanding Initial Elections or Subsequent Elections.</w:t>
      </w:r>
    </w:p>
    <w:p>
      <w:pPr>
        <w:spacing w:after="0" w:line="112" w:lineRule="exact"/>
        <w:rPr>
          <w:rFonts w:ascii="Arial" w:cs="Arial" w:eastAsia="Arial" w:hAnsi="Arial"/>
          <w:sz w:val="16"/>
          <w:szCs w:val="16"/>
          <w:color w:val="auto"/>
        </w:rPr>
      </w:pPr>
    </w:p>
    <w:p>
      <w:pPr>
        <w:jc w:val="both"/>
        <w:ind w:left="-60" w:right="480" w:firstLine="464"/>
        <w:spacing w:after="0" w:line="370" w:lineRule="auto"/>
        <w:tabs>
          <w:tab w:leader="none" w:pos="616" w:val="left"/>
        </w:tabs>
        <w:numPr>
          <w:ilvl w:val="0"/>
          <w:numId w:val="90"/>
        </w:numPr>
        <w:rPr>
          <w:rFonts w:ascii="Arial" w:cs="Arial" w:eastAsia="Arial" w:hAnsi="Arial"/>
          <w:sz w:val="15"/>
          <w:szCs w:val="15"/>
          <w:color w:val="auto"/>
        </w:rPr>
      </w:pPr>
      <w:r>
        <w:rPr>
          <w:rFonts w:ascii="Arial" w:cs="Arial" w:eastAsia="Arial" w:hAnsi="Arial"/>
          <w:sz w:val="15"/>
          <w:szCs w:val="15"/>
          <w:u w:val="single" w:color="auto"/>
          <w:color w:val="auto"/>
        </w:rPr>
        <w:t>Hardship</w:t>
      </w:r>
      <w:r>
        <w:rPr>
          <w:rFonts w:ascii="Arial" w:cs="Arial" w:eastAsia="Arial" w:hAnsi="Arial"/>
          <w:sz w:val="15"/>
          <w:szCs w:val="15"/>
          <w:color w:val="auto"/>
        </w:rPr>
        <w:t>. Notwithstanding the terms of an Initial Election or Subsequent Election, if, at the Grantee’s request, the Committee determines that the Grantee has incurred a Hardship, the Committee may, in its discretion, authorize the immediate distribution of all or any portion of the Grantee’s Account.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300" w:top="280" w:right="299" w:bottom="1440" w:gutter="0" w:footer="0" w:header="0"/>
        </w:sectPr>
      </w:pPr>
    </w:p>
    <w:bookmarkStart w:id="90" w:name="page91"/>
    <w:bookmarkEnd w:id="90"/>
    <w:p>
      <w:pPr>
        <w:ind w:left="-40" w:right="760" w:firstLine="464"/>
        <w:spacing w:after="0" w:line="268" w:lineRule="auto"/>
        <w:tabs>
          <w:tab w:leader="none" w:pos="66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Acceleration Events</w:t>
      </w:r>
      <w:r>
        <w:rPr>
          <w:rFonts w:ascii="Arial" w:cs="Arial" w:eastAsia="Arial" w:hAnsi="Arial"/>
          <w:sz w:val="18"/>
          <w:szCs w:val="18"/>
          <w:color w:val="auto"/>
        </w:rPr>
        <w:t>. To the extent permitted by Section 409A, notwithstanding the terms of an Initial Election or Subsequent Election, distribution of all or part of a Grantee’s Account may be made:</w:t>
      </w:r>
    </w:p>
    <w:p>
      <w:pPr>
        <w:spacing w:after="0" w:line="50" w:lineRule="exact"/>
        <w:rPr>
          <w:rFonts w:ascii="Arial" w:cs="Arial" w:eastAsia="Arial" w:hAnsi="Arial"/>
          <w:sz w:val="18"/>
          <w:szCs w:val="18"/>
          <w:color w:val="auto"/>
        </w:rPr>
      </w:pPr>
    </w:p>
    <w:p>
      <w:pPr>
        <w:ind w:left="1440" w:right="80" w:hanging="567"/>
        <w:spacing w:after="0" w:line="268" w:lineRule="auto"/>
        <w:tabs>
          <w:tab w:leader="none" w:pos="14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To fulfill a domestic relations order (as defined in section 414(p)(1)(B) of the Code) to the extent permitted by Treasury Regulations section 1.409A-3(j)(4)(ii) or any successor provision of law).</w:t>
      </w:r>
    </w:p>
    <w:p>
      <w:pPr>
        <w:spacing w:after="0" w:line="50" w:lineRule="exact"/>
        <w:rPr>
          <w:rFonts w:ascii="Arial" w:cs="Arial" w:eastAsia="Arial" w:hAnsi="Arial"/>
          <w:sz w:val="18"/>
          <w:szCs w:val="18"/>
          <w:color w:val="auto"/>
        </w:rPr>
      </w:pPr>
    </w:p>
    <w:p>
      <w:pPr>
        <w:ind w:left="1440" w:right="600" w:hanging="567"/>
        <w:spacing w:after="0" w:line="268" w:lineRule="auto"/>
        <w:tabs>
          <w:tab w:leader="none" w:pos="14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To the extent necessary to comply with laws relating to avoidance of conflicts of interest, as provided in Treasury Regulation section 1.409A-3(j)(4)(iii) (or any successor provision of law).</w:t>
      </w:r>
    </w:p>
    <w:p>
      <w:pPr>
        <w:spacing w:after="0" w:line="50" w:lineRule="exact"/>
        <w:rPr>
          <w:rFonts w:ascii="Arial" w:cs="Arial" w:eastAsia="Arial" w:hAnsi="Arial"/>
          <w:sz w:val="18"/>
          <w:szCs w:val="18"/>
          <w:color w:val="auto"/>
        </w:rPr>
      </w:pPr>
    </w:p>
    <w:p>
      <w:pPr>
        <w:ind w:left="1440" w:hanging="567"/>
        <w:spacing w:after="0"/>
        <w:tabs>
          <w:tab w:leader="none" w:pos="14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To pay employment taxes to the extent permitted by Treasury Regulation section 1.409A-3(j)(4)(vi) (or any successor provision of law).</w:t>
      </w:r>
    </w:p>
    <w:p>
      <w:pPr>
        <w:spacing w:after="0" w:line="113" w:lineRule="exact"/>
        <w:rPr>
          <w:rFonts w:ascii="Arial" w:cs="Arial" w:eastAsia="Arial" w:hAnsi="Arial"/>
          <w:sz w:val="16"/>
          <w:szCs w:val="16"/>
          <w:color w:val="auto"/>
        </w:rPr>
      </w:pPr>
    </w:p>
    <w:p>
      <w:pPr>
        <w:ind w:left="1440" w:right="380" w:hanging="567"/>
        <w:spacing w:after="0" w:line="268" w:lineRule="auto"/>
        <w:tabs>
          <w:tab w:leader="none" w:pos="14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 connection with the recognition of income as the result of a failure to comply with Section 409A, to the extent permitted by Treasury Regulation section 1.409A-3(j)(4)(vii) (or any successor provision of law).</w:t>
      </w:r>
    </w:p>
    <w:p>
      <w:pPr>
        <w:spacing w:after="0" w:line="50" w:lineRule="exact"/>
        <w:rPr>
          <w:rFonts w:ascii="Arial" w:cs="Arial" w:eastAsia="Arial" w:hAnsi="Arial"/>
          <w:sz w:val="18"/>
          <w:szCs w:val="18"/>
          <w:color w:val="auto"/>
        </w:rPr>
      </w:pPr>
    </w:p>
    <w:p>
      <w:pPr>
        <w:ind w:left="1440" w:right="140" w:hanging="567"/>
        <w:spacing w:after="0" w:line="268" w:lineRule="auto"/>
        <w:tabs>
          <w:tab w:leader="none" w:pos="14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To pay state, local or foreign taxes to the extent permitted by Treasury Regulation section 1.409A-3(j)(4)(xi) (or any successor provision of law).</w:t>
      </w:r>
    </w:p>
    <w:p>
      <w:pPr>
        <w:spacing w:after="0" w:line="50" w:lineRule="exact"/>
        <w:rPr>
          <w:rFonts w:ascii="Arial" w:cs="Arial" w:eastAsia="Arial" w:hAnsi="Arial"/>
          <w:sz w:val="18"/>
          <w:szCs w:val="18"/>
          <w:color w:val="auto"/>
        </w:rPr>
      </w:pPr>
    </w:p>
    <w:p>
      <w:pPr>
        <w:ind w:left="1440" w:right="40" w:hanging="567"/>
        <w:spacing w:after="0" w:line="259" w:lineRule="auto"/>
        <w:tabs>
          <w:tab w:leader="none" w:pos="14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 satisfaction of a debt of a Grantee to a Participating Company where such debt is incurred in the ordinary course of the service relationship between the Grantee and the Participating Company, to the extent permitted by Treasury Regulation section 1.409A-3(j)(4)(xiii) (or any successor provision of law).</w:t>
      </w:r>
    </w:p>
    <w:p>
      <w:pPr>
        <w:spacing w:after="0" w:line="59" w:lineRule="exact"/>
        <w:rPr>
          <w:rFonts w:ascii="Arial" w:cs="Arial" w:eastAsia="Arial" w:hAnsi="Arial"/>
          <w:sz w:val="18"/>
          <w:szCs w:val="18"/>
          <w:color w:val="auto"/>
        </w:rPr>
      </w:pPr>
    </w:p>
    <w:p>
      <w:pPr>
        <w:ind w:left="1440" w:hanging="567"/>
        <w:spacing w:after="0"/>
        <w:tabs>
          <w:tab w:leader="none" w:pos="14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In connection with a bona fide dispute as to a Grantee’s right to payment, to the extent permitted by Treasury Regulation section 1.409A-3(j)</w:t>
      </w:r>
    </w:p>
    <w:p>
      <w:pPr>
        <w:spacing w:after="0" w:line="38" w:lineRule="exact"/>
        <w:rPr>
          <w:rFonts w:ascii="Arial" w:cs="Arial" w:eastAsia="Arial" w:hAnsi="Arial"/>
          <w:sz w:val="16"/>
          <w:szCs w:val="16"/>
          <w:color w:val="auto"/>
        </w:rPr>
      </w:pPr>
    </w:p>
    <w:p>
      <w:pPr>
        <w:ind w:left="1440"/>
        <w:spacing w:after="0"/>
        <w:rPr>
          <w:rFonts w:ascii="Arial" w:cs="Arial" w:eastAsia="Arial" w:hAnsi="Arial"/>
          <w:sz w:val="16"/>
          <w:szCs w:val="16"/>
          <w:color w:val="auto"/>
        </w:rPr>
      </w:pPr>
      <w:r>
        <w:rPr>
          <w:rFonts w:ascii="Arial" w:cs="Arial" w:eastAsia="Arial" w:hAnsi="Arial"/>
          <w:sz w:val="18"/>
          <w:szCs w:val="18"/>
          <w:color w:val="auto"/>
        </w:rPr>
        <w:t>(4)(xiv) (or any successor provision of law).</w:t>
      </w:r>
    </w:p>
    <w:p>
      <w:pPr>
        <w:spacing w:after="0" w:line="164" w:lineRule="exact"/>
        <w:rPr>
          <w:rFonts w:ascii="Arial" w:cs="Arial" w:eastAsia="Arial" w:hAnsi="Arial"/>
          <w:sz w:val="16"/>
          <w:szCs w:val="16"/>
          <w:color w:val="auto"/>
        </w:rPr>
      </w:pPr>
    </w:p>
    <w:p>
      <w:pPr>
        <w:ind w:left="-40" w:right="120" w:firstLine="464"/>
        <w:spacing w:after="0" w:line="255" w:lineRule="auto"/>
        <w:tabs>
          <w:tab w:leader="none" w:pos="66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Election. Deferred Stock Units shall be credited to the Account as of the date an Election becomes effective. Each Deferred Stock Unit will represent, as applicable, either a hypothetical share of Common Stock or a hypothetical share of Special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8(k).</w:t>
      </w:r>
    </w:p>
    <w:p>
      <w:pPr>
        <w:spacing w:after="0" w:line="142" w:lineRule="exact"/>
        <w:rPr>
          <w:rFonts w:ascii="Arial" w:cs="Arial" w:eastAsia="Arial" w:hAnsi="Arial"/>
          <w:sz w:val="18"/>
          <w:szCs w:val="18"/>
          <w:color w:val="auto"/>
        </w:rPr>
      </w:pPr>
    </w:p>
    <w:p>
      <w:pPr>
        <w:ind w:left="-40" w:firstLine="464"/>
        <w:spacing w:after="0" w:line="268" w:lineRule="auto"/>
        <w:tabs>
          <w:tab w:leader="none" w:pos="626"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Plan-to-Plan Transfers</w:t>
      </w:r>
      <w:r>
        <w:rPr>
          <w:rFonts w:ascii="Arial" w:cs="Arial" w:eastAsia="Arial" w:hAnsi="Arial"/>
          <w:sz w:val="18"/>
          <w:szCs w:val="18"/>
          <w:color w:val="auto"/>
        </w:rPr>
        <w:t>. The Administrator may delegate its authority to arrange for plan-to-plan transfers as described in this Paragraph 8(i) to an officer of the Company or committee of two or more officers of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80" w:top="280" w:right="259" w:bottom="1440" w:gutter="0" w:footer="0" w:header="0"/>
        </w:sectPr>
      </w:pPr>
    </w:p>
    <w:bookmarkStart w:id="91" w:name="page92"/>
    <w:bookmarkEnd w:id="91"/>
    <w:p>
      <w:pPr>
        <w:ind w:left="1380" w:hanging="567"/>
        <w:spacing w:after="0" w:line="294" w:lineRule="auto"/>
        <w:tabs>
          <w:tab w:leader="none" w:pos="1380" w:val="left"/>
        </w:tabs>
        <w:numPr>
          <w:ilvl w:val="1"/>
          <w:numId w:val="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Administrator may, with a Grantee’s consent, make such arrangements as it may deem appropriate to transfer the Company’s obligation to pay benefits with respect to such Grantee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spacing w:after="0" w:line="34" w:lineRule="exact"/>
        <w:rPr>
          <w:rFonts w:ascii="Arial" w:cs="Arial" w:eastAsia="Arial" w:hAnsi="Arial"/>
          <w:sz w:val="16"/>
          <w:szCs w:val="16"/>
          <w:color w:val="auto"/>
        </w:rPr>
      </w:pPr>
    </w:p>
    <w:p>
      <w:pPr>
        <w:ind w:left="1380" w:right="120" w:hanging="567"/>
        <w:spacing w:after="0" w:line="291" w:lineRule="auto"/>
        <w:tabs>
          <w:tab w:leader="none" w:pos="1380"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Administrator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Grantee, and the Account shall be subject to the rules of this Plan, as in effect from time to time.</w:t>
      </w:r>
    </w:p>
    <w:p>
      <w:pPr>
        <w:spacing w:after="0" w:line="120" w:lineRule="exact"/>
        <w:rPr>
          <w:rFonts w:ascii="Arial" w:cs="Arial" w:eastAsia="Arial" w:hAnsi="Arial"/>
          <w:sz w:val="16"/>
          <w:szCs w:val="16"/>
          <w:color w:val="auto"/>
        </w:rPr>
      </w:pPr>
    </w:p>
    <w:p>
      <w:pPr>
        <w:ind w:left="-100" w:right="140" w:firstLine="464"/>
        <w:spacing w:after="0" w:line="268" w:lineRule="auto"/>
        <w:tabs>
          <w:tab w:leader="none" w:pos="566"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 Except as otherwise provided in Paragraph 8(k), the value of a Grantee’s Account as of any date shall be determined as if it were invested in the Company Stock Fund.</w:t>
      </w:r>
    </w:p>
    <w:p>
      <w:pPr>
        <w:spacing w:after="0" w:line="131" w:lineRule="exact"/>
        <w:rPr>
          <w:rFonts w:ascii="Arial" w:cs="Arial" w:eastAsia="Arial" w:hAnsi="Arial"/>
          <w:sz w:val="18"/>
          <w:szCs w:val="18"/>
          <w:color w:val="auto"/>
        </w:rPr>
      </w:pPr>
    </w:p>
    <w:p>
      <w:pPr>
        <w:ind w:left="620" w:hanging="256"/>
        <w:spacing w:after="0"/>
        <w:tabs>
          <w:tab w:leader="none" w:pos="62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Diversification Elections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380" w:hanging="567"/>
        <w:spacing w:after="0"/>
        <w:tabs>
          <w:tab w:leader="none" w:pos="138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Paragraph 8(k)(v):</w:t>
      </w:r>
    </w:p>
    <w:p>
      <w:pPr>
        <w:spacing w:after="0" w:line="90" w:lineRule="exact"/>
        <w:rPr>
          <w:rFonts w:ascii="Arial" w:cs="Arial" w:eastAsia="Arial" w:hAnsi="Arial"/>
          <w:sz w:val="18"/>
          <w:szCs w:val="18"/>
          <w:color w:val="auto"/>
        </w:rPr>
      </w:pPr>
    </w:p>
    <w:p>
      <w:pPr>
        <w:ind w:left="1820" w:hanging="440"/>
        <w:spacing w:after="0" w:line="306" w:lineRule="auto"/>
        <w:tabs>
          <w:tab w:leader="none" w:pos="1820" w:val="left"/>
        </w:tabs>
        <w:numPr>
          <w:ilvl w:val="2"/>
          <w:numId w:val="93"/>
        </w:numPr>
        <w:rPr>
          <w:rFonts w:ascii="Arial" w:cs="Arial" w:eastAsia="Arial" w:hAnsi="Arial"/>
          <w:sz w:val="16"/>
          <w:szCs w:val="16"/>
          <w:color w:val="auto"/>
        </w:rPr>
      </w:pPr>
      <w:r>
        <w:rPr>
          <w:rFonts w:ascii="Arial" w:cs="Arial" w:eastAsia="Arial" w:hAnsi="Arial"/>
          <w:sz w:val="16"/>
          <w:szCs w:val="16"/>
          <w:color w:val="auto"/>
        </w:rPr>
        <w:t>A Diversification Election shall be available: (x) at any time that a Registration Statement filed under the 1933 Act (a “Registration Statement”) is effective with respect to the Plan; and (y) with respect to a Special Diversification Election, if and to the extent that the opportunity to make such a Special Diversification Election has been approved by the Committee or its delegate.</w:t>
      </w:r>
    </w:p>
    <w:p>
      <w:pPr>
        <w:spacing w:after="0" w:line="25" w:lineRule="exact"/>
        <w:rPr>
          <w:rFonts w:ascii="Arial" w:cs="Arial" w:eastAsia="Arial" w:hAnsi="Arial"/>
          <w:sz w:val="16"/>
          <w:szCs w:val="16"/>
          <w:color w:val="auto"/>
        </w:rPr>
      </w:pPr>
    </w:p>
    <w:p>
      <w:pPr>
        <w:ind w:left="1820" w:hanging="440"/>
        <w:spacing w:after="0"/>
        <w:tabs>
          <w:tab w:leader="none" w:pos="1820" w:val="left"/>
        </w:tabs>
        <w:numPr>
          <w:ilvl w:val="2"/>
          <w:numId w:val="93"/>
        </w:numPr>
        <w:rPr>
          <w:rFonts w:ascii="Arial" w:cs="Arial" w:eastAsia="Arial" w:hAnsi="Arial"/>
          <w:sz w:val="18"/>
          <w:szCs w:val="18"/>
          <w:color w:val="auto"/>
        </w:rPr>
      </w:pPr>
      <w:r>
        <w:rPr>
          <w:rFonts w:ascii="Arial" w:cs="Arial" w:eastAsia="Arial" w:hAnsi="Arial"/>
          <w:sz w:val="18"/>
          <w:szCs w:val="18"/>
          <w:color w:val="auto"/>
        </w:rPr>
        <w:t>No approval is required for a Diversification Election other than a Special Diversification Election.</w:t>
      </w:r>
    </w:p>
    <w:p>
      <w:pPr>
        <w:spacing w:after="0" w:line="90" w:lineRule="exact"/>
        <w:rPr>
          <w:rFonts w:ascii="Arial" w:cs="Arial" w:eastAsia="Arial" w:hAnsi="Arial"/>
          <w:sz w:val="18"/>
          <w:szCs w:val="18"/>
          <w:color w:val="auto"/>
        </w:rPr>
      </w:pPr>
    </w:p>
    <w:p>
      <w:pPr>
        <w:ind w:left="1380" w:right="360" w:hanging="567"/>
        <w:spacing w:after="0" w:line="332" w:lineRule="auto"/>
        <w:tabs>
          <w:tab w:leader="none" w:pos="1380"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Committee Approval of Special Diversification Elections</w:t>
      </w:r>
      <w:r>
        <w:rPr>
          <w:rFonts w:ascii="Arial" w:cs="Arial" w:eastAsia="Arial" w:hAnsi="Arial"/>
          <w:sz w:val="16"/>
          <w:szCs w:val="16"/>
          <w:color w:val="auto"/>
        </w:rPr>
        <w:t>. The opportunity to make a Special Diversification Election and the extent to which a Special Diversification Election applies to Deferred Stock Units credited to the Company Stock Fund may be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40" w:top="280" w:right="339" w:bottom="1440" w:gutter="0" w:footer="0" w:header="0"/>
        </w:sectPr>
      </w:pPr>
    </w:p>
    <w:bookmarkStart w:id="92" w:name="page93"/>
    <w:bookmarkEnd w:id="92"/>
    <w:p>
      <w:pPr>
        <w:ind w:left="567"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approved or rejected by the Committee or its delegate in its sole discretion. A Special Diversification Election shall only be effective if (and to the extent) approved by the Committee or its delegate.</w:t>
      </w:r>
    </w:p>
    <w:p>
      <w:pPr>
        <w:spacing w:after="0" w:line="51" w:lineRule="exact"/>
        <w:rPr>
          <w:sz w:val="20"/>
          <w:szCs w:val="20"/>
          <w:color w:val="auto"/>
        </w:rPr>
      </w:pPr>
    </w:p>
    <w:p>
      <w:pPr>
        <w:ind w:left="567" w:right="60" w:hanging="567"/>
        <w:spacing w:after="0" w:line="283" w:lineRule="auto"/>
        <w:tabs>
          <w:tab w:leader="none" w:pos="567"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Timing and Manner of Making Diversification Elections</w:t>
      </w:r>
      <w:r>
        <w:rPr>
          <w:rFonts w:ascii="Arial" w:cs="Arial" w:eastAsia="Arial" w:hAnsi="Arial"/>
          <w:sz w:val="16"/>
          <w:szCs w:val="16"/>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such Award credited to the Company Stock Fund to the Income Fund. No deemed transfers shall be permitted from the Income Fund to the Company Stock Fund. Diversification Elections under this Paragraph 8(k)(iii) shall be prospectively effective on the later of: (A) the date designated by the Grantee on a Diversification Election filed with the Committee; or</w:t>
      </w:r>
    </w:p>
    <w:p>
      <w:pPr>
        <w:spacing w:after="0" w:line="2" w:lineRule="exact"/>
        <w:rPr>
          <w:rFonts w:ascii="Arial" w:cs="Arial" w:eastAsia="Arial" w:hAnsi="Arial"/>
          <w:sz w:val="16"/>
          <w:szCs w:val="16"/>
          <w:color w:val="auto"/>
        </w:rPr>
      </w:pPr>
    </w:p>
    <w:p>
      <w:pPr>
        <w:ind w:left="567" w:right="160"/>
        <w:spacing w:after="0" w:line="254" w:lineRule="auto"/>
        <w:rPr>
          <w:rFonts w:ascii="Arial" w:cs="Arial" w:eastAsia="Arial" w:hAnsi="Arial"/>
          <w:sz w:val="16"/>
          <w:szCs w:val="16"/>
          <w:color w:val="auto"/>
        </w:rPr>
      </w:pPr>
      <w:r>
        <w:rPr>
          <w:rFonts w:ascii="Arial" w:cs="Arial" w:eastAsia="Arial" w:hAnsi="Arial"/>
          <w:sz w:val="18"/>
          <w:szCs w:val="18"/>
          <w:color w:val="auto"/>
        </w:rPr>
        <w:t>(B)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62" w:lineRule="exact"/>
        <w:rPr>
          <w:rFonts w:ascii="Arial" w:cs="Arial" w:eastAsia="Arial" w:hAnsi="Arial"/>
          <w:sz w:val="16"/>
          <w:szCs w:val="16"/>
          <w:color w:val="auto"/>
        </w:rPr>
      </w:pPr>
    </w:p>
    <w:p>
      <w:pPr>
        <w:ind w:left="567" w:right="100" w:hanging="567"/>
        <w:spacing w:after="0" w:line="294" w:lineRule="auto"/>
        <w:tabs>
          <w:tab w:leader="none" w:pos="567"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Timing of Credits</w:t>
      </w:r>
      <w:r>
        <w:rPr>
          <w:rFonts w:ascii="Arial" w:cs="Arial" w:eastAsia="Arial" w:hAnsi="Arial"/>
          <w:sz w:val="16"/>
          <w:szCs w:val="16"/>
          <w:color w:val="auto"/>
        </w:rPr>
        <w:t>. Account balances subject to a Diversification Election under this Paragraph 8(k) shall be deemed transferred from the Company Stock Fund to the Income Fund immediately following the effective date of such Diversification Election. The value of amounts deemed invested in the Income Fund immediately following the effective date of a Diversification Election shall be based on hypothetical sales of Common Stock or Special Common Stock, as applicable, underlying the liquidated Deferred Stock Units at Fair Market Value as of the effective date of a Diversification Election.</w:t>
      </w:r>
    </w:p>
    <w:p>
      <w:pPr>
        <w:spacing w:after="0" w:line="34" w:lineRule="exact"/>
        <w:rPr>
          <w:rFonts w:ascii="Arial" w:cs="Arial" w:eastAsia="Arial" w:hAnsi="Arial"/>
          <w:sz w:val="16"/>
          <w:szCs w:val="16"/>
          <w:color w:val="auto"/>
        </w:rPr>
      </w:pPr>
    </w:p>
    <w:p>
      <w:pPr>
        <w:ind w:left="567" w:hanging="567"/>
        <w:spacing w:after="0" w:line="294" w:lineRule="auto"/>
        <w:tabs>
          <w:tab w:leader="none" w:pos="567"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Diversification Limit</w:t>
      </w:r>
      <w:r>
        <w:rPr>
          <w:rFonts w:ascii="Arial" w:cs="Arial" w:eastAsia="Arial" w:hAnsi="Arial"/>
          <w:sz w:val="16"/>
          <w:szCs w:val="16"/>
          <w:color w:val="auto"/>
        </w:rPr>
        <w:t>. No Diversification Election or Special Diversification Election during a calendar year by an Eligible Employee shall be effective if the sum of (x) the value of the Eligible Employee’s Account in the 2005 Deferred Compensation Plan, plus (y) the value of the Eligible Employee’s Account in the 2002 Deferred Compensation Plan, plus (z) the value of the Eligible Employee’s Account in this Plan to the extent such Account is credited to the “Income Fund,” exceeds the “Contribution Limit”(as defined in the 2005 Deferred Compensation Plan) with respect to such calendar year, determined as of September 30th immediately preceding such calendar year.</w:t>
      </w:r>
    </w:p>
    <w:p>
      <w:pPr>
        <w:spacing w:after="0" w:line="102"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487"/>
          </w:cols>
          <w:pgMar w:left="1153" w:top="280" w:right="259" w:bottom="1440" w:gutter="0" w:footer="0" w:header="0"/>
        </w:sectPr>
      </w:pPr>
    </w:p>
    <w:bookmarkStart w:id="93" w:name="page94"/>
    <w:bookmarkEnd w:id="93"/>
    <w:p>
      <w:pPr>
        <w:ind w:left="-8" w:right="300" w:firstLine="464"/>
        <w:spacing w:after="0" w:line="318" w:lineRule="auto"/>
        <w:tabs>
          <w:tab w:leader="none" w:pos="658" w:val="left"/>
        </w:tabs>
        <w:numPr>
          <w:ilvl w:val="1"/>
          <w:numId w:val="95"/>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Grantees’ Status as General Creditors</w:t>
      </w:r>
      <w:r>
        <w:rPr>
          <w:rFonts w:ascii="Arial" w:cs="Arial" w:eastAsia="Arial" w:hAnsi="Arial"/>
          <w:sz w:val="15"/>
          <w:szCs w:val="15"/>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99" w:lineRule="exact"/>
        <w:rPr>
          <w:rFonts w:ascii="Arial" w:cs="Arial" w:eastAsia="Arial" w:hAnsi="Arial"/>
          <w:sz w:val="15"/>
          <w:szCs w:val="15"/>
          <w:color w:val="auto"/>
        </w:rPr>
      </w:pPr>
    </w:p>
    <w:p>
      <w:pPr>
        <w:ind w:left="-8" w:right="80" w:firstLine="464"/>
        <w:spacing w:after="0" w:line="306" w:lineRule="auto"/>
        <w:tabs>
          <w:tab w:leader="none" w:pos="746"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Non-Assignability, Etc</w:t>
      </w:r>
      <w:r>
        <w:rPr>
          <w:rFonts w:ascii="Arial" w:cs="Arial" w:eastAsia="Arial" w:hAnsi="Arial"/>
          <w:sz w:val="16"/>
          <w:szCs w:val="16"/>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106" w:lineRule="exact"/>
        <w:rPr>
          <w:rFonts w:ascii="Arial" w:cs="Arial" w:eastAsia="Arial" w:hAnsi="Arial"/>
          <w:sz w:val="16"/>
          <w:szCs w:val="16"/>
          <w:color w:val="auto"/>
        </w:rPr>
      </w:pPr>
    </w:p>
    <w:p>
      <w:pPr>
        <w:ind w:left="-8" w:firstLine="464"/>
        <w:spacing w:after="0" w:line="294" w:lineRule="auto"/>
        <w:tabs>
          <w:tab w:leader="none" w:pos="697"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Required Suspension of Payment of Benefits</w:t>
      </w:r>
      <w:r>
        <w:rPr>
          <w:rFonts w:ascii="Arial" w:cs="Arial" w:eastAsia="Arial" w:hAnsi="Arial"/>
          <w:sz w:val="16"/>
          <w:szCs w:val="16"/>
          <w:color w:val="auto"/>
        </w:rPr>
        <w:t>. Notwithstanding any provision of the Plan or any Grantee’s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Grantee upon or following his separation from service, then notwithstanding any other provision of this Plan, any such payments that are otherwise due within six months following the Grantee’s separation from service will be deferred and paid to the Grantee in a lump sum immediately following that six month period.</w:t>
      </w:r>
    </w:p>
    <w:p>
      <w:pPr>
        <w:spacing w:after="0" w:line="231" w:lineRule="exact"/>
        <w:rPr>
          <w:rFonts w:ascii="Arial" w:cs="Arial" w:eastAsia="Arial" w:hAnsi="Arial"/>
          <w:sz w:val="16"/>
          <w:szCs w:val="16"/>
          <w:color w:val="auto"/>
        </w:rPr>
      </w:pPr>
    </w:p>
    <w:p>
      <w:pPr>
        <w:ind w:left="452" w:hanging="452"/>
        <w:spacing w:after="0"/>
        <w:tabs>
          <w:tab w:leader="none" w:pos="452"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LAWS; TAXES</w:t>
      </w:r>
    </w:p>
    <w:p>
      <w:pPr>
        <w:spacing w:after="0" w:line="96" w:lineRule="exact"/>
        <w:rPr>
          <w:rFonts w:ascii="Arial" w:cs="Arial" w:eastAsia="Arial" w:hAnsi="Arial"/>
          <w:sz w:val="18"/>
          <w:szCs w:val="18"/>
          <w:b w:val="1"/>
          <w:bCs w:val="1"/>
          <w:color w:val="auto"/>
        </w:rPr>
      </w:pPr>
    </w:p>
    <w:p>
      <w:pPr>
        <w:jc w:val="both"/>
        <w:ind w:left="-8" w:right="80" w:firstLine="464"/>
        <w:spacing w:after="0" w:line="255" w:lineRule="auto"/>
        <w:tabs>
          <w:tab w:leader="none" w:pos="687"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61" w:lineRule="exact"/>
        <w:rPr>
          <w:rFonts w:ascii="Arial" w:cs="Arial" w:eastAsia="Arial" w:hAnsi="Arial"/>
          <w:sz w:val="18"/>
          <w:szCs w:val="18"/>
          <w:color w:val="auto"/>
        </w:rPr>
      </w:pPr>
    </w:p>
    <w:p>
      <w:pPr>
        <w:ind w:left="-8" w:right="180" w:firstLine="464"/>
        <w:spacing w:after="0" w:line="306" w:lineRule="auto"/>
        <w:tabs>
          <w:tab w:leader="none" w:pos="697"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Subject to the rules of Paragraph 9(c), the Company shall be entitled, if necessary or desirable, to withhold the amount of any tax, charge or assessment attributable to the grant of any Award or the occurrence of a Vesting Date with respect to any Award, or distribution of all or any part of a Grantee’s Account. The Company shall not be required to deliver Shares pursuant to any Award or distribute a</w:t>
      </w:r>
    </w:p>
    <w:p>
      <w:pPr>
        <w:spacing w:after="0" w:line="9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72"/>
          </w:cols>
          <w:pgMar w:left="248" w:top="280" w:right="27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Grantee’s Account until it has been indemnified to its satisfaction for any such tax, charge or assessment.</w:t>
      </w:r>
    </w:p>
    <w:p>
      <w:pPr>
        <w:spacing w:after="0" w:line="171" w:lineRule="exact"/>
        <w:rPr>
          <w:sz w:val="20"/>
          <w:szCs w:val="20"/>
          <w:color w:val="auto"/>
        </w:rPr>
      </w:pPr>
    </w:p>
    <w:p>
      <w:pPr>
        <w:ind w:left="700" w:hanging="236"/>
        <w:spacing w:after="0"/>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Payment of Tax Liabilities; Election to Withhold Shares or Pay Cash to Satisfy Tax Liability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hanging="567"/>
        <w:spacing w:after="0" w:line="290" w:lineRule="auto"/>
        <w:tabs>
          <w:tab w:leader="none" w:pos="1480" w:val="left"/>
        </w:tabs>
        <w:numPr>
          <w:ilvl w:val="1"/>
          <w:numId w:val="97"/>
        </w:numPr>
        <w:rPr>
          <w:rFonts w:ascii="Arial" w:cs="Arial" w:eastAsia="Arial" w:hAnsi="Arial"/>
          <w:sz w:val="16"/>
          <w:szCs w:val="16"/>
          <w:color w:val="auto"/>
        </w:rPr>
      </w:pPr>
      <w:r>
        <w:rPr>
          <w:rFonts w:ascii="Arial" w:cs="Arial" w:eastAsia="Arial" w:hAnsi="Arial"/>
          <w:sz w:val="16"/>
          <w:szCs w:val="16"/>
          <w:color w:val="auto"/>
        </w:rPr>
        <w:t>In connection with the grant of any Award, the occurrence of a Vesting Date under any Award or the distribution of a Grantee’s Account, or if, under the terms of an Award, a Grantee’s rights with respect to Restricted Stock Units become free of a substantial risk of forfeiture as the result of the Grantee’s satisfaction of the age and service conditions for retirement eligibility, and, as a result thereof, employment tax liabilities arise, the Company shall have the right to (A) require the Grantee to remit to the Company an amount sufficient to satisfy any federal, state and/or local withholding tax requirements,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37" w:lineRule="exact"/>
        <w:rPr>
          <w:rFonts w:ascii="Arial" w:cs="Arial" w:eastAsia="Arial" w:hAnsi="Arial"/>
          <w:sz w:val="16"/>
          <w:szCs w:val="16"/>
          <w:color w:val="auto"/>
        </w:rPr>
      </w:pPr>
    </w:p>
    <w:p>
      <w:pPr>
        <w:ind w:left="1480" w:hanging="567"/>
        <w:spacing w:after="0" w:line="286" w:lineRule="auto"/>
        <w:tabs>
          <w:tab w:leader="none" w:pos="1480" w:val="left"/>
        </w:tabs>
        <w:numPr>
          <w:ilvl w:val="1"/>
          <w:numId w:val="97"/>
        </w:numPr>
        <w:rPr>
          <w:rFonts w:ascii="Arial" w:cs="Arial" w:eastAsia="Arial" w:hAnsi="Arial"/>
          <w:sz w:val="16"/>
          <w:szCs w:val="16"/>
          <w:color w:val="auto"/>
        </w:rPr>
      </w:pPr>
      <w:r>
        <w:rPr>
          <w:rFonts w:ascii="Arial" w:cs="Arial" w:eastAsia="Arial" w:hAnsi="Arial"/>
          <w:sz w:val="16"/>
          <w:szCs w:val="16"/>
          <w:color w:val="auto"/>
        </w:rPr>
        <w:t>Except as otherwise provided in this Paragraph 9(c)(ii), any tax withholding obligations incurred in connection with the grant of any Award, the occurrence of a Vesting Date under any Award under the Plan that is not subject to an Initial Election, or the distribution of the portion of a Grantee’s Account that is credited to the Company Stock Fund,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to satisfy tax withholding obligations with respect to any Award under the Plan that is not subject to an Initial Election: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Vesting Date or Account distribution. In all cases, the Shares so withheld by the Company shall have a Fair Market Value that does not exceed the amount of taxes to be withheld minus the cash</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80" w:right="299" w:bottom="1440" w:gutter="0" w:footer="0" w:header="0"/>
        </w:sectPr>
      </w:pPr>
    </w:p>
    <w:bookmarkStart w:id="95" w:name="page96"/>
    <w:bookmarkEnd w:id="95"/>
    <w:p>
      <w:pPr>
        <w:ind w:left="1480" w:right="1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if any, made by the Grantee or withheld from an Account distribution.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63" w:lineRule="exact"/>
        <w:rPr>
          <w:sz w:val="20"/>
          <w:szCs w:val="20"/>
          <w:color w:val="auto"/>
        </w:rPr>
      </w:pPr>
    </w:p>
    <w:p>
      <w:pPr>
        <w:ind w:left="1480" w:hanging="567"/>
        <w:spacing w:after="0" w:line="286" w:lineRule="auto"/>
        <w:tabs>
          <w:tab w:leader="none" w:pos="1480" w:val="left"/>
        </w:tabs>
        <w:numPr>
          <w:ilvl w:val="1"/>
          <w:numId w:val="98"/>
        </w:numPr>
        <w:rPr>
          <w:rFonts w:ascii="Arial" w:cs="Arial" w:eastAsia="Arial" w:hAnsi="Arial"/>
          <w:sz w:val="16"/>
          <w:szCs w:val="16"/>
          <w:color w:val="auto"/>
        </w:rPr>
      </w:pPr>
      <w:r>
        <w:rPr>
          <w:rFonts w:ascii="Arial" w:cs="Arial" w:eastAsia="Arial" w:hAnsi="Arial"/>
          <w:sz w:val="16"/>
          <w:szCs w:val="16"/>
          <w:color w:val="auto"/>
        </w:rPr>
        <w:t>If part of a Grantee’s Award is subject to an Initial Election or, under the terms of an Award, a Grantee’s rights with respect to Restricted Stock Units become free of a substantial risk of forfeiture as the result of the satisfaction of a performance or service condition, or the Grantee’s satisfaction of the age and service conditions for retirement eligibility, and, as a result thereof, employment tax liabilities arise, then, except to the extent the Grantee affirmatively elects otherwise as part of the Initial Election, the Grantee shall be required to remit to the Company an amount sufficient to satisfy any federal, state and/or local withholding tax requirements. As part of the Grantee’s Initial Election, the Grantee may elect that Shares subject to such Award be withheld by the Company to the extent necessary to pay such employment tax liabilities (on a fully grossed-up basis to cover income and other withholding tax liabilities that may arise in connection with such an event), notwithstanding that such Shares may not yet have vested and become deliverable in accordance with the terms of the Award. Shares withheld pursuant to this Paragraph 9(c)(iii) shall be deemed allocated and offset against the number of Restricted Stock Units that may become subject to vesting under the terms of the Award on a basis pro rata to the Restricted Stock Units that give rise to the employment tax liabilities. With respect to any Grantee under the Plan who is subject to the short-swing profit recapture rules of section 16(b) of the 1934 Act, the requirement to withhold Shares pursuant to this Paragraph 9(c)(iii) is intended to permit such Grantees to obtain the benefit of section 16(b)(3)(e) of the 1934 Act.</w:t>
      </w:r>
    </w:p>
    <w:p>
      <w:pPr>
        <w:spacing w:after="0" w:line="236" w:lineRule="exact"/>
        <w:rPr>
          <w:rFonts w:ascii="Arial" w:cs="Arial" w:eastAsia="Arial" w:hAnsi="Arial"/>
          <w:sz w:val="16"/>
          <w:szCs w:val="16"/>
          <w:color w:val="auto"/>
        </w:rPr>
      </w:pPr>
    </w:p>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CAPITALIZATION</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aggregate number of Shares and class of Shares as to which Awards may be granted and the number of Shares covered by each outstanding Award</w:t>
      </w:r>
    </w:p>
    <w:p>
      <w:pPr>
        <w:spacing w:after="0" w:line="3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shall be appropriately adjusted in the event of a stock dividend, stock split, recapitalization or other change in the number or class of issued and outstanding equity securities of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96" w:name="page97"/>
    <w:bookmarkEnd w:id="96"/>
    <w:p>
      <w:pPr>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213"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TERMINATING EVENTS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234"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CLAIMS PROCEDURE</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An Applicant may file a claim for benefits with the Committee on a form supplied by the Committee. If the Committee wholly or partially denies a claim, the Committee shall provide the Applicant with a written notice stating:</w:t>
      </w:r>
    </w:p>
    <w:p>
      <w:pPr>
        <w:spacing w:after="0" w:line="132" w:lineRule="exact"/>
        <w:rPr>
          <w:sz w:val="20"/>
          <w:szCs w:val="20"/>
          <w:color w:val="auto"/>
        </w:rPr>
      </w:pPr>
    </w:p>
    <w:p>
      <w:pPr>
        <w:ind w:left="700" w:hanging="236"/>
        <w:spacing w:after="0"/>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171" w:lineRule="exact"/>
        <w:rPr>
          <w:rFonts w:ascii="Arial" w:cs="Arial" w:eastAsia="Arial" w:hAnsi="Arial"/>
          <w:sz w:val="18"/>
          <w:szCs w:val="18"/>
          <w:color w:val="auto"/>
        </w:rPr>
      </w:pPr>
    </w:p>
    <w:p>
      <w:pPr>
        <w:ind w:right="620" w:firstLine="464"/>
        <w:spacing w:after="0" w:line="268" w:lineRule="auto"/>
        <w:tabs>
          <w:tab w:leader="none" w:pos="69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Applicant to perfect the claim and an explanation of why such material or information is necessary;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97" w:name="page98"/>
    <w:bookmarkEnd w:id="97"/>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Claims for benefits under the Plan must be filed with the Committee at the following address: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OneComcastCenter, 52</w:t>
      </w:r>
      <w:r>
        <w:rPr>
          <w:rFonts w:ascii="Arial" w:cs="Arial" w:eastAsia="Arial" w:hAnsi="Arial"/>
          <w:sz w:val="11"/>
          <w:szCs w:val="11"/>
          <w:color w:val="auto"/>
        </w:rPr>
        <w:t>nd</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PA19103-2838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80"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REPAYMENT</w:t>
      </w:r>
    </w:p>
    <w:p>
      <w:pPr>
        <w:spacing w:after="0" w:line="96"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If it is determined by the Board that gross negligence, intentional misconduct or fraud by a Section 16(b) Officer or a former Section 16(b)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Shares of Restricted Stock granted after February 28, 2007 or Shares delivered pursuant to the vesting of Restricted Stock Units granted after February 28, 2007 to such Section 16(b) Officer or former Section 16(b) Officer, or to effect the cancellation of unvested Restricted Stock or unvested Restricted Stock Units, if (i) the vesting of the Award was calculated based upon, or contingent on, the achievement of financial or operating results that were the subject of or affected by the restatement, and</w:t>
      </w:r>
    </w:p>
    <w:p>
      <w:pPr>
        <w:spacing w:after="0" w:line="1" w:lineRule="exact"/>
        <w:rPr>
          <w:sz w:val="20"/>
          <w:szCs w:val="20"/>
          <w:color w:val="auto"/>
        </w:rPr>
      </w:pPr>
    </w:p>
    <w:p>
      <w:pPr>
        <w:ind w:right="200" w:firstLine="8"/>
        <w:spacing w:after="0" w:line="302" w:lineRule="auto"/>
        <w:tabs>
          <w:tab w:leader="none" w:pos="25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extent of vesting of the Award would have been less had the financial statements been correct. In addition, to the extent that the receipt of an Award subject to repayment under this Paragraph 13 has been deferred pursuant to Paragraph 8 (or any other plan, program or arrangement that permits the deferral of receipt of an Award), such Award (and any earnings credited with respect thereto) shall be forfeited in lieu of repayment.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98" w:name="page99"/>
    <w:bookmarkEnd w:id="98"/>
    <w:p>
      <w:pPr>
        <w:ind w:left="460" w:hanging="452"/>
        <w:spacing w:after="0"/>
        <w:tabs>
          <w:tab w:leader="none" w:pos="4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AND TERMINATION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248"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TERM OF PLAN</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shall expire on May 11, 2021, unless sooner terminated by the Board.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274" w:right="439" w:bottom="1440" w:gutter="0" w:footer="0" w:header="0"/>
        </w:sectPr>
      </w:pPr>
    </w:p>
    <w:bookmarkStart w:id="99" w:name="page100"/>
    <w:bookmarkEnd w:id="99"/>
    <w:p>
      <w:pPr>
        <w:ind w:left="452" w:hanging="452"/>
        <w:spacing w:after="0"/>
        <w:tabs>
          <w:tab w:leader="none" w:pos="452"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p>
    <w:p>
      <w:pPr>
        <w:spacing w:after="0" w:line="96" w:lineRule="exact"/>
        <w:rPr>
          <w:rFonts w:ascii="Arial" w:cs="Arial" w:eastAsia="Arial" w:hAnsi="Arial"/>
          <w:sz w:val="18"/>
          <w:szCs w:val="18"/>
          <w:b w:val="1"/>
          <w:bCs w:val="1"/>
          <w:color w:val="auto"/>
        </w:rPr>
      </w:pPr>
    </w:p>
    <w:p>
      <w:pPr>
        <w:ind w:left="452" w:right="439"/>
        <w:spacing w:after="0" w:line="456" w:lineRule="auto"/>
        <w:rPr>
          <w:rFonts w:ascii="Arial" w:cs="Arial" w:eastAsia="Arial" w:hAnsi="Arial"/>
          <w:sz w:val="18"/>
          <w:szCs w:val="18"/>
          <w:b w:val="1"/>
          <w:bCs w:val="1"/>
          <w:color w:val="auto"/>
        </w:rPr>
      </w:pPr>
      <w:r>
        <w:rPr>
          <w:rFonts w:ascii="Arial" w:cs="Arial" w:eastAsia="Arial" w:hAnsi="Arial"/>
          <w:sz w:val="18"/>
          <w:szCs w:val="18"/>
          <w:color w:val="auto"/>
        </w:rPr>
        <w:t>The Plan and all determinations made and actions taken pursuant to the Plan shall be governed in accordance with Pennsylvania law. Executed on the 29</w:t>
      </w:r>
      <w:r>
        <w:rPr>
          <w:rFonts w:ascii="Arial" w:cs="Arial" w:eastAsia="Arial" w:hAnsi="Arial"/>
          <w:sz w:val="11"/>
          <w:szCs w:val="11"/>
          <w:color w:val="auto"/>
        </w:rPr>
        <w:t>th</w:t>
      </w:r>
      <w:r>
        <w:rPr>
          <w:rFonts w:ascii="Arial" w:cs="Arial" w:eastAsia="Arial" w:hAnsi="Arial"/>
          <w:sz w:val="18"/>
          <w:szCs w:val="18"/>
          <w:color w:val="auto"/>
        </w:rPr>
        <w:t xml:space="preserve"> day of August, 2012.</w:t>
      </w:r>
    </w:p>
    <w:p>
      <w:pPr>
        <w:spacing w:after="0" w:line="4" w:lineRule="exact"/>
        <w:rPr>
          <w:sz w:val="20"/>
          <w:szCs w:val="20"/>
          <w:color w:val="auto"/>
        </w:rPr>
      </w:pPr>
    </w:p>
    <w:p>
      <w:pPr>
        <w:ind w:left="6852"/>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6852"/>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4613910</wp:posOffset>
            </wp:positionH>
            <wp:positionV relativeFrom="paragraph">
              <wp:posOffset>14605</wp:posOffset>
            </wp:positionV>
            <wp:extent cx="26327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32" w:lineRule="exact"/>
        <w:rPr>
          <w:sz w:val="20"/>
          <w:szCs w:val="20"/>
          <w:color w:val="auto"/>
        </w:rPr>
      </w:pPr>
    </w:p>
    <w:p>
      <w:pPr>
        <w:ind w:left="6852"/>
        <w:spacing w:after="0"/>
        <w:tabs>
          <w:tab w:leader="none" w:pos="7792" w:val="left"/>
        </w:tabs>
        <w:rPr>
          <w:sz w:val="20"/>
          <w:szCs w:val="20"/>
          <w:color w:val="auto"/>
        </w:rPr>
      </w:pPr>
      <w:r>
        <w:rPr>
          <w:rFonts w:ascii="Arial" w:cs="Arial" w:eastAsia="Arial" w:hAnsi="Arial"/>
          <w:sz w:val="18"/>
          <w:szCs w:val="18"/>
          <w:b w:val="1"/>
          <w:bCs w:val="1"/>
          <w:color w:val="auto"/>
        </w:rPr>
        <w:t>ATTEST:</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4956810</wp:posOffset>
            </wp:positionH>
            <wp:positionV relativeFrom="paragraph">
              <wp:posOffset>14605</wp:posOffset>
            </wp:positionV>
            <wp:extent cx="22898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71" w:lineRule="exact"/>
        <w:rPr>
          <w:sz w:val="20"/>
          <w:szCs w:val="20"/>
          <w:color w:val="auto"/>
        </w:rPr>
      </w:pPr>
    </w:p>
    <w:p>
      <w:pPr>
        <w:ind w:left="5552"/>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11"/>
          </w:cols>
          <w:pgMar w:left="248" w:top="274" w:right="1440"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EMPLOYEE STOCK PURCHASE PLAN</w:t>
      </w:r>
    </w:p>
    <w:p>
      <w:pPr>
        <w:spacing w:after="0" w:line="293"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COMCAST CORPORATION, a Pennsylvania corporation, hereby amends and restates the Comcast Corporation 2002 Employee Stock Purchase Plan (the “Plan”). The Plan is intended to encourage and facilitate the purchase of shares of common stock of Comcast Corporation by Eligible Employees of the Company and any Participating Companies, thereby providing such Eligible Employees with a personal stake in the Company and a long-range inducement to remain in the employ of the Company and Participating Companies. It is the intention of the Company that the Plan qualify as an “employee stock purchase plan” within the meaning of section 423 of the Code.</w:t>
      </w:r>
    </w:p>
    <w:p>
      <w:pPr>
        <w:spacing w:after="0" w:line="258"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700" w:hanging="236"/>
        <w:spacing w:after="0"/>
        <w:tabs>
          <w:tab w:leader="none" w:pos="7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 bookkeeping account established by the Committee on behalf of a Participant to hold Payroll Deductions.</w:t>
      </w:r>
    </w:p>
    <w:p>
      <w:pPr>
        <w:spacing w:after="0" w:line="171" w:lineRule="exact"/>
        <w:rPr>
          <w:rFonts w:ascii="Arial" w:cs="Arial" w:eastAsia="Arial" w:hAnsi="Arial"/>
          <w:sz w:val="18"/>
          <w:szCs w:val="18"/>
          <w:color w:val="auto"/>
        </w:rPr>
      </w:pPr>
    </w:p>
    <w:p>
      <w:pPr>
        <w:ind w:right="100" w:firstLine="464"/>
        <w:spacing w:after="0" w:line="256" w:lineRule="auto"/>
        <w:tabs>
          <w:tab w:leader="none" w:pos="70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left="700" w:hanging="236"/>
        <w:spacing w:after="0"/>
        <w:tabs>
          <w:tab w:leader="none" w:pos="7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right="180" w:firstLine="464"/>
        <w:spacing w:after="0" w:line="268" w:lineRule="auto"/>
        <w:tabs>
          <w:tab w:leader="none" w:pos="70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Brokerage Account</w:t>
      </w:r>
      <w:r>
        <w:rPr>
          <w:rFonts w:ascii="Arial" w:cs="Arial" w:eastAsia="Arial" w:hAnsi="Arial"/>
          <w:sz w:val="18"/>
          <w:szCs w:val="18"/>
          <w:color w:val="auto"/>
        </w:rPr>
        <w:t>” means the brokerage account established under the Plan by the Company for each Participant, to which Shares purchased under the Plan shall be credited.</w:t>
      </w:r>
    </w:p>
    <w:p>
      <w:pPr>
        <w:spacing w:after="0" w:line="131" w:lineRule="exact"/>
        <w:rPr>
          <w:rFonts w:ascii="Arial" w:cs="Arial" w:eastAsia="Arial" w:hAnsi="Arial"/>
          <w:sz w:val="18"/>
          <w:szCs w:val="18"/>
          <w:color w:val="auto"/>
        </w:rPr>
      </w:pPr>
    </w:p>
    <w:p>
      <w:pPr>
        <w:ind w:right="180" w:firstLine="464"/>
        <w:spacing w:after="0" w:line="298" w:lineRule="auto"/>
        <w:tabs>
          <w:tab w:leader="none" w:pos="695" w:val="left"/>
        </w:tabs>
        <w:numPr>
          <w:ilvl w:val="1"/>
          <w:numId w:val="10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12" w:lineRule="exact"/>
        <w:rPr>
          <w:rFonts w:ascii="Arial" w:cs="Arial" w:eastAsia="Arial" w:hAnsi="Arial"/>
          <w:sz w:val="16"/>
          <w:szCs w:val="16"/>
          <w:color w:val="auto"/>
        </w:rPr>
      </w:pPr>
    </w:p>
    <w:p>
      <w:pPr>
        <w:ind w:left="680" w:hanging="216"/>
        <w:spacing w:after="0"/>
        <w:tabs>
          <w:tab w:leader="none" w:pos="6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171" w:lineRule="exact"/>
        <w:rPr>
          <w:rFonts w:ascii="Arial" w:cs="Arial" w:eastAsia="Arial" w:hAnsi="Arial"/>
          <w:sz w:val="18"/>
          <w:szCs w:val="18"/>
          <w:color w:val="auto"/>
        </w:rPr>
      </w:pPr>
    </w:p>
    <w:p>
      <w:pPr>
        <w:ind w:right="280" w:firstLine="464"/>
        <w:spacing w:after="0" w:line="268" w:lineRule="auto"/>
        <w:tabs>
          <w:tab w:leader="none" w:pos="70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ectPr>
          <w:pgSz w:w="11900" w:h="16838" w:orient="portrait"/>
          <w:cols w:equalWidth="0" w:num="1">
            <w:col w:w="11420"/>
          </w:cols>
          <w:pgMar w:left="240" w:top="125" w:right="239" w:bottom="1440" w:gutter="0" w:footer="0" w:header="0"/>
        </w:sectPr>
      </w:pPr>
    </w:p>
    <w:bookmarkStart w:id="101" w:name="page102"/>
    <w:bookmarkEnd w:id="101"/>
    <w:p>
      <w:pPr>
        <w:ind w:firstLine="464"/>
        <w:spacing w:after="0" w:line="255" w:lineRule="auto"/>
        <w:tabs>
          <w:tab w:leader="none" w:pos="666" w:val="left"/>
        </w:tabs>
        <w:numPr>
          <w:ilvl w:val="0"/>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an Eligible Employee’s wages as reported on Form W-2 (</w:t>
      </w:r>
      <w:r>
        <w:rPr>
          <w:rFonts w:ascii="Arial" w:cs="Arial" w:eastAsia="Arial" w:hAnsi="Arial"/>
          <w:sz w:val="18"/>
          <w:szCs w:val="18"/>
          <w:u w:val="single" w:color="auto"/>
          <w:color w:val="auto"/>
        </w:rPr>
        <w:t>i.e.</w:t>
      </w:r>
      <w:r>
        <w:rPr>
          <w:rFonts w:ascii="Arial" w:cs="Arial" w:eastAsia="Arial" w:hAnsi="Arial"/>
          <w:sz w:val="18"/>
          <w:szCs w:val="18"/>
          <w:color w:val="auto"/>
        </w:rPr>
        <w:t>,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142" w:lineRule="exact"/>
        <w:rPr>
          <w:rFonts w:ascii="Arial" w:cs="Arial" w:eastAsia="Arial" w:hAnsi="Arial"/>
          <w:sz w:val="18"/>
          <w:szCs w:val="18"/>
          <w:color w:val="auto"/>
        </w:rPr>
      </w:pPr>
    </w:p>
    <w:p>
      <w:pPr>
        <w:ind w:right="580" w:firstLine="464"/>
        <w:spacing w:after="0" w:line="268" w:lineRule="auto"/>
        <w:tabs>
          <w:tab w:leader="none" w:pos="66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Form</w:t>
      </w:r>
      <w:r>
        <w:rPr>
          <w:rFonts w:ascii="Arial" w:cs="Arial" w:eastAsia="Arial" w:hAnsi="Arial"/>
          <w:sz w:val="18"/>
          <w:szCs w:val="18"/>
          <w:color w:val="auto"/>
        </w:rPr>
        <w:t>” means the written or electronic form acceptable to the Committee which an Eligible Employee shall use to make an election to purchase Shares through Payroll Deductions pursuant to the Plan.</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who is not an Ineligible Employee.</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Employer</w:t>
      </w:r>
      <w:r>
        <w:rPr>
          <w:rFonts w:ascii="Arial" w:cs="Arial" w:eastAsia="Arial" w:hAnsi="Arial"/>
          <w:sz w:val="18"/>
          <w:szCs w:val="18"/>
          <w:color w:val="auto"/>
        </w:rPr>
        <w:t>” means the Company and any subsidiary of the Company, within the meaning of section 424(f) of the Code.</w:t>
      </w:r>
    </w:p>
    <w:p>
      <w:pPr>
        <w:spacing w:after="0" w:line="171" w:lineRule="exact"/>
        <w:rPr>
          <w:rFonts w:ascii="Arial" w:cs="Arial" w:eastAsia="Arial" w:hAnsi="Arial"/>
          <w:sz w:val="18"/>
          <w:szCs w:val="18"/>
          <w:color w:val="auto"/>
        </w:rPr>
      </w:pPr>
    </w:p>
    <w:p>
      <w:pPr>
        <w:ind w:left="760" w:hanging="296"/>
        <w:spacing w:after="0"/>
        <w:tabs>
          <w:tab w:leader="none" w:pos="7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 person who is an employee of a Participating Company.</w:t>
      </w:r>
    </w:p>
    <w:p>
      <w:pPr>
        <w:spacing w:after="0" w:line="171" w:lineRule="exact"/>
        <w:rPr>
          <w:rFonts w:ascii="Arial" w:cs="Arial" w:eastAsia="Arial" w:hAnsi="Arial"/>
          <w:sz w:val="18"/>
          <w:szCs w:val="18"/>
          <w:color w:val="auto"/>
        </w:rPr>
      </w:pPr>
    </w:p>
    <w:p>
      <w:pPr>
        <w:ind w:right="80" w:firstLine="464"/>
        <w:spacing w:after="0" w:line="256" w:lineRule="auto"/>
        <w:tabs>
          <w:tab w:leader="none" w:pos="70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Five Percent Owner</w:t>
      </w:r>
      <w:r>
        <w:rPr>
          <w:rFonts w:ascii="Arial" w:cs="Arial" w:eastAsia="Arial" w:hAnsi="Arial"/>
          <w:sz w:val="16"/>
          <w:szCs w:val="16"/>
          <w:color w:val="auto"/>
        </w:rPr>
        <w:t>” means an Employee who, with respect to a Participating Company, is described in section 423(b)(3) of the Code.</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Employee</w:t>
      </w:r>
      <w:r>
        <w:rPr>
          <w:rFonts w:ascii="Arial" w:cs="Arial" w:eastAsia="Arial" w:hAnsi="Arial"/>
          <w:sz w:val="18"/>
          <w:szCs w:val="18"/>
          <w:color w:val="auto"/>
        </w:rPr>
        <w:t>” means an Employee who, as of an Offering Commencement Date: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is a Five Percent Owner;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full-time basis for less than 90 days;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part-time basis for less than one year; 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is restricted from participating under Paragraph 3(b).</w:t>
      </w:r>
    </w:p>
    <w:p>
      <w:pPr>
        <w:spacing w:after="0" w:line="17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For purposes of this Paragraph 2(p), an Employee is employed on a part-time basis if the Employee customarily works less than 20 hours per week. For purposes of this Paragraph 2(p), an Employee is employed on a full-time basis if the Employee customarily works 20 or more hours per week.</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102" w:name="page103"/>
    <w:bookmarkEnd w:id="102"/>
    <w:p>
      <w:pPr>
        <w:ind w:left="720" w:hanging="256"/>
        <w:spacing w:after="0"/>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Offering</w:t>
      </w:r>
      <w:r>
        <w:rPr>
          <w:rFonts w:ascii="Arial" w:cs="Arial" w:eastAsia="Arial" w:hAnsi="Arial"/>
          <w:sz w:val="18"/>
          <w:szCs w:val="18"/>
          <w:color w:val="auto"/>
        </w:rPr>
        <w:t>” means an offering of Shares by the Company to Eligible Employees pursuant to the Plan.</w:t>
      </w:r>
    </w:p>
    <w:p>
      <w:pPr>
        <w:spacing w:after="0" w:line="171" w:lineRule="exact"/>
        <w:rPr>
          <w:rFonts w:ascii="Arial" w:cs="Arial" w:eastAsia="Arial" w:hAnsi="Arial"/>
          <w:sz w:val="18"/>
          <w:szCs w:val="18"/>
          <w:color w:val="auto"/>
        </w:rPr>
      </w:pPr>
    </w:p>
    <w:p>
      <w:pPr>
        <w:ind w:firstLine="464"/>
        <w:spacing w:after="0" w:line="332" w:lineRule="auto"/>
        <w:tabs>
          <w:tab w:leader="none" w:pos="67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Commencement Date</w:t>
      </w:r>
      <w:r>
        <w:rPr>
          <w:rFonts w:ascii="Arial" w:cs="Arial" w:eastAsia="Arial" w:hAnsi="Arial"/>
          <w:sz w:val="16"/>
          <w:szCs w:val="16"/>
          <w:color w:val="auto"/>
        </w:rPr>
        <w:t>” means the first day of each January 1, April 1, July 1 and October 1 beginning on or after Offerings are authorized by the Board or the Committee, until the Plan Termination Date, provided that the first Offering Commencement Date shall be on the Effective Date.</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Period</w:t>
      </w:r>
      <w:r>
        <w:rPr>
          <w:rFonts w:ascii="Arial" w:cs="Arial" w:eastAsia="Arial" w:hAnsi="Arial"/>
          <w:sz w:val="16"/>
          <w:szCs w:val="16"/>
          <w:color w:val="auto"/>
        </w:rPr>
        <w:t>” means the period extending from an Offering Commencement Date through the following Offering Termination Date.</w:t>
      </w:r>
    </w:p>
    <w:p>
      <w:pPr>
        <w:spacing w:after="0" w:line="194" w:lineRule="exact"/>
        <w:rPr>
          <w:rFonts w:ascii="Arial" w:cs="Arial" w:eastAsia="Arial" w:hAnsi="Arial"/>
          <w:sz w:val="16"/>
          <w:szCs w:val="16"/>
          <w:color w:val="auto"/>
        </w:rPr>
      </w:pPr>
    </w:p>
    <w:p>
      <w:pPr>
        <w:ind w:right="140" w:firstLine="464"/>
        <w:spacing w:after="0" w:line="268" w:lineRule="auto"/>
        <w:tabs>
          <w:tab w:leader="none" w:pos="66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Termination Date</w:t>
      </w:r>
      <w:r>
        <w:rPr>
          <w:rFonts w:ascii="Arial" w:cs="Arial" w:eastAsia="Arial" w:hAnsi="Arial"/>
          <w:sz w:val="18"/>
          <w:szCs w:val="18"/>
          <w:color w:val="auto"/>
        </w:rPr>
        <w:t>” means the last day of each March, June, September and December following an Offering Commencement Date, or such other Offering Termination Date established in connection with a Terminating Event.</w:t>
      </w:r>
    </w:p>
    <w:p>
      <w:pPr>
        <w:spacing w:after="0" w:line="131" w:lineRule="exact"/>
        <w:rPr>
          <w:rFonts w:ascii="Arial" w:cs="Arial" w:eastAsia="Arial" w:hAnsi="Arial"/>
          <w:sz w:val="18"/>
          <w:szCs w:val="18"/>
          <w:color w:val="auto"/>
        </w:rPr>
      </w:pPr>
    </w:p>
    <w:p>
      <w:pPr>
        <w:ind w:right="40" w:firstLine="464"/>
        <w:spacing w:after="0" w:line="268" w:lineRule="auto"/>
        <w:tabs>
          <w:tab w:leader="none" w:pos="70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timely delivered an Election Form to the Committee in accordance with procedures established by the Committee.</w:t>
      </w:r>
    </w:p>
    <w:p>
      <w:pPr>
        <w:spacing w:after="0" w:line="131" w:lineRule="exact"/>
        <w:rPr>
          <w:rFonts w:ascii="Arial" w:cs="Arial" w:eastAsia="Arial" w:hAnsi="Arial"/>
          <w:sz w:val="18"/>
          <w:szCs w:val="18"/>
          <w:color w:val="auto"/>
        </w:rPr>
      </w:pPr>
    </w:p>
    <w:p>
      <w:pPr>
        <w:jc w:val="both"/>
        <w:ind w:firstLine="464"/>
        <w:spacing w:after="0" w:line="259" w:lineRule="auto"/>
        <w:tabs>
          <w:tab w:leader="none" w:pos="70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Eligible Employers, if any, that are designated by the Board or the Committee from time to time. Notwithstanding the foregoing, the Board or the Committee may delegate its authority to designate an Eligible Employer as a Participating Company under this Paragraph 2(v) to an officer of the Company or committee of two or more officers of the Company.</w:t>
      </w:r>
    </w:p>
    <w:p>
      <w:pPr>
        <w:spacing w:after="0" w:line="140" w:lineRule="exact"/>
        <w:rPr>
          <w:rFonts w:ascii="Arial" w:cs="Arial" w:eastAsia="Arial" w:hAnsi="Arial"/>
          <w:sz w:val="18"/>
          <w:szCs w:val="18"/>
          <w:color w:val="auto"/>
        </w:rPr>
      </w:pPr>
    </w:p>
    <w:p>
      <w:pPr>
        <w:ind w:left="760" w:hanging="296"/>
        <w:spacing w:after="0"/>
        <w:tabs>
          <w:tab w:leader="none" w:pos="7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Payroll Deductions</w:t>
      </w:r>
      <w:r>
        <w:rPr>
          <w:rFonts w:ascii="Arial" w:cs="Arial" w:eastAsia="Arial" w:hAnsi="Arial"/>
          <w:sz w:val="18"/>
          <w:szCs w:val="18"/>
          <w:color w:val="auto"/>
        </w:rPr>
        <w:t>” means amounts withheld from a Participant’s Compensation pursuant to the Plan, as described in Paragraph 5.</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Plan</w:t>
      </w:r>
      <w:r>
        <w:rPr>
          <w:rFonts w:ascii="Arial" w:cs="Arial" w:eastAsia="Arial" w:hAnsi="Arial"/>
          <w:sz w:val="15"/>
          <w:szCs w:val="15"/>
          <w:color w:val="auto"/>
        </w:rPr>
        <w:t>” means the Comcast Corporation 2002 Employee Stock Purchase Plan, as set forth in this document, and as may be amended from time to time.</w:t>
      </w:r>
    </w:p>
    <w:p>
      <w:pPr>
        <w:spacing w:after="0" w:line="205" w:lineRule="exact"/>
        <w:rPr>
          <w:rFonts w:ascii="Arial" w:cs="Arial" w:eastAsia="Arial" w:hAnsi="Arial"/>
          <w:sz w:val="15"/>
          <w:szCs w:val="15"/>
          <w:color w:val="auto"/>
        </w:rPr>
      </w:pPr>
    </w:p>
    <w:p>
      <w:pPr>
        <w:ind w:left="700" w:hanging="236"/>
        <w:spacing w:after="0"/>
        <w:tabs>
          <w:tab w:leader="none" w:pos="7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Termination Date</w:t>
      </w:r>
      <w:r>
        <w:rPr>
          <w:rFonts w:ascii="Arial" w:cs="Arial" w:eastAsia="Arial" w:hAnsi="Arial"/>
          <w:sz w:val="18"/>
          <w:szCs w:val="18"/>
          <w:color w:val="auto"/>
        </w:rPr>
        <w:t>” means the earlier of:</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Offering Termination Date for the Offering in which the maximum number of Shares specified in Paragraph 9 have been issued pursuant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Plan; or</w:t>
      </w:r>
    </w:p>
    <w:p>
      <w:pPr>
        <w:spacing w:after="0" w:line="164" w:lineRule="exact"/>
        <w:rPr>
          <w:rFonts w:ascii="Arial" w:cs="Arial" w:eastAsia="Arial" w:hAnsi="Arial"/>
          <w:sz w:val="16"/>
          <w:szCs w:val="16"/>
          <w:color w:val="auto"/>
        </w:rPr>
      </w:pPr>
    </w:p>
    <w:p>
      <w:pPr>
        <w:ind w:left="1160" w:hanging="239"/>
        <w:spacing w:after="0"/>
        <w:tabs>
          <w:tab w:leader="none" w:pos="11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date as of which the Board or the Committee chooses to terminate the Plan as provided in Paragraph 14.</w:t>
      </w:r>
    </w:p>
    <w:p>
      <w:pPr>
        <w:spacing w:after="0" w:line="171" w:lineRule="exact"/>
        <w:rPr>
          <w:sz w:val="20"/>
          <w:szCs w:val="20"/>
          <w:color w:val="auto"/>
        </w:rPr>
      </w:pPr>
    </w:p>
    <w:p>
      <w:pPr>
        <w:jc w:val="both"/>
        <w:ind w:right="40" w:firstLine="464"/>
        <w:spacing w:after="0" w:line="306" w:lineRule="auto"/>
        <w:tabs>
          <w:tab w:leader="none" w:pos="77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Price</w:t>
      </w:r>
      <w:r>
        <w:rPr>
          <w:rFonts w:ascii="Arial" w:cs="Arial" w:eastAsia="Arial" w:hAnsi="Arial"/>
          <w:sz w:val="16"/>
          <w:szCs w:val="16"/>
          <w:color w:val="auto"/>
        </w:rPr>
        <w:t>” means 85 percent of the lesser of: (1) the Fair Market Value per Share on the Offering Commencement Date, or if such date is not a trading day, then on the next trading day thereafter or (2) the Fair Market Value per Share on the Offering Termination Date, or if such date is not a trading day, then on the trading day immediately preceding the Offering Termination Date.</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80" w:right="359" w:bottom="1440" w:gutter="0" w:footer="0" w:header="0"/>
        </w:sectPr>
      </w:pPr>
    </w:p>
    <w:bookmarkStart w:id="103" w:name="page104"/>
    <w:bookmarkEnd w:id="103"/>
    <w:p>
      <w:pPr>
        <w:ind w:left="792" w:hanging="336"/>
        <w:spacing w:after="0"/>
        <w:tabs>
          <w:tab w:leader="none" w:pos="792" w:val="left"/>
        </w:tabs>
        <w:numPr>
          <w:ilvl w:val="1"/>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Comcast Corporation Class A Common Stock, par value $0.01.</w:t>
      </w:r>
    </w:p>
    <w:p>
      <w:pPr>
        <w:spacing w:after="0" w:line="171" w:lineRule="exact"/>
        <w:rPr>
          <w:rFonts w:ascii="Arial" w:cs="Arial" w:eastAsia="Arial" w:hAnsi="Arial"/>
          <w:sz w:val="18"/>
          <w:szCs w:val="18"/>
          <w:color w:val="auto"/>
        </w:rPr>
      </w:pPr>
    </w:p>
    <w:p>
      <w:pPr>
        <w:ind w:left="-8" w:firstLine="464"/>
        <w:spacing w:after="0" w:line="268" w:lineRule="auto"/>
        <w:tabs>
          <w:tab w:leader="none" w:pos="76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Participant’s executor or administrator, or such other person or entity to which the Participant’s rights under the Plan shall have passed by will or the laws of descent and distribution.</w:t>
      </w:r>
    </w:p>
    <w:p>
      <w:pPr>
        <w:spacing w:after="0" w:line="131" w:lineRule="exact"/>
        <w:rPr>
          <w:rFonts w:ascii="Arial" w:cs="Arial" w:eastAsia="Arial" w:hAnsi="Arial"/>
          <w:sz w:val="18"/>
          <w:szCs w:val="18"/>
          <w:color w:val="auto"/>
        </w:rPr>
      </w:pPr>
    </w:p>
    <w:p>
      <w:pPr>
        <w:ind w:left="792" w:hanging="336"/>
        <w:spacing w:after="0"/>
        <w:tabs>
          <w:tab w:leader="none" w:pos="79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171" w:lineRule="exact"/>
        <w:rPr>
          <w:rFonts w:ascii="Arial" w:cs="Arial" w:eastAsia="Arial" w:hAnsi="Arial"/>
          <w:sz w:val="18"/>
          <w:szCs w:val="18"/>
          <w:color w:val="auto"/>
        </w:rPr>
      </w:pPr>
    </w:p>
    <w:p>
      <w:pPr>
        <w:ind w:left="1152" w:hanging="239"/>
        <w:spacing w:after="0"/>
        <w:tabs>
          <w:tab w:leader="none" w:pos="1152" w:val="left"/>
        </w:tabs>
        <w:numPr>
          <w:ilvl w:val="2"/>
          <w:numId w:val="113"/>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171" w:lineRule="exact"/>
        <w:rPr>
          <w:rFonts w:ascii="Arial" w:cs="Arial" w:eastAsia="Arial" w:hAnsi="Arial"/>
          <w:sz w:val="18"/>
          <w:szCs w:val="18"/>
          <w:color w:val="auto"/>
        </w:rPr>
      </w:pPr>
    </w:p>
    <w:p>
      <w:pPr>
        <w:ind w:left="1152" w:hanging="239"/>
        <w:spacing w:after="0"/>
        <w:tabs>
          <w:tab w:leader="none" w:pos="1152" w:val="left"/>
        </w:tabs>
        <w:numPr>
          <w:ilvl w:val="2"/>
          <w:numId w:val="113"/>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rFonts w:ascii="Arial" w:cs="Arial" w:eastAsia="Arial" w:hAnsi="Arial"/>
          <w:sz w:val="18"/>
          <w:szCs w:val="18"/>
          <w:color w:val="auto"/>
        </w:rPr>
      </w:pPr>
    </w:p>
    <w:p>
      <w:pPr>
        <w:ind w:left="-8" w:right="360" w:firstLine="464"/>
        <w:spacing w:after="0" w:line="332" w:lineRule="auto"/>
        <w:tabs>
          <w:tab w:leader="none" w:pos="765" w:val="left"/>
        </w:tabs>
        <w:numPr>
          <w:ilvl w:val="1"/>
          <w:numId w:val="1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together with such Person’s Affiliates, provided that the term “Third Party” shall not include the Company or an Affiliate of the Company.</w:t>
      </w:r>
    </w:p>
    <w:p>
      <w:pPr>
        <w:spacing w:after="0" w:line="85" w:lineRule="exact"/>
        <w:rPr>
          <w:rFonts w:ascii="Arial" w:cs="Arial" w:eastAsia="Arial" w:hAnsi="Arial"/>
          <w:sz w:val="16"/>
          <w:szCs w:val="16"/>
          <w:color w:val="auto"/>
        </w:rPr>
      </w:pPr>
    </w:p>
    <w:p>
      <w:pPr>
        <w:ind w:left="-8" w:firstLine="464"/>
        <w:spacing w:after="0" w:line="268" w:lineRule="auto"/>
        <w:tabs>
          <w:tab w:leader="none" w:pos="72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Form</w:t>
      </w:r>
      <w:r>
        <w:rPr>
          <w:rFonts w:ascii="Arial" w:cs="Arial" w:eastAsia="Arial" w:hAnsi="Arial"/>
          <w:sz w:val="18"/>
          <w:szCs w:val="18"/>
          <w:color w:val="auto"/>
        </w:rPr>
        <w:t>” means the written or electronic form acceptable to the Committee which an Employee shall use to discontinue participation during an Offering Period pursuant to Paragraph 7(b).</w:t>
      </w:r>
    </w:p>
    <w:p>
      <w:pPr>
        <w:spacing w:after="0" w:line="247" w:lineRule="exact"/>
        <w:rPr>
          <w:rFonts w:ascii="Arial" w:cs="Arial" w:eastAsia="Arial" w:hAnsi="Arial"/>
          <w:sz w:val="18"/>
          <w:szCs w:val="18"/>
          <w:color w:val="auto"/>
        </w:rPr>
      </w:pPr>
    </w:p>
    <w:p>
      <w:pPr>
        <w:ind w:left="452" w:hanging="452"/>
        <w:spacing w:after="0"/>
        <w:tabs>
          <w:tab w:leader="none" w:pos="452"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and Participation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692" w:hanging="236"/>
        <w:spacing w:after="0"/>
        <w:tabs>
          <w:tab w:leader="none" w:pos="692"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Except to the extent participation is restricted under Paragraph 3(b), each Eligible Employee shall be eligible to participate in the Plan.</w:t>
      </w:r>
    </w:p>
    <w:p>
      <w:pPr>
        <w:spacing w:after="0" w:line="194" w:lineRule="exact"/>
        <w:rPr>
          <w:rFonts w:ascii="Arial" w:cs="Arial" w:eastAsia="Arial" w:hAnsi="Arial"/>
          <w:sz w:val="16"/>
          <w:szCs w:val="16"/>
          <w:color w:val="auto"/>
        </w:rPr>
      </w:pPr>
    </w:p>
    <w:p>
      <w:pPr>
        <w:ind w:left="-8" w:right="560" w:firstLine="464"/>
        <w:spacing w:after="0" w:line="268" w:lineRule="auto"/>
        <w:tabs>
          <w:tab w:leader="none" w:pos="697"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Restrictions on Participation</w:t>
      </w:r>
      <w:r>
        <w:rPr>
          <w:rFonts w:ascii="Arial" w:cs="Arial" w:eastAsia="Arial" w:hAnsi="Arial"/>
          <w:sz w:val="18"/>
          <w:szCs w:val="18"/>
          <w:color w:val="auto"/>
        </w:rPr>
        <w:t>. Notwithstanding any provisions of the Plan to the contrary, no Employee shall be eligible to purchase Shares in an Offering to the extent that:</w:t>
      </w:r>
    </w:p>
    <w:p>
      <w:pPr>
        <w:spacing w:after="0" w:line="131" w:lineRule="exact"/>
        <w:rPr>
          <w:rFonts w:ascii="Arial" w:cs="Arial" w:eastAsia="Arial" w:hAnsi="Arial"/>
          <w:sz w:val="18"/>
          <w:szCs w:val="18"/>
          <w:color w:val="auto"/>
        </w:rPr>
      </w:pPr>
    </w:p>
    <w:p>
      <w:pPr>
        <w:ind w:left="1152" w:hanging="239"/>
        <w:spacing w:after="0"/>
        <w:tabs>
          <w:tab w:leader="none" w:pos="1152" w:val="left"/>
        </w:tabs>
        <w:numPr>
          <w:ilvl w:val="2"/>
          <w:numId w:val="114"/>
        </w:numPr>
        <w:rPr>
          <w:rFonts w:ascii="Arial" w:cs="Arial" w:eastAsia="Arial" w:hAnsi="Arial"/>
          <w:sz w:val="18"/>
          <w:szCs w:val="18"/>
          <w:color w:val="auto"/>
        </w:rPr>
      </w:pPr>
      <w:r>
        <w:rPr>
          <w:rFonts w:ascii="Arial" w:cs="Arial" w:eastAsia="Arial" w:hAnsi="Arial"/>
          <w:sz w:val="18"/>
          <w:szCs w:val="18"/>
          <w:color w:val="auto"/>
        </w:rPr>
        <w:t>immediately after the purchase of Shares, such Employee would be a Five Percent Owner; or</w:t>
      </w:r>
    </w:p>
    <w:p>
      <w:pPr>
        <w:spacing w:after="0" w:line="171" w:lineRule="exact"/>
        <w:rPr>
          <w:rFonts w:ascii="Arial" w:cs="Arial" w:eastAsia="Arial" w:hAnsi="Arial"/>
          <w:sz w:val="18"/>
          <w:szCs w:val="18"/>
          <w:color w:val="auto"/>
        </w:rPr>
      </w:pPr>
    </w:p>
    <w:p>
      <w:pPr>
        <w:ind w:left="-8" w:right="100" w:firstLine="921"/>
        <w:spacing w:after="0" w:line="259" w:lineRule="auto"/>
        <w:tabs>
          <w:tab w:leader="none" w:pos="1154" w:val="left"/>
        </w:tabs>
        <w:numPr>
          <w:ilvl w:val="2"/>
          <w:numId w:val="114"/>
        </w:numPr>
        <w:rPr>
          <w:rFonts w:ascii="Arial" w:cs="Arial" w:eastAsia="Arial" w:hAnsi="Arial"/>
          <w:sz w:val="18"/>
          <w:szCs w:val="18"/>
          <w:color w:val="auto"/>
        </w:rPr>
      </w:pPr>
      <w:r>
        <w:rPr>
          <w:rFonts w:ascii="Arial" w:cs="Arial" w:eastAsia="Arial" w:hAnsi="Arial"/>
          <w:sz w:val="18"/>
          <w:szCs w:val="18"/>
          <w:color w:val="auto"/>
        </w:rPr>
        <w:t>a purchase of Shares would permit such Employee’s rights to purchase stock under all employee stock purchase plans of the Participating Companies which meet the requirements of section 423(b) of the Code to accrue at a rate which exceeds $25,000 in fair market value (as determined pursuant to section 423(b)(8) of the Code) for each calendar year in which such right to purchase Shares is outstanding.</w:t>
      </w:r>
    </w:p>
    <w:p>
      <w:pPr>
        <w:spacing w:after="0" w:line="140" w:lineRule="exact"/>
        <w:rPr>
          <w:rFonts w:ascii="Arial" w:cs="Arial" w:eastAsia="Arial" w:hAnsi="Arial"/>
          <w:sz w:val="18"/>
          <w:szCs w:val="18"/>
          <w:color w:val="auto"/>
        </w:rPr>
      </w:pPr>
    </w:p>
    <w:p>
      <w:pPr>
        <w:jc w:val="both"/>
        <w:ind w:left="-8" w:firstLine="464"/>
        <w:spacing w:after="0" w:line="298" w:lineRule="auto"/>
        <w:tabs>
          <w:tab w:leader="none" w:pos="687"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Commencement of Participation</w:t>
      </w:r>
      <w:r>
        <w:rPr>
          <w:rFonts w:ascii="Arial" w:cs="Arial" w:eastAsia="Arial" w:hAnsi="Arial"/>
          <w:sz w:val="16"/>
          <w:szCs w:val="16"/>
          <w:color w:val="auto"/>
        </w:rPr>
        <w:t>. An Eligible Employee shall become a Participant by completing an Election Form and filing it with the Committee on or before the 15th day of the month immediately preceding the Offering Commencement Date for the first Offering to which such Election Form applies. Payroll Deductions for a Participant shall commence on first payroll period ending after the applicable Offering Commencement Date when his or her authorization for Payroll Deductions becomes effective, and shall end on the Plan Termination Date, unless sooner terminated by the Participant pursuant to Paragraph 7(b).</w:t>
      </w:r>
    </w:p>
    <w:p>
      <w:pPr>
        <w:spacing w:after="0" w:line="9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72"/>
          </w:cols>
          <w:pgMar w:left="248" w:top="280" w:right="279" w:bottom="1440" w:gutter="0" w:footer="0" w:header="0"/>
        </w:sectPr>
      </w:pPr>
    </w:p>
    <w:bookmarkStart w:id="104" w:name="page105"/>
    <w:bookmarkEnd w:id="104"/>
    <w:p>
      <w:pPr>
        <w:ind w:left="460" w:hanging="452"/>
        <w:spacing w:after="0"/>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Per Offering</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Plan shall be implemented by a series of Offerings that shall commence after Offerings have been authorized by the Board or the Committee, and terminate on the Plan Termination Date. Offerings shall be 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8(a), for all of the Offerings, less the actual number of Shares purchased by Participants pursuant to prior Offerings, provided that the maximum number of Shares subject to purchase by any Participant for any Offering Period shall not exceed 1,500.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 practicable, and as it shall determine to be fair and equitable, and the unapplied Account balances shall be returned to Participants as soon as practicable following the Offering Termination Date.</w:t>
      </w:r>
    </w:p>
    <w:p>
      <w:pPr>
        <w:spacing w:after="0" w:line="235"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Payroll Deductions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20" w:firstLine="464"/>
        <w:spacing w:after="0" w:line="256" w:lineRule="auto"/>
        <w:tabs>
          <w:tab w:leader="none" w:pos="695"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Amount of Payroll Deductions</w:t>
      </w:r>
      <w:r>
        <w:rPr>
          <w:rFonts w:ascii="Arial" w:cs="Arial" w:eastAsia="Arial" w:hAnsi="Arial"/>
          <w:sz w:val="18"/>
          <w:szCs w:val="18"/>
          <w:color w:val="auto"/>
        </w:rPr>
        <w:t>. On the Election Form, an Eligible Employee may elect to have Payroll Deductions of not more than 15 percent of Compensation earned for each payroll period ending within the Offering Period, subject to the limitation that the maximum amount of Payroll Deductions for any Eligible Employee for any calendar year shall not exceed $12,500. The rules established by the Committee regarding Payroll Deductions, as reflected on the Election Form, shall be consistent with section 423(b)(5) of the Code.</w:t>
      </w:r>
    </w:p>
    <w:p>
      <w:pPr>
        <w:spacing w:after="0" w:line="143" w:lineRule="exact"/>
        <w:rPr>
          <w:rFonts w:ascii="Arial" w:cs="Arial" w:eastAsia="Arial" w:hAnsi="Arial"/>
          <w:sz w:val="18"/>
          <w:szCs w:val="18"/>
          <w:color w:val="auto"/>
        </w:rPr>
      </w:pPr>
    </w:p>
    <w:p>
      <w:pPr>
        <w:ind w:right="280" w:firstLine="464"/>
        <w:spacing w:after="0" w:line="268" w:lineRule="auto"/>
        <w:tabs>
          <w:tab w:leader="none" w:pos="705"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Participants’ Accounts</w:t>
      </w:r>
      <w:r>
        <w:rPr>
          <w:rFonts w:ascii="Arial" w:cs="Arial" w:eastAsia="Arial" w:hAnsi="Arial"/>
          <w:sz w:val="18"/>
          <w:szCs w:val="18"/>
          <w:color w:val="auto"/>
        </w:rPr>
        <w:t>. All Payroll Deductions with respect to a Participant pursuant to Paragraph 5(a) shall be credited to the Participant’s Account under the Plan.</w:t>
      </w:r>
    </w:p>
    <w:p>
      <w:pPr>
        <w:spacing w:after="0" w:line="131" w:lineRule="exact"/>
        <w:rPr>
          <w:rFonts w:ascii="Arial" w:cs="Arial" w:eastAsia="Arial" w:hAnsi="Arial"/>
          <w:sz w:val="18"/>
          <w:szCs w:val="18"/>
          <w:color w:val="auto"/>
        </w:rPr>
      </w:pPr>
    </w:p>
    <w:p>
      <w:pPr>
        <w:ind w:right="100" w:firstLine="464"/>
        <w:spacing w:after="0" w:line="294" w:lineRule="auto"/>
        <w:tabs>
          <w:tab w:leader="none" w:pos="695" w:val="left"/>
        </w:tabs>
        <w:numPr>
          <w:ilvl w:val="1"/>
          <w:numId w:val="116"/>
        </w:numPr>
        <w:rPr>
          <w:rFonts w:ascii="Arial" w:cs="Arial" w:eastAsia="Arial" w:hAnsi="Arial"/>
          <w:sz w:val="16"/>
          <w:szCs w:val="16"/>
          <w:color w:val="auto"/>
        </w:rPr>
      </w:pPr>
      <w:r>
        <w:rPr>
          <w:rFonts w:ascii="Arial" w:cs="Arial" w:eastAsia="Arial" w:hAnsi="Arial"/>
          <w:sz w:val="16"/>
          <w:szCs w:val="16"/>
          <w:u w:val="single" w:color="auto"/>
          <w:color w:val="auto"/>
        </w:rPr>
        <w:t>Changes in Payroll Deductions</w:t>
      </w:r>
      <w:r>
        <w:rPr>
          <w:rFonts w:ascii="Arial" w:cs="Arial" w:eastAsia="Arial" w:hAnsi="Arial"/>
          <w:sz w:val="16"/>
          <w:szCs w:val="16"/>
          <w:color w:val="auto"/>
        </w:rPr>
        <w:t>. A Participant may discontinue Payroll Deductions during an Offering Period by providing a Termination Form to the Committee at any time before the Offering Termination Date applicable to any Offering. No other change can be made during an Offering, including, but not limited to, changes in the amount of Payroll Deductions for such Offering. A Participant may change the amount of Payroll Deductions for 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p>
      <w:pPr>
        <w:spacing w:after="0" w:line="231" w:lineRule="exact"/>
        <w:rPr>
          <w:rFonts w:ascii="Arial" w:cs="Arial" w:eastAsia="Arial" w:hAnsi="Arial"/>
          <w:sz w:val="16"/>
          <w:szCs w:val="16"/>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 of Shares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300" w:firstLine="464"/>
        <w:spacing w:after="0" w:line="259" w:lineRule="auto"/>
        <w:tabs>
          <w:tab w:leader="none" w:pos="695"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On each Offering Termination Date, each Participant shall be deemed to have purchased a number of whole Shares equal to the quotient obtained by dividing the balance credited to the Participant’s Account as of the Offering Termination Date, by the Purchase Price, rounded to the next lowest whole Share. Shares deemed purchased by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 under the Plan shall be credited to the Participant’s Brokerage Account as soon as practicable following the Offering Termination Date.</w:t>
      </w:r>
    </w:p>
    <w:p>
      <w:pPr>
        <w:spacing w:after="0" w:line="194" w:lineRule="exact"/>
        <w:rPr>
          <w:sz w:val="20"/>
          <w:szCs w:val="20"/>
          <w:color w:val="auto"/>
        </w:rPr>
      </w:pPr>
    </w:p>
    <w:p>
      <w:pPr>
        <w:ind w:right="220" w:firstLine="464"/>
        <w:spacing w:after="0" w:line="306" w:lineRule="auto"/>
        <w:tabs>
          <w:tab w:leader="none" w:pos="705"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Terminating Events</w:t>
      </w:r>
      <w:r>
        <w:rPr>
          <w:rFonts w:ascii="Arial" w:cs="Arial" w:eastAsia="Arial" w:hAnsi="Arial"/>
          <w:sz w:val="16"/>
          <w:szCs w:val="16"/>
          <w:color w:val="auto"/>
        </w:rPr>
        <w:t>. The Company shall give Participants at least 30 days’ notice (or, if not practicable, such shorter notice as may be reasonably 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106" w:lineRule="exact"/>
        <w:rPr>
          <w:rFonts w:ascii="Arial" w:cs="Arial" w:eastAsia="Arial" w:hAnsi="Arial"/>
          <w:sz w:val="16"/>
          <w:szCs w:val="16"/>
          <w:color w:val="auto"/>
        </w:rPr>
      </w:pPr>
    </w:p>
    <w:p>
      <w:pPr>
        <w:ind w:right="80" w:firstLine="464"/>
        <w:spacing w:after="0" w:line="306" w:lineRule="auto"/>
        <w:tabs>
          <w:tab w:leader="none" w:pos="695"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Fractional Shares and Minimum Number of Shares</w:t>
      </w:r>
      <w:r>
        <w:rPr>
          <w:rFonts w:ascii="Arial" w:cs="Arial" w:eastAsia="Arial" w:hAnsi="Arial"/>
          <w:sz w:val="16"/>
          <w:szCs w:val="16"/>
          <w:color w:val="auto"/>
        </w:rPr>
        <w:t>. Fractional Shares shall not be issued under the Plan. Amounts credited to an Account remaining after the application of such Account to the purchase of Shares under the Plan shall be credited to the Participant’s Account for the next succeeding Offering, or, at the Participant’s election, returned to the Participant as soon as practicable following the Offering Termination Date, without interest.</w:t>
      </w:r>
    </w:p>
    <w:p>
      <w:pPr>
        <w:spacing w:after="0" w:line="106" w:lineRule="exact"/>
        <w:rPr>
          <w:rFonts w:ascii="Arial" w:cs="Arial" w:eastAsia="Arial" w:hAnsi="Arial"/>
          <w:sz w:val="16"/>
          <w:szCs w:val="16"/>
          <w:color w:val="auto"/>
        </w:rPr>
      </w:pPr>
    </w:p>
    <w:p>
      <w:pPr>
        <w:ind w:right="80" w:firstLine="464"/>
        <w:spacing w:after="0" w:line="259" w:lineRule="auto"/>
        <w:tabs>
          <w:tab w:leader="none" w:pos="705"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Transferability of Rights to Purchase Shares</w:t>
      </w:r>
      <w:r>
        <w:rPr>
          <w:rFonts w:ascii="Arial" w:cs="Arial" w:eastAsia="Arial" w:hAnsi="Arial"/>
          <w:sz w:val="18"/>
          <w:szCs w:val="18"/>
          <w:color w:val="auto"/>
        </w:rPr>
        <w:t>. No right to purchase Shares pursuant to the Plan shall be transferable other than by will or by the laws of descent and distribution, and no such right to purchase Shares pursuant to the Plan shall be exercisable during the Participant’s lifetime other than by the Participant.</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Participation</w:t>
      </w:r>
      <w:r>
        <w:rPr>
          <w:rFonts w:ascii="Arial" w:cs="Arial" w:eastAsia="Arial" w:hAnsi="Arial"/>
          <w:sz w:val="18"/>
          <w:szCs w:val="18"/>
          <w:color w:val="auto"/>
        </w:rPr>
        <w:t>.</w:t>
      </w:r>
    </w:p>
    <w:p>
      <w:pPr>
        <w:spacing w:after="0" w:line="96" w:lineRule="exact"/>
        <w:rPr>
          <w:rFonts w:ascii="Arial" w:cs="Arial" w:eastAsia="Arial" w:hAnsi="Arial"/>
          <w:sz w:val="18"/>
          <w:szCs w:val="18"/>
          <w:b w:val="1"/>
          <w:bCs w:val="1"/>
          <w:color w:val="auto"/>
        </w:rPr>
      </w:pPr>
    </w:p>
    <w:p>
      <w:pPr>
        <w:ind w:left="700" w:hanging="236"/>
        <w:spacing w:after="0"/>
        <w:tabs>
          <w:tab w:leader="none" w:pos="700"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Account</w:t>
      </w:r>
      <w:r>
        <w:rPr>
          <w:rFonts w:ascii="Arial" w:cs="Arial" w:eastAsia="Arial" w:hAnsi="Arial"/>
          <w:sz w:val="16"/>
          <w:szCs w:val="16"/>
          <w:color w:val="auto"/>
        </w:rPr>
        <w:t>. Except as provided in Paragraph 7(c), no amounts shall be distributed from Participants’ Accounts during an Offering Period.</w:t>
      </w:r>
    </w:p>
    <w:p>
      <w:pPr>
        <w:spacing w:after="0" w:line="194" w:lineRule="exact"/>
        <w:rPr>
          <w:rFonts w:ascii="Arial" w:cs="Arial" w:eastAsia="Arial" w:hAnsi="Arial"/>
          <w:sz w:val="16"/>
          <w:szCs w:val="16"/>
          <w:color w:val="auto"/>
        </w:rPr>
      </w:pPr>
    </w:p>
    <w:p>
      <w:pPr>
        <w:ind w:firstLine="464"/>
        <w:spacing w:after="0" w:line="290" w:lineRule="auto"/>
        <w:tabs>
          <w:tab w:leader="none" w:pos="705"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Suspension of Participation</w:t>
      </w:r>
      <w:r>
        <w:rPr>
          <w:rFonts w:ascii="Arial" w:cs="Arial" w:eastAsia="Arial" w:hAnsi="Arial"/>
          <w:sz w:val="16"/>
          <w:szCs w:val="16"/>
          <w:color w:val="auto"/>
        </w:rPr>
        <w:t>. A Participant may discontinue Payroll Deductions during an Offering Period by providing a Termination Form to the Committee at any time before the Offering Termination Date applicable to any Offering, provided that a Participant’s Payroll Deductions shall be discontinued to the extent required in connection with a Participant’s hardship withdrawal under the rules of the Comcast Corporation Retirement-Investment Plan or any other plan, program or arrangement pursuant to which discontinuance of contributions to the Plan may be required in connection with a Participant’s hardship withdrawal. All amounts credited to such Participant’s Account shall be applied to the purchase of Shares pursuant to Paragraph 6. A Participant who discontinues Payroll Deductions during an Offering Period, including a discontinuation of Payroll Deductions resulting from a hardship withdrawal, shall not be eligible to participate in the Offering next following the date on which the Participant delivers the Termination Form to the Committee.</w:t>
      </w:r>
    </w:p>
    <w:p>
      <w:pPr>
        <w:spacing w:after="0" w:line="118" w:lineRule="exact"/>
        <w:rPr>
          <w:rFonts w:ascii="Arial" w:cs="Arial" w:eastAsia="Arial" w:hAnsi="Arial"/>
          <w:sz w:val="16"/>
          <w:szCs w:val="16"/>
          <w:color w:val="auto"/>
        </w:rPr>
      </w:pPr>
    </w:p>
    <w:p>
      <w:pPr>
        <w:ind w:right="120" w:firstLine="464"/>
        <w:spacing w:after="0" w:line="268" w:lineRule="auto"/>
        <w:tabs>
          <w:tab w:leader="none" w:pos="695"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Upon termination of a Participant’s employment for any reason, all amounts credited to such Participant’s Account shall be returned to the Participant, or, following the Participant’s death, to the Participant’s Successor-in-Interest.</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Interest</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No interest shall be paid or allowed with respect to Payroll Deductions paid into the Plan or credited to any Participant’s Account.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106" w:name="page107"/>
    <w:bookmarkEnd w:id="106"/>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firstLine="464"/>
        <w:spacing w:after="0" w:line="301" w:lineRule="auto"/>
        <w:tabs>
          <w:tab w:leader="none" w:pos="695" w:val="left"/>
        </w:tabs>
        <w:numPr>
          <w:ilvl w:val="1"/>
          <w:numId w:val="119"/>
        </w:numPr>
        <w:rPr>
          <w:rFonts w:ascii="Arial" w:cs="Arial" w:eastAsia="Arial" w:hAnsi="Arial"/>
          <w:sz w:val="15"/>
          <w:szCs w:val="15"/>
          <w:color w:val="auto"/>
        </w:rPr>
      </w:pPr>
      <w:r>
        <w:rPr>
          <w:rFonts w:ascii="Arial" w:cs="Arial" w:eastAsia="Arial" w:hAnsi="Arial"/>
          <w:sz w:val="15"/>
          <w:szCs w:val="15"/>
          <w:u w:val="single" w:color="auto"/>
          <w:color w:val="auto"/>
        </w:rPr>
        <w:t>Maximum Number of Shares; Adjustments</w:t>
      </w:r>
      <w:r>
        <w:rPr>
          <w:rFonts w:ascii="Arial" w:cs="Arial" w:eastAsia="Arial" w:hAnsi="Arial"/>
          <w:sz w:val="15"/>
          <w:szCs w:val="15"/>
          <w:color w:val="auto"/>
        </w:rPr>
        <w:t>. Subject to adjustment as provided in this Paragraph 9, not more than 35,500,000 Shares in the aggregate may be issued pursuant to the Plan pursuant to Offerings under the Plan, including Offerings commenced since the Plan first became effective as the Comcast Corporation 2001 Employee Stock Purchase Plan.Shares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shares of stock available for issuance under the Plan, as adjusted pursuant to this Paragraph</w:t>
      </w:r>
    </w:p>
    <w:p>
      <w:pPr>
        <w:spacing w:after="0" w:line="4" w:lineRule="exact"/>
        <w:rPr>
          <w:rFonts w:ascii="Arial" w:cs="Arial" w:eastAsia="Arial" w:hAnsi="Arial"/>
          <w:sz w:val="15"/>
          <w:szCs w:val="15"/>
          <w:color w:val="auto"/>
        </w:rPr>
      </w:pPr>
    </w:p>
    <w:p>
      <w:pPr>
        <w:ind w:right="180" w:firstLine="8"/>
        <w:spacing w:after="0" w:line="261" w:lineRule="auto"/>
        <w:tabs>
          <w:tab w:leader="none" w:pos="17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Board’s or the Committee’s adjustment shall be effective and binding for all purposes of this Plan. All Shares issued pursuant to the Plan shall be validly issued, fully paid and nonassessable.</w:t>
      </w:r>
    </w:p>
    <w:p>
      <w:pPr>
        <w:spacing w:after="0" w:line="137" w:lineRule="exact"/>
        <w:rPr>
          <w:rFonts w:ascii="Arial" w:cs="Arial" w:eastAsia="Arial" w:hAnsi="Arial"/>
          <w:sz w:val="18"/>
          <w:szCs w:val="18"/>
          <w:color w:val="auto"/>
        </w:rPr>
      </w:pPr>
    </w:p>
    <w:p>
      <w:pPr>
        <w:ind w:right="600" w:firstLine="464"/>
        <w:spacing w:after="0" w:line="268" w:lineRule="auto"/>
        <w:tabs>
          <w:tab w:leader="none" w:pos="705"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Participant’s Interest in Shares</w:t>
      </w:r>
      <w:r>
        <w:rPr>
          <w:rFonts w:ascii="Arial" w:cs="Arial" w:eastAsia="Arial" w:hAnsi="Arial"/>
          <w:sz w:val="18"/>
          <w:szCs w:val="18"/>
          <w:color w:val="auto"/>
        </w:rPr>
        <w:t>. A Participant shall have no interest in Shares offered under the Plan until Shares are credited to the Participant’s Brokerage Account.</w:t>
      </w:r>
    </w:p>
    <w:p>
      <w:pPr>
        <w:spacing w:after="0" w:line="131" w:lineRule="exact"/>
        <w:rPr>
          <w:rFonts w:ascii="Arial" w:cs="Arial" w:eastAsia="Arial" w:hAnsi="Arial"/>
          <w:sz w:val="18"/>
          <w:szCs w:val="18"/>
          <w:color w:val="auto"/>
        </w:rPr>
      </w:pPr>
    </w:p>
    <w:p>
      <w:pPr>
        <w:ind w:right="640" w:firstLine="464"/>
        <w:spacing w:after="0" w:line="268" w:lineRule="auto"/>
        <w:tabs>
          <w:tab w:leader="none" w:pos="695"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Crediting of Shares to Brokerage Account</w:t>
      </w:r>
      <w:r>
        <w:rPr>
          <w:rFonts w:ascii="Arial" w:cs="Arial" w:eastAsia="Arial" w:hAnsi="Arial"/>
          <w:sz w:val="18"/>
          <w:szCs w:val="18"/>
          <w:color w:val="auto"/>
        </w:rPr>
        <w:t>. Shares purchased under the Plan shall be credited to the Participant’s Brokerage Account as soon as practicable following the Offering Termination Date.</w:t>
      </w:r>
    </w:p>
    <w:p>
      <w:pPr>
        <w:spacing w:after="0" w:line="131" w:lineRule="exact"/>
        <w:rPr>
          <w:rFonts w:ascii="Arial" w:cs="Arial" w:eastAsia="Arial" w:hAnsi="Arial"/>
          <w:sz w:val="18"/>
          <w:szCs w:val="18"/>
          <w:color w:val="auto"/>
        </w:rPr>
      </w:pPr>
    </w:p>
    <w:p>
      <w:pPr>
        <w:ind w:right="260" w:firstLine="464"/>
        <w:spacing w:after="0" w:line="332" w:lineRule="auto"/>
        <w:tabs>
          <w:tab w:leader="none" w:pos="705"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Restrictions on Purchase</w:t>
      </w:r>
      <w:r>
        <w:rPr>
          <w:rFonts w:ascii="Arial" w:cs="Arial" w:eastAsia="Arial" w:hAnsi="Arial"/>
          <w:sz w:val="16"/>
          <w:szCs w:val="16"/>
          <w:color w:val="auto"/>
        </w:rPr>
        <w:t>. The Board or the Committee may, in its discretion, require as conditions to the purchase of any Shares under the Plan such conditions as it may deem necessary to assure that such purchase of Shares is in compliance with applicable securities laws.</w:t>
      </w:r>
    </w:p>
    <w:p>
      <w:pPr>
        <w:spacing w:after="0" w:line="85" w:lineRule="exact"/>
        <w:rPr>
          <w:rFonts w:ascii="Arial" w:cs="Arial" w:eastAsia="Arial" w:hAnsi="Arial"/>
          <w:sz w:val="16"/>
          <w:szCs w:val="16"/>
          <w:color w:val="auto"/>
        </w:rPr>
      </w:pPr>
    </w:p>
    <w:p>
      <w:pPr>
        <w:ind w:right="120" w:firstLine="464"/>
        <w:spacing w:after="0" w:line="255" w:lineRule="auto"/>
        <w:tabs>
          <w:tab w:leader="none" w:pos="695"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Restrictions on Sale of Shares</w:t>
      </w:r>
      <w:r>
        <w:rPr>
          <w:rFonts w:ascii="Arial" w:cs="Arial" w:eastAsia="Arial" w:hAnsi="Arial"/>
          <w:sz w:val="18"/>
          <w:szCs w:val="18"/>
          <w:color w:val="auto"/>
        </w:rPr>
        <w:t>. The Board or the Committee may, in its discretion, require as conditions to the sale of any Shares credited to Participants’ Brokerage Accounts under the Plan (i) such conditions as it may deem necessary to assure that such sale of Shares is in compliance with applicable securities laws and (ii) a minimum holding period (not to exceed one year) following the purchase of Shares before Shares credited to Participants’ Brokerage Accounts may be sold or otherwise transferred, provided that such holding period, if any, shall not apply to Shares credited to the Brokerage Account of a Participant who has terminated employment on account of death or disability.</w:t>
      </w:r>
    </w:p>
    <w:p>
      <w:pPr>
        <w:spacing w:after="0" w:line="258" w:lineRule="exact"/>
        <w:rPr>
          <w:rFonts w:ascii="Arial" w:cs="Arial" w:eastAsia="Arial" w:hAnsi="Arial"/>
          <w:sz w:val="18"/>
          <w:szCs w:val="18"/>
          <w:color w:val="auto"/>
        </w:rPr>
      </w:pPr>
    </w:p>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Participating Companies shall pay all fees and expenses incurred (excluding individual Federal, state, local or other taxes) in connection with the Plan. No charge or deduction for any such expenses will be made to a Participant upon the termination of his or her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participation under the Plan or upon the distribution of certificates representing Shares purchased with his or her Payroll Deductions.</w:t>
      </w:r>
    </w:p>
    <w:p>
      <w:pPr>
        <w:spacing w:after="0" w:line="287"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and in connection with the sale of Shares acquired under the Plan. In connection with such withholding, the Participating Companies may make any such arrangements as they may deem necessary or appropriate to protect their interests.</w:t>
      </w:r>
    </w:p>
    <w:p>
      <w:pPr>
        <w:spacing w:after="0" w:line="259"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and Contributions Not to Affect Employment</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shall not confer upon any Eligible Employee any right to continue in the employ of the Participating Companies.</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228"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Termination</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 no amendment to the Plan shall affect the right of any Participant to receive his or her proportionate interest in the Shares or his or her Payroll Deductions (to the extent not yet applied to the purchase of Shares) under the Plan, and provided further that the Company may seek shareholder approval of an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w:t>
      </w:r>
    </w:p>
    <w:p>
      <w:pPr>
        <w:spacing w:after="0" w:line="220"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original effective date of the Plan was December 20, 2000.</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Government and Other Regulations</w:t>
      </w:r>
      <w:r>
        <w:rPr>
          <w:rFonts w:ascii="Arial" w:cs="Arial" w:eastAsia="Arial" w:hAnsi="Arial"/>
          <w:sz w:val="18"/>
          <w:szCs w:val="18"/>
          <w:b w:val="1"/>
          <w:bCs w:val="1"/>
          <w:color w:val="auto"/>
        </w:rPr>
        <w: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08" w:name="page109"/>
    <w:bookmarkEnd w:id="108"/>
    <w:p>
      <w:pPr>
        <w:ind w:right="660" w:firstLine="464"/>
        <w:spacing w:after="0" w:line="268" w:lineRule="auto"/>
        <w:tabs>
          <w:tab w:leader="none" w:pos="695"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General</w:t>
      </w:r>
      <w:r>
        <w:rPr>
          <w:rFonts w:ascii="Arial" w:cs="Arial" w:eastAsia="Arial" w:hAnsi="Arial"/>
          <w:sz w:val="18"/>
          <w:szCs w:val="18"/>
          <w:color w:val="auto"/>
        </w:rPr>
        <w:t>. The purchase of Shares under the Plan shall be subject to all applicable laws, rules and regulations, and to such approvals by any governmental agencies as may be required.</w:t>
      </w:r>
    </w:p>
    <w:p>
      <w:pPr>
        <w:spacing w:after="0" w:line="131" w:lineRule="exact"/>
        <w:rPr>
          <w:rFonts w:ascii="Arial" w:cs="Arial" w:eastAsia="Arial" w:hAnsi="Arial"/>
          <w:sz w:val="18"/>
          <w:szCs w:val="18"/>
          <w:color w:val="auto"/>
        </w:rPr>
      </w:pPr>
    </w:p>
    <w:p>
      <w:pPr>
        <w:ind w:right="260" w:firstLine="464"/>
        <w:spacing w:after="0" w:line="306" w:lineRule="auto"/>
        <w:tabs>
          <w:tab w:leader="none" w:pos="705"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Securities Law</w:t>
      </w:r>
      <w:r>
        <w:rPr>
          <w:rFonts w:ascii="Arial" w:cs="Arial" w:eastAsia="Arial" w:hAnsi="Arial"/>
          <w:sz w:val="16"/>
          <w:szCs w:val="16"/>
          <w:color w:val="auto"/>
        </w:rPr>
        <w:t>. The Committee shall have the power to make each Offering under the Plan subject to such conditions as it deems necessary or appropriate to comply with the then-existing requirements of the Securities Act of 1933, as amended, and the Securities Exchange Act of 1934, as amended, including Rule 16b-3 (or any similar rule) promulgated by the Securities and Exchange Commission thereunder.</w:t>
      </w:r>
    </w:p>
    <w:p>
      <w:pPr>
        <w:spacing w:after="0" w:line="222" w:lineRule="exact"/>
        <w:rPr>
          <w:rFonts w:ascii="Arial" w:cs="Arial" w:eastAsia="Arial" w:hAnsi="Arial"/>
          <w:sz w:val="16"/>
          <w:szCs w:val="16"/>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Non-Alienation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5"/>
          <w:szCs w:val="15"/>
          <w:color w:val="auto"/>
        </w:rPr>
        <w:t>No Participant shall be permitted to assign, alienate, sell, transfer, pledge or otherwise encumber his right to purchase Shares under the Plan prior to time</w:t>
      </w:r>
    </w:p>
    <w:p>
      <w:pPr>
        <w:spacing w:after="0" w:line="5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that Shares are credited to the Participant’s Brokerage Account. Any attempt at assignment, alienation, sale, transfer, pledge or other encumbrance shall be void and of no effect.</w:t>
      </w:r>
    </w:p>
    <w:p>
      <w:pPr>
        <w:spacing w:after="0" w:line="253"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notice required or permitted hereunder shall be sufficiently given only if delivered personally, telecopied, or sent by first class mail, postage prepaid, and addressed:</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ComcastCorporation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OneComcastCenter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1701 JFK Boulevard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Philadelphia, PA19103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215-286-7794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 any other address provided pursuant to notice provided by the Committee.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If to the Participant</w:t>
      </w:r>
      <w:r>
        <w:rPr>
          <w:rFonts w:ascii="Arial" w:cs="Arial" w:eastAsia="Arial" w:hAnsi="Arial"/>
          <w:sz w:val="18"/>
          <w:szCs w:val="18"/>
          <w:color w:val="auto"/>
        </w:rPr>
        <w:t>:</w:t>
      </w:r>
    </w:p>
    <w:p>
      <w:pPr>
        <w:spacing w:after="0" w:line="90" w:lineRule="exact"/>
        <w:rPr>
          <w:sz w:val="20"/>
          <w:szCs w:val="20"/>
          <w:color w:val="auto"/>
        </w:rPr>
      </w:pPr>
    </w:p>
    <w:p>
      <w:pPr>
        <w:ind w:left="920" w:right="20"/>
        <w:spacing w:after="0" w:line="332" w:lineRule="auto"/>
        <w:rPr>
          <w:sz w:val="20"/>
          <w:szCs w:val="20"/>
          <w:color w:val="auto"/>
        </w:rPr>
      </w:pPr>
      <w:r>
        <w:rPr>
          <w:rFonts w:ascii="Arial" w:cs="Arial" w:eastAsia="Arial" w:hAnsi="Arial"/>
          <w:sz w:val="16"/>
          <w:szCs w:val="16"/>
          <w:color w:val="auto"/>
        </w:rPr>
        <w:t>At the address on file with the Participating Company from time to time, or to such other address as either party may hereafter designate in writing (or via such other means of communication permitted by the Committee) by notice similarly given by one party to the other.</w:t>
      </w:r>
    </w:p>
    <w:p>
      <w:pPr>
        <w:spacing w:after="0" w:line="201"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shall be binding upon and inure to the benefit of any successors or assigns of the Company.</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1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280" w:right="419" w:bottom="1440" w:gutter="0" w:footer="0" w:header="0"/>
        </w:sectPr>
      </w:pPr>
    </w:p>
    <w:bookmarkStart w:id="109" w:name="page110"/>
    <w:bookmarkEnd w:id="109"/>
    <w:p>
      <w:pPr>
        <w:ind w:right="4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part of this Plan shall be determined to be invalid or void in any respect, such determination shall not affect, impair, invalidate or nullify the remaining provisions of this Plan which shall continue in full force and effect.</w:t>
      </w:r>
    </w:p>
    <w:p>
      <w:pPr>
        <w:spacing w:after="0" w:line="248"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Acceptance</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election by any Eligible Employee to participate in this Plan constitutes his or her acceptance of the terms of the Plan and his or her agreement to be bound hereby.</w:t>
      </w:r>
    </w:p>
    <w:p>
      <w:pPr>
        <w:spacing w:after="0" w:line="248"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right="60"/>
        <w:spacing w:after="0" w:line="456" w:lineRule="auto"/>
        <w:rPr>
          <w:rFonts w:ascii="Arial" w:cs="Arial" w:eastAsia="Arial" w:hAnsi="Arial"/>
          <w:sz w:val="18"/>
          <w:szCs w:val="18"/>
          <w:b w:val="1"/>
          <w:bCs w:val="1"/>
          <w:color w:val="auto"/>
        </w:rPr>
      </w:pPr>
      <w:r>
        <w:rPr>
          <w:rFonts w:ascii="Arial" w:cs="Arial" w:eastAsia="Arial" w:hAnsi="Arial"/>
          <w:sz w:val="18"/>
          <w:szCs w:val="18"/>
          <w:color w:val="auto"/>
        </w:rPr>
        <w:t>This Plan shall be construed in accordance with the laws of the Commonwealth of Pennsylvania, to the extent not preempted by applicable Federal law. Executed as of the 29</w:t>
      </w:r>
      <w:r>
        <w:rPr>
          <w:rFonts w:ascii="Arial" w:cs="Arial" w:eastAsia="Arial" w:hAnsi="Arial"/>
          <w:sz w:val="11"/>
          <w:szCs w:val="11"/>
          <w:color w:val="auto"/>
        </w:rPr>
        <w:t>th</w:t>
      </w:r>
      <w:r>
        <w:rPr>
          <w:rFonts w:ascii="Arial" w:cs="Arial" w:eastAsia="Arial" w:hAnsi="Arial"/>
          <w:sz w:val="18"/>
          <w:szCs w:val="18"/>
          <w:color w:val="auto"/>
        </w:rPr>
        <w:t xml:space="preserve"> day of August, 2012.</w:t>
      </w:r>
    </w:p>
    <w:p>
      <w:pPr>
        <w:spacing w:after="0" w:line="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32" w:lineRule="exact"/>
        <w:rPr>
          <w:sz w:val="20"/>
          <w:szCs w:val="20"/>
          <w:color w:val="auto"/>
        </w:rPr>
      </w:pPr>
    </w:p>
    <w:p>
      <w:pPr>
        <w:ind w:left="6860"/>
        <w:spacing w:after="0"/>
        <w:tabs>
          <w:tab w:leader="none" w:pos="7760" w:val="left"/>
        </w:tabs>
        <w:rPr>
          <w:sz w:val="20"/>
          <w:szCs w:val="20"/>
          <w:color w:val="auto"/>
        </w:rPr>
      </w:pPr>
      <w:r>
        <w:rPr>
          <w:rFonts w:ascii="Arial" w:cs="Arial" w:eastAsia="Arial" w:hAnsi="Arial"/>
          <w:sz w:val="18"/>
          <w:szCs w:val="18"/>
          <w:b w:val="1"/>
          <w:bCs w:val="1"/>
          <w:color w:val="auto"/>
        </w:rPr>
        <w:t>ATTEST:</w:t>
      </w:r>
      <w:r>
        <w:rPr>
          <w:sz w:val="20"/>
          <w:szCs w:val="20"/>
          <w:color w:val="auto"/>
        </w:rPr>
        <w:tab/>
      </w:r>
      <w:r>
        <w:rPr>
          <w:rFonts w:ascii="Arial" w:cs="Arial" w:eastAsia="Arial" w:hAnsi="Arial"/>
          <w:sz w:val="16"/>
          <w:szCs w:val="16"/>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14605</wp:posOffset>
            </wp:positionV>
            <wp:extent cx="231521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7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280" w:right="47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COMCAST-NBCUNIVERSAL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EMPLOYEE STOCK PURCHASE PLAN</w:t>
      </w:r>
    </w:p>
    <w:p>
      <w:pPr>
        <w:spacing w:after="0" w:line="212"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COMCAST CORPORATION, a Pennsylvania corporation, hereby amends and restates the Comcast-NBCUniversal 2011 Employee Stock Purchase Plan (the “Plan”). The Plan is intended to encourage and facilitate the purchase of shares of common stock of Comcast Corporation by Eligible Employees of the Joint Venture and any Participating Companies, thereby providing such Eligible Employees with a personal stake in the Company and a long-range inducement to remain in the employ of the Joint Venture and Participating Companies. It is the intention of the Company that the Plan not qualify as an “employee stock purchase plan” within the meaning of section 423 of the Code.</w:t>
      </w:r>
    </w:p>
    <w:p>
      <w:pPr>
        <w:spacing w:after="0" w:line="258"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700" w:hanging="236"/>
        <w:spacing w:after="0"/>
        <w:tabs>
          <w:tab w:leader="none" w:pos="7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 bookkeeping account established by the Committee on behalf of a Participant to hold Payroll Deductions.</w:t>
      </w:r>
    </w:p>
    <w:p>
      <w:pPr>
        <w:spacing w:after="0" w:line="171" w:lineRule="exact"/>
        <w:rPr>
          <w:rFonts w:ascii="Arial" w:cs="Arial" w:eastAsia="Arial" w:hAnsi="Arial"/>
          <w:sz w:val="18"/>
          <w:szCs w:val="18"/>
          <w:color w:val="auto"/>
        </w:rPr>
      </w:pPr>
    </w:p>
    <w:p>
      <w:pPr>
        <w:ind w:right="100" w:firstLine="464"/>
        <w:spacing w:after="0" w:line="256" w:lineRule="auto"/>
        <w:tabs>
          <w:tab w:leader="none" w:pos="70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left="700" w:hanging="236"/>
        <w:spacing w:after="0"/>
        <w:tabs>
          <w:tab w:leader="none" w:pos="7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right="180" w:firstLine="464"/>
        <w:spacing w:after="0" w:line="268" w:lineRule="auto"/>
        <w:tabs>
          <w:tab w:leader="none" w:pos="70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Brokerage Account</w:t>
      </w:r>
      <w:r>
        <w:rPr>
          <w:rFonts w:ascii="Arial" w:cs="Arial" w:eastAsia="Arial" w:hAnsi="Arial"/>
          <w:sz w:val="18"/>
          <w:szCs w:val="18"/>
          <w:color w:val="auto"/>
        </w:rPr>
        <w:t>” means the brokerage account established under the Plan by the Company for each Participant, to which Shares purchased under the Plan shall be credited.</w:t>
      </w:r>
    </w:p>
    <w:p>
      <w:pPr>
        <w:spacing w:after="0" w:line="131" w:lineRule="exact"/>
        <w:rPr>
          <w:rFonts w:ascii="Arial" w:cs="Arial" w:eastAsia="Arial" w:hAnsi="Arial"/>
          <w:sz w:val="18"/>
          <w:szCs w:val="18"/>
          <w:color w:val="auto"/>
        </w:rPr>
      </w:pPr>
    </w:p>
    <w:p>
      <w:pPr>
        <w:ind w:right="180" w:firstLine="464"/>
        <w:spacing w:after="0" w:line="298" w:lineRule="auto"/>
        <w:tabs>
          <w:tab w:leader="none" w:pos="695" w:val="left"/>
        </w:tabs>
        <w:numPr>
          <w:ilvl w:val="1"/>
          <w:numId w:val="1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12" w:lineRule="exact"/>
        <w:rPr>
          <w:rFonts w:ascii="Arial" w:cs="Arial" w:eastAsia="Arial" w:hAnsi="Arial"/>
          <w:sz w:val="16"/>
          <w:szCs w:val="16"/>
          <w:color w:val="auto"/>
        </w:rPr>
      </w:pPr>
    </w:p>
    <w:p>
      <w:pPr>
        <w:ind w:left="680" w:hanging="216"/>
        <w:spacing w:after="0"/>
        <w:tabs>
          <w:tab w:leader="none" w:pos="6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its delegate.</w:t>
      </w:r>
    </w:p>
    <w:p>
      <w:pPr>
        <w:spacing w:after="0" w:line="171" w:lineRule="exact"/>
        <w:rPr>
          <w:rFonts w:ascii="Arial" w:cs="Arial" w:eastAsia="Arial" w:hAnsi="Arial"/>
          <w:sz w:val="18"/>
          <w:szCs w:val="18"/>
          <w:color w:val="auto"/>
        </w:rPr>
      </w:pPr>
    </w:p>
    <w:p>
      <w:pPr>
        <w:ind w:right="280" w:firstLine="464"/>
        <w:spacing w:after="0" w:line="268" w:lineRule="auto"/>
        <w:tabs>
          <w:tab w:leader="none" w:pos="70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ectPr>
          <w:pgSz w:w="11900" w:h="16838" w:orient="portrait"/>
          <w:cols w:equalWidth="0" w:num="1">
            <w:col w:w="11420"/>
          </w:cols>
          <w:pgMar w:left="240" w:top="125" w:right="239" w:bottom="1440" w:gutter="0" w:footer="0" w:header="0"/>
        </w:sectPr>
      </w:pPr>
    </w:p>
    <w:bookmarkStart w:id="111" w:name="page112"/>
    <w:bookmarkEnd w:id="111"/>
    <w:p>
      <w:pPr>
        <w:ind w:left="-80" w:firstLine="464"/>
        <w:spacing w:after="0" w:line="255" w:lineRule="auto"/>
        <w:tabs>
          <w:tab w:leader="none" w:pos="586" w:val="left"/>
        </w:tabs>
        <w:numPr>
          <w:ilvl w:val="0"/>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an Eligible Employee’s wages as reported on Form W-2 (</w:t>
      </w:r>
      <w:r>
        <w:rPr>
          <w:rFonts w:ascii="Arial" w:cs="Arial" w:eastAsia="Arial" w:hAnsi="Arial"/>
          <w:sz w:val="18"/>
          <w:szCs w:val="18"/>
          <w:u w:val="single" w:color="auto"/>
          <w:color w:val="auto"/>
        </w:rPr>
        <w:t>i.e.</w:t>
      </w:r>
      <w:r>
        <w:rPr>
          <w:rFonts w:ascii="Arial" w:cs="Arial" w:eastAsia="Arial" w:hAnsi="Arial"/>
          <w:sz w:val="18"/>
          <w:szCs w:val="18"/>
          <w:color w:val="auto"/>
        </w:rPr>
        <w:t>,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142" w:lineRule="exact"/>
        <w:rPr>
          <w:rFonts w:ascii="Arial" w:cs="Arial" w:eastAsia="Arial" w:hAnsi="Arial"/>
          <w:sz w:val="18"/>
          <w:szCs w:val="18"/>
          <w:color w:val="auto"/>
        </w:rPr>
      </w:pPr>
    </w:p>
    <w:p>
      <w:pPr>
        <w:ind w:left="600" w:hanging="216"/>
        <w:spacing w:after="0"/>
        <w:tabs>
          <w:tab w:leader="none" w:pos="6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effective date referenced in Paragraph 15.</w:t>
      </w:r>
    </w:p>
    <w:p>
      <w:pPr>
        <w:spacing w:after="0" w:line="171" w:lineRule="exact"/>
        <w:rPr>
          <w:rFonts w:ascii="Arial" w:cs="Arial" w:eastAsia="Arial" w:hAnsi="Arial"/>
          <w:sz w:val="18"/>
          <w:szCs w:val="18"/>
          <w:color w:val="auto"/>
        </w:rPr>
      </w:pPr>
    </w:p>
    <w:p>
      <w:pPr>
        <w:ind w:left="-80" w:right="540" w:firstLine="464"/>
        <w:spacing w:after="0" w:line="268" w:lineRule="auto"/>
        <w:tabs>
          <w:tab w:leader="none" w:pos="62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Form</w:t>
      </w:r>
      <w:r>
        <w:rPr>
          <w:rFonts w:ascii="Arial" w:cs="Arial" w:eastAsia="Arial" w:hAnsi="Arial"/>
          <w:sz w:val="18"/>
          <w:szCs w:val="18"/>
          <w:color w:val="auto"/>
        </w:rPr>
        <w:t>” means the written or electronic form acceptable to the Committee which an Eligible Employee shall use to make an election to purchase Shares through Payroll Deductions pursuant to the Plan.</w:t>
      </w:r>
    </w:p>
    <w:p>
      <w:pPr>
        <w:spacing w:after="0" w:line="131" w:lineRule="exact"/>
        <w:rPr>
          <w:rFonts w:ascii="Arial" w:cs="Arial" w:eastAsia="Arial" w:hAnsi="Arial"/>
          <w:sz w:val="18"/>
          <w:szCs w:val="18"/>
          <w:color w:val="auto"/>
        </w:rPr>
      </w:pPr>
    </w:p>
    <w:p>
      <w:pPr>
        <w:ind w:left="600" w:hanging="216"/>
        <w:spacing w:after="0"/>
        <w:tabs>
          <w:tab w:leader="none" w:pos="6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who is not an Ineligible Employee.</w:t>
      </w:r>
    </w:p>
    <w:p>
      <w:pPr>
        <w:spacing w:after="0" w:line="171" w:lineRule="exact"/>
        <w:rPr>
          <w:rFonts w:ascii="Arial" w:cs="Arial" w:eastAsia="Arial" w:hAnsi="Arial"/>
          <w:sz w:val="18"/>
          <w:szCs w:val="18"/>
          <w:color w:val="auto"/>
        </w:rPr>
      </w:pPr>
    </w:p>
    <w:p>
      <w:pPr>
        <w:ind w:left="680" w:hanging="296"/>
        <w:spacing w:after="0"/>
        <w:tabs>
          <w:tab w:leader="none" w:pos="6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Employer</w:t>
      </w:r>
      <w:r>
        <w:rPr>
          <w:rFonts w:ascii="Arial" w:cs="Arial" w:eastAsia="Arial" w:hAnsi="Arial"/>
          <w:sz w:val="18"/>
          <w:szCs w:val="18"/>
          <w:color w:val="auto"/>
        </w:rPr>
        <w:t>” means the Joint Venture and any Subsidiary of the Joint Venture other than:</w:t>
      </w:r>
    </w:p>
    <w:p>
      <w:pPr>
        <w:spacing w:after="0" w:line="171" w:lineRule="exact"/>
        <w:rPr>
          <w:rFonts w:ascii="Arial" w:cs="Arial" w:eastAsia="Arial" w:hAnsi="Arial"/>
          <w:sz w:val="18"/>
          <w:szCs w:val="18"/>
          <w:color w:val="auto"/>
        </w:rPr>
      </w:pPr>
    </w:p>
    <w:p>
      <w:pPr>
        <w:ind w:left="-80" w:right="580" w:firstLine="921"/>
        <w:spacing w:after="0" w:line="268" w:lineRule="auto"/>
        <w:tabs>
          <w:tab w:leader="none" w:pos="108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 Subsidiary that is organized under the laws of a jurisdiction outside of the United States of America, other than a Subsidiary referenced pursuant to Section 2(p)(3); or</w:t>
      </w:r>
    </w:p>
    <w:p>
      <w:pPr>
        <w:spacing w:after="0" w:line="131" w:lineRule="exact"/>
        <w:rPr>
          <w:rFonts w:ascii="Arial" w:cs="Arial" w:eastAsia="Arial" w:hAnsi="Arial"/>
          <w:sz w:val="18"/>
          <w:szCs w:val="18"/>
          <w:color w:val="auto"/>
        </w:rPr>
      </w:pPr>
    </w:p>
    <w:p>
      <w:pPr>
        <w:ind w:left="-80" w:right="320" w:firstLine="921"/>
        <w:spacing w:after="0" w:line="268" w:lineRule="auto"/>
        <w:tabs>
          <w:tab w:leader="none" w:pos="108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except as otherwise provided by the Committee, a Subsidiary that is a “Participating Company” as defined in the Comcast Corporation 2002 Employee Stock Purchase Plan.</w:t>
      </w:r>
    </w:p>
    <w:p>
      <w:pPr>
        <w:spacing w:after="0" w:line="131" w:lineRule="exact"/>
        <w:rPr>
          <w:rFonts w:ascii="Arial" w:cs="Arial" w:eastAsia="Arial" w:hAnsi="Arial"/>
          <w:sz w:val="18"/>
          <w:szCs w:val="18"/>
          <w:color w:val="auto"/>
        </w:rPr>
      </w:pPr>
    </w:p>
    <w:p>
      <w:pPr>
        <w:ind w:left="-80" w:right="600" w:firstLine="464"/>
        <w:spacing w:after="0" w:line="268" w:lineRule="auto"/>
        <w:tabs>
          <w:tab w:leader="none" w:pos="62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Employee who is employed by a Participating Company and designated on the books and records of such Participating Company as an employee, provided that the term “Employee” shall not include:</w:t>
      </w:r>
    </w:p>
    <w:p>
      <w:pPr>
        <w:spacing w:after="0" w:line="131" w:lineRule="exact"/>
        <w:rPr>
          <w:rFonts w:ascii="Arial" w:cs="Arial" w:eastAsia="Arial" w:hAnsi="Arial"/>
          <w:sz w:val="18"/>
          <w:szCs w:val="18"/>
          <w:color w:val="auto"/>
        </w:rPr>
      </w:pPr>
    </w:p>
    <w:p>
      <w:pPr>
        <w:ind w:left="1080" w:hanging="239"/>
        <w:spacing w:after="0"/>
        <w:tabs>
          <w:tab w:leader="none" w:pos="108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an individual covered by a collective bargaining agreement, unless such agreement specifically provides for participation hereunder;</w:t>
      </w:r>
    </w:p>
    <w:p>
      <w:pPr>
        <w:spacing w:after="0" w:line="194" w:lineRule="exact"/>
        <w:rPr>
          <w:rFonts w:ascii="Arial" w:cs="Arial" w:eastAsia="Arial" w:hAnsi="Arial"/>
          <w:sz w:val="16"/>
          <w:szCs w:val="16"/>
          <w:color w:val="auto"/>
        </w:rPr>
      </w:pPr>
    </w:p>
    <w:p>
      <w:pPr>
        <w:ind w:left="-80" w:right="80" w:firstLine="921"/>
        <w:spacing w:after="0" w:line="332" w:lineRule="auto"/>
        <w:tabs>
          <w:tab w:leader="none" w:pos="1082" w:val="left"/>
        </w:tabs>
        <w:numPr>
          <w:ilvl w:val="1"/>
          <w:numId w:val="133"/>
        </w:numPr>
        <w:rPr>
          <w:rFonts w:ascii="Arial" w:cs="Arial" w:eastAsia="Arial" w:hAnsi="Arial"/>
          <w:sz w:val="16"/>
          <w:szCs w:val="16"/>
          <w:color w:val="auto"/>
        </w:rPr>
      </w:pPr>
      <w:r>
        <w:rPr>
          <w:rFonts w:ascii="Arial" w:cs="Arial" w:eastAsia="Arial" w:hAnsi="Arial"/>
          <w:sz w:val="16"/>
          <w:szCs w:val="16"/>
          <w:color w:val="auto"/>
        </w:rPr>
        <w:t>except as otherwise provided by Paragraph 2(p)(3), an individual who is not on a United States employee payroll of a Participating Company or an individual with respect to whom the Participating Company does not report such individual’s compensation as wages on Form W-2;</w:t>
      </w:r>
    </w:p>
    <w:p>
      <w:pPr>
        <w:spacing w:after="0" w:line="85" w:lineRule="exact"/>
        <w:rPr>
          <w:rFonts w:ascii="Arial" w:cs="Arial" w:eastAsia="Arial" w:hAnsi="Arial"/>
          <w:sz w:val="16"/>
          <w:szCs w:val="16"/>
          <w:color w:val="auto"/>
        </w:rPr>
      </w:pPr>
    </w:p>
    <w:p>
      <w:pPr>
        <w:ind w:left="-80" w:right="40" w:firstLine="921"/>
        <w:spacing w:after="0" w:line="259" w:lineRule="auto"/>
        <w:tabs>
          <w:tab w:leader="none" w:pos="108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 individual who has entered into an agreement with a Participating Company which excludes such individual from participation in employee benefit plans of a Participating Company (whether or not such individual is treated or classified as an employee for certain specified purposes that do not include eligibility to participate in the Plan); and</w:t>
      </w:r>
    </w:p>
    <w:p>
      <w:pPr>
        <w:spacing w:after="0" w:line="140" w:lineRule="exact"/>
        <w:rPr>
          <w:rFonts w:ascii="Arial" w:cs="Arial" w:eastAsia="Arial" w:hAnsi="Arial"/>
          <w:sz w:val="18"/>
          <w:szCs w:val="18"/>
          <w:color w:val="auto"/>
        </w:rPr>
      </w:pPr>
    </w:p>
    <w:p>
      <w:pPr>
        <w:ind w:left="-80" w:right="160" w:firstLine="921"/>
        <w:spacing w:after="0" w:line="268" w:lineRule="auto"/>
        <w:tabs>
          <w:tab w:leader="none" w:pos="108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 individual who is not classified by the Participating Company as an employee, even if such individual is retroactively re-characterized as an employee by a third party or a Participating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320" w:top="280" w:right="299" w:bottom="1440" w:gutter="0" w:footer="0" w:header="0"/>
        </w:sectPr>
      </w:pPr>
    </w:p>
    <w:bookmarkStart w:id="112" w:name="page113"/>
    <w:bookmarkEnd w:id="112"/>
    <w:p>
      <w:pPr>
        <w:ind w:firstLine="464"/>
        <w:spacing w:after="0" w:line="256" w:lineRule="auto"/>
        <w:tabs>
          <w:tab w:leader="none" w:pos="705"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Employee</w:t>
      </w:r>
      <w:r>
        <w:rPr>
          <w:rFonts w:ascii="Arial" w:cs="Arial" w:eastAsia="Arial" w:hAnsi="Arial"/>
          <w:sz w:val="18"/>
          <w:szCs w:val="18"/>
          <w:color w:val="auto"/>
        </w:rPr>
        <w:t>” means: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For an Employee of any Participating Employer other than Universal Orlando, an Employee who, as of an Offering Commencement Date:</w:t>
      </w:r>
    </w:p>
    <w:p>
      <w:pPr>
        <w:spacing w:after="0" w:line="194" w:lineRule="exact"/>
        <w:rPr>
          <w:rFonts w:ascii="Arial" w:cs="Arial" w:eastAsia="Arial" w:hAnsi="Arial"/>
          <w:sz w:val="16"/>
          <w:szCs w:val="16"/>
          <w:color w:val="auto"/>
        </w:rPr>
      </w:pPr>
    </w:p>
    <w:p>
      <w:pPr>
        <w:ind w:left="1620" w:hanging="128"/>
        <w:spacing w:after="0"/>
        <w:tabs>
          <w:tab w:leader="none" w:pos="1620" w:val="left"/>
        </w:tabs>
        <w:numPr>
          <w:ilvl w:val="2"/>
          <w:numId w:val="134"/>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full-time basis for less than 90 days;</w:t>
      </w:r>
    </w:p>
    <w:p>
      <w:pPr>
        <w:spacing w:after="0" w:line="171" w:lineRule="exact"/>
        <w:rPr>
          <w:rFonts w:ascii="Arial" w:cs="Arial" w:eastAsia="Arial" w:hAnsi="Arial"/>
          <w:sz w:val="18"/>
          <w:szCs w:val="18"/>
          <w:color w:val="auto"/>
        </w:rPr>
      </w:pPr>
    </w:p>
    <w:p>
      <w:pPr>
        <w:ind w:left="1680" w:hanging="188"/>
        <w:spacing w:after="0"/>
        <w:tabs>
          <w:tab w:leader="none" w:pos="1680" w:val="left"/>
        </w:tabs>
        <w:numPr>
          <w:ilvl w:val="2"/>
          <w:numId w:val="134"/>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part-time basis for less than one year;</w:t>
      </w:r>
    </w:p>
    <w:p>
      <w:pPr>
        <w:spacing w:after="0" w:line="171" w:lineRule="exact"/>
        <w:rPr>
          <w:rFonts w:ascii="Arial" w:cs="Arial" w:eastAsia="Arial" w:hAnsi="Arial"/>
          <w:sz w:val="18"/>
          <w:szCs w:val="18"/>
          <w:color w:val="auto"/>
        </w:rPr>
      </w:pPr>
    </w:p>
    <w:p>
      <w:pPr>
        <w:ind w:right="60" w:firstLine="1492"/>
        <w:spacing w:after="0" w:line="268" w:lineRule="auto"/>
        <w:tabs>
          <w:tab w:leader="none" w:pos="1718" w:val="left"/>
        </w:tabs>
        <w:numPr>
          <w:ilvl w:val="2"/>
          <w:numId w:val="134"/>
        </w:numPr>
        <w:rPr>
          <w:rFonts w:ascii="Arial" w:cs="Arial" w:eastAsia="Arial" w:hAnsi="Arial"/>
          <w:sz w:val="18"/>
          <w:szCs w:val="18"/>
          <w:color w:val="auto"/>
        </w:rPr>
      </w:pPr>
      <w:r>
        <w:rPr>
          <w:rFonts w:ascii="Arial" w:cs="Arial" w:eastAsia="Arial" w:hAnsi="Arial"/>
          <w:sz w:val="18"/>
          <w:szCs w:val="18"/>
          <w:color w:val="auto"/>
        </w:rPr>
        <w:t>except as otherwise provided by the Committee, an employee who is (i) employed by a Subsidiary that is organized under the laws of a jurisdiction outside of the United States of America or (ii) whose principal work location is outside of the United States; or</w:t>
      </w:r>
    </w:p>
    <w:p>
      <w:pPr>
        <w:spacing w:after="0" w:line="131" w:lineRule="exact"/>
        <w:rPr>
          <w:rFonts w:ascii="Arial" w:cs="Arial" w:eastAsia="Arial" w:hAnsi="Arial"/>
          <w:sz w:val="18"/>
          <w:szCs w:val="18"/>
          <w:color w:val="auto"/>
        </w:rPr>
      </w:pPr>
    </w:p>
    <w:p>
      <w:pPr>
        <w:ind w:right="20" w:firstLine="1492"/>
        <w:spacing w:after="0" w:line="268" w:lineRule="auto"/>
        <w:tabs>
          <w:tab w:leader="none" w:pos="1696" w:val="left"/>
        </w:tabs>
        <w:numPr>
          <w:ilvl w:val="2"/>
          <w:numId w:val="134"/>
        </w:numPr>
        <w:rPr>
          <w:rFonts w:ascii="Arial" w:cs="Arial" w:eastAsia="Arial" w:hAnsi="Arial"/>
          <w:sz w:val="18"/>
          <w:szCs w:val="18"/>
          <w:color w:val="auto"/>
        </w:rPr>
      </w:pPr>
      <w:r>
        <w:rPr>
          <w:rFonts w:ascii="Arial" w:cs="Arial" w:eastAsia="Arial" w:hAnsi="Arial"/>
          <w:sz w:val="18"/>
          <w:szCs w:val="18"/>
          <w:color w:val="auto"/>
        </w:rPr>
        <w:t>is an individual whose employment is classified by the Participating Company to which such individual is employed as an internship, or as “temporary” or “intermittent,” all in accordance with uniformly applied personnel policies.</w:t>
      </w:r>
    </w:p>
    <w:p>
      <w:pPr>
        <w:spacing w:after="0" w:line="132"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For purposes of this Paragraph 2(p)(1), an Employee is employed on a part-time basis if the Employee customarily works less than 20 hours per week. For purposes of this Paragraph 2(p), an Employee is employed on a full-time basis if the Employee customarily works 20 or more hours per week.</w:t>
      </w:r>
    </w:p>
    <w:p>
      <w:pPr>
        <w:spacing w:after="0" w:line="85" w:lineRule="exact"/>
        <w:rPr>
          <w:sz w:val="20"/>
          <w:szCs w:val="20"/>
          <w:color w:val="auto"/>
        </w:rPr>
      </w:pPr>
    </w:p>
    <w:p>
      <w:pPr>
        <w:ind w:left="1160" w:hanging="239"/>
        <w:spacing w:after="0"/>
        <w:tabs>
          <w:tab w:leader="none" w:pos="11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For an Employee of Universal Orlando, an employee who, as of an Offering Commencement Date:</w:t>
      </w:r>
    </w:p>
    <w:p>
      <w:pPr>
        <w:spacing w:after="0" w:line="171" w:lineRule="exact"/>
        <w:rPr>
          <w:rFonts w:ascii="Arial" w:cs="Arial" w:eastAsia="Arial" w:hAnsi="Arial"/>
          <w:sz w:val="18"/>
          <w:szCs w:val="18"/>
          <w:color w:val="auto"/>
        </w:rPr>
      </w:pPr>
    </w:p>
    <w:p>
      <w:pPr>
        <w:ind w:left="1620" w:hanging="128"/>
        <w:spacing w:after="0"/>
        <w:tabs>
          <w:tab w:leader="none" w:pos="16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full-time basis for less than 90 days;</w:t>
      </w:r>
    </w:p>
    <w:p>
      <w:pPr>
        <w:spacing w:after="0" w:line="171" w:lineRule="exact"/>
        <w:rPr>
          <w:rFonts w:ascii="Arial" w:cs="Arial" w:eastAsia="Arial" w:hAnsi="Arial"/>
          <w:sz w:val="18"/>
          <w:szCs w:val="18"/>
          <w:color w:val="auto"/>
        </w:rPr>
      </w:pPr>
    </w:p>
    <w:p>
      <w:pPr>
        <w:ind w:left="1680" w:hanging="188"/>
        <w:spacing w:after="0"/>
        <w:tabs>
          <w:tab w:leader="none" w:pos="16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part-time basis for less than one year;</w:t>
      </w:r>
    </w:p>
    <w:p>
      <w:pPr>
        <w:spacing w:after="0" w:line="171" w:lineRule="exact"/>
        <w:rPr>
          <w:rFonts w:ascii="Arial" w:cs="Arial" w:eastAsia="Arial" w:hAnsi="Arial"/>
          <w:sz w:val="18"/>
          <w:szCs w:val="18"/>
          <w:color w:val="auto"/>
        </w:rPr>
      </w:pPr>
    </w:p>
    <w:p>
      <w:pPr>
        <w:ind w:right="60" w:firstLine="1492"/>
        <w:spacing w:after="0" w:line="268" w:lineRule="auto"/>
        <w:tabs>
          <w:tab w:leader="none" w:pos="171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except as otherwise provided by the Committee, an employee who is (i) employed by a Subsidiary that is organized under the laws of a jurisdiction outside of the United States of America or (ii) whose principal work location is outside of the United States; or</w:t>
      </w:r>
    </w:p>
    <w:p>
      <w:pPr>
        <w:spacing w:after="0" w:line="131" w:lineRule="exact"/>
        <w:rPr>
          <w:rFonts w:ascii="Arial" w:cs="Arial" w:eastAsia="Arial" w:hAnsi="Arial"/>
          <w:sz w:val="18"/>
          <w:szCs w:val="18"/>
          <w:color w:val="auto"/>
        </w:rPr>
      </w:pPr>
    </w:p>
    <w:p>
      <w:pPr>
        <w:ind w:right="20" w:firstLine="1492"/>
        <w:spacing w:after="0" w:line="268" w:lineRule="auto"/>
        <w:tabs>
          <w:tab w:leader="none" w:pos="1696"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is an individual whose employment is classified by the Participating Company to which such individual is employed as an internship, or as “temporary,” “intermittent” or “seasonal,” all in accordance with uniformly applied personnel policies.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280" w:right="379" w:bottom="1440" w:gutter="0" w:footer="0" w:header="0"/>
        </w:sectPr>
      </w:pPr>
    </w:p>
    <w:bookmarkStart w:id="113" w:name="page114"/>
    <w:bookmarkEnd w:id="113"/>
    <w:p>
      <w:pPr>
        <w:ind w:right="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Paragraph 2(p)(ii), an Employee is employed on a part-time basis if Universal Orlando has classified the Employee as a “Casual Employee.” For purposes of this Paragraph 2(p)(ii) an Employee is employed on a full-time basis if Universal Orlando has classified the Employee as a Regular Employee.</w:t>
      </w:r>
    </w:p>
    <w:p>
      <w:pPr>
        <w:spacing w:after="0" w:line="62" w:lineRule="exact"/>
        <w:rPr>
          <w:sz w:val="20"/>
          <w:szCs w:val="20"/>
          <w:color w:val="auto"/>
        </w:rPr>
      </w:pPr>
    </w:p>
    <w:p>
      <w:pPr>
        <w:ind w:left="720" w:hanging="256"/>
        <w:spacing w:after="0"/>
        <w:tabs>
          <w:tab w:leader="none" w:pos="7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NBCUniversal, LLC, a Delaware limited liability company.</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w:t>
      </w:r>
      <w:r>
        <w:rPr>
          <w:rFonts w:ascii="Arial" w:cs="Arial" w:eastAsia="Arial" w:hAnsi="Arial"/>
          <w:sz w:val="18"/>
          <w:szCs w:val="18"/>
          <w:color w:val="auto"/>
        </w:rPr>
        <w:t>” means an offering of Shares by the Company to Eligible Employees pursuant to the Plan.</w:t>
      </w:r>
    </w:p>
    <w:p>
      <w:pPr>
        <w:spacing w:after="0" w:line="171" w:lineRule="exact"/>
        <w:rPr>
          <w:rFonts w:ascii="Arial" w:cs="Arial" w:eastAsia="Arial" w:hAnsi="Arial"/>
          <w:sz w:val="18"/>
          <w:szCs w:val="18"/>
          <w:color w:val="auto"/>
        </w:rPr>
      </w:pPr>
    </w:p>
    <w:p>
      <w:pPr>
        <w:ind w:right="160" w:firstLine="464"/>
        <w:spacing w:after="0" w:line="268" w:lineRule="auto"/>
        <w:tabs>
          <w:tab w:leader="none" w:pos="68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Commencement Date</w:t>
      </w:r>
      <w:r>
        <w:rPr>
          <w:rFonts w:ascii="Arial" w:cs="Arial" w:eastAsia="Arial" w:hAnsi="Arial"/>
          <w:sz w:val="18"/>
          <w:szCs w:val="18"/>
          <w:color w:val="auto"/>
        </w:rPr>
        <w:t>” means the first day of each January 1, April 1, July 1 and October 1 beginning on or after July 1, 2011 until the Plan Termination Date.</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Period</w:t>
      </w:r>
      <w:r>
        <w:rPr>
          <w:rFonts w:ascii="Arial" w:cs="Arial" w:eastAsia="Arial" w:hAnsi="Arial"/>
          <w:sz w:val="18"/>
          <w:szCs w:val="18"/>
          <w:color w:val="auto"/>
        </w:rPr>
        <w:t>” means the period extending from an Offering Commencement Date through the following Offering Termination Date.</w:t>
      </w:r>
    </w:p>
    <w:p>
      <w:pPr>
        <w:spacing w:after="0" w:line="171"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Termination Date</w:t>
      </w:r>
      <w:r>
        <w:rPr>
          <w:rFonts w:ascii="Arial" w:cs="Arial" w:eastAsia="Arial" w:hAnsi="Arial"/>
          <w:sz w:val="18"/>
          <w:szCs w:val="18"/>
          <w:color w:val="auto"/>
        </w:rPr>
        <w:t>” means the last day of each March, June, September and December following an Offering Commencement Date, or such other Offering Termination Date established in connection with a Terminating Event.</w:t>
      </w:r>
    </w:p>
    <w:p>
      <w:pPr>
        <w:spacing w:after="0" w:line="131"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timely delivered an Election Form to the Committee in accordance with procedures established by the Committee.</w:t>
      </w:r>
    </w:p>
    <w:p>
      <w:pPr>
        <w:spacing w:after="0" w:line="131" w:lineRule="exact"/>
        <w:rPr>
          <w:rFonts w:ascii="Arial" w:cs="Arial" w:eastAsia="Arial" w:hAnsi="Arial"/>
          <w:sz w:val="18"/>
          <w:szCs w:val="18"/>
          <w:color w:val="auto"/>
        </w:rPr>
      </w:pPr>
    </w:p>
    <w:p>
      <w:pPr>
        <w:ind w:firstLine="464"/>
        <w:spacing w:after="0" w:line="306" w:lineRule="auto"/>
        <w:tabs>
          <w:tab w:leader="none" w:pos="74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Participating Company</w:t>
      </w:r>
      <w:r>
        <w:rPr>
          <w:rFonts w:ascii="Arial" w:cs="Arial" w:eastAsia="Arial" w:hAnsi="Arial"/>
          <w:sz w:val="16"/>
          <w:szCs w:val="16"/>
          <w:color w:val="auto"/>
        </w:rPr>
        <w:t>” means all Eligible Employers except such Eligible Employers as may be designated for exclusion by the Board or the Committee from time to time. Notwithstanding the foregoing, the Board or the Committee may delegate its authority to exclude an Eligible Employer from being a Participating Company under this Paragraph 2(w) to an officer of the Company or committee of two or more officers of the Company.</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Payroll Deductions</w:t>
      </w:r>
      <w:r>
        <w:rPr>
          <w:rFonts w:ascii="Arial" w:cs="Arial" w:eastAsia="Arial" w:hAnsi="Arial"/>
          <w:sz w:val="18"/>
          <w:szCs w:val="18"/>
          <w:color w:val="auto"/>
        </w:rPr>
        <w:t>” means amounts withheld from a Participant’s Compensation pursuant to the Plan, as described in Paragraph 5.</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the Comcast-NBCUniversal 2011 Employee Stock Purchase Plan, as set forth in this document, and as may be amended from time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w:t>
      </w:r>
    </w:p>
    <w:p>
      <w:pPr>
        <w:spacing w:after="0" w:line="165" w:lineRule="exact"/>
        <w:rPr>
          <w:sz w:val="20"/>
          <w:szCs w:val="20"/>
          <w:color w:val="auto"/>
        </w:rPr>
      </w:pPr>
    </w:p>
    <w:p>
      <w:pPr>
        <w:ind w:left="780" w:hanging="316"/>
        <w:spacing w:after="0"/>
        <w:tabs>
          <w:tab w:leader="none" w:pos="7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 Termination Date</w:t>
      </w:r>
      <w:r>
        <w:rPr>
          <w:rFonts w:ascii="Arial" w:cs="Arial" w:eastAsia="Arial" w:hAnsi="Arial"/>
          <w:sz w:val="16"/>
          <w:szCs w:val="16"/>
          <w:color w:val="auto"/>
        </w:rPr>
        <w:t>” means the earliest of:</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the Offering Termination Date for the Offering in which the maximum number of Shares specified in Paragraph 9 have been issued pursuant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Plan; or</w:t>
      </w:r>
    </w:p>
    <w:p>
      <w:pPr>
        <w:spacing w:after="0" w:line="164" w:lineRule="exact"/>
        <w:rPr>
          <w:rFonts w:ascii="Arial" w:cs="Arial" w:eastAsia="Arial" w:hAnsi="Arial"/>
          <w:sz w:val="16"/>
          <w:szCs w:val="16"/>
          <w:color w:val="auto"/>
        </w:rPr>
      </w:pPr>
    </w:p>
    <w:p>
      <w:pPr>
        <w:ind w:left="1160" w:hanging="239"/>
        <w:spacing w:after="0"/>
        <w:tabs>
          <w:tab w:leader="none" w:pos="116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date as of which the Board or the Committee chooses to terminate the Plan as provided in Paragraph 14.</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114" w:name="page115"/>
    <w:bookmarkEnd w:id="114"/>
    <w:p>
      <w:pPr>
        <w:ind w:right="120" w:firstLine="464"/>
        <w:spacing w:after="0" w:line="259" w:lineRule="auto"/>
        <w:tabs>
          <w:tab w:leader="none" w:pos="793" w:val="left"/>
        </w:tabs>
        <w:numPr>
          <w:ilvl w:val="1"/>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85 percent of the lesser of: (1) the Fair Market Value per Share on the Offering Commencement Date, or if such date is not a trading day, then on the next trading day thereafter or (2) the Fair Market Value per Share on the Offering Termination Date, or if such date is not a trading day, then on the trading day immediately preceding the Offering Termination Date.</w:t>
      </w:r>
    </w:p>
    <w:p>
      <w:pPr>
        <w:spacing w:after="0" w:line="140" w:lineRule="exact"/>
        <w:rPr>
          <w:rFonts w:ascii="Arial" w:cs="Arial" w:eastAsia="Arial" w:hAnsi="Arial"/>
          <w:sz w:val="18"/>
          <w:szCs w:val="18"/>
          <w:color w:val="auto"/>
        </w:rPr>
      </w:pPr>
    </w:p>
    <w:p>
      <w:pPr>
        <w:ind w:left="780" w:hanging="316"/>
        <w:spacing w:after="0"/>
        <w:tabs>
          <w:tab w:leader="none" w:pos="7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Comcast Corporation Class A Common Stock, par value $0.01.</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Affiliate of the Joint Venture that is controlled by the Joint Venture.</w:t>
      </w:r>
    </w:p>
    <w:p>
      <w:pPr>
        <w:spacing w:after="0" w:line="171" w:lineRule="exact"/>
        <w:rPr>
          <w:rFonts w:ascii="Arial" w:cs="Arial" w:eastAsia="Arial" w:hAnsi="Arial"/>
          <w:sz w:val="18"/>
          <w:szCs w:val="18"/>
          <w:color w:val="auto"/>
        </w:rPr>
      </w:pPr>
    </w:p>
    <w:p>
      <w:pPr>
        <w:ind w:firstLine="464"/>
        <w:spacing w:after="0" w:line="332" w:lineRule="auto"/>
        <w:tabs>
          <w:tab w:leader="none" w:pos="773" w:val="left"/>
        </w:tabs>
        <w:numPr>
          <w:ilvl w:val="1"/>
          <w:numId w:val="1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Successor-in-Interest</w:t>
      </w:r>
      <w:r>
        <w:rPr>
          <w:rFonts w:ascii="Arial" w:cs="Arial" w:eastAsia="Arial" w:hAnsi="Arial"/>
          <w:sz w:val="16"/>
          <w:szCs w:val="16"/>
          <w:color w:val="auto"/>
        </w:rPr>
        <w:t>” means the Participant’s executor or administrator, or such other person or entity to which the Participant’s rights under the Plan shall have passed by will or the laws of descent and distribution.</w:t>
      </w:r>
    </w:p>
    <w:p>
      <w:pPr>
        <w:spacing w:after="0" w:line="85" w:lineRule="exact"/>
        <w:rPr>
          <w:rFonts w:ascii="Arial" w:cs="Arial" w:eastAsia="Arial" w:hAnsi="Arial"/>
          <w:sz w:val="16"/>
          <w:szCs w:val="16"/>
          <w:color w:val="auto"/>
        </w:rPr>
      </w:pPr>
    </w:p>
    <w:p>
      <w:pPr>
        <w:ind w:left="740" w:hanging="276"/>
        <w:spacing w:after="0"/>
        <w:tabs>
          <w:tab w:leader="none" w:pos="7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rFonts w:ascii="Arial" w:cs="Arial" w:eastAsia="Arial" w:hAnsi="Arial"/>
          <w:sz w:val="18"/>
          <w:szCs w:val="18"/>
          <w:color w:val="auto"/>
        </w:rPr>
      </w:pPr>
    </w:p>
    <w:p>
      <w:pPr>
        <w:ind w:right="340" w:firstLine="464"/>
        <w:spacing w:after="0" w:line="268" w:lineRule="auto"/>
        <w:tabs>
          <w:tab w:leader="none" w:pos="793" w:val="left"/>
        </w:tabs>
        <w:numPr>
          <w:ilvl w:val="1"/>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131" w:lineRule="exact"/>
        <w:rPr>
          <w:rFonts w:ascii="Arial" w:cs="Arial" w:eastAsia="Arial" w:hAnsi="Arial"/>
          <w:sz w:val="18"/>
          <w:szCs w:val="18"/>
          <w:color w:val="auto"/>
        </w:rPr>
      </w:pPr>
    </w:p>
    <w:p>
      <w:pPr>
        <w:ind w:right="440" w:firstLine="464"/>
        <w:spacing w:after="0" w:line="268" w:lineRule="auto"/>
        <w:tabs>
          <w:tab w:leader="none" w:pos="793" w:val="left"/>
        </w:tabs>
        <w:numPr>
          <w:ilvl w:val="1"/>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Form</w:t>
      </w:r>
      <w:r>
        <w:rPr>
          <w:rFonts w:ascii="Arial" w:cs="Arial" w:eastAsia="Arial" w:hAnsi="Arial"/>
          <w:sz w:val="18"/>
          <w:szCs w:val="18"/>
          <w:color w:val="auto"/>
        </w:rPr>
        <w:t>” means the written or electronic form acceptable to the Committee which an Employee shall use to discontinue participation during an Offering Period pursuant to Paragraph 7(b).</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Universal Orlando</w:t>
      </w:r>
      <w:r>
        <w:rPr>
          <w:rFonts w:ascii="Arial" w:cs="Arial" w:eastAsia="Arial" w:hAnsi="Arial"/>
          <w:sz w:val="18"/>
          <w:szCs w:val="18"/>
          <w:color w:val="auto"/>
        </w:rPr>
        <w:t>” means Universal City Development Partners, Ltd. and its subsidiaries.</w:t>
      </w:r>
    </w:p>
    <w:p>
      <w:pPr>
        <w:spacing w:after="0" w:line="286" w:lineRule="exact"/>
        <w:rPr>
          <w:rFonts w:ascii="Arial" w:cs="Arial" w:eastAsia="Arial" w:hAnsi="Arial"/>
          <w:sz w:val="18"/>
          <w:szCs w:val="18"/>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and Participation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700" w:hanging="236"/>
        <w:spacing w:after="0"/>
        <w:tabs>
          <w:tab w:leader="none" w:pos="700"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Each Eligible Employee shall be eligible to participate in the Plan.</w:t>
      </w:r>
    </w:p>
    <w:p>
      <w:pPr>
        <w:spacing w:after="0" w:line="171" w:lineRule="exact"/>
        <w:rPr>
          <w:rFonts w:ascii="Arial" w:cs="Arial" w:eastAsia="Arial" w:hAnsi="Arial"/>
          <w:sz w:val="18"/>
          <w:szCs w:val="18"/>
          <w:color w:val="auto"/>
        </w:rPr>
      </w:pPr>
    </w:p>
    <w:p>
      <w:pPr>
        <w:ind w:firstLine="464"/>
        <w:spacing w:after="0" w:line="298" w:lineRule="auto"/>
        <w:tabs>
          <w:tab w:leader="none" w:pos="705"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Commencement of Participation</w:t>
      </w:r>
      <w:r>
        <w:rPr>
          <w:rFonts w:ascii="Arial" w:cs="Arial" w:eastAsia="Arial" w:hAnsi="Arial"/>
          <w:sz w:val="16"/>
          <w:szCs w:val="16"/>
          <w:color w:val="auto"/>
        </w:rPr>
        <w:t>. An Eligible Employee shall become a Participant by completing an Election Form and filing it with the Committee on or before the 15th day of the month immediately preceding the Offering Commencement Date for the first Offering to which such Election Form applies. Payroll Deductions for a Participant shall commence on the first payroll period ending after the applicable Offering Commencement Date when his or her authorization for Payroll Deductions becomes effective, and shall end on the Plan Termination Date, unless sooner terminated by the Participant pursuant to Paragraph 7(b).</w:t>
      </w:r>
    </w:p>
    <w:p>
      <w:pPr>
        <w:spacing w:after="0" w:line="228" w:lineRule="exact"/>
        <w:rPr>
          <w:rFonts w:ascii="Arial" w:cs="Arial" w:eastAsia="Arial" w:hAnsi="Arial"/>
          <w:sz w:val="16"/>
          <w:szCs w:val="16"/>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Per Offering</w:t>
      </w:r>
      <w:r>
        <w:rPr>
          <w:rFonts w:ascii="Arial" w:cs="Arial" w:eastAsia="Arial" w:hAnsi="Arial"/>
          <w:sz w:val="18"/>
          <w:szCs w:val="18"/>
          <w:b w:val="1"/>
          <w:bCs w:val="1"/>
          <w:color w:val="auto"/>
        </w:rPr>
        <w:t>.</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Plan shall be implemented by a series of Offerings that shall commence after Offerings have been authorized by the Board or the Committee, and terminate on the Plan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15" w:name="page116"/>
    <w:bookmarkEnd w:id="11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Date. Offerings shall be 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9(a), for all of the Offerings, less the actual number of Shares purchased by Participants pursuant to prior Offerings, provided that the maximum number of Shares subject to purchase by any Participant for any Offering Period shall not exceed 1,500.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 practicable, and as it shall determine to be fair and equitable, and the unapplied Account balances shall be returned to Participants as soon as practicable following the Offering Termination Date.</w:t>
      </w:r>
    </w:p>
    <w:p>
      <w:pPr>
        <w:spacing w:after="0" w:line="234"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Payroll Deductions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20" w:firstLine="464"/>
        <w:spacing w:after="0" w:line="294" w:lineRule="auto"/>
        <w:tabs>
          <w:tab w:leader="none" w:pos="695" w:val="left"/>
        </w:tabs>
        <w:numPr>
          <w:ilvl w:val="1"/>
          <w:numId w:val="140"/>
        </w:numPr>
        <w:rPr>
          <w:rFonts w:ascii="Arial" w:cs="Arial" w:eastAsia="Arial" w:hAnsi="Arial"/>
          <w:sz w:val="16"/>
          <w:szCs w:val="16"/>
          <w:color w:val="auto"/>
        </w:rPr>
      </w:pPr>
      <w:r>
        <w:rPr>
          <w:rFonts w:ascii="Arial" w:cs="Arial" w:eastAsia="Arial" w:hAnsi="Arial"/>
          <w:sz w:val="16"/>
          <w:szCs w:val="16"/>
          <w:u w:val="single" w:color="auto"/>
          <w:color w:val="auto"/>
        </w:rPr>
        <w:t>Amount of Payroll Deductions</w:t>
      </w:r>
      <w:r>
        <w:rPr>
          <w:rFonts w:ascii="Arial" w:cs="Arial" w:eastAsia="Arial" w:hAnsi="Arial"/>
          <w:sz w:val="16"/>
          <w:szCs w:val="16"/>
          <w:color w:val="auto"/>
        </w:rPr>
        <w:t>. On the Election Form, an Eligible Employee may elect to have Payroll Deductions of not more than 15 percent of Compensation earned for each payroll period ending within the Offering Period, subject to the limitation that the maximum amount of Payroll Deductions for any Eligible Employee for any calendar year (including, for this purpose, any payroll deductions for such calendar year pursuant to the Comcast Corporation 2002 Employee Stock Purchase Plan, if any)shall not exceed $12,500, or, with respect to Participants whose compensation is denominated in currency other than United States dollars, if any, the equivalent amount as denominated in such local currency, as determined by the Committee.</w:t>
      </w:r>
    </w:p>
    <w:p>
      <w:pPr>
        <w:spacing w:after="0" w:line="115" w:lineRule="exact"/>
        <w:rPr>
          <w:rFonts w:ascii="Arial" w:cs="Arial" w:eastAsia="Arial" w:hAnsi="Arial"/>
          <w:sz w:val="16"/>
          <w:szCs w:val="16"/>
          <w:color w:val="auto"/>
        </w:rPr>
      </w:pPr>
    </w:p>
    <w:p>
      <w:pPr>
        <w:ind w:right="280" w:firstLine="464"/>
        <w:spacing w:after="0" w:line="268" w:lineRule="auto"/>
        <w:tabs>
          <w:tab w:leader="none" w:pos="705"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Participants’ Accounts</w:t>
      </w:r>
      <w:r>
        <w:rPr>
          <w:rFonts w:ascii="Arial" w:cs="Arial" w:eastAsia="Arial" w:hAnsi="Arial"/>
          <w:sz w:val="18"/>
          <w:szCs w:val="18"/>
          <w:color w:val="auto"/>
        </w:rPr>
        <w:t>. All Payroll Deductions with respect to a Participant pursuant to Paragraph 5(a) shall be credited to the Participant’s Account under the Plan.</w:t>
      </w:r>
    </w:p>
    <w:p>
      <w:pPr>
        <w:spacing w:after="0" w:line="131" w:lineRule="exact"/>
        <w:rPr>
          <w:rFonts w:ascii="Arial" w:cs="Arial" w:eastAsia="Arial" w:hAnsi="Arial"/>
          <w:sz w:val="18"/>
          <w:szCs w:val="18"/>
          <w:color w:val="auto"/>
        </w:rPr>
      </w:pPr>
    </w:p>
    <w:p>
      <w:pPr>
        <w:ind w:right="100" w:firstLine="464"/>
        <w:spacing w:after="0" w:line="294" w:lineRule="auto"/>
        <w:tabs>
          <w:tab w:leader="none" w:pos="695" w:val="left"/>
        </w:tabs>
        <w:numPr>
          <w:ilvl w:val="1"/>
          <w:numId w:val="140"/>
        </w:numPr>
        <w:rPr>
          <w:rFonts w:ascii="Arial" w:cs="Arial" w:eastAsia="Arial" w:hAnsi="Arial"/>
          <w:sz w:val="16"/>
          <w:szCs w:val="16"/>
          <w:color w:val="auto"/>
        </w:rPr>
      </w:pPr>
      <w:r>
        <w:rPr>
          <w:rFonts w:ascii="Arial" w:cs="Arial" w:eastAsia="Arial" w:hAnsi="Arial"/>
          <w:sz w:val="16"/>
          <w:szCs w:val="16"/>
          <w:u w:val="single" w:color="auto"/>
          <w:color w:val="auto"/>
        </w:rPr>
        <w:t>Changes in Payroll Deductions</w:t>
      </w:r>
      <w:r>
        <w:rPr>
          <w:rFonts w:ascii="Arial" w:cs="Arial" w:eastAsia="Arial" w:hAnsi="Arial"/>
          <w:sz w:val="16"/>
          <w:szCs w:val="16"/>
          <w:color w:val="auto"/>
        </w:rPr>
        <w:t>. A Participant may discontinue Payroll Deductions during an Offering Period by providing a Termination Form to the Committee at any time before the Offering Termination Date applicable to any Offering. No other change can be made during an Offering, including, but not limited to, changes in the amount of Payroll Deductions for such Offering. A Participant may change the amount of Payroll Deductions for 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p>
      <w:pPr>
        <w:spacing w:after="0" w:line="231" w:lineRule="exact"/>
        <w:rPr>
          <w:rFonts w:ascii="Arial" w:cs="Arial" w:eastAsia="Arial" w:hAnsi="Arial"/>
          <w:sz w:val="16"/>
          <w:szCs w:val="16"/>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 of Shares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300" w:firstLine="464"/>
        <w:spacing w:after="0" w:line="259" w:lineRule="auto"/>
        <w:tabs>
          <w:tab w:leader="none" w:pos="695"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On each Offering Termination Date, each Participant shall be deemed to have purchased a number of whole Shares equal to the quotient obtained by dividing the balance credited to the Participant’s Account as of the Offering Termination Date, by the Purchase Price, rounded to the next lowest whole Share. Shares deemed purchased by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16" w:name="page117"/>
    <w:bookmarkEnd w:id="116"/>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 under the Plan (net of Shares withheld under Paragraph 11) shall be credited to the Participant’s Brokerage Account as soon as practicable following the Offering Termination Date.</w:t>
      </w:r>
    </w:p>
    <w:p>
      <w:pPr>
        <w:spacing w:after="0" w:line="132" w:lineRule="exact"/>
        <w:rPr>
          <w:sz w:val="20"/>
          <w:szCs w:val="20"/>
          <w:color w:val="auto"/>
        </w:rPr>
      </w:pPr>
    </w:p>
    <w:p>
      <w:pPr>
        <w:ind w:right="220" w:firstLine="464"/>
        <w:spacing w:after="0" w:line="306" w:lineRule="auto"/>
        <w:tabs>
          <w:tab w:leader="none" w:pos="705" w:val="left"/>
        </w:tabs>
        <w:numPr>
          <w:ilvl w:val="1"/>
          <w:numId w:val="141"/>
        </w:numPr>
        <w:rPr>
          <w:rFonts w:ascii="Arial" w:cs="Arial" w:eastAsia="Arial" w:hAnsi="Arial"/>
          <w:sz w:val="16"/>
          <w:szCs w:val="16"/>
          <w:color w:val="auto"/>
        </w:rPr>
      </w:pPr>
      <w:r>
        <w:rPr>
          <w:rFonts w:ascii="Arial" w:cs="Arial" w:eastAsia="Arial" w:hAnsi="Arial"/>
          <w:sz w:val="16"/>
          <w:szCs w:val="16"/>
          <w:u w:val="single" w:color="auto"/>
          <w:color w:val="auto"/>
        </w:rPr>
        <w:t>Terminating Events</w:t>
      </w:r>
      <w:r>
        <w:rPr>
          <w:rFonts w:ascii="Arial" w:cs="Arial" w:eastAsia="Arial" w:hAnsi="Arial"/>
          <w:sz w:val="16"/>
          <w:szCs w:val="16"/>
          <w:color w:val="auto"/>
        </w:rPr>
        <w:t>. The Company shall give Participants at least 30 days’ notice (or, if not practicable, such shorter notice as may be reasonably 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106" w:lineRule="exact"/>
        <w:rPr>
          <w:rFonts w:ascii="Arial" w:cs="Arial" w:eastAsia="Arial" w:hAnsi="Arial"/>
          <w:sz w:val="16"/>
          <w:szCs w:val="16"/>
          <w:color w:val="auto"/>
        </w:rPr>
      </w:pPr>
    </w:p>
    <w:p>
      <w:pPr>
        <w:jc w:val="both"/>
        <w:ind w:right="20" w:firstLine="464"/>
        <w:spacing w:after="0" w:line="256" w:lineRule="auto"/>
        <w:tabs>
          <w:tab w:leader="none" w:pos="695"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Fractional Shares and Minimum Number of Shares</w:t>
      </w:r>
      <w:r>
        <w:rPr>
          <w:rFonts w:ascii="Arial" w:cs="Arial" w:eastAsia="Arial" w:hAnsi="Arial"/>
          <w:sz w:val="18"/>
          <w:szCs w:val="18"/>
          <w:color w:val="auto"/>
        </w:rPr>
        <w:t>. Fractional Shares shall not be issued under the Plan. Amounts credited to an Account remaining after the application of such Account to the purchase of Shares under the Plan shall, to the extent not applied to pay withholding taxes under Paragraph 11, be credited to the Participant’s Account for the next succeeding Offering, or, at the Participant’s election, returned to the Participant as soon as practicable following the Offering Termination Date, without interest.</w:t>
      </w:r>
    </w:p>
    <w:p>
      <w:pPr>
        <w:spacing w:after="0" w:line="143" w:lineRule="exact"/>
        <w:rPr>
          <w:rFonts w:ascii="Arial" w:cs="Arial" w:eastAsia="Arial" w:hAnsi="Arial"/>
          <w:sz w:val="18"/>
          <w:szCs w:val="18"/>
          <w:color w:val="auto"/>
        </w:rPr>
      </w:pPr>
    </w:p>
    <w:p>
      <w:pPr>
        <w:ind w:right="80" w:firstLine="464"/>
        <w:spacing w:after="0" w:line="259" w:lineRule="auto"/>
        <w:tabs>
          <w:tab w:leader="none" w:pos="705"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Transferability of Rights to Purchase Shares</w:t>
      </w:r>
      <w:r>
        <w:rPr>
          <w:rFonts w:ascii="Arial" w:cs="Arial" w:eastAsia="Arial" w:hAnsi="Arial"/>
          <w:sz w:val="18"/>
          <w:szCs w:val="18"/>
          <w:color w:val="auto"/>
        </w:rPr>
        <w:t>. No right to purchase Shares pursuant to the Plan shall be transferable other than by will or by the laws of descent and distribution, and no such right to purchase Shares pursuant to the Plan shall be exercisable during the Participant’s lifetime other than by the Participant.</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Participation</w:t>
      </w:r>
      <w:r>
        <w:rPr>
          <w:rFonts w:ascii="Arial" w:cs="Arial" w:eastAsia="Arial" w:hAnsi="Arial"/>
          <w:sz w:val="18"/>
          <w:szCs w:val="18"/>
          <w:color w:val="auto"/>
        </w:rPr>
        <w:t>.</w:t>
      </w:r>
    </w:p>
    <w:p>
      <w:pPr>
        <w:spacing w:after="0" w:line="96" w:lineRule="exact"/>
        <w:rPr>
          <w:rFonts w:ascii="Arial" w:cs="Arial" w:eastAsia="Arial" w:hAnsi="Arial"/>
          <w:sz w:val="18"/>
          <w:szCs w:val="18"/>
          <w:b w:val="1"/>
          <w:bCs w:val="1"/>
          <w:color w:val="auto"/>
        </w:rPr>
      </w:pPr>
    </w:p>
    <w:p>
      <w:pPr>
        <w:ind w:left="700" w:hanging="236"/>
        <w:spacing w:after="0"/>
        <w:tabs>
          <w:tab w:leader="none" w:pos="700" w:val="left"/>
        </w:tabs>
        <w:numPr>
          <w:ilvl w:val="1"/>
          <w:numId w:val="142"/>
        </w:numPr>
        <w:rPr>
          <w:rFonts w:ascii="Arial" w:cs="Arial" w:eastAsia="Arial" w:hAnsi="Arial"/>
          <w:sz w:val="16"/>
          <w:szCs w:val="16"/>
          <w:color w:val="auto"/>
        </w:rPr>
      </w:pPr>
      <w:r>
        <w:rPr>
          <w:rFonts w:ascii="Arial" w:cs="Arial" w:eastAsia="Arial" w:hAnsi="Arial"/>
          <w:sz w:val="16"/>
          <w:szCs w:val="16"/>
          <w:u w:val="single" w:color="auto"/>
          <w:color w:val="auto"/>
        </w:rPr>
        <w:t>Account</w:t>
      </w:r>
      <w:r>
        <w:rPr>
          <w:rFonts w:ascii="Arial" w:cs="Arial" w:eastAsia="Arial" w:hAnsi="Arial"/>
          <w:sz w:val="16"/>
          <w:szCs w:val="16"/>
          <w:color w:val="auto"/>
        </w:rPr>
        <w:t>. Except as provided in Paragraph 7(c), no amounts shall be distributed from Participants’ Accounts during an Offering Period.</w:t>
      </w:r>
    </w:p>
    <w:p>
      <w:pPr>
        <w:spacing w:after="0" w:line="194" w:lineRule="exact"/>
        <w:rPr>
          <w:rFonts w:ascii="Arial" w:cs="Arial" w:eastAsia="Arial" w:hAnsi="Arial"/>
          <w:sz w:val="16"/>
          <w:szCs w:val="16"/>
          <w:color w:val="auto"/>
        </w:rPr>
      </w:pPr>
    </w:p>
    <w:p>
      <w:pPr>
        <w:ind w:firstLine="464"/>
        <w:spacing w:after="0" w:line="289" w:lineRule="auto"/>
        <w:tabs>
          <w:tab w:leader="none" w:pos="705" w:val="left"/>
        </w:tabs>
        <w:numPr>
          <w:ilvl w:val="1"/>
          <w:numId w:val="142"/>
        </w:numPr>
        <w:rPr>
          <w:rFonts w:ascii="Arial" w:cs="Arial" w:eastAsia="Arial" w:hAnsi="Arial"/>
          <w:sz w:val="16"/>
          <w:szCs w:val="16"/>
          <w:color w:val="auto"/>
        </w:rPr>
      </w:pPr>
      <w:r>
        <w:rPr>
          <w:rFonts w:ascii="Arial" w:cs="Arial" w:eastAsia="Arial" w:hAnsi="Arial"/>
          <w:sz w:val="16"/>
          <w:szCs w:val="16"/>
          <w:u w:val="single" w:color="auto"/>
          <w:color w:val="auto"/>
        </w:rPr>
        <w:t>Suspension of Participation</w:t>
      </w:r>
      <w:r>
        <w:rPr>
          <w:rFonts w:ascii="Arial" w:cs="Arial" w:eastAsia="Arial" w:hAnsi="Arial"/>
          <w:sz w:val="16"/>
          <w:szCs w:val="16"/>
          <w:color w:val="auto"/>
        </w:rPr>
        <w:t>. A Participant may discontinue Payroll Deductions during an Offering Period by providing a Termination Form to the Committee at any time before the Offering Termination Date applicable to any Offering, provided that a Participant’s Payroll Deductions shall be discontinued to the extent required in connection with a Participant’s hardship withdrawal under the rules of the NBCUniversal Capital Accumulation Plan, the Comcast Corporation Retirement-Investment Plan or any other plan, program or arrangement pursuant to which discontinuance of contributions to the Plan may be required in connection with a Participant’s hardship withdrawal. All amounts credited to such Participant’s Account shall be applied to the purchase of Shares pursuant to Paragraph 6. A Participant who discontinues Payroll Deductions during an Offering Period, including a discontinuation of Payroll Deductions resulting from a hardship withdrawal, shall not be eligible to participate in the Offering next following the date on which the Participant delivers the Termination Form to the Committee.</w:t>
      </w:r>
    </w:p>
    <w:p>
      <w:pPr>
        <w:spacing w:after="0" w:line="118" w:lineRule="exact"/>
        <w:rPr>
          <w:rFonts w:ascii="Arial" w:cs="Arial" w:eastAsia="Arial" w:hAnsi="Arial"/>
          <w:sz w:val="16"/>
          <w:szCs w:val="16"/>
          <w:color w:val="auto"/>
        </w:rPr>
      </w:pPr>
    </w:p>
    <w:p>
      <w:pPr>
        <w:ind w:right="120" w:firstLine="464"/>
        <w:spacing w:after="0" w:line="268" w:lineRule="auto"/>
        <w:tabs>
          <w:tab w:leader="none" w:pos="695"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Upon termination of a Participant’s employment for any reason, all amounts credited to such Participant’s Account shall be returned to the Participant, or, following the Participant’s death, to the Participant’s Successor-in-Interest.</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Interest</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No interest shall be paid or allowed with respect to Payroll Deductions paid into the Plan or credited to any Participant’s Account.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80" w:right="319" w:bottom="1440" w:gutter="0" w:footer="0" w:header="0"/>
        </w:sectPr>
      </w:pPr>
    </w:p>
    <w:bookmarkStart w:id="117" w:name="page118"/>
    <w:bookmarkEnd w:id="117"/>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w:t>
      </w:r>
      <w:r>
        <w:rPr>
          <w:rFonts w:ascii="Arial" w:cs="Arial" w:eastAsia="Arial" w:hAnsi="Arial"/>
          <w:sz w:val="18"/>
          <w:szCs w:val="18"/>
          <w:color w:val="auto"/>
        </w:rPr>
        <w:t>.</w:t>
      </w:r>
    </w:p>
    <w:p>
      <w:pPr>
        <w:spacing w:after="0" w:line="96" w:lineRule="exact"/>
        <w:rPr>
          <w:rFonts w:ascii="Arial" w:cs="Arial" w:eastAsia="Arial" w:hAnsi="Arial"/>
          <w:sz w:val="18"/>
          <w:szCs w:val="18"/>
          <w:b w:val="1"/>
          <w:bCs w:val="1"/>
          <w:color w:val="auto"/>
        </w:rPr>
      </w:pPr>
    </w:p>
    <w:p>
      <w:pPr>
        <w:ind w:firstLine="464"/>
        <w:spacing w:after="0" w:line="287" w:lineRule="auto"/>
        <w:tabs>
          <w:tab w:leader="none" w:pos="695" w:val="left"/>
        </w:tabs>
        <w:numPr>
          <w:ilvl w:val="1"/>
          <w:numId w:val="143"/>
        </w:numPr>
        <w:rPr>
          <w:rFonts w:ascii="Arial" w:cs="Arial" w:eastAsia="Arial" w:hAnsi="Arial"/>
          <w:sz w:val="16"/>
          <w:szCs w:val="16"/>
          <w:color w:val="auto"/>
        </w:rPr>
      </w:pPr>
      <w:r>
        <w:rPr>
          <w:rFonts w:ascii="Arial" w:cs="Arial" w:eastAsia="Arial" w:hAnsi="Arial"/>
          <w:sz w:val="16"/>
          <w:szCs w:val="16"/>
          <w:u w:val="single" w:color="auto"/>
          <w:color w:val="auto"/>
        </w:rPr>
        <w:t>Maximum Number of Shares; Adjustments</w:t>
      </w:r>
      <w:r>
        <w:rPr>
          <w:rFonts w:ascii="Arial" w:cs="Arial" w:eastAsia="Arial" w:hAnsi="Arial"/>
          <w:sz w:val="16"/>
          <w:szCs w:val="16"/>
          <w:color w:val="auto"/>
        </w:rPr>
        <w:t>. Subject to adjustment as provided in this Paragraph 9, not more than 4,600,000 Shares in the aggregate may be issued pursuant to the Plan pursuant to Offerings under the Plan. 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shares of stock available for issuance under the Plan, as adjusted pursuant to this Paragraph 9. The Board’s or the Committee’s adjustment shall be effective and binding for all purposes of this Plan. All Shares issued pursuant to the Plan shall be validly issued, fully paid and nonassessable.</w:t>
      </w:r>
    </w:p>
    <w:p>
      <w:pPr>
        <w:spacing w:after="0" w:line="122" w:lineRule="exact"/>
        <w:rPr>
          <w:rFonts w:ascii="Arial" w:cs="Arial" w:eastAsia="Arial" w:hAnsi="Arial"/>
          <w:sz w:val="16"/>
          <w:szCs w:val="16"/>
          <w:color w:val="auto"/>
        </w:rPr>
      </w:pPr>
    </w:p>
    <w:p>
      <w:pPr>
        <w:ind w:right="600" w:firstLine="464"/>
        <w:spacing w:after="0" w:line="268" w:lineRule="auto"/>
        <w:tabs>
          <w:tab w:leader="none" w:pos="705"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Participant’s Interest in Shares</w:t>
      </w:r>
      <w:r>
        <w:rPr>
          <w:rFonts w:ascii="Arial" w:cs="Arial" w:eastAsia="Arial" w:hAnsi="Arial"/>
          <w:sz w:val="18"/>
          <w:szCs w:val="18"/>
          <w:color w:val="auto"/>
        </w:rPr>
        <w:t>. A Participant shall have no interest in Shares offered under the Plan until Shares are credited to the Participant’s Brokerage Account.</w:t>
      </w:r>
    </w:p>
    <w:p>
      <w:pPr>
        <w:spacing w:after="0" w:line="131" w:lineRule="exact"/>
        <w:rPr>
          <w:rFonts w:ascii="Arial" w:cs="Arial" w:eastAsia="Arial" w:hAnsi="Arial"/>
          <w:sz w:val="18"/>
          <w:szCs w:val="18"/>
          <w:color w:val="auto"/>
        </w:rPr>
      </w:pPr>
    </w:p>
    <w:p>
      <w:pPr>
        <w:ind w:right="640" w:firstLine="464"/>
        <w:spacing w:after="0" w:line="268" w:lineRule="auto"/>
        <w:tabs>
          <w:tab w:leader="none" w:pos="695"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Crediting of Shares to Brokerage Account</w:t>
      </w:r>
      <w:r>
        <w:rPr>
          <w:rFonts w:ascii="Arial" w:cs="Arial" w:eastAsia="Arial" w:hAnsi="Arial"/>
          <w:sz w:val="18"/>
          <w:szCs w:val="18"/>
          <w:color w:val="auto"/>
        </w:rPr>
        <w:t>. Shares purchased under the Plan shall be credited to the Participant’s Brokerage Account as soon as practicable following the Offering Termination Date.</w:t>
      </w:r>
    </w:p>
    <w:p>
      <w:pPr>
        <w:spacing w:after="0" w:line="131" w:lineRule="exact"/>
        <w:rPr>
          <w:rFonts w:ascii="Arial" w:cs="Arial" w:eastAsia="Arial" w:hAnsi="Arial"/>
          <w:sz w:val="18"/>
          <w:szCs w:val="18"/>
          <w:color w:val="auto"/>
        </w:rPr>
      </w:pPr>
    </w:p>
    <w:p>
      <w:pPr>
        <w:ind w:right="260" w:firstLine="464"/>
        <w:spacing w:after="0" w:line="332" w:lineRule="auto"/>
        <w:tabs>
          <w:tab w:leader="none" w:pos="705" w:val="left"/>
        </w:tabs>
        <w:numPr>
          <w:ilvl w:val="1"/>
          <w:numId w:val="143"/>
        </w:numPr>
        <w:rPr>
          <w:rFonts w:ascii="Arial" w:cs="Arial" w:eastAsia="Arial" w:hAnsi="Arial"/>
          <w:sz w:val="16"/>
          <w:szCs w:val="16"/>
          <w:color w:val="auto"/>
        </w:rPr>
      </w:pPr>
      <w:r>
        <w:rPr>
          <w:rFonts w:ascii="Arial" w:cs="Arial" w:eastAsia="Arial" w:hAnsi="Arial"/>
          <w:sz w:val="16"/>
          <w:szCs w:val="16"/>
          <w:u w:val="single" w:color="auto"/>
          <w:color w:val="auto"/>
        </w:rPr>
        <w:t>Restrictions on Purchase</w:t>
      </w:r>
      <w:r>
        <w:rPr>
          <w:rFonts w:ascii="Arial" w:cs="Arial" w:eastAsia="Arial" w:hAnsi="Arial"/>
          <w:sz w:val="16"/>
          <w:szCs w:val="16"/>
          <w:color w:val="auto"/>
        </w:rPr>
        <w:t>. The Board or the Committee may, in its discretion, require as conditions to the purchase of any Shares under the Plan such conditions as it may deem necessary to assure that such purchase of Shares is in compliance with applicable securities laws.</w:t>
      </w:r>
    </w:p>
    <w:p>
      <w:pPr>
        <w:spacing w:after="0" w:line="85" w:lineRule="exact"/>
        <w:rPr>
          <w:rFonts w:ascii="Arial" w:cs="Arial" w:eastAsia="Arial" w:hAnsi="Arial"/>
          <w:sz w:val="16"/>
          <w:szCs w:val="16"/>
          <w:color w:val="auto"/>
        </w:rPr>
      </w:pPr>
    </w:p>
    <w:p>
      <w:pPr>
        <w:ind w:right="120" w:firstLine="464"/>
        <w:spacing w:after="0" w:line="294" w:lineRule="auto"/>
        <w:tabs>
          <w:tab w:leader="none" w:pos="695" w:val="left"/>
        </w:tabs>
        <w:numPr>
          <w:ilvl w:val="1"/>
          <w:numId w:val="143"/>
        </w:numPr>
        <w:rPr>
          <w:rFonts w:ascii="Arial" w:cs="Arial" w:eastAsia="Arial" w:hAnsi="Arial"/>
          <w:sz w:val="16"/>
          <w:szCs w:val="16"/>
          <w:color w:val="auto"/>
        </w:rPr>
      </w:pPr>
      <w:r>
        <w:rPr>
          <w:rFonts w:ascii="Arial" w:cs="Arial" w:eastAsia="Arial" w:hAnsi="Arial"/>
          <w:sz w:val="16"/>
          <w:szCs w:val="16"/>
          <w:u w:val="single" w:color="auto"/>
          <w:color w:val="auto"/>
        </w:rPr>
        <w:t>Restrictions on Sale of Shares</w:t>
      </w:r>
      <w:r>
        <w:rPr>
          <w:rFonts w:ascii="Arial" w:cs="Arial" w:eastAsia="Arial" w:hAnsi="Arial"/>
          <w:sz w:val="16"/>
          <w:szCs w:val="16"/>
          <w:color w:val="auto"/>
        </w:rPr>
        <w:t>. The Board or the Committee may, in its discretion, require as conditions to the sale of any Shares credited to Participants’ Brokerage Accounts under the Plan (i) such conditions as it may deem necessary to assure that such sale of Shares is in compliance with applicable securities laws and (ii) a minimum holding period (not to exceed one year) following the purchase of Shares before Shares credited to Participants’ Brokerage Accounts may be sold or otherwise transferred, provided that such holding period, if any, shall not apply to Shares applied to pay withholding taxes pursuant to Paragraph 11 or to Shares credited to the Brokerage Account of a Participant who has terminated employment on account of death or disability.</w:t>
      </w:r>
    </w:p>
    <w:p>
      <w:pPr>
        <w:spacing w:after="0" w:line="231" w:lineRule="exact"/>
        <w:rPr>
          <w:rFonts w:ascii="Arial" w:cs="Arial" w:eastAsia="Arial" w:hAnsi="Arial"/>
          <w:sz w:val="16"/>
          <w:szCs w:val="16"/>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Participating Companies shall pay all fees and expenses incurred (excluding individual Federal, state, local or other taxes) in connection with the Plan. No charge or deduction for any such expenses will be made to a Participant upon the termination of his or 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participation under the Plan or upon the distribution of certificates representing Shares purchased with his or her Payroll Deductions.</w:t>
      </w:r>
    </w:p>
    <w:p>
      <w:pPr>
        <w:spacing w:after="0" w:line="287"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w:t>
      </w:r>
    </w:p>
    <w:p>
      <w:pPr>
        <w:spacing w:after="0" w:line="96" w:lineRule="exact"/>
        <w:rPr>
          <w:sz w:val="20"/>
          <w:szCs w:val="20"/>
          <w:color w:val="auto"/>
        </w:rPr>
      </w:pPr>
    </w:p>
    <w:p>
      <w:pPr>
        <w:ind w:right="240" w:firstLine="913"/>
        <w:spacing w:after="0" w:line="298" w:lineRule="auto"/>
        <w:rPr>
          <w:sz w:val="20"/>
          <w:szCs w:val="20"/>
          <w:color w:val="auto"/>
        </w:rPr>
      </w:pPr>
      <w:r>
        <w:rPr>
          <w:rFonts w:ascii="Arial" w:cs="Arial" w:eastAsia="Arial" w:hAnsi="Arial"/>
          <w:sz w:val="16"/>
          <w:szCs w:val="16"/>
          <w:color w:val="auto"/>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and in connection with the sale of Shares acquired under the Plan. The Company’s obligation to make any delivery or transfer of Shares shall be conditioned on the Participant’s compliance, to the Company’s satisfaction, with any withholding requirement.</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tax liabilities incurred in connection with a Participant’s participation in the Plan may, to the extent such liabilities cannot be satisfied in full by withholding cash payable in connection with a taxable event, be satisfied by withholding a portion of the Shares otherwise creditable under the Plan having a Fair Market Value approximately equal to the minimum amount of taxes required to be withheld under applicable law.</w:t>
      </w:r>
    </w:p>
    <w:p>
      <w:pPr>
        <w:spacing w:after="0" w:line="256"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and Contributions Not to Affect Employment</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shall not confer upon any Eligible Employee any right to continue in the employ of the Participating Companies.</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228"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Termination</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 no amendment to the Plan shall affect the right of any Participant to receive his or her proportionate interest in the Shares or his or her Payroll Deductions (to the extent not yet applied to the purchase of Shares) under the Plan, provided further that the Company may seek shareholder approval of the Plan or any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 and provided further that the Board or the Committee may condition the effectiveness of any Election Form on such shareholder approval.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19" w:name="page120"/>
    <w:bookmarkEnd w:id="119"/>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Date</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was originally adopted on January 29, 2011. The first Offering Period under the Plan commenced on July 1, 2011.</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Government and Other Regulations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660" w:firstLine="464"/>
        <w:spacing w:after="0" w:line="268" w:lineRule="auto"/>
        <w:tabs>
          <w:tab w:leader="none" w:pos="695"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purchase of Shares under the Plan shall be subject to all applicable laws, rules and regulations, and to such approvals by any governmental agencies as may be required.</w:t>
      </w:r>
    </w:p>
    <w:p>
      <w:pPr>
        <w:spacing w:after="0" w:line="131" w:lineRule="exact"/>
        <w:rPr>
          <w:rFonts w:ascii="Arial" w:cs="Arial" w:eastAsia="Arial" w:hAnsi="Arial"/>
          <w:sz w:val="18"/>
          <w:szCs w:val="18"/>
          <w:color w:val="auto"/>
        </w:rPr>
      </w:pPr>
    </w:p>
    <w:p>
      <w:pPr>
        <w:ind w:right="260" w:firstLine="464"/>
        <w:spacing w:after="0" w:line="306" w:lineRule="auto"/>
        <w:tabs>
          <w:tab w:leader="none" w:pos="705" w:val="left"/>
        </w:tabs>
        <w:numPr>
          <w:ilvl w:val="1"/>
          <w:numId w:val="147"/>
        </w:numPr>
        <w:rPr>
          <w:rFonts w:ascii="Arial" w:cs="Arial" w:eastAsia="Arial" w:hAnsi="Arial"/>
          <w:sz w:val="16"/>
          <w:szCs w:val="16"/>
          <w:color w:val="auto"/>
        </w:rPr>
      </w:pPr>
      <w:r>
        <w:rPr>
          <w:rFonts w:ascii="Arial" w:cs="Arial" w:eastAsia="Arial" w:hAnsi="Arial"/>
          <w:sz w:val="16"/>
          <w:szCs w:val="16"/>
          <w:u w:val="single" w:color="auto"/>
          <w:color w:val="auto"/>
        </w:rPr>
        <w:t>Securities Law</w:t>
      </w:r>
      <w:r>
        <w:rPr>
          <w:rFonts w:ascii="Arial" w:cs="Arial" w:eastAsia="Arial" w:hAnsi="Arial"/>
          <w:sz w:val="16"/>
          <w:szCs w:val="16"/>
          <w:color w:val="auto"/>
        </w:rPr>
        <w:t>. The Committee shall have the power to make each Offering under the Plan subject to such conditions as it deems necessary or appropriate to comply with the then-existing requirements of the Securities Act of 1933, as amended, and the Securities Exchange Act of 1934, as amended, including Rule 16b-3 (or any similar rule) promulgated by the Securities and Exchange Commission thereunder.</w:t>
      </w:r>
    </w:p>
    <w:p>
      <w:pPr>
        <w:spacing w:after="0" w:line="222" w:lineRule="exact"/>
        <w:rPr>
          <w:rFonts w:ascii="Arial" w:cs="Arial" w:eastAsia="Arial" w:hAnsi="Arial"/>
          <w:sz w:val="16"/>
          <w:szCs w:val="16"/>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Non-Alienation</w:t>
      </w:r>
      <w:r>
        <w:rPr>
          <w:rFonts w:ascii="Arial" w:cs="Arial" w:eastAsia="Arial" w:hAnsi="Arial"/>
          <w:sz w:val="18"/>
          <w:szCs w:val="18"/>
          <w:b w:val="1"/>
          <w:bCs w:val="1"/>
          <w:color w:val="auto"/>
        </w:rPr>
        <w:t>.</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No Participant shall be permitted to assign, alienate, sell, transfer, pledge or otherwise encumber his right to purchase Shares under the Plan prior to time that Shares are credited to the Participant’s Brokerage Account. Any attempt at assignment, alienation, sale, transfer, pledge or other encumbrance shall be void and of no effect.</w:t>
      </w:r>
    </w:p>
    <w:p>
      <w:pPr>
        <w:spacing w:after="0" w:line="256"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notice required or permitted hereunder shall be sufficiently given only if delivered personally, telecopied, or sent by first class mail, postage prepaid, and addressed:</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1701 JFK Boulevard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215-286-7794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 any other address provided pursuant to notice provided by the Committee.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If to the Participant</w:t>
      </w:r>
      <w:r>
        <w:rPr>
          <w:rFonts w:ascii="Arial" w:cs="Arial" w:eastAsia="Arial" w:hAnsi="Arial"/>
          <w:sz w:val="18"/>
          <w:szCs w:val="18"/>
          <w:color w:val="auto"/>
        </w:rPr>
        <w:t>:</w:t>
      </w:r>
    </w:p>
    <w:p>
      <w:pPr>
        <w:spacing w:after="0" w:line="90" w:lineRule="exact"/>
        <w:rPr>
          <w:sz w:val="20"/>
          <w:szCs w:val="20"/>
          <w:color w:val="auto"/>
        </w:rPr>
      </w:pPr>
    </w:p>
    <w:p>
      <w:pPr>
        <w:ind w:left="920" w:right="20"/>
        <w:spacing w:after="0" w:line="332" w:lineRule="auto"/>
        <w:rPr>
          <w:sz w:val="20"/>
          <w:szCs w:val="20"/>
          <w:color w:val="auto"/>
        </w:rPr>
      </w:pPr>
      <w:r>
        <w:rPr>
          <w:rFonts w:ascii="Arial" w:cs="Arial" w:eastAsia="Arial" w:hAnsi="Arial"/>
          <w:sz w:val="16"/>
          <w:szCs w:val="16"/>
          <w:color w:val="auto"/>
        </w:rPr>
        <w:t>At the address on file with the Participating Company from time to time, or to such other address as either party may hereafter designate in writing (or via such other means of communication permitted by the Committee) by notice similarly given by one party to the other.</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274" w:right="419" w:bottom="1440" w:gutter="0" w:footer="0" w:header="0"/>
        </w:sectPr>
      </w:pPr>
    </w:p>
    <w:bookmarkStart w:id="120" w:name="page121"/>
    <w:bookmarkEnd w:id="120"/>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Successors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shall be binding upon and inure to the benefit of any successors or assigns of the Company.</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If any part of this Plan shall be determined to be invalid or void in any respect, such determination shall not affect, impair, invalidate or nullify the remaining provisions of this Plan which shall continue in full force and effect.</w:t>
      </w:r>
    </w:p>
    <w:p>
      <w:pPr>
        <w:spacing w:after="0" w:line="248" w:lineRule="exact"/>
        <w:rPr>
          <w:sz w:val="20"/>
          <w:szCs w:val="20"/>
          <w:color w:val="auto"/>
        </w:rPr>
      </w:pPr>
    </w:p>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Acceptance</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election by any Eligible Employee to participate in this Plan constitutes his or her acceptance of the terms of the Plan and his or her agreement to be bound hereby.</w:t>
      </w:r>
    </w:p>
    <w:p>
      <w:pPr>
        <w:spacing w:after="0" w:line="248"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right="60"/>
        <w:spacing w:after="0" w:line="456" w:lineRule="auto"/>
        <w:rPr>
          <w:rFonts w:ascii="Arial" w:cs="Arial" w:eastAsia="Arial" w:hAnsi="Arial"/>
          <w:sz w:val="18"/>
          <w:szCs w:val="18"/>
          <w:b w:val="1"/>
          <w:bCs w:val="1"/>
          <w:color w:val="auto"/>
        </w:rPr>
      </w:pPr>
      <w:r>
        <w:rPr>
          <w:rFonts w:ascii="Arial" w:cs="Arial" w:eastAsia="Arial" w:hAnsi="Arial"/>
          <w:sz w:val="18"/>
          <w:szCs w:val="18"/>
          <w:color w:val="auto"/>
        </w:rPr>
        <w:t>This Plan shall be construed in accordance with the laws of the Commonwealth of Pennsylvania, to the extent not preempted by applicable Federal law. Executed as of the 29</w:t>
      </w:r>
      <w:r>
        <w:rPr>
          <w:rFonts w:ascii="Arial" w:cs="Arial" w:eastAsia="Arial" w:hAnsi="Arial"/>
          <w:sz w:val="11"/>
          <w:szCs w:val="11"/>
          <w:color w:val="auto"/>
        </w:rPr>
        <w:t>th</w:t>
      </w:r>
      <w:r>
        <w:rPr>
          <w:rFonts w:ascii="Arial" w:cs="Arial" w:eastAsia="Arial" w:hAnsi="Arial"/>
          <w:sz w:val="18"/>
          <w:szCs w:val="18"/>
          <w:color w:val="auto"/>
        </w:rPr>
        <w:t xml:space="preserve"> day of August, 2012.</w:t>
      </w:r>
    </w:p>
    <w:p>
      <w:pPr>
        <w:spacing w:after="0" w:line="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ATTEST: </w:t>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14605</wp:posOffset>
            </wp:positionV>
            <wp:extent cx="24098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7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240" w:top="274" w:right="47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Angelakis, certify that:</w:t>
      </w:r>
    </w:p>
    <w:p>
      <w:pPr>
        <w:spacing w:after="0" w:line="144"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2012</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28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26, 2012</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Chief Executive Officer, and Michael J. Angelakis, the Chief Financial Officer, of Comcast Corporation,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1)"/>
      <w:numFmt w:val="lowerRoman"/>
      <w:start w:val="2"/>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1)"/>
      <w:numFmt w:val="lowerLetter"/>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1)"/>
      <w:numFmt w:val="lowerLetter"/>
      <w:start w:val="1"/>
    </w:lvl>
  </w:abstractNum>
  <w:abstractNum w:abstractNumId="8">
    <w:nsid w:val="6A5EE64"/>
    <w:multiLevelType w:val="hybridMultilevel"/>
    <w:lvl w:ilvl="0">
      <w:lvlJc w:val="left"/>
      <w:lvlText w:val="(%1)"/>
      <w:numFmt w:val="lowerLetter"/>
      <w:start w:val="2"/>
    </w:lvl>
  </w:abstractNum>
  <w:abstractNum w:abstractNumId="9">
    <w:nsid w:val="14330624"/>
    <w:multiLevelType w:val="hybridMultilevel"/>
    <w:lvl w:ilvl="0">
      <w:lvlJc w:val="left"/>
      <w:lvlText w:val="(%1)"/>
      <w:numFmt w:val="lowerLetter"/>
      <w:start w:val="4"/>
    </w:lvl>
    <w:lvl w:ilvl="1">
      <w:lvlJc w:val="left"/>
      <w:lvlText w:val="•"/>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1)"/>
      <w:numFmt w:val="lowerLetter"/>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4"/>
      <w:numFmt w:val="bullet"/>
      <w:start w:val="1"/>
    </w:lvl>
  </w:abstractNum>
  <w:abstractNum w:abstractNumId="15">
    <w:nsid w:val="6EB5BD4"/>
    <w:multiLevelType w:val="hybridMultilevel"/>
    <w:lvl w:ilvl="0">
      <w:lvlJc w:val="left"/>
      <w:lvlText w:val="2"/>
      <w:numFmt w:val="bullet"/>
      <w:start w:val="1"/>
    </w:lvl>
  </w:abstractNum>
  <w:abstractNum w:abstractNumId="16">
    <w:nsid w:val="6F6DD9AC"/>
    <w:multiLevelType w:val="hybridMultilevel"/>
    <w:lvl w:ilvl="0">
      <w:lvlJc w:val="left"/>
      <w:lvlText w:val="%1"/>
      <w:numFmt w:val="decimal"/>
      <w:start w:val="68"/>
    </w:lvl>
  </w:abstractNum>
  <w:abstractNum w:abstractNumId="17">
    <w:nsid w:val="94211F2"/>
    <w:multiLevelType w:val="hybridMultilevel"/>
    <w:lvl w:ilvl="0">
      <w:lvlJc w:val="left"/>
      <w:lvlText w:val="%1"/>
      <w:numFmt w:val="decimal"/>
      <w:start w:val="10"/>
    </w:lvl>
  </w:abstractNum>
  <w:abstractNum w:abstractNumId="18">
    <w:nsid w:val="885E1B"/>
    <w:multiLevelType w:val="hybridMultilevel"/>
    <w:lvl w:ilvl="0">
      <w:lvlJc w:val="left"/>
      <w:lvlText w:val="(%1)"/>
      <w:numFmt w:val="lowerLetter"/>
      <w:start w:val="1"/>
    </w:lvl>
  </w:abstractNum>
  <w:abstractNum w:abstractNumId="19">
    <w:nsid w:val="76272110"/>
    <w:multiLevelType w:val="hybridMultilevel"/>
    <w:lvl w:ilvl="0">
      <w:lvlJc w:val="left"/>
      <w:lvlText w:val="(%1)"/>
      <w:numFmt w:val="lowerLetter"/>
      <w:start w:val="1"/>
    </w:lvl>
  </w:abstractNum>
  <w:abstractNum w:abstractNumId="20">
    <w:nsid w:val="4C04A8AF"/>
    <w:multiLevelType w:val="hybridMultilevel"/>
    <w:lvl w:ilvl="0">
      <w:lvlJc w:val="left"/>
      <w:lvlText w:val="(%1)"/>
      <w:numFmt w:val="lowerLetter"/>
      <w:start w:val="1"/>
    </w:lvl>
  </w:abstractNum>
  <w:abstractNum w:abstractNumId="21">
    <w:nsid w:val="1716703B"/>
    <w:multiLevelType w:val="hybridMultilevel"/>
    <w:lvl w:ilvl="0">
      <w:lvlJc w:val="left"/>
      <w:lvlText w:val="(%1)"/>
      <w:numFmt w:val="lowerLetter"/>
      <w:start w:val="1"/>
    </w:lvl>
  </w:abstractNum>
  <w:abstractNum w:abstractNumId="22">
    <w:nsid w:val="14E17E33"/>
    <w:multiLevelType w:val="hybridMultilevel"/>
    <w:lvl w:ilvl="0">
      <w:lvlJc w:val="left"/>
      <w:lvlText w:val="(%1)"/>
      <w:numFmt w:val="lowerLetter"/>
      <w:start w:val="1"/>
    </w:lvl>
  </w:abstractNum>
  <w:abstractNum w:abstractNumId="23">
    <w:nsid w:val="3222E7CD"/>
    <w:multiLevelType w:val="hybridMultilevel"/>
    <w:lvl w:ilvl="0">
      <w:lvlJc w:val="left"/>
      <w:lvlText w:val="%1"/>
      <w:numFmt w:val="decimal"/>
      <w:start w:val="31"/>
    </w:lvl>
  </w:abstractNum>
  <w:abstractNum w:abstractNumId="24">
    <w:nsid w:val="74DE0EE3"/>
    <w:multiLevelType w:val="hybridMultilevel"/>
    <w:lvl w:ilvl="0">
      <w:lvlJc w:val="left"/>
      <w:lvlText w:val="*"/>
      <w:numFmt w:val="bullet"/>
      <w:start w:val="1"/>
    </w:lvl>
    <w:lvl w:ilvl="1">
      <w:lvlJc w:val="left"/>
      <w:lvlText w:val="%2"/>
      <w:numFmt w:val="decimal"/>
      <w:start w:val="101"/>
    </w:lvl>
  </w:abstractNum>
  <w:abstractNum w:abstractNumId="25">
    <w:nsid w:val="68EBC550"/>
    <w:multiLevelType w:val="hybridMultilevel"/>
    <w:lvl w:ilvl="0">
      <w:lvlJc w:val="left"/>
      <w:lvlText w:val="(%1)"/>
      <w:numFmt w:val="lowerLetter"/>
      <w:start w:val="1"/>
    </w:lvl>
  </w:abstractNum>
  <w:abstractNum w:abstractNumId="26">
    <w:nsid w:val="2DF6D64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7">
    <w:nsid w:val="46B7D447"/>
    <w:multiLevelType w:val="hybridMultilevel"/>
    <w:lvl w:ilvl="0">
      <w:lvlJc w:val="left"/>
      <w:lvlText w:val="%1"/>
      <w:numFmt w:val="lowerLetter"/>
      <w:start w:val="1"/>
    </w:lvl>
    <w:lvl w:ilvl="1">
      <w:lvlJc w:val="left"/>
      <w:lvlText w:val="(%2)"/>
      <w:numFmt w:val="upperLetter"/>
      <w:start w:val="2"/>
    </w:lvl>
  </w:abstractNum>
  <w:abstractNum w:abstractNumId="28">
    <w:nsid w:val="4A2AC315"/>
    <w:multiLevelType w:val="hybridMultilevel"/>
    <w:lvl w:ilvl="0">
      <w:lvlJc w:val="left"/>
      <w:lvlText w:val="(%1)"/>
      <w:numFmt w:val="lowerLetter"/>
      <w:start w:val="2"/>
    </w:lvl>
    <w:lvl w:ilvl="1">
      <w:lvlJc w:val="left"/>
      <w:lvlText w:val="%2"/>
      <w:numFmt w:val="upperLetter"/>
      <w:start w:val="1"/>
    </w:lvl>
  </w:abstractNum>
  <w:abstractNum w:abstractNumId="29">
    <w:nsid w:val="39EE015C"/>
    <w:multiLevelType w:val="hybridMultilevel"/>
    <w:lvl w:ilvl="0">
      <w:lvlJc w:val="left"/>
      <w:lvlText w:val="%1"/>
      <w:numFmt w:val="lowerRoman"/>
      <w:start w:val="1"/>
    </w:lvl>
    <w:lvl w:ilvl="1">
      <w:lvlJc w:val="left"/>
      <w:lvlText w:val="(%2)"/>
      <w:numFmt w:val="lowerLetter"/>
      <w:start w:val="1"/>
    </w:lvl>
  </w:abstractNum>
  <w:abstractNum w:abstractNumId="30">
    <w:nsid w:val="57FC4FBB"/>
    <w:multiLevelType w:val="hybridMultilevel"/>
    <w:lvl w:ilvl="0">
      <w:lvlJc w:val="left"/>
      <w:lvlText w:val="(%1)"/>
      <w:numFmt w:val="lowerRoman"/>
      <w:start w:val="2"/>
    </w:lvl>
    <w:lvl w:ilvl="1">
      <w:lvlJc w:val="left"/>
      <w:lvlText w:val="%2"/>
      <w:numFmt w:val="lowerLetter"/>
      <w:start w:val="1"/>
    </w:lvl>
  </w:abstractNum>
  <w:abstractNum w:abstractNumId="31">
    <w:nsid w:val="CC1016F"/>
    <w:multiLevelType w:val="hybridMultilevel"/>
    <w:lvl w:ilvl="0">
      <w:lvlJc w:val="left"/>
      <w:lvlText w:val="(%1)"/>
      <w:numFmt w:val="lowerLetter"/>
      <w:start w:val="1"/>
    </w:lvl>
  </w:abstractNum>
  <w:abstractNum w:abstractNumId="32">
    <w:nsid w:val="43F18422"/>
    <w:multiLevelType w:val="hybridMultilevel"/>
    <w:lvl w:ilvl="0">
      <w:lvlJc w:val="left"/>
      <w:lvlText w:val="(%1)"/>
      <w:numFmt w:val="lowerLetter"/>
      <w:start w:val="1"/>
    </w:lvl>
  </w:abstractNum>
  <w:abstractNum w:abstractNumId="33">
    <w:nsid w:val="60EF0119"/>
    <w:multiLevelType w:val="hybridMultilevel"/>
    <w:lvl w:ilvl="0">
      <w:lvlJc w:val="left"/>
      <w:lvlText w:val="(%1)"/>
      <w:numFmt w:val="lowerLetter"/>
      <w:start w:val="1"/>
    </w:lvl>
  </w:abstractNum>
  <w:abstractNum w:abstractNumId="34">
    <w:nsid w:val="26F324BA"/>
    <w:multiLevelType w:val="hybridMultilevel"/>
    <w:lvl w:ilvl="0">
      <w:lvlJc w:val="left"/>
      <w:lvlText w:val="(%1)"/>
      <w:numFmt w:val="lowerLetter"/>
      <w:start w:val="1"/>
    </w:lvl>
  </w:abstractNum>
  <w:abstractNum w:abstractNumId="35">
    <w:nsid w:val="7F01579B"/>
    <w:multiLevelType w:val="hybridMultilevel"/>
    <w:lvl w:ilvl="0">
      <w:lvlJc w:val="left"/>
      <w:lvlText w:val="(%1)"/>
      <w:numFmt w:val="lowerLetter"/>
      <w:start w:val="2"/>
    </w:lvl>
  </w:abstractNum>
  <w:abstractNum w:abstractNumId="36">
    <w:nsid w:val="49DA307D"/>
    <w:multiLevelType w:val="hybridMultilevel"/>
    <w:lvl w:ilvl="0">
      <w:lvlJc w:val="left"/>
      <w:lvlText w:val="(%1)"/>
      <w:numFmt w:val="lowerLetter"/>
      <w:start w:val="1"/>
    </w:lvl>
    <w:lvl w:ilvl="1">
      <w:lvlJc w:val="left"/>
      <w:lvlText w:val="(%2)"/>
      <w:numFmt w:val="lowerRoman"/>
      <w:start w:val="1"/>
    </w:lvl>
  </w:abstractNum>
  <w:abstractNum w:abstractNumId="37">
    <w:nsid w:val="7055A5F5"/>
    <w:multiLevelType w:val="hybridMultilevel"/>
    <w:lvl w:ilvl="0">
      <w:lvlJc w:val="left"/>
      <w:lvlText w:val="(%1)"/>
      <w:numFmt w:val="lowerLetter"/>
      <w:start w:val="1"/>
    </w:lvl>
  </w:abstractNum>
  <w:abstractNum w:abstractNumId="38">
    <w:nsid w:val="5FB8370B"/>
    <w:multiLevelType w:val="hybridMultilevel"/>
    <w:lvl w:ilvl="0">
      <w:lvlJc w:val="left"/>
      <w:lvlText w:val="(%1)"/>
      <w:numFmt w:val="lowerLetter"/>
      <w:start w:val="1"/>
    </w:lvl>
    <w:lvl w:ilvl="1">
      <w:lvlJc w:val="left"/>
      <w:lvlText w:val="(%2)"/>
      <w:numFmt w:val="lowerRoman"/>
      <w:start w:val="1"/>
    </w:lvl>
  </w:abstractNum>
  <w:abstractNum w:abstractNumId="39">
    <w:nsid w:val="50801EE1"/>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40">
    <w:nsid w:val="488AC1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1">
    <w:nsid w:val="5FB8011C"/>
    <w:multiLevelType w:val="hybridMultilevel"/>
    <w:lvl w:ilvl="0">
      <w:lvlJc w:val="left"/>
      <w:lvlText w:val="(%1)"/>
      <w:numFmt w:val="lowerLetter"/>
      <w:start w:val="1"/>
    </w:lvl>
    <w:lvl w:ilvl="1">
      <w:lvlJc w:val="left"/>
      <w:lvlText w:val="(%2)"/>
      <w:numFmt w:val="lowerRoman"/>
      <w:start w:val="1"/>
    </w:lvl>
  </w:abstractNum>
  <w:abstractNum w:abstractNumId="42">
    <w:nsid w:val="6AA78F7F"/>
    <w:multiLevelType w:val="hybridMultilevel"/>
    <w:lvl w:ilvl="0">
      <w:lvlJc w:val="left"/>
      <w:lvlText w:val="(%1)"/>
      <w:numFmt w:val="lowerRoman"/>
      <w:start w:val="3"/>
    </w:lvl>
    <w:lvl w:ilvl="1">
      <w:lvlJc w:val="left"/>
      <w:lvlText w:val="(%2)"/>
      <w:numFmt w:val="upperLetter"/>
      <w:start w:val="1"/>
    </w:lvl>
  </w:abstractNum>
  <w:abstractNum w:abstractNumId="43">
    <w:nsid w:val="7672BD23"/>
    <w:multiLevelType w:val="hybridMultilevel"/>
    <w:lvl w:ilvl="0">
      <w:lvlJc w:val="left"/>
      <w:lvlText w:val="(%1)"/>
      <w:numFmt w:val="lowerLetter"/>
      <w:start w:val="1"/>
    </w:lvl>
    <w:lvl w:ilvl="1">
      <w:lvlJc w:val="left"/>
      <w:lvlText w:val="(%2)"/>
      <w:numFmt w:val="lowerRoman"/>
      <w:start w:val="1"/>
    </w:lvl>
  </w:abstractNum>
  <w:abstractNum w:abstractNumId="44">
    <w:nsid w:val="6FC75AF8"/>
    <w:multiLevelType w:val="hybridMultilevel"/>
    <w:lvl w:ilvl="0">
      <w:lvlJc w:val="left"/>
      <w:lvlText w:val="(%1)"/>
      <w:numFmt w:val="lowerLetter"/>
      <w:start w:val="1"/>
    </w:lvl>
  </w:abstractNum>
  <w:abstractNum w:abstractNumId="45">
    <w:nsid w:val="6A5F7029"/>
    <w:multiLevelType w:val="hybridMultilevel"/>
    <w:lvl w:ilvl="0">
      <w:lvlJc w:val="left"/>
      <w:lvlText w:val="(%1)"/>
      <w:numFmt w:val="lowerLetter"/>
      <w:start w:val="1"/>
    </w:lvl>
  </w:abstractNum>
  <w:abstractNum w:abstractNumId="46">
    <w:nsid w:val="7D5E18F8"/>
    <w:multiLevelType w:val="hybridMultilevel"/>
    <w:lvl w:ilvl="0">
      <w:lvlJc w:val="left"/>
      <w:lvlText w:val="(%1)"/>
      <w:numFmt w:val="lowerLetter"/>
      <w:start w:val="1"/>
    </w:lvl>
  </w:abstractNum>
  <w:abstractNum w:abstractNumId="47">
    <w:nsid w:val="5F3534A4"/>
    <w:multiLevelType w:val="hybridMultilevel"/>
    <w:lvl w:ilvl="0">
      <w:lvlJc w:val="left"/>
      <w:lvlText w:val="(%1)"/>
      <w:numFmt w:val="lowerLetter"/>
      <w:start w:val="1"/>
    </w:lvl>
  </w:abstractNum>
  <w:abstractNum w:abstractNumId="48">
    <w:nsid w:val="73A1821B"/>
    <w:multiLevelType w:val="hybridMultilevel"/>
    <w:lvl w:ilvl="0">
      <w:lvlJc w:val="left"/>
      <w:lvlText w:val="(%1)"/>
      <w:numFmt w:val="lowerLetter"/>
      <w:start w:val="1"/>
    </w:lvl>
  </w:abstractNum>
  <w:abstractNum w:abstractNumId="49">
    <w:nsid w:val="7DE67713"/>
    <w:multiLevelType w:val="hybridMultilevel"/>
    <w:lvl w:ilvl="0">
      <w:lvlJc w:val="left"/>
      <w:lvlText w:val="(%1)"/>
      <w:numFmt w:val="lowerLetter"/>
      <w:start w:val="1"/>
    </w:lvl>
    <w:lvl w:ilvl="1">
      <w:lvlJc w:val="left"/>
      <w:lvlText w:val="(%2)"/>
      <w:numFmt w:val="lowerLetter"/>
      <w:start w:val="9"/>
    </w:lvl>
  </w:abstractNum>
  <w:abstractNum w:abstractNumId="50">
    <w:nsid w:val="555C55B5"/>
    <w:multiLevelType w:val="hybridMultilevel"/>
    <w:lvl w:ilvl="0">
      <w:lvlJc w:val="left"/>
      <w:lvlText w:val="(%1)"/>
      <w:numFmt w:val="lowerLetter"/>
      <w:start w:val="5"/>
    </w:lvl>
  </w:abstractNum>
  <w:abstractNum w:abstractNumId="51">
    <w:nsid w:val="3FA62ACA"/>
    <w:multiLevelType w:val="hybridMultilevel"/>
    <w:lvl w:ilvl="0">
      <w:lvlJc w:val="left"/>
      <w:lvlText w:val="(%1)"/>
      <w:numFmt w:val="lowerLetter"/>
      <w:start w:val="1"/>
    </w:lvl>
    <w:lvl w:ilvl="1">
      <w:lvlJc w:val="left"/>
      <w:lvlText w:val="(%2)"/>
      <w:numFmt w:val="lowerLetter"/>
      <w:start w:val="9"/>
    </w:lvl>
  </w:abstractNum>
  <w:abstractNum w:abstractNumId="52">
    <w:nsid w:val="14FCE74E"/>
    <w:multiLevelType w:val="hybridMultilevel"/>
    <w:lvl w:ilvl="0">
      <w:lvlJc w:val="left"/>
      <w:lvlText w:val="(%1)"/>
      <w:numFmt w:val="lowerRoman"/>
      <w:start w:val="2"/>
    </w:lvl>
  </w:abstractNum>
  <w:abstractNum w:abstractNumId="53">
    <w:nsid w:val="6A3DD3E8"/>
    <w:multiLevelType w:val="hybridMultilevel"/>
    <w:lvl w:ilvl="0">
      <w:lvlJc w:val="left"/>
      <w:lvlText w:val="(%1)"/>
      <w:numFmt w:val="lowerLetter"/>
      <w:start w:val="1"/>
    </w:lvl>
  </w:abstractNum>
  <w:abstractNum w:abstractNumId="54">
    <w:nsid w:val="71C9129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5">
    <w:nsid w:val="9DAF632"/>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56">
    <w:nsid w:val="53299938"/>
    <w:multiLevelType w:val="hybridMultilevel"/>
    <w:lvl w:ilvl="0">
      <w:lvlJc w:val="left"/>
      <w:lvlText w:val="(%1)"/>
      <w:numFmt w:val="lowerLetter"/>
      <w:start w:val="1"/>
    </w:lvl>
  </w:abstractNum>
  <w:abstractNum w:abstractNumId="57">
    <w:nsid w:val="1FBFE8E0"/>
    <w:multiLevelType w:val="hybridMultilevel"/>
    <w:lvl w:ilvl="0">
      <w:lvlJc w:val="left"/>
      <w:lvlText w:val="(%1)"/>
      <w:numFmt w:val="lowerLetter"/>
      <w:start w:val="2"/>
    </w:lvl>
  </w:abstractNum>
  <w:abstractNum w:abstractNumId="58">
    <w:nsid w:val="5092CA79"/>
    <w:multiLevelType w:val="hybridMultilevel"/>
    <w:lvl w:ilvl="0">
      <w:lvlJc w:val="left"/>
      <w:lvlText w:val="(%1)"/>
      <w:numFmt w:val="lowerLetter"/>
      <w:start w:val="1"/>
    </w:lvl>
  </w:abstractNum>
  <w:abstractNum w:abstractNumId="59">
    <w:nsid w:val="1D545C4D"/>
    <w:multiLevelType w:val="hybridMultilevel"/>
    <w:lvl w:ilvl="0">
      <w:lvlJc w:val="left"/>
      <w:lvlText w:val="(%1)"/>
      <w:numFmt w:val="lowerLetter"/>
      <w:start w:val="1"/>
    </w:lvl>
  </w:abstractNum>
  <w:abstractNum w:abstractNumId="60">
    <w:nsid w:val="59ADEA3D"/>
    <w:multiLevelType w:val="hybridMultilevel"/>
    <w:lvl w:ilvl="0">
      <w:lvlJc w:val="left"/>
      <w:lvlText w:val="(%1)"/>
      <w:numFmt w:val="lowerLetter"/>
      <w:start w:val="5"/>
    </w:lvl>
  </w:abstractNum>
  <w:abstractNum w:abstractNumId="61">
    <w:nsid w:val="288F1A34"/>
    <w:multiLevelType w:val="hybridMultilevel"/>
    <w:lvl w:ilvl="0">
      <w:lvlJc w:val="left"/>
      <w:lvlText w:val="(%1)"/>
      <w:numFmt w:val="lowerLetter"/>
      <w:start w:val="1"/>
    </w:lvl>
  </w:abstractNum>
  <w:abstractNum w:abstractNumId="62">
    <w:nsid w:val="2A155DBC"/>
    <w:multiLevelType w:val="hybridMultilevel"/>
    <w:lvl w:ilvl="0">
      <w:lvlJc w:val="left"/>
      <w:lvlText w:val="%1."/>
      <w:numFmt w:val="decimal"/>
      <w:start w:val="1"/>
    </w:lvl>
    <w:lvl w:ilvl="1">
      <w:lvlJc w:val="left"/>
      <w:lvlText w:val="(%2)"/>
      <w:numFmt w:val="lowerLetter"/>
      <w:start w:val="1"/>
    </w:lvl>
  </w:abstractNum>
  <w:abstractNum w:abstractNumId="63">
    <w:nsid w:val="1D9F6E5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4">
    <w:nsid w:val="97E1B4E"/>
    <w:multiLevelType w:val="hybridMultilevel"/>
    <w:lvl w:ilvl="0">
      <w:lvlJc w:val="left"/>
      <w:lvlText w:val="%1"/>
      <w:numFmt w:val="lowerLetter"/>
      <w:start w:val="1"/>
    </w:lvl>
    <w:lvl w:ilvl="1">
      <w:lvlJc w:val="left"/>
      <w:lvlText w:val="(%2)"/>
      <w:numFmt w:val="upperLetter"/>
      <w:start w:val="2"/>
    </w:lvl>
  </w:abstractNum>
  <w:abstractNum w:abstractNumId="65">
    <w:nsid w:val="51088277"/>
    <w:multiLevelType w:val="hybridMultilevel"/>
    <w:lvl w:ilvl="0">
      <w:lvlJc w:val="left"/>
      <w:lvlText w:val="(%1)"/>
      <w:numFmt w:val="lowerLetter"/>
      <w:start w:val="35"/>
    </w:lvl>
    <w:lvl w:ilvl="1">
      <w:lvlJc w:val="left"/>
      <w:lvlText w:val="%2"/>
      <w:numFmt w:val="upperLetter"/>
      <w:start w:val="1"/>
    </w:lvl>
  </w:abstractNum>
  <w:abstractNum w:abstractNumId="66">
    <w:nsid w:val="1CA0C5FA"/>
    <w:multiLevelType w:val="hybridMultilevel"/>
    <w:lvl w:ilvl="0">
      <w:lvlJc w:val="left"/>
      <w:lvlText w:val="(%1)"/>
      <w:numFmt w:val="lowerLetter"/>
      <w:start w:val="7"/>
    </w:lvl>
    <w:lvl w:ilvl="1">
      <w:lvlJc w:val="left"/>
      <w:lvlText w:val="(%2)"/>
      <w:numFmt w:val="lowerRoman"/>
      <w:start w:val="1"/>
    </w:lvl>
  </w:abstractNum>
  <w:abstractNum w:abstractNumId="67">
    <w:nsid w:val="53584BCB"/>
    <w:multiLevelType w:val="hybridMultilevel"/>
    <w:lvl w:ilvl="0">
      <w:lvlJc w:val="left"/>
      <w:lvlText w:val="(%1)"/>
      <w:numFmt w:val="lowerLetter"/>
      <w:start w:val="14"/>
    </w:lvl>
    <w:lvl w:ilvl="1">
      <w:lvlJc w:val="left"/>
      <w:lvlText w:val="(%2)"/>
      <w:numFmt w:val="lowerRoman"/>
      <w:start w:val="1"/>
    </w:lvl>
    <w:lvl w:ilvl="2">
      <w:lvlJc w:val="left"/>
      <w:lvlText w:val="(%3)"/>
      <w:numFmt w:val="upperLetter"/>
      <w:start w:val="1"/>
    </w:lvl>
  </w:abstractNum>
  <w:abstractNum w:abstractNumId="68">
    <w:nsid w:val="415E286C"/>
    <w:multiLevelType w:val="hybridMultilevel"/>
    <w:lvl w:ilvl="0">
      <w:lvlJc w:val="left"/>
      <w:lvlText w:val="%1"/>
      <w:numFmt w:val="lowerRoman"/>
      <w:start w:val="1"/>
    </w:lvl>
    <w:lvl w:ilvl="1">
      <w:lvlJc w:val="left"/>
      <w:lvlText w:val="(%2)"/>
      <w:numFmt w:val="upperLetter"/>
      <w:start w:val="3"/>
    </w:lvl>
  </w:abstractNum>
  <w:abstractNum w:abstractNumId="69">
    <w:nsid w:val="7C58FD05"/>
    <w:multiLevelType w:val="hybridMultilevel"/>
    <w:lvl w:ilvl="0">
      <w:lvlJc w:val="left"/>
      <w:lvlText w:val="(%1)"/>
      <w:numFmt w:val="lowerRoman"/>
      <w:start w:val="2"/>
    </w:lvl>
    <w:lvl w:ilvl="1">
      <w:lvlJc w:val="left"/>
      <w:lvlText w:val="(%2)"/>
      <w:numFmt w:val="upperLetter"/>
      <w:start w:val="1"/>
    </w:lvl>
  </w:abstractNum>
  <w:abstractNum w:abstractNumId="70">
    <w:nsid w:val="23D86AAC"/>
    <w:multiLevelType w:val="hybridMultilevel"/>
    <w:lvl w:ilvl="0">
      <w:lvlJc w:val="left"/>
      <w:lvlText w:val="(%1)"/>
      <w:numFmt w:val="lowerLetter"/>
      <w:start w:val="20"/>
    </w:lvl>
    <w:lvl w:ilvl="1">
      <w:lvlJc w:val="left"/>
      <w:lvlText w:val="(%2)"/>
      <w:numFmt w:val="lowerRoman"/>
      <w:start w:val="1"/>
    </w:lvl>
  </w:abstractNum>
  <w:abstractNum w:abstractNumId="71">
    <w:nsid w:val="45E6D486"/>
    <w:multiLevelType w:val="hybridMultilevel"/>
    <w:lvl w:ilvl="0">
      <w:lvlJc w:val="left"/>
      <w:lvlText w:val="(%1)"/>
      <w:numFmt w:val="lowerLetter"/>
      <w:start w:val="22"/>
    </w:lvl>
    <w:lvl w:ilvl="1">
      <w:lvlJc w:val="left"/>
      <w:lvlText w:val="(%2)"/>
      <w:numFmt w:val="lowerRoman"/>
      <w:start w:val="1"/>
    </w:lvl>
  </w:abstractNum>
  <w:abstractNum w:abstractNumId="72">
    <w:nsid w:val="5C10FE21"/>
    <w:multiLevelType w:val="hybridMultilevel"/>
    <w:lvl w:ilvl="0">
      <w:lvlJc w:val="left"/>
      <w:lvlText w:val="(%1)"/>
      <w:numFmt w:val="lowerLetter"/>
      <w:start w:val="27"/>
    </w:lvl>
  </w:abstractNum>
  <w:abstractNum w:abstractNumId="73">
    <w:nsid w:val="E7FFA2B"/>
    <w:multiLevelType w:val="hybridMultilevel"/>
    <w:lvl w:ilvl="0">
      <w:lvlJc w:val="left"/>
      <w:lvlText w:val="(%1)"/>
      <w:numFmt w:val="lowerLetter"/>
      <w:start w:val="31"/>
    </w:lvl>
    <w:lvl w:ilvl="1">
      <w:lvlJc w:val="left"/>
      <w:lvlText w:val="(%2)"/>
      <w:numFmt w:val="lowerRoman"/>
      <w:start w:val="1"/>
    </w:lvl>
    <w:lvl w:ilvl="2">
      <w:lvlJc w:val="left"/>
      <w:lvlText w:val="(%3)"/>
      <w:numFmt w:val="upperLetter"/>
      <w:start w:val="1"/>
    </w:lvl>
  </w:abstractNum>
  <w:abstractNum w:abstractNumId="74">
    <w:nsid w:val="3C5991A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lvl w:ilvl="3">
      <w:lvlJc w:val="left"/>
      <w:lvlText w:val="%4"/>
      <w:numFmt w:val="decimal"/>
      <w:start w:val="1"/>
    </w:lvl>
  </w:abstractNum>
  <w:abstractNum w:abstractNumId="75">
    <w:nsid w:val="4BD8591A"/>
    <w:multiLevelType w:val="hybridMultilevel"/>
    <w:lvl w:ilvl="0">
      <w:lvlJc w:val="left"/>
      <w:lvlText w:val="(%1)"/>
      <w:numFmt w:val="lowerLetter"/>
      <w:start w:val="34"/>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76">
    <w:nsid w:val="78DF6A55"/>
    <w:multiLevelType w:val="hybridMultilevel"/>
    <w:lvl w:ilvl="0">
      <w:lvlJc w:val="left"/>
      <w:lvlText w:val="(%1)"/>
      <w:numFmt w:val="lowerLetter"/>
      <w:start w:val="37"/>
    </w:lvl>
  </w:abstractNum>
  <w:abstractNum w:abstractNumId="77">
    <w:nsid w:val="39B7AAA2"/>
    <w:multiLevelType w:val="hybridMultilevel"/>
    <w:lvl w:ilvl="0">
      <w:lvlJc w:val="left"/>
      <w:lvlText w:val="(%1)"/>
      <w:numFmt w:val="lowerLetter"/>
      <w:start w:val="46"/>
    </w:lvl>
    <w:lvl w:ilvl="1">
      <w:lvlJc w:val="left"/>
      <w:lvlText w:val="(%2)"/>
      <w:numFmt w:val="lowerRoman"/>
      <w:start w:val="1"/>
    </w:lvl>
  </w:abstractNum>
  <w:abstractNum w:abstractNumId="78">
    <w:nsid w:val="2B0D8DBE"/>
    <w:multiLevelType w:val="hybridMultilevel"/>
    <w:lvl w:ilvl="0">
      <w:lvlJc w:val="left"/>
      <w:lvlText w:val="(%1)"/>
      <w:numFmt w:val="lowerLetter"/>
      <w:start w:val="53"/>
    </w:lvl>
    <w:lvl w:ilvl="1">
      <w:lvlJc w:val="left"/>
      <w:lvlText w:val="(%2)"/>
      <w:numFmt w:val="lowerRoman"/>
      <w:start w:val="1"/>
    </w:lvl>
  </w:abstractNum>
  <w:abstractNum w:abstractNumId="79">
    <w:nsid w:val="6C80EC70"/>
    <w:multiLevelType w:val="hybridMultilevel"/>
    <w:lvl w:ilvl="0">
      <w:lvlJc w:val="left"/>
      <w:lvlText w:val="%1"/>
      <w:numFmt w:val="decimal"/>
      <w:start w:val="1"/>
    </w:lvl>
    <w:lvl w:ilvl="1">
      <w:lvlJc w:val="left"/>
      <w:lvlText w:val="(%2)"/>
      <w:numFmt w:val="lowerLetter"/>
      <w:start w:val="55"/>
    </w:lvl>
  </w:abstractNum>
  <w:abstractNum w:abstractNumId="80">
    <w:nsid w:val="379E21B5"/>
    <w:multiLevelType w:val="hybridMultilevel"/>
    <w:lvl w:ilvl="0">
      <w:lvlJc w:val="left"/>
      <w:lvlText w:val="%1."/>
      <w:numFmt w:val="decimal"/>
      <w:start w:val="3"/>
    </w:lvl>
    <w:lvl w:ilvl="1">
      <w:lvlJc w:val="left"/>
      <w:lvlText w:val="(%2)"/>
      <w:numFmt w:val="lowerLetter"/>
      <w:start w:val="1"/>
    </w:lvl>
  </w:abstractNum>
  <w:abstractNum w:abstractNumId="81">
    <w:nsid w:val="69E373"/>
    <w:multiLevelType w:val="hybridMultilevel"/>
    <w:lvl w:ilvl="0">
      <w:lvlJc w:val="left"/>
      <w:lvlText w:val="(%1)"/>
      <w:numFmt w:val="lowerLetter"/>
      <w:start w:val="2"/>
    </w:lvl>
    <w:lvl w:ilvl="1">
      <w:lvlJc w:val="left"/>
      <w:lvlText w:val="(%2)"/>
      <w:numFmt w:val="lowerRoman"/>
      <w:start w:val="1"/>
    </w:lvl>
  </w:abstractNum>
  <w:abstractNum w:abstractNumId="82">
    <w:nsid w:val="2C27173B"/>
    <w:multiLevelType w:val="hybridMultilevel"/>
    <w:lvl w:ilvl="0">
      <w:lvlJc w:val="left"/>
      <w:lvlText w:val="(%1)"/>
      <w:numFmt w:val="lowerLetter"/>
      <w:start w:val="3"/>
    </w:lvl>
  </w:abstractNum>
  <w:abstractNum w:abstractNumId="83">
    <w:nsid w:val="4C9B0904"/>
    <w:multiLevelType w:val="hybridMultilevel"/>
    <w:lvl w:ilvl="0">
      <w:lvlJc w:val="left"/>
      <w:lvlText w:val="%1"/>
      <w:numFmt w:val="decimal"/>
      <w:start w:val="1"/>
    </w:lvl>
    <w:lvl w:ilvl="1">
      <w:lvlJc w:val="left"/>
      <w:lvlText w:val="(%2)"/>
      <w:numFmt w:val="lowerRoman"/>
      <w:start w:val="1"/>
    </w:lvl>
  </w:abstractNum>
  <w:abstractNum w:abstractNumId="84">
    <w:nsid w:val="6AA7B75C"/>
    <w:multiLevelType w:val="hybridMultilevel"/>
    <w:lvl w:ilvl="0">
      <w:lvlJc w:val="left"/>
      <w:lvlText w:val="%1."/>
      <w:numFmt w:val="decimal"/>
      <w:start w:val="6"/>
    </w:lvl>
    <w:lvl w:ilvl="1">
      <w:lvlJc w:val="left"/>
      <w:lvlText w:val="%2"/>
      <w:numFmt w:val="lowerRoman"/>
      <w:start w:val="1"/>
    </w:lvl>
  </w:abstractNum>
  <w:abstractNum w:abstractNumId="85">
    <w:nsid w:val="1DF029D3"/>
    <w:multiLevelType w:val="hybridMultilevel"/>
    <w:lvl w:ilvl="0">
      <w:lvlJc w:val="left"/>
      <w:lvlText w:val="(%1)"/>
      <w:numFmt w:val="lowerLetter"/>
      <w:start w:val="1"/>
    </w:lvl>
  </w:abstractNum>
  <w:abstractNum w:abstractNumId="86">
    <w:nsid w:val="5675FF36"/>
    <w:multiLevelType w:val="hybridMultilevel"/>
    <w:lvl w:ilvl="0">
      <w:lvlJc w:val="left"/>
      <w:lvlText w:val="(%1)"/>
      <w:numFmt w:val="lowerLetter"/>
      <w:start w:val="6"/>
    </w:lvl>
  </w:abstractNum>
  <w:abstractNum w:abstractNumId="87">
    <w:nsid w:val="3DD15094"/>
    <w:multiLevelType w:val="hybridMultilevel"/>
    <w:lvl w:ilvl="0">
      <w:lvlJc w:val="left"/>
      <w:lvlText w:val="%1."/>
      <w:numFmt w:val="decimal"/>
      <w:start w:val="8"/>
    </w:lvl>
  </w:abstractNum>
  <w:abstractNum w:abstractNumId="88">
    <w:nsid w:val="3DB012B3"/>
    <w:multiLevelType w:val="hybridMultilevel"/>
    <w:lvl w:ilvl="0">
      <w:lvlJc w:val="left"/>
      <w:lvlText w:val="(%1)"/>
      <w:numFmt w:val="lowerLetter"/>
      <w:start w:val="1"/>
    </w:lvl>
    <w:lvl w:ilvl="1">
      <w:lvlJc w:val="left"/>
      <w:lvlText w:val="(%2)"/>
      <w:numFmt w:val="lowerRoman"/>
      <w:start w:val="1"/>
    </w:lvl>
  </w:abstractNum>
  <w:abstractNum w:abstractNumId="89">
    <w:nsid w:val="2708C9AF"/>
    <w:multiLevelType w:val="hybridMultilevel"/>
    <w:lvl w:ilvl="0">
      <w:lvlJc w:val="left"/>
      <w:lvlText w:val="(%1)"/>
      <w:numFmt w:val="lowerLetter"/>
      <w:start w:val="4"/>
    </w:lvl>
    <w:lvl w:ilvl="1">
      <w:lvlJc w:val="left"/>
      <w:lvlText w:val="(%2)"/>
      <w:numFmt w:val="lowerRoman"/>
      <w:start w:val="1"/>
    </w:lvl>
  </w:abstractNum>
  <w:abstractNum w:abstractNumId="90">
    <w:nsid w:val="5B25ACE2"/>
    <w:multiLevelType w:val="hybridMultilevel"/>
    <w:lvl w:ilvl="0">
      <w:lvlJc w:val="left"/>
      <w:lvlText w:val="(%1)"/>
      <w:numFmt w:val="lowerLetter"/>
      <w:start w:val="7"/>
    </w:lvl>
    <w:lvl w:ilvl="1">
      <w:lvlJc w:val="left"/>
      <w:lvlText w:val="(%2)"/>
      <w:numFmt w:val="lowerRoman"/>
      <w:start w:val="1"/>
    </w:lvl>
  </w:abstractNum>
  <w:abstractNum w:abstractNumId="91">
    <w:nsid w:val="175DFCF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2">
    <w:nsid w:val="4F97E3E4"/>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93">
    <w:nsid w:val="53B0A9E"/>
    <w:multiLevelType w:val="hybridMultilevel"/>
    <w:lvl w:ilvl="0">
      <w:lvlJc w:val="left"/>
      <w:lvlText w:val="(%1)"/>
      <w:numFmt w:val="lowerRoman"/>
      <w:start w:val="3"/>
    </w:lvl>
  </w:abstractNum>
  <w:abstractNum w:abstractNumId="94">
    <w:nsid w:val="34FD6B4F"/>
    <w:multiLevelType w:val="hybridMultilevel"/>
    <w:lvl w:ilvl="0">
      <w:lvlJc w:val="left"/>
      <w:lvlText w:val="%1"/>
      <w:numFmt w:val="decimal"/>
      <w:start w:val="1"/>
    </w:lvl>
    <w:lvl w:ilvl="1">
      <w:lvlJc w:val="left"/>
      <w:lvlText w:val="(%2)"/>
      <w:numFmt w:val="lowerLetter"/>
      <w:start w:val="12"/>
    </w:lvl>
  </w:abstractNum>
  <w:abstractNum w:abstractNumId="95">
    <w:nsid w:val="5915FF32"/>
    <w:multiLevelType w:val="hybridMultilevel"/>
    <w:lvl w:ilvl="0">
      <w:lvlJc w:val="left"/>
      <w:lvlText w:val="%1."/>
      <w:numFmt w:val="decimal"/>
      <w:start w:val="9"/>
    </w:lvl>
    <w:lvl w:ilvl="1">
      <w:lvlJc w:val="left"/>
      <w:lvlText w:val="(%2)"/>
      <w:numFmt w:val="lowerLetter"/>
      <w:start w:val="1"/>
    </w:lvl>
  </w:abstractNum>
  <w:abstractNum w:abstractNumId="96">
    <w:nsid w:val="56438D15"/>
    <w:multiLevelType w:val="hybridMultilevel"/>
    <w:lvl w:ilvl="0">
      <w:lvlJc w:val="left"/>
      <w:lvlText w:val="(%1)"/>
      <w:numFmt w:val="lowerLetter"/>
      <w:start w:val="3"/>
    </w:lvl>
    <w:lvl w:ilvl="1">
      <w:lvlJc w:val="left"/>
      <w:lvlText w:val="(%2)"/>
      <w:numFmt w:val="lowerRoman"/>
      <w:start w:val="1"/>
    </w:lvl>
  </w:abstractNum>
  <w:abstractNum w:abstractNumId="97">
    <w:nsid w:val="519E3149"/>
    <w:multiLevelType w:val="hybridMultilevel"/>
    <w:lvl w:ilvl="0">
      <w:lvlJc w:val="left"/>
      <w:lvlText w:val="%1"/>
      <w:numFmt w:val="decimal"/>
      <w:start w:val="1"/>
    </w:lvl>
    <w:lvl w:ilvl="1">
      <w:lvlJc w:val="left"/>
      <w:lvlText w:val="(%2)"/>
      <w:numFmt w:val="lowerRoman"/>
      <w:start w:val="3"/>
    </w:lvl>
  </w:abstractNum>
  <w:abstractNum w:abstractNumId="98">
    <w:nsid w:val="2C6E4AFD"/>
    <w:multiLevelType w:val="hybridMultilevel"/>
    <w:lvl w:ilvl="0">
      <w:lvlJc w:val="left"/>
      <w:lvlText w:val="%1."/>
      <w:numFmt w:val="decimal"/>
      <w:start w:val="10"/>
    </w:lvl>
    <w:lvl w:ilvl="1">
      <w:lvlJc w:val="left"/>
      <w:lvlText w:val="%2"/>
      <w:numFmt w:val="lowerRoman"/>
      <w:start w:val="1"/>
    </w:lvl>
  </w:abstractNum>
  <w:abstractNum w:abstractNumId="99">
    <w:nsid w:val="17A1B582"/>
    <w:multiLevelType w:val="hybridMultilevel"/>
    <w:lvl w:ilvl="0">
      <w:lvlJc w:val="left"/>
      <w:lvlText w:val="%1."/>
      <w:numFmt w:val="decimal"/>
      <w:start w:val="11"/>
    </w:lvl>
  </w:abstractNum>
  <w:abstractNum w:abstractNumId="100">
    <w:nsid w:val="4DF72E4E"/>
    <w:multiLevelType w:val="hybridMultilevel"/>
    <w:lvl w:ilvl="0">
      <w:lvlJc w:val="left"/>
      <w:lvlText w:val="%1."/>
      <w:numFmt w:val="decimal"/>
      <w:start w:val="12"/>
    </w:lvl>
  </w:abstractNum>
  <w:abstractNum w:abstractNumId="101">
    <w:nsid w:val="5046B5A9"/>
    <w:multiLevelType w:val="hybridMultilevel"/>
    <w:lvl w:ilvl="0">
      <w:lvlJc w:val="left"/>
      <w:lvlText w:val="(%1)"/>
      <w:numFmt w:val="lowerLetter"/>
      <w:start w:val="1"/>
    </w:lvl>
  </w:abstractNum>
  <w:abstractNum w:abstractNumId="102">
    <w:nsid w:val="5D888A08"/>
    <w:multiLevelType w:val="hybridMultilevel"/>
    <w:lvl w:ilvl="0">
      <w:lvlJc w:val="left"/>
      <w:lvlText w:val="%1."/>
      <w:numFmt w:val="decimal"/>
      <w:start w:val="13"/>
    </w:lvl>
  </w:abstractNum>
  <w:abstractNum w:abstractNumId="103">
    <w:nsid w:val="2A082C70"/>
    <w:multiLevelType w:val="hybridMultilevel"/>
    <w:lvl w:ilvl="0">
      <w:lvlJc w:val="left"/>
      <w:lvlText w:val="(%1)"/>
      <w:numFmt w:val="lowerRoman"/>
      <w:start w:val="2"/>
    </w:lvl>
  </w:abstractNum>
  <w:abstractNum w:abstractNumId="104">
    <w:nsid w:val="5EC6AFD4"/>
    <w:multiLevelType w:val="hybridMultilevel"/>
    <w:lvl w:ilvl="0">
      <w:lvlJc w:val="left"/>
      <w:lvlText w:val="%1."/>
      <w:numFmt w:val="decimal"/>
      <w:start w:val="14"/>
    </w:lvl>
  </w:abstractNum>
  <w:abstractNum w:abstractNumId="105">
    <w:nsid w:val="19E21BB2"/>
    <w:multiLevelType w:val="hybridMultilevel"/>
    <w:lvl w:ilvl="0">
      <w:lvlJc w:val="left"/>
      <w:lvlText w:val="%1."/>
      <w:numFmt w:val="decimal"/>
      <w:start w:val="15"/>
    </w:lvl>
  </w:abstractNum>
  <w:abstractNum w:abstractNumId="106">
    <w:nsid w:val="75E0858A"/>
    <w:multiLevelType w:val="hybridMultilevel"/>
    <w:lvl w:ilvl="0">
      <w:lvlJc w:val="left"/>
      <w:lvlText w:val="%1."/>
      <w:numFmt w:val="decimal"/>
      <w:start w:val="16"/>
    </w:lvl>
  </w:abstractNum>
  <w:abstractNum w:abstractNumId="107">
    <w:nsid w:val="57A61A29"/>
    <w:multiLevelType w:val="hybridMultilevel"/>
    <w:lvl w:ilvl="0">
      <w:lvlJc w:val="left"/>
      <w:lvlText w:val="%1."/>
      <w:numFmt w:val="decimal"/>
      <w:start w:val="1"/>
    </w:lvl>
  </w:abstractNum>
  <w:abstractNum w:abstractNumId="108">
    <w:nsid w:val="5399C654"/>
    <w:multiLevelType w:val="hybridMultilevel"/>
    <w:lvl w:ilvl="0">
      <w:lvlJc w:val="left"/>
      <w:lvlText w:val="%1."/>
      <w:numFmt w:val="decimal"/>
      <w:start w:val="2"/>
    </w:lvl>
    <w:lvl w:ilvl="1">
      <w:lvlJc w:val="left"/>
      <w:lvlText w:val="(%2)"/>
      <w:numFmt w:val="lowerLetter"/>
      <w:start w:val="1"/>
    </w:lvl>
  </w:abstractNum>
  <w:abstractNum w:abstractNumId="109">
    <w:nsid w:val="20EE1348"/>
    <w:multiLevelType w:val="hybridMultilevel"/>
    <w:lvl w:ilvl="0">
      <w:lvlJc w:val="left"/>
      <w:lvlText w:val="(%1)"/>
      <w:numFmt w:val="lowerLetter"/>
      <w:start w:val="9"/>
    </w:lvl>
    <w:lvl w:ilvl="1">
      <w:lvlJc w:val="left"/>
      <w:lvlText w:val="(%2)"/>
      <w:numFmt w:val="decimal"/>
      <w:start w:val="1"/>
    </w:lvl>
  </w:abstractNum>
  <w:abstractNum w:abstractNumId="110">
    <w:nsid w:val="4427069A"/>
    <w:multiLevelType w:val="hybridMultilevel"/>
    <w:lvl w:ilvl="0">
      <w:lvlJc w:val="left"/>
      <w:lvlText w:val="(%1)"/>
      <w:numFmt w:val="lowerLetter"/>
      <w:start w:val="17"/>
    </w:lvl>
    <w:lvl w:ilvl="1">
      <w:lvlJc w:val="left"/>
      <w:lvlText w:val="(%2)"/>
      <w:numFmt w:val="decimal"/>
      <w:start w:val="1"/>
    </w:lvl>
  </w:abstractNum>
  <w:abstractNum w:abstractNumId="111">
    <w:nsid w:val="B37E80A"/>
    <w:multiLevelType w:val="hybridMultilevel"/>
    <w:lvl w:ilvl="0">
      <w:lvlJc w:val="left"/>
      <w:lvlText w:val="(%1)"/>
      <w:numFmt w:val="lowerLetter"/>
      <w:start w:val="27"/>
    </w:lvl>
  </w:abstractNum>
  <w:abstractNum w:abstractNumId="112">
    <w:nsid w:val="2157F6BC"/>
    <w:multiLevelType w:val="hybridMultilevel"/>
    <w:lvl w:ilvl="0">
      <w:lvlJc w:val="left"/>
      <w:lvlText w:val="%1"/>
      <w:numFmt w:val="decimal"/>
      <w:start w:val="1"/>
    </w:lvl>
    <w:lvl w:ilvl="1">
      <w:lvlJc w:val="left"/>
      <w:lvlText w:val="(%2)"/>
      <w:numFmt w:val="lowerLetter"/>
      <w:start w:val="28"/>
    </w:lvl>
    <w:lvl w:ilvl="2">
      <w:lvlJc w:val="left"/>
      <w:lvlText w:val="(%3)"/>
      <w:numFmt w:val="decimal"/>
      <w:start w:val="1"/>
    </w:lvl>
  </w:abstractNum>
  <w:abstractNum w:abstractNumId="113">
    <w:nsid w:val="704E1DD5"/>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14">
    <w:nsid w:val="57D2F10E"/>
    <w:multiLevelType w:val="hybridMultilevel"/>
    <w:lvl w:ilvl="0">
      <w:lvlJc w:val="left"/>
      <w:lvlText w:val="%1."/>
      <w:numFmt w:val="decimal"/>
      <w:start w:val="4"/>
    </w:lvl>
  </w:abstractNum>
  <w:abstractNum w:abstractNumId="115">
    <w:nsid w:val="BFFAE18"/>
    <w:multiLevelType w:val="hybridMultilevel"/>
    <w:lvl w:ilvl="0">
      <w:lvlJc w:val="left"/>
      <w:lvlText w:val="%1."/>
      <w:numFmt w:val="decimal"/>
      <w:start w:val="5"/>
    </w:lvl>
    <w:lvl w:ilvl="1">
      <w:lvlJc w:val="left"/>
      <w:lvlText w:val="(%2)"/>
      <w:numFmt w:val="lowerLetter"/>
      <w:start w:val="1"/>
    </w:lvl>
  </w:abstractNum>
  <w:abstractNum w:abstractNumId="116">
    <w:nsid w:val="E3E47A8"/>
    <w:multiLevelType w:val="hybridMultilevel"/>
    <w:lvl w:ilvl="0">
      <w:lvlJc w:val="left"/>
      <w:lvlText w:val="%1"/>
      <w:numFmt w:val="decimal"/>
      <w:start w:val="1"/>
    </w:lvl>
    <w:lvl w:ilvl="1">
      <w:lvlJc w:val="left"/>
      <w:lvlText w:val="(%2)"/>
      <w:numFmt w:val="lowerLetter"/>
      <w:start w:val="2"/>
    </w:lvl>
  </w:abstractNum>
  <w:abstractNum w:abstractNumId="117">
    <w:nsid w:val="2E48F044"/>
    <w:multiLevelType w:val="hybridMultilevel"/>
    <w:lvl w:ilvl="0">
      <w:lvlJc w:val="left"/>
      <w:lvlText w:val="%1."/>
      <w:numFmt w:val="decimal"/>
      <w:start w:val="7"/>
    </w:lvl>
    <w:lvl w:ilvl="1">
      <w:lvlJc w:val="left"/>
      <w:lvlText w:val="(%2)"/>
      <w:numFmt w:val="lowerLetter"/>
      <w:start w:val="1"/>
    </w:lvl>
  </w:abstractNum>
  <w:abstractNum w:abstractNumId="118">
    <w:nsid w:val="49D0FEAC"/>
    <w:multiLevelType w:val="hybridMultilevel"/>
    <w:lvl w:ilvl="0">
      <w:lvlJc w:val="left"/>
      <w:lvlText w:val="%1."/>
      <w:numFmt w:val="decimal"/>
      <w:start w:val="9"/>
    </w:lvl>
    <w:lvl w:ilvl="1">
      <w:lvlJc w:val="left"/>
      <w:lvlText w:val="(%2)"/>
      <w:numFmt w:val="lowerLetter"/>
      <w:start w:val="1"/>
    </w:lvl>
  </w:abstractNum>
  <w:abstractNum w:abstractNumId="119">
    <w:nsid w:val="4BEE5A5B"/>
    <w:multiLevelType w:val="hybridMultilevel"/>
    <w:lvl w:ilvl="0">
      <w:lvlJc w:val="left"/>
      <w:lvlText w:val="%1."/>
      <w:numFmt w:val="decimal"/>
      <w:start w:val="9"/>
    </w:lvl>
    <w:lvl w:ilvl="1">
      <w:lvlJc w:val="left"/>
      <w:lvlText w:val="(%2)"/>
      <w:numFmt w:val="lowerLetter"/>
      <w:start w:val="2"/>
    </w:lvl>
  </w:abstractNum>
  <w:abstractNum w:abstractNumId="120">
    <w:nsid w:val="5551B9F3"/>
    <w:multiLevelType w:val="hybridMultilevel"/>
    <w:lvl w:ilvl="0">
      <w:lvlJc w:val="left"/>
      <w:lvlText w:val="%1."/>
      <w:numFmt w:val="decimal"/>
      <w:start w:val="11"/>
    </w:lvl>
  </w:abstractNum>
  <w:abstractNum w:abstractNumId="121">
    <w:nsid w:val="24F6AB8E"/>
    <w:multiLevelType w:val="hybridMultilevel"/>
    <w:lvl w:ilvl="0">
      <w:lvlJc w:val="left"/>
      <w:lvlText w:val="%1."/>
      <w:numFmt w:val="decimal"/>
      <w:start w:val="12"/>
    </w:lvl>
  </w:abstractNum>
  <w:abstractNum w:abstractNumId="122">
    <w:nsid w:val="634C574C"/>
    <w:multiLevelType w:val="hybridMultilevel"/>
    <w:lvl w:ilvl="0">
      <w:lvlJc w:val="left"/>
      <w:lvlText w:val="%1."/>
      <w:numFmt w:val="decimal"/>
      <w:start w:val="14"/>
    </w:lvl>
  </w:abstractNum>
  <w:abstractNum w:abstractNumId="123">
    <w:nsid w:val="24E99DD7"/>
    <w:multiLevelType w:val="hybridMultilevel"/>
    <w:lvl w:ilvl="0">
      <w:lvlJc w:val="left"/>
      <w:lvlText w:val="%1."/>
      <w:numFmt w:val="decimal"/>
      <w:start w:val="15"/>
    </w:lvl>
  </w:abstractNum>
  <w:abstractNum w:abstractNumId="124">
    <w:nsid w:val="2A31B62D"/>
    <w:multiLevelType w:val="hybridMultilevel"/>
    <w:lvl w:ilvl="0">
      <w:lvlJc w:val="left"/>
      <w:lvlText w:val="%1"/>
      <w:numFmt w:val="decimal"/>
      <w:start w:val="1"/>
    </w:lvl>
    <w:lvl w:ilvl="1">
      <w:lvlJc w:val="left"/>
      <w:lvlText w:val="(%2)"/>
      <w:numFmt w:val="lowerLetter"/>
      <w:start w:val="1"/>
    </w:lvl>
  </w:abstractNum>
  <w:abstractNum w:abstractNumId="125">
    <w:nsid w:val="1849C29B"/>
    <w:multiLevelType w:val="hybridMultilevel"/>
    <w:lvl w:ilvl="0">
      <w:lvlJc w:val="left"/>
      <w:lvlText w:val="%1."/>
      <w:numFmt w:val="decimal"/>
      <w:start w:val="17"/>
    </w:lvl>
    <w:lvl w:ilvl="1">
      <w:lvlJc w:val="left"/>
      <w:lvlText w:val="%2"/>
      <w:numFmt w:val="lowerLetter"/>
      <w:start w:val="1"/>
    </w:lvl>
  </w:abstractNum>
  <w:abstractNum w:abstractNumId="126">
    <w:nsid w:val="7DFF9D09"/>
    <w:multiLevelType w:val="hybridMultilevel"/>
    <w:lvl w:ilvl="0">
      <w:lvlJc w:val="left"/>
      <w:lvlText w:val="%1."/>
      <w:numFmt w:val="decimal"/>
      <w:start w:val="18"/>
    </w:lvl>
  </w:abstractNum>
  <w:abstractNum w:abstractNumId="127">
    <w:nsid w:val="754342"/>
    <w:multiLevelType w:val="hybridMultilevel"/>
    <w:lvl w:ilvl="0">
      <w:lvlJc w:val="left"/>
      <w:lvlText w:val="%1."/>
      <w:numFmt w:val="decimal"/>
      <w:start w:val="19"/>
    </w:lvl>
  </w:abstractNum>
  <w:abstractNum w:abstractNumId="128">
    <w:nsid w:val="69E7F3E5"/>
    <w:multiLevelType w:val="hybridMultilevel"/>
    <w:lvl w:ilvl="0">
      <w:lvlJc w:val="left"/>
      <w:lvlText w:val="%1."/>
      <w:numFmt w:val="decimal"/>
      <w:start w:val="21"/>
    </w:lvl>
  </w:abstractNum>
  <w:abstractNum w:abstractNumId="129">
    <w:nsid w:val="2A6DE806"/>
    <w:multiLevelType w:val="hybridMultilevel"/>
    <w:lvl w:ilvl="0">
      <w:lvlJc w:val="left"/>
      <w:lvlText w:val="%1."/>
      <w:numFmt w:val="decimal"/>
      <w:start w:val="22"/>
    </w:lvl>
  </w:abstractNum>
  <w:abstractNum w:abstractNumId="130">
    <w:nsid w:val="1816F8C4"/>
    <w:multiLevelType w:val="hybridMultilevel"/>
    <w:lvl w:ilvl="0">
      <w:lvlJc w:val="left"/>
      <w:lvlText w:val="%1."/>
      <w:numFmt w:val="decimal"/>
      <w:start w:val="1"/>
    </w:lvl>
  </w:abstractNum>
  <w:abstractNum w:abstractNumId="131">
    <w:nsid w:val="37DF2233"/>
    <w:multiLevelType w:val="hybridMultilevel"/>
    <w:lvl w:ilvl="0">
      <w:lvlJc w:val="left"/>
      <w:lvlText w:val="%1."/>
      <w:numFmt w:val="decimal"/>
      <w:start w:val="2"/>
    </w:lvl>
    <w:lvl w:ilvl="1">
      <w:lvlJc w:val="left"/>
      <w:lvlText w:val="(%2)"/>
      <w:numFmt w:val="lowerLetter"/>
      <w:start w:val="1"/>
    </w:lvl>
  </w:abstractNum>
  <w:abstractNum w:abstractNumId="132">
    <w:nsid w:val="7AB49DAF"/>
    <w:multiLevelType w:val="hybridMultilevel"/>
    <w:lvl w:ilvl="0">
      <w:lvlJc w:val="left"/>
      <w:lvlText w:val="(%1)"/>
      <w:numFmt w:val="lowerLetter"/>
      <w:start w:val="9"/>
    </w:lvl>
    <w:lvl w:ilvl="1">
      <w:lvlJc w:val="left"/>
      <w:lvlText w:val="(%2)"/>
      <w:numFmt w:val="decimal"/>
      <w:start w:val="1"/>
    </w:lvl>
  </w:abstractNum>
  <w:abstractNum w:abstractNumId="133">
    <w:nsid w:val="759F82CD"/>
    <w:multiLevelType w:val="hybridMultilevel"/>
    <w:lvl w:ilvl="0">
      <w:lvlJc w:val="left"/>
      <w:lvlText w:val="(%1)"/>
      <w:numFmt w:val="lowerLetter"/>
      <w:start w:val="15"/>
    </w:lvl>
    <w:lvl w:ilvl="1">
      <w:lvlJc w:val="left"/>
      <w:lvlText w:val="(%2)"/>
      <w:numFmt w:val="decimal"/>
      <w:start w:val="1"/>
    </w:lvl>
    <w:lvl w:ilvl="2">
      <w:lvlJc w:val="left"/>
      <w:lvlText w:val="%3."/>
      <w:numFmt w:val="lowerRoman"/>
      <w:start w:val="1"/>
    </w:lvl>
  </w:abstractNum>
  <w:abstractNum w:abstractNumId="134">
    <w:nsid w:val="61E74EA3"/>
    <w:multiLevelType w:val="hybridMultilevel"/>
    <w:lvl w:ilvl="0">
      <w:lvlJc w:val="left"/>
      <w:lvlText w:val="(%1)"/>
      <w:numFmt w:val="decimal"/>
      <w:start w:val="2"/>
    </w:lvl>
    <w:lvl w:ilvl="1">
      <w:lvlJc w:val="left"/>
      <w:lvlText w:val="%2."/>
      <w:numFmt w:val="lowerRoman"/>
      <w:start w:val="1"/>
    </w:lvl>
  </w:abstractNum>
  <w:abstractNum w:abstractNumId="135">
    <w:nsid w:val="597B4D84"/>
    <w:multiLevelType w:val="hybridMultilevel"/>
    <w:lvl w:ilvl="0">
      <w:lvlJc w:val="left"/>
      <w:lvlText w:val="(%1)"/>
      <w:numFmt w:val="lowerLetter"/>
      <w:start w:val="17"/>
    </w:lvl>
  </w:abstractNum>
  <w:abstractNum w:abstractNumId="136">
    <w:nsid w:val="F819E7F"/>
    <w:multiLevelType w:val="hybridMultilevel"/>
    <w:lvl w:ilvl="0">
      <w:lvlJc w:val="left"/>
      <w:lvlText w:val="(%1)"/>
      <w:numFmt w:val="lowerLetter"/>
      <w:start w:val="27"/>
    </w:lvl>
    <w:lvl w:ilvl="1">
      <w:lvlJc w:val="left"/>
      <w:lvlText w:val="(%2)"/>
      <w:numFmt w:val="decimal"/>
      <w:start w:val="1"/>
    </w:lvl>
  </w:abstractNum>
  <w:abstractNum w:abstractNumId="137">
    <w:nsid w:val="57C7D42D"/>
    <w:multiLevelType w:val="hybridMultilevel"/>
    <w:lvl w:ilvl="0">
      <w:lvlJc w:val="left"/>
      <w:lvlText w:val="%1"/>
      <w:numFmt w:val="decimal"/>
      <w:start w:val="1"/>
    </w:lvl>
    <w:lvl w:ilvl="1">
      <w:lvlJc w:val="left"/>
      <w:lvlText w:val="(%2)"/>
      <w:numFmt w:val="lowerLetter"/>
      <w:start w:val="28"/>
    </w:lvl>
    <w:lvl w:ilvl="2">
      <w:lvlJc w:val="left"/>
      <w:lvlText w:val="(%3)"/>
      <w:numFmt w:val="decimal"/>
      <w:start w:val="1"/>
    </w:lvl>
  </w:abstractNum>
  <w:abstractNum w:abstractNumId="138">
    <w:nsid w:val="312167AD"/>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39">
    <w:nsid w:val="631B64D4"/>
    <w:multiLevelType w:val="hybridMultilevel"/>
    <w:lvl w:ilvl="0">
      <w:lvlJc w:val="left"/>
      <w:lvlText w:val="%1."/>
      <w:numFmt w:val="decimal"/>
      <w:start w:val="5"/>
    </w:lvl>
    <w:lvl w:ilvl="1">
      <w:lvlJc w:val="left"/>
      <w:lvlText w:val="(%2)"/>
      <w:numFmt w:val="lowerLetter"/>
      <w:start w:val="1"/>
    </w:lvl>
  </w:abstractNum>
  <w:abstractNum w:abstractNumId="140">
    <w:nsid w:val="78B5E776"/>
    <w:multiLevelType w:val="hybridMultilevel"/>
    <w:lvl w:ilvl="0">
      <w:lvlJc w:val="left"/>
      <w:lvlText w:val="%1"/>
      <w:numFmt w:val="decimal"/>
      <w:start w:val="1"/>
    </w:lvl>
    <w:lvl w:ilvl="1">
      <w:lvlJc w:val="left"/>
      <w:lvlText w:val="(%2)"/>
      <w:numFmt w:val="lowerLetter"/>
      <w:start w:val="2"/>
    </w:lvl>
  </w:abstractNum>
  <w:abstractNum w:abstractNumId="141">
    <w:nsid w:val="75486E47"/>
    <w:multiLevelType w:val="hybridMultilevel"/>
    <w:lvl w:ilvl="0">
      <w:lvlJc w:val="left"/>
      <w:lvlText w:val="%1."/>
      <w:numFmt w:val="decimal"/>
      <w:start w:val="7"/>
    </w:lvl>
    <w:lvl w:ilvl="1">
      <w:lvlJc w:val="left"/>
      <w:lvlText w:val="(%2)"/>
      <w:numFmt w:val="lowerLetter"/>
      <w:start w:val="1"/>
    </w:lvl>
  </w:abstractNum>
  <w:abstractNum w:abstractNumId="142">
    <w:nsid w:val="6E534CDE"/>
    <w:multiLevelType w:val="hybridMultilevel"/>
    <w:lvl w:ilvl="0">
      <w:lvlJc w:val="left"/>
      <w:lvlText w:val="%1."/>
      <w:numFmt w:val="decimal"/>
      <w:start w:val="9"/>
    </w:lvl>
    <w:lvl w:ilvl="1">
      <w:lvlJc w:val="left"/>
      <w:lvlText w:val="(%2)"/>
      <w:numFmt w:val="lowerLetter"/>
      <w:start w:val="1"/>
    </w:lvl>
  </w:abstractNum>
  <w:abstractNum w:abstractNumId="143">
    <w:nsid w:val="1A0DDE32"/>
    <w:multiLevelType w:val="hybridMultilevel"/>
    <w:lvl w:ilvl="0">
      <w:lvlJc w:val="left"/>
      <w:lvlText w:val="%1."/>
      <w:numFmt w:val="decimal"/>
      <w:start w:val="11"/>
    </w:lvl>
  </w:abstractNum>
  <w:abstractNum w:abstractNumId="144">
    <w:nsid w:val="65968C1C"/>
    <w:multiLevelType w:val="hybridMultilevel"/>
    <w:lvl w:ilvl="0">
      <w:lvlJc w:val="left"/>
      <w:lvlText w:val="%1."/>
      <w:numFmt w:val="decimal"/>
      <w:start w:val="12"/>
    </w:lvl>
  </w:abstractNum>
  <w:abstractNum w:abstractNumId="145">
    <w:nsid w:val="46263DEC"/>
    <w:multiLevelType w:val="hybridMultilevel"/>
    <w:lvl w:ilvl="0">
      <w:lvlJc w:val="left"/>
      <w:lvlText w:val="%1."/>
      <w:numFmt w:val="decimal"/>
      <w:start w:val="14"/>
    </w:lvl>
  </w:abstractNum>
  <w:abstractNum w:abstractNumId="146">
    <w:nsid w:val="260D8C4A"/>
    <w:multiLevelType w:val="hybridMultilevel"/>
    <w:lvl w:ilvl="0">
      <w:lvlJc w:val="left"/>
      <w:lvlText w:val="%1."/>
      <w:numFmt w:val="decimal"/>
      <w:start w:val="15"/>
    </w:lvl>
    <w:lvl w:ilvl="1">
      <w:lvlJc w:val="left"/>
      <w:lvlText w:val="(%2)"/>
      <w:numFmt w:val="lowerLetter"/>
      <w:start w:val="1"/>
    </w:lvl>
  </w:abstractNum>
  <w:abstractNum w:abstractNumId="147">
    <w:nsid w:val="73D4D3C4"/>
    <w:multiLevelType w:val="hybridMultilevel"/>
    <w:lvl w:ilvl="0">
      <w:lvlJc w:val="left"/>
      <w:lvlText w:val="%1."/>
      <w:numFmt w:val="decimal"/>
      <w:start w:val="18"/>
    </w:lvl>
  </w:abstractNum>
  <w:abstractNum w:abstractNumId="148">
    <w:nsid w:val="746F2E30"/>
    <w:multiLevelType w:val="hybridMultilevel"/>
    <w:lvl w:ilvl="0">
      <w:lvlJc w:val="left"/>
      <w:lvlText w:val="%1."/>
      <w:numFmt w:val="decimal"/>
      <w:start w:val="19"/>
    </w:lvl>
  </w:abstractNum>
  <w:abstractNum w:abstractNumId="149">
    <w:nsid w:val="6FDE8AF6"/>
    <w:multiLevelType w:val="hybridMultilevel"/>
    <w:lvl w:ilvl="0">
      <w:lvlJc w:val="left"/>
      <w:lvlText w:val="%1."/>
      <w:numFmt w:val="decimal"/>
      <w:start w:val="21"/>
    </w:lvl>
  </w:abstractNum>
  <w:abstractNum w:abstractNumId="150">
    <w:nsid w:val="3FC32E20"/>
    <w:multiLevelType w:val="hybridMultilevel"/>
    <w:lvl w:ilvl="0">
      <w:lvlJc w:val="left"/>
      <w:lvlText w:val="%1."/>
      <w:numFmt w:val="decimal"/>
      <w:start w:val="22"/>
    </w:lvl>
  </w:abstractNum>
  <w:abstractNum w:abstractNumId="151">
    <w:nsid w:val="49C0E823"/>
    <w:multiLevelType w:val="hybridMultilevel"/>
    <w:lvl w:ilvl="0">
      <w:lvlJc w:val="left"/>
      <w:lvlText w:val="%1."/>
      <w:numFmt w:val="decimal"/>
      <w:start w:val="1"/>
    </w:lvl>
    <w:lvl w:ilvl="1">
      <w:lvlJc w:val="left"/>
      <w:lvlText w:val="%2)"/>
      <w:numFmt w:val="lowerLetter"/>
      <w:start w:val="1"/>
    </w:lvl>
  </w:abstractNum>
  <w:abstractNum w:abstractNumId="152">
    <w:nsid w:val="14D53685"/>
    <w:multiLevelType w:val="hybridMultilevel"/>
    <w:lvl w:ilvl="0">
      <w:lvlJc w:val="left"/>
      <w:lvlText w:val="%1."/>
      <w:numFmt w:val="decimal"/>
      <w:start w:val="1"/>
    </w:lvl>
    <w:lvl w:ilvl="1">
      <w:lvlJc w:val="left"/>
      <w:lvlText w:val="%2)"/>
      <w:numFmt w:val="lowerLetter"/>
      <w:start w:val="1"/>
    </w:lvl>
  </w:abstractNum>
  <w:abstractNum w:abstractNumId="153">
    <w:nsid w:val="230F856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2019-12-09T15:00:26Z</dcterms:created>
  <dcterms:modified xsi:type="dcterms:W3CDTF">2019-12-09T15:00:26Z</dcterms:modified>
</cp:coreProperties>
</file>