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122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1220" w:type="dxa"/>
            <w:vAlign w:val="bottom"/>
            <w:tcBorders>
              <w:top w:val="single" w:sz="8" w:color="auto"/>
              <w:bottom w:val="single" w:sz="8" w:color="auto"/>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504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27"/>
              <w:spacing w:after="0" w:line="117" w:lineRule="exact"/>
              <w:rPr>
                <w:sz w:val="20"/>
                <w:szCs w:val="20"/>
                <w:color w:val="auto"/>
              </w:rPr>
            </w:pPr>
            <w:r>
              <w:rPr>
                <w:rFonts w:ascii="Arial" w:cs="Arial" w:eastAsia="Arial" w:hAnsi="Arial"/>
                <w:sz w:val="12"/>
                <w:szCs w:val="12"/>
                <w:b w:val="1"/>
                <w:bCs w:val="1"/>
                <w:color w:val="auto"/>
                <w:w w:val="97"/>
              </w:rPr>
              <w:t>Proposed</w:t>
            </w:r>
          </w:p>
        </w:tc>
        <w:tc>
          <w:tcPr>
            <w:tcW w:w="380" w:type="dxa"/>
            <w:vAlign w:val="bottom"/>
          </w:tcPr>
          <w:p>
            <w:pPr>
              <w:spacing w:after="0"/>
              <w:rPr>
                <w:sz w:val="10"/>
                <w:szCs w:val="10"/>
                <w:color w:val="auto"/>
              </w:rPr>
            </w:pPr>
          </w:p>
        </w:tc>
        <w:tc>
          <w:tcPr>
            <w:tcW w:w="1220" w:type="dxa"/>
            <w:vAlign w:val="bottom"/>
            <w:tcBorders>
              <w:right w:val="single" w:sz="8" w:color="auto"/>
            </w:tcBorders>
          </w:tcPr>
          <w:p>
            <w:pPr>
              <w:jc w:val="center"/>
              <w:ind w:right="203"/>
              <w:spacing w:after="0" w:line="117" w:lineRule="exact"/>
              <w:rPr>
                <w:sz w:val="20"/>
                <w:szCs w:val="20"/>
                <w:color w:val="auto"/>
              </w:rPr>
            </w:pPr>
            <w:r>
              <w:rPr>
                <w:rFonts w:ascii="Arial" w:cs="Arial" w:eastAsia="Arial" w:hAnsi="Arial"/>
                <w:sz w:val="12"/>
                <w:szCs w:val="12"/>
                <w:b w:val="1"/>
                <w:bCs w:val="1"/>
                <w:color w:val="auto"/>
                <w:w w:val="97"/>
              </w:rPr>
              <w:t>Proposed</w:t>
            </w:r>
          </w:p>
        </w:tc>
        <w:tc>
          <w:tcPr>
            <w:tcW w:w="58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27"/>
              <w:spacing w:after="0" w:line="149" w:lineRule="exact"/>
              <w:rPr>
                <w:sz w:val="20"/>
                <w:szCs w:val="20"/>
                <w:color w:val="auto"/>
              </w:rPr>
            </w:pPr>
            <w:r>
              <w:rPr>
                <w:rFonts w:ascii="Arial" w:cs="Arial" w:eastAsia="Arial" w:hAnsi="Arial"/>
                <w:sz w:val="14"/>
                <w:szCs w:val="14"/>
                <w:b w:val="1"/>
                <w:bCs w:val="1"/>
                <w:color w:val="auto"/>
                <w:w w:val="95"/>
              </w:rPr>
              <w:t>Max</w:t>
            </w:r>
          </w:p>
        </w:tc>
        <w:tc>
          <w:tcPr>
            <w:tcW w:w="380" w:type="dxa"/>
            <w:vAlign w:val="bottom"/>
          </w:tcPr>
          <w:p>
            <w:pPr>
              <w:spacing w:after="0"/>
              <w:rPr>
                <w:sz w:val="12"/>
                <w:szCs w:val="12"/>
                <w:color w:val="auto"/>
              </w:rPr>
            </w:pPr>
          </w:p>
        </w:tc>
        <w:tc>
          <w:tcPr>
            <w:tcW w:w="1220" w:type="dxa"/>
            <w:vAlign w:val="bottom"/>
            <w:tcBorders>
              <w:right w:val="single" w:sz="8" w:color="auto"/>
            </w:tcBorders>
          </w:tcPr>
          <w:p>
            <w:pPr>
              <w:jc w:val="center"/>
              <w:ind w:right="223"/>
              <w:spacing w:after="0" w:line="149" w:lineRule="exact"/>
              <w:rPr>
                <w:sz w:val="20"/>
                <w:szCs w:val="20"/>
                <w:color w:val="auto"/>
              </w:rPr>
            </w:pPr>
            <w:r>
              <w:rPr>
                <w:rFonts w:ascii="Arial" w:cs="Arial" w:eastAsia="Arial" w:hAnsi="Arial"/>
                <w:sz w:val="14"/>
                <w:szCs w:val="14"/>
                <w:b w:val="1"/>
                <w:bCs w:val="1"/>
                <w:color w:val="auto"/>
                <w:w w:val="92"/>
              </w:rPr>
              <w:t>Maximum</w:t>
            </w:r>
          </w:p>
        </w:tc>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04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0"/>
              </w:rPr>
              <w:t>Title Of Each Class Of</w:t>
            </w:r>
          </w:p>
        </w:tc>
        <w:tc>
          <w:tcPr>
            <w:tcW w:w="380" w:type="dxa"/>
            <w:vAlign w:val="bottom"/>
          </w:tcPr>
          <w:p>
            <w:pPr>
              <w:spacing w:after="0"/>
              <w:rPr>
                <w:sz w:val="12"/>
                <w:szCs w:val="12"/>
                <w:color w:val="auto"/>
              </w:rPr>
            </w:pPr>
          </w:p>
        </w:tc>
        <w:tc>
          <w:tcPr>
            <w:tcW w:w="1220" w:type="dxa"/>
            <w:vAlign w:val="bottom"/>
            <w:tcBorders>
              <w:right w:val="single" w:sz="8" w:color="auto"/>
            </w:tcBorders>
          </w:tcPr>
          <w:p>
            <w:pPr>
              <w:jc w:val="right"/>
              <w:ind w:right="280"/>
              <w:spacing w:after="0" w:line="148" w:lineRule="exact"/>
              <w:rPr>
                <w:sz w:val="20"/>
                <w:szCs w:val="20"/>
                <w:color w:val="auto"/>
              </w:rPr>
            </w:pPr>
            <w:r>
              <w:rPr>
                <w:rFonts w:ascii="Arial" w:cs="Arial" w:eastAsia="Arial" w:hAnsi="Arial"/>
                <w:sz w:val="14"/>
                <w:szCs w:val="14"/>
                <w:b w:val="1"/>
                <w:bCs w:val="1"/>
                <w:color w:val="auto"/>
                <w:w w:val="93"/>
              </w:rPr>
              <w:t>Amount to be</w:t>
            </w:r>
          </w:p>
        </w:tc>
        <w:tc>
          <w:tcPr>
            <w:tcW w:w="1600" w:type="dxa"/>
            <w:vAlign w:val="bottom"/>
            <w:tcBorders>
              <w:right w:val="single" w:sz="8" w:color="auto"/>
            </w:tcBorders>
          </w:tcPr>
          <w:p>
            <w:pPr>
              <w:jc w:val="center"/>
              <w:ind w:left="27"/>
              <w:spacing w:after="0" w:line="148" w:lineRule="exact"/>
              <w:rPr>
                <w:sz w:val="20"/>
                <w:szCs w:val="20"/>
                <w:color w:val="auto"/>
              </w:rPr>
            </w:pPr>
            <w:r>
              <w:rPr>
                <w:rFonts w:ascii="Arial" w:cs="Arial" w:eastAsia="Arial" w:hAnsi="Arial"/>
                <w:sz w:val="14"/>
                <w:szCs w:val="14"/>
                <w:b w:val="1"/>
                <w:bCs w:val="1"/>
                <w:color w:val="auto"/>
                <w:w w:val="91"/>
              </w:rPr>
              <w:t>Offering</w:t>
            </w:r>
          </w:p>
        </w:tc>
        <w:tc>
          <w:tcPr>
            <w:tcW w:w="380" w:type="dxa"/>
            <w:vAlign w:val="bottom"/>
          </w:tcPr>
          <w:p>
            <w:pPr>
              <w:spacing w:after="0"/>
              <w:rPr>
                <w:sz w:val="12"/>
                <w:szCs w:val="12"/>
                <w:color w:val="auto"/>
              </w:rPr>
            </w:pPr>
          </w:p>
        </w:tc>
        <w:tc>
          <w:tcPr>
            <w:tcW w:w="1220" w:type="dxa"/>
            <w:vAlign w:val="bottom"/>
            <w:tcBorders>
              <w:right w:val="single" w:sz="8" w:color="auto"/>
            </w:tcBorders>
          </w:tcPr>
          <w:p>
            <w:pPr>
              <w:jc w:val="center"/>
              <w:ind w:right="223"/>
              <w:spacing w:after="0" w:line="148" w:lineRule="exact"/>
              <w:rPr>
                <w:sz w:val="20"/>
                <w:szCs w:val="20"/>
                <w:color w:val="auto"/>
              </w:rPr>
            </w:pPr>
            <w:r>
              <w:rPr>
                <w:rFonts w:ascii="Arial" w:cs="Arial" w:eastAsia="Arial" w:hAnsi="Arial"/>
                <w:sz w:val="14"/>
                <w:szCs w:val="14"/>
                <w:b w:val="1"/>
                <w:bCs w:val="1"/>
                <w:color w:val="auto"/>
                <w:w w:val="86"/>
              </w:rPr>
              <w:t>Aggregate</w:t>
            </w:r>
          </w:p>
        </w:tc>
        <w:tc>
          <w:tcPr>
            <w:tcW w:w="1560" w:type="dxa"/>
            <w:vAlign w:val="bottom"/>
            <w:gridSpan w:val="2"/>
          </w:tcPr>
          <w:p>
            <w:pPr>
              <w:ind w:left="500"/>
              <w:spacing w:after="0" w:line="148" w:lineRule="exact"/>
              <w:rPr>
                <w:sz w:val="20"/>
                <w:szCs w:val="20"/>
                <w:color w:val="auto"/>
              </w:rPr>
            </w:pPr>
            <w:r>
              <w:rPr>
                <w:rFonts w:ascii="Arial" w:cs="Arial" w:eastAsia="Arial" w:hAnsi="Arial"/>
                <w:sz w:val="14"/>
                <w:szCs w:val="14"/>
                <w:b w:val="1"/>
                <w:bCs w:val="1"/>
                <w:color w:val="auto"/>
              </w:rPr>
              <w:t>Amount Of</w:t>
            </w:r>
          </w:p>
        </w:tc>
      </w:tr>
      <w:tr>
        <w:trPr>
          <w:trHeight w:val="176"/>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Securities To Be Registered</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Registered</w:t>
            </w:r>
          </w:p>
        </w:tc>
        <w:tc>
          <w:tcPr>
            <w:tcW w:w="1600" w:type="dxa"/>
            <w:vAlign w:val="bottom"/>
            <w:tcBorders>
              <w:bottom w:val="single" w:sz="8" w:color="auto"/>
              <w:right w:val="single" w:sz="8" w:color="auto"/>
            </w:tcBorders>
          </w:tcPr>
          <w:p>
            <w:pPr>
              <w:jc w:val="center"/>
              <w:ind w:left="27"/>
              <w:spacing w:after="0"/>
              <w:rPr>
                <w:sz w:val="20"/>
                <w:szCs w:val="20"/>
                <w:color w:val="auto"/>
              </w:rPr>
            </w:pPr>
            <w:r>
              <w:rPr>
                <w:rFonts w:ascii="Arial" w:cs="Arial" w:eastAsia="Arial" w:hAnsi="Arial"/>
                <w:sz w:val="14"/>
                <w:szCs w:val="14"/>
                <w:b w:val="1"/>
                <w:bCs w:val="1"/>
                <w:color w:val="auto"/>
                <w:w w:val="89"/>
              </w:rPr>
              <w:t>Price Per Unit</w:t>
            </w:r>
          </w:p>
        </w:tc>
        <w:tc>
          <w:tcPr>
            <w:tcW w:w="1600" w:type="dxa"/>
            <w:vAlign w:val="bottom"/>
            <w:tcBorders>
              <w:bottom w:val="single" w:sz="8" w:color="auto"/>
              <w:right w:val="single" w:sz="8" w:color="auto"/>
            </w:tcBorders>
            <w:gridSpan w:val="2"/>
          </w:tcPr>
          <w:p>
            <w:pPr>
              <w:jc w:val="center"/>
              <w:spacing w:after="0" w:line="176"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0"/>
                <w:szCs w:val="20"/>
                <w:b w:val="1"/>
                <w:bCs w:val="1"/>
                <w:color w:val="auto"/>
                <w:w w:val="93"/>
                <w:vertAlign w:val="superscript"/>
              </w:rPr>
              <w:t>(1)</w:t>
            </w:r>
          </w:p>
        </w:tc>
        <w:tc>
          <w:tcPr>
            <w:tcW w:w="1560" w:type="dxa"/>
            <w:vAlign w:val="bottom"/>
            <w:tcBorders>
              <w:bottom w:val="single" w:sz="8" w:color="auto"/>
            </w:tcBorders>
            <w:gridSpan w:val="2"/>
          </w:tcPr>
          <w:p>
            <w:pPr>
              <w:ind w:left="280"/>
              <w:spacing w:after="0" w:line="176" w:lineRule="exact"/>
              <w:rPr>
                <w:sz w:val="20"/>
                <w:szCs w:val="20"/>
                <w:color w:val="auto"/>
              </w:rPr>
            </w:pPr>
            <w:r>
              <w:rPr>
                <w:rFonts w:ascii="Arial" w:cs="Arial" w:eastAsia="Arial" w:hAnsi="Arial"/>
                <w:sz w:val="13"/>
                <w:szCs w:val="13"/>
                <w:b w:val="1"/>
                <w:bCs w:val="1"/>
                <w:color w:val="auto"/>
              </w:rPr>
              <w:t>Registration Fee</w:t>
            </w:r>
            <w:r>
              <w:rPr>
                <w:rFonts w:ascii="Arial" w:cs="Arial" w:eastAsia="Arial" w:hAnsi="Arial"/>
                <w:sz w:val="20"/>
                <w:szCs w:val="20"/>
                <w:b w:val="1"/>
                <w:bCs w:val="1"/>
                <w:color w:val="auto"/>
                <w:vertAlign w:val="superscript"/>
              </w:rPr>
              <w:t>(2)</w:t>
            </w: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2.75% Notes due 2023</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right"/>
              <w:ind w:right="140"/>
              <w:spacing w:after="0"/>
              <w:rPr>
                <w:sz w:val="20"/>
                <w:szCs w:val="20"/>
                <w:color w:val="auto"/>
              </w:rPr>
            </w:pPr>
            <w:r>
              <w:rPr>
                <w:rFonts w:ascii="Arial" w:cs="Arial" w:eastAsia="Arial" w:hAnsi="Arial"/>
                <w:sz w:val="18"/>
                <w:szCs w:val="18"/>
                <w:color w:val="auto"/>
                <w:w w:val="97"/>
              </w:rPr>
              <w:t>350,000,000</w:t>
            </w: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8"/>
                <w:szCs w:val="18"/>
                <w:color w:val="auto"/>
                <w:w w:val="88"/>
              </w:rPr>
              <w:t>101.871%</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right"/>
              <w:ind w:right="123"/>
              <w:spacing w:after="0"/>
              <w:rPr>
                <w:sz w:val="20"/>
                <w:szCs w:val="20"/>
                <w:color w:val="auto"/>
              </w:rPr>
            </w:pPr>
            <w:r>
              <w:rPr>
                <w:rFonts w:ascii="Arial" w:cs="Arial" w:eastAsia="Arial" w:hAnsi="Arial"/>
                <w:sz w:val="18"/>
                <w:szCs w:val="18"/>
                <w:color w:val="auto"/>
                <w:w w:val="99"/>
              </w:rPr>
              <w:t>357,537,737</w:t>
            </w:r>
          </w:p>
        </w:tc>
        <w:tc>
          <w:tcPr>
            <w:tcW w:w="580" w:type="dxa"/>
            <w:vAlign w:val="bottom"/>
            <w:tcBorders>
              <w:bottom w:val="single" w:sz="8" w:color="auto"/>
            </w:tcBorders>
          </w:tcPr>
          <w:p>
            <w:pPr>
              <w:ind w:left="500"/>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36,005</w:t>
            </w: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3.15% Notes due 2026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right"/>
              <w:ind w:right="140"/>
              <w:spacing w:after="0"/>
              <w:rPr>
                <w:sz w:val="20"/>
                <w:szCs w:val="20"/>
                <w:color w:val="auto"/>
              </w:rPr>
            </w:pPr>
            <w:r>
              <w:rPr>
                <w:rFonts w:ascii="Arial" w:cs="Arial" w:eastAsia="Arial" w:hAnsi="Arial"/>
                <w:sz w:val="18"/>
                <w:szCs w:val="18"/>
                <w:color w:val="auto"/>
                <w:w w:val="97"/>
              </w:rPr>
              <w:t>700,000,000</w:t>
            </w: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8"/>
                <w:szCs w:val="18"/>
                <w:color w:val="auto"/>
                <w:w w:val="88"/>
              </w:rPr>
              <w:t>102.861%</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right"/>
              <w:ind w:right="123"/>
              <w:spacing w:after="0"/>
              <w:rPr>
                <w:sz w:val="20"/>
                <w:szCs w:val="20"/>
                <w:color w:val="auto"/>
              </w:rPr>
            </w:pPr>
            <w:r>
              <w:rPr>
                <w:rFonts w:ascii="Arial" w:cs="Arial" w:eastAsia="Arial" w:hAnsi="Arial"/>
                <w:sz w:val="18"/>
                <w:szCs w:val="18"/>
                <w:color w:val="auto"/>
                <w:w w:val="99"/>
              </w:rPr>
              <w:t>722,293,250</w:t>
            </w:r>
          </w:p>
        </w:tc>
        <w:tc>
          <w:tcPr>
            <w:tcW w:w="580" w:type="dxa"/>
            <w:vAlign w:val="bottom"/>
            <w:tcBorders>
              <w:bottom w:val="single" w:sz="8" w:color="auto"/>
            </w:tcBorders>
          </w:tcPr>
          <w:p>
            <w:pPr>
              <w:ind w:left="500"/>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72,735</w:t>
            </w: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right"/>
              <w:ind w:right="140"/>
              <w:spacing w:after="0"/>
              <w:rPr>
                <w:sz w:val="20"/>
                <w:szCs w:val="20"/>
                <w:color w:val="auto"/>
              </w:rPr>
            </w:pPr>
            <w:r>
              <w:rPr>
                <w:rFonts w:ascii="Arial" w:cs="Arial" w:eastAsia="Arial" w:hAnsi="Arial"/>
                <w:sz w:val="18"/>
                <w:szCs w:val="18"/>
                <w:color w:val="auto"/>
                <w:w w:val="85"/>
              </w:rPr>
              <w:t>1,050,000,000</w:t>
            </w:r>
          </w:p>
        </w:tc>
        <w:tc>
          <w:tcPr>
            <w:tcW w:w="16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right"/>
              <w:ind w:right="123"/>
              <w:spacing w:after="0"/>
              <w:rPr>
                <w:sz w:val="20"/>
                <w:szCs w:val="20"/>
                <w:color w:val="auto"/>
              </w:rPr>
            </w:pPr>
            <w:r>
              <w:rPr>
                <w:rFonts w:ascii="Arial" w:cs="Arial" w:eastAsia="Arial" w:hAnsi="Arial"/>
                <w:sz w:val="18"/>
                <w:szCs w:val="18"/>
                <w:color w:val="auto"/>
                <w:w w:val="86"/>
              </w:rPr>
              <w:t>1,079,830,987</w:t>
            </w:r>
          </w:p>
        </w:tc>
        <w:tc>
          <w:tcPr>
            <w:tcW w:w="580" w:type="dxa"/>
            <w:vAlign w:val="bottom"/>
            <w:tcBorders>
              <w:bottom w:val="single" w:sz="8" w:color="auto"/>
            </w:tcBorders>
          </w:tcPr>
          <w:p>
            <w:pPr>
              <w:ind w:left="500"/>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86"/>
              </w:rPr>
              <w:t>108,740</w:t>
            </w: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460" w:right="420" w:hanging="452"/>
        <w:spacing w:after="0" w:line="25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Including accrued interest from February 23, 2016 to, but excluding, March 30, 2016, totaling, in the aggregate, $989,236.11, in the case of the 2.75% Notes due 2023, and $2,266,250.00 in the case of the 3.15% Notes due 2026.</w:t>
      </w: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of the Securities Act of 1933, as amended.</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Registration No. 333-191239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 prospectus dated November 23,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187325</wp:posOffset>
            </wp:positionV>
            <wp:extent cx="1397635" cy="4889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60"/>
        <w:spacing w:after="0"/>
        <w:rPr>
          <w:sz w:val="20"/>
          <w:szCs w:val="20"/>
          <w:color w:val="auto"/>
        </w:rPr>
      </w:pPr>
      <w:r>
        <w:rPr>
          <w:rFonts w:ascii="Arial" w:cs="Arial" w:eastAsia="Arial" w:hAnsi="Arial"/>
          <w:sz w:val="32"/>
          <w:szCs w:val="32"/>
          <w:b w:val="1"/>
          <w:bCs w:val="1"/>
          <w:color w:val="auto"/>
        </w:rPr>
        <w:t>$350,000,000 2.75% Notes due 2023</w:t>
      </w:r>
    </w:p>
    <w:p>
      <w:pPr>
        <w:spacing w:after="0" w:line="33" w:lineRule="exact"/>
        <w:rPr>
          <w:sz w:val="20"/>
          <w:szCs w:val="20"/>
          <w:color w:val="auto"/>
        </w:rPr>
      </w:pPr>
    </w:p>
    <w:p>
      <w:pPr>
        <w:ind w:left="3260"/>
        <w:spacing w:after="0"/>
        <w:rPr>
          <w:sz w:val="20"/>
          <w:szCs w:val="20"/>
          <w:color w:val="auto"/>
        </w:rPr>
      </w:pPr>
      <w:r>
        <w:rPr>
          <w:rFonts w:ascii="Arial" w:cs="Arial" w:eastAsia="Arial" w:hAnsi="Arial"/>
          <w:sz w:val="32"/>
          <w:szCs w:val="32"/>
          <w:b w:val="1"/>
          <w:bCs w:val="1"/>
          <w:color w:val="auto"/>
        </w:rPr>
        <w:t>$700,000,000 3.15%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Notes due 2023 will bear interest at a rate of 2.75% per year and will mature on March 1, 2023, and the Notes due 2026 will bear interest at a rate of 3.15% per year and will mature on March 1, 2026. We refer to the Notes due 2023, and the Notes due 2026 collectively as the “notes.” We will pay interest on the notes on March 1 and September 1 of each year, beginning September 1, 2016. We may redeem any of the notes at any time by paying the applicable Redemption Price described under the heading “Description of the Notes—Optional Redemption.”</w:t>
      </w:r>
    </w:p>
    <w:p>
      <w:pPr>
        <w:spacing w:after="0" w:line="19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Each of the Notes due 2023 and the Notes due 2026 will be a further issuance of, and will form a single series with, the $750 million aggregate principal amount of 2.75% Notes due 2023 and the $1.50 billion aggregate principal amount of 3.15% Notes due 2026, respectively, each issued on February 23, 2016. Upon completion of this offering, we will have $1.10 billion aggregate principal amount of outstanding 2.75% Notes due 2023 and $2.20 billion aggregate principal amount of outstanding 3.15% Notes due 2026.</w:t>
      </w:r>
    </w:p>
    <w:p>
      <w:pPr>
        <w:spacing w:after="0" w:line="22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notes will be unsecured and will rank equally with all of our and our guarantors’ unsecured and unsubordinated indebtedness. The notes will be fully and unconditionally guaranteed by our wholly-owned subsidiaries named in this prospectus supplement and in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right="120" w:firstLine="456"/>
        <w:spacing w:after="0" w:line="243" w:lineRule="auto"/>
        <w:rPr>
          <w:sz w:val="20"/>
          <w:szCs w:val="20"/>
          <w:color w:val="auto"/>
        </w:rPr>
      </w:pPr>
      <w:r>
        <w:rPr>
          <w:rFonts w:ascii="Arial" w:cs="Arial" w:eastAsia="Arial" w:hAnsi="Arial"/>
          <w:sz w:val="22"/>
          <w:szCs w:val="22"/>
          <w:b w:val="1"/>
          <w:bCs w:val="1"/>
          <w:color w:val="auto"/>
        </w:rPr>
        <w:t>Investing in these securities involves certain risks. See “Item 1A—Risk Factors” beginning on page 25 of Comcast Corporation’s (“Comcast”) Annual Report on Form 10-K for the year ended December 31, 2015, which is incorporated by reference herein.</w:t>
      </w:r>
    </w:p>
    <w:p>
      <w:pPr>
        <w:spacing w:after="0" w:line="24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Proceeds to Us</w:t>
            </w:r>
          </w:p>
        </w:tc>
      </w:tr>
      <w:tr>
        <w:trPr>
          <w:trHeight w:val="134"/>
        </w:trPr>
        <w:tc>
          <w:tcPr>
            <w:tcW w:w="30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900" w:type="dxa"/>
            <w:vAlign w:val="bottom"/>
            <w:gridSpan w:val="2"/>
          </w:tcPr>
          <w:p>
            <w:pPr>
              <w:jc w:val="right"/>
              <w:ind w:right="1200"/>
              <w:spacing w:after="0" w:line="135" w:lineRule="exact"/>
              <w:rPr>
                <w:sz w:val="20"/>
                <w:szCs w:val="20"/>
                <w:color w:val="auto"/>
              </w:rPr>
            </w:pPr>
            <w:r>
              <w:rPr>
                <w:rFonts w:ascii="Arial" w:cs="Arial" w:eastAsia="Arial" w:hAnsi="Arial"/>
                <w:sz w:val="14"/>
                <w:szCs w:val="14"/>
                <w:b w:val="1"/>
                <w:bCs w:val="1"/>
                <w:color w:val="auto"/>
              </w:rPr>
              <w:t>Price to</w:t>
            </w:r>
          </w:p>
        </w:tc>
        <w:tc>
          <w:tcPr>
            <w:tcW w:w="136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90"/>
              </w:rPr>
              <w:t>Underwriters’</w:t>
            </w:r>
          </w:p>
        </w:tc>
        <w:tc>
          <w:tcPr>
            <w:tcW w:w="380" w:type="dxa"/>
            <w:vAlign w:val="bottom"/>
          </w:tcPr>
          <w:p>
            <w:pPr>
              <w:spacing w:after="0"/>
              <w:rPr>
                <w:sz w:val="11"/>
                <w:szCs w:val="11"/>
                <w:color w:val="auto"/>
              </w:rPr>
            </w:pPr>
          </w:p>
        </w:tc>
        <w:tc>
          <w:tcPr>
            <w:tcW w:w="11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5"/>
              </w:rPr>
              <w:t>Before</w:t>
            </w:r>
          </w:p>
        </w:tc>
      </w:tr>
      <w:tr>
        <w:trPr>
          <w:trHeight w:val="176"/>
        </w:trPr>
        <w:tc>
          <w:tcPr>
            <w:tcW w:w="3020" w:type="dxa"/>
            <w:vAlign w:val="bottom"/>
            <w:tcBorders>
              <w:bottom w:val="single" w:sz="8" w:color="CCEEFF"/>
            </w:tcBorders>
          </w:tcPr>
          <w:p>
            <w:pPr>
              <w:spacing w:after="0"/>
              <w:rPr>
                <w:sz w:val="15"/>
                <w:szCs w:val="15"/>
                <w:color w:val="auto"/>
              </w:rPr>
            </w:pPr>
          </w:p>
        </w:tc>
        <w:tc>
          <w:tcPr>
            <w:tcW w:w="17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87"/>
              <w:spacing w:after="0" w:line="176" w:lineRule="exact"/>
              <w:rPr>
                <w:sz w:val="20"/>
                <w:szCs w:val="20"/>
                <w:color w:val="auto"/>
              </w:rPr>
            </w:pPr>
            <w:r>
              <w:rPr>
                <w:rFonts w:ascii="Arial" w:cs="Arial" w:eastAsia="Arial" w:hAnsi="Arial"/>
                <w:sz w:val="13"/>
                <w:szCs w:val="13"/>
                <w:b w:val="1"/>
                <w:bCs w:val="1"/>
                <w:color w:val="auto"/>
              </w:rPr>
              <w:t>Investors</w:t>
            </w:r>
            <w:r>
              <w:rPr>
                <w:rFonts w:ascii="Arial" w:cs="Arial" w:eastAsia="Arial" w:hAnsi="Arial"/>
                <w:sz w:val="20"/>
                <w:szCs w:val="20"/>
                <w:b w:val="1"/>
                <w:bCs w:val="1"/>
                <w:color w:val="auto"/>
                <w:vertAlign w:val="superscript"/>
              </w:rPr>
              <w:t>(1)</w:t>
            </w:r>
          </w:p>
        </w:tc>
        <w:tc>
          <w:tcPr>
            <w:tcW w:w="9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Discount</w:t>
            </w:r>
          </w:p>
        </w:tc>
        <w:tc>
          <w:tcPr>
            <w:tcW w:w="54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5"/>
              </w:rPr>
              <w:t>Expenses</w:t>
            </w:r>
            <w:r>
              <w:rPr>
                <w:rFonts w:ascii="Arial" w:cs="Arial" w:eastAsia="Arial" w:hAnsi="Arial"/>
                <w:sz w:val="20"/>
                <w:szCs w:val="20"/>
                <w:b w:val="1"/>
                <w:bCs w:val="1"/>
                <w:color w:val="auto"/>
                <w:w w:val="85"/>
                <w:vertAlign w:val="superscript"/>
              </w:rPr>
              <w:t>(1)</w:t>
            </w:r>
          </w:p>
        </w:tc>
        <w:tc>
          <w:tcPr>
            <w:tcW w:w="200" w:type="dxa"/>
            <w:vAlign w:val="bottom"/>
            <w:tcBorders>
              <w:bottom w:val="single" w:sz="8" w:color="CCEEFF"/>
            </w:tcBorders>
          </w:tcPr>
          <w:p>
            <w:pPr>
              <w:spacing w:after="0"/>
              <w:rPr>
                <w:sz w:val="15"/>
                <w:szCs w:val="15"/>
                <w:color w:val="auto"/>
              </w:rPr>
            </w:pPr>
          </w:p>
        </w:tc>
      </w:tr>
      <w:tr>
        <w:trPr>
          <w:trHeight w:val="210"/>
        </w:trPr>
        <w:tc>
          <w:tcPr>
            <w:tcW w:w="3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note due 2023</w:t>
            </w:r>
          </w:p>
        </w:tc>
        <w:tc>
          <w:tcPr>
            <w:tcW w:w="17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101.871%</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0.350%</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101.521%</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Total</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$356,548,500</w:t>
            </w:r>
          </w:p>
        </w:tc>
        <w:tc>
          <w:tcPr>
            <w:tcW w:w="9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$ 1,225,000</w:t>
            </w:r>
          </w:p>
        </w:tc>
        <w:tc>
          <w:tcPr>
            <w:tcW w:w="5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$355,323,500</w:t>
            </w:r>
          </w:p>
        </w:tc>
        <w:tc>
          <w:tcPr>
            <w:tcW w:w="200" w:type="dxa"/>
            <w:vAlign w:val="bottom"/>
          </w:tcPr>
          <w:p>
            <w:pPr>
              <w:spacing w:after="0"/>
              <w:rPr>
                <w:sz w:val="18"/>
                <w:szCs w:val="18"/>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Per note due 2026</w:t>
            </w:r>
          </w:p>
        </w:tc>
        <w:tc>
          <w:tcPr>
            <w:tcW w:w="36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102.861%</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0.450%</w:t>
            </w:r>
          </w:p>
        </w:tc>
        <w:tc>
          <w:tcPr>
            <w:tcW w:w="1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102.411%</w:t>
            </w:r>
          </w:p>
        </w:tc>
      </w:tr>
      <w:tr>
        <w:trPr>
          <w:trHeight w:val="222"/>
        </w:trPr>
        <w:tc>
          <w:tcPr>
            <w:tcW w:w="3020" w:type="dxa"/>
            <w:vAlign w:val="bottom"/>
          </w:tcPr>
          <w:p>
            <w:pPr>
              <w:spacing w:after="0"/>
              <w:rPr>
                <w:sz w:val="20"/>
                <w:szCs w:val="20"/>
                <w:color w:val="auto"/>
              </w:rPr>
            </w:pPr>
            <w:r>
              <w:rPr>
                <w:rFonts w:ascii="Arial" w:cs="Arial" w:eastAsia="Arial" w:hAnsi="Arial"/>
                <w:sz w:val="18"/>
                <w:szCs w:val="18"/>
                <w:color w:val="auto"/>
              </w:rPr>
              <w:t>Total</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$720,027,000</w:t>
            </w:r>
          </w:p>
        </w:tc>
        <w:tc>
          <w:tcPr>
            <w:tcW w:w="92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$ 3,150,000</w:t>
            </w:r>
          </w:p>
        </w:tc>
        <w:tc>
          <w:tcPr>
            <w:tcW w:w="54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$716,877,000</w:t>
            </w:r>
          </w:p>
        </w:tc>
        <w:tc>
          <w:tcPr>
            <w:tcW w:w="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80" w:hanging="452"/>
        <w:spacing w:after="0" w:line="370" w:lineRule="auto"/>
        <w:tabs>
          <w:tab w:leader="none" w:pos="460" w:val="left"/>
        </w:tabs>
        <w:numPr>
          <w:ilvl w:val="0"/>
          <w:numId w:val="2"/>
        </w:numPr>
        <w:rPr>
          <w:rFonts w:ascii="Arial" w:cs="Arial" w:eastAsia="Arial" w:hAnsi="Arial"/>
          <w:sz w:val="15"/>
          <w:szCs w:val="15"/>
          <w:color w:val="auto"/>
        </w:rPr>
      </w:pPr>
      <w:r>
        <w:rPr>
          <w:rFonts w:ascii="Arial" w:cs="Arial" w:eastAsia="Arial" w:hAnsi="Arial"/>
          <w:sz w:val="15"/>
          <w:szCs w:val="15"/>
          <w:color w:val="auto"/>
        </w:rPr>
        <w:t>Plus accrued interest from February 23, 2016 to, but excluding, March 30, 2016, totaling, in the aggregate, (i) $989,236.11, in the case of the Notes due 2023 and (ii) $2,266,250.00, in the case of the Notes due 2026. Such accrued interest must be paid by the purchasers of the respective series of notes.</w:t>
      </w:r>
    </w:p>
    <w:p>
      <w:pPr>
        <w:spacing w:after="0" w:line="137" w:lineRule="exact"/>
        <w:rPr>
          <w:sz w:val="20"/>
          <w:szCs w:val="20"/>
          <w:color w:val="auto"/>
        </w:rPr>
      </w:pPr>
    </w:p>
    <w:p>
      <w:pPr>
        <w:ind w:right="420" w:firstLine="456"/>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1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notes will be ready for delivery only through The Depository Trust Company and its participants, including Euroclear SA/NV (“Euroclear”) and Clearstream Banking SA (“Clearstream”), in book-entry form on or about March 30, 2016, which is the fifth business day following the date of this prospectus supplement. See “Underwriting.”</w:t>
      </w:r>
    </w:p>
    <w:p>
      <w:pPr>
        <w:sectPr>
          <w:pgSz w:w="11900" w:h="16838" w:orient="portrait"/>
          <w:cols w:equalWidth="0" w:num="1">
            <w:col w:w="11380"/>
          </w:cols>
          <w:pgMar w:left="240" w:top="459" w:right="27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i w:val="1"/>
          <w:iCs w:val="1"/>
          <w:color w:val="auto"/>
        </w:rPr>
        <w:t>Joint Book-Running Managers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40" w:type="dxa"/>
            <w:vAlign w:val="bottom"/>
          </w:tcPr>
          <w:p>
            <w:pPr>
              <w:jc w:val="center"/>
              <w:ind w:right="152"/>
              <w:spacing w:after="0"/>
              <w:rPr>
                <w:sz w:val="20"/>
                <w:szCs w:val="20"/>
                <w:color w:val="auto"/>
              </w:rPr>
            </w:pPr>
            <w:r>
              <w:rPr>
                <w:rFonts w:ascii="Arial" w:cs="Arial" w:eastAsia="Arial" w:hAnsi="Arial"/>
                <w:sz w:val="22"/>
                <w:szCs w:val="22"/>
                <w:b w:val="1"/>
                <w:bCs w:val="1"/>
                <w:color w:val="auto"/>
                <w:w w:val="94"/>
              </w:rPr>
              <w:t>BofA Merrill Lynch</w:t>
            </w:r>
          </w:p>
        </w:tc>
        <w:tc>
          <w:tcPr>
            <w:tcW w:w="1140" w:type="dxa"/>
            <w:vAlign w:val="bottom"/>
          </w:tcPr>
          <w:p>
            <w:pPr>
              <w:spacing w:after="0"/>
              <w:rPr>
                <w:sz w:val="21"/>
                <w:szCs w:val="21"/>
                <w:color w:val="auto"/>
              </w:rPr>
            </w:pPr>
          </w:p>
        </w:tc>
        <w:tc>
          <w:tcPr>
            <w:tcW w:w="3400" w:type="dxa"/>
            <w:vAlign w:val="bottom"/>
            <w:gridSpan w:val="2"/>
          </w:tcPr>
          <w:p>
            <w:pPr>
              <w:jc w:val="center"/>
              <w:ind w:right="760"/>
              <w:spacing w:after="0"/>
              <w:rPr>
                <w:sz w:val="20"/>
                <w:szCs w:val="20"/>
                <w:color w:val="auto"/>
              </w:rPr>
            </w:pPr>
            <w:r>
              <w:rPr>
                <w:rFonts w:ascii="Arial" w:cs="Arial" w:eastAsia="Arial" w:hAnsi="Arial"/>
                <w:sz w:val="22"/>
                <w:szCs w:val="22"/>
                <w:b w:val="1"/>
                <w:bCs w:val="1"/>
                <w:color w:val="auto"/>
                <w:w w:val="94"/>
              </w:rPr>
              <w:t>RBC Capital Markets</w:t>
            </w:r>
          </w:p>
        </w:tc>
        <w:tc>
          <w:tcPr>
            <w:tcW w:w="2700" w:type="dxa"/>
            <w:vAlign w:val="bottom"/>
          </w:tcPr>
          <w:p>
            <w:pPr>
              <w:jc w:val="center"/>
              <w:ind w:left="552"/>
              <w:spacing w:after="0"/>
              <w:rPr>
                <w:sz w:val="20"/>
                <w:szCs w:val="20"/>
                <w:color w:val="auto"/>
              </w:rPr>
            </w:pPr>
            <w:r>
              <w:rPr>
                <w:rFonts w:ascii="Arial" w:cs="Arial" w:eastAsia="Arial" w:hAnsi="Arial"/>
                <w:sz w:val="22"/>
                <w:szCs w:val="22"/>
                <w:b w:val="1"/>
                <w:bCs w:val="1"/>
                <w:color w:val="auto"/>
                <w:w w:val="87"/>
              </w:rPr>
              <w:t>Wells Fargo Securities</w:t>
            </w:r>
          </w:p>
        </w:tc>
      </w:tr>
      <w:tr>
        <w:trPr>
          <w:trHeight w:val="281"/>
        </w:trPr>
        <w:tc>
          <w:tcPr>
            <w:tcW w:w="2640" w:type="dxa"/>
            <w:vAlign w:val="bottom"/>
          </w:tcPr>
          <w:p>
            <w:pPr>
              <w:ind w:left="1680"/>
              <w:spacing w:after="0"/>
              <w:rPr>
                <w:sz w:val="20"/>
                <w:szCs w:val="20"/>
                <w:color w:val="auto"/>
              </w:rPr>
            </w:pPr>
            <w:r>
              <w:rPr>
                <w:rFonts w:ascii="Arial" w:cs="Arial" w:eastAsia="Arial" w:hAnsi="Arial"/>
                <w:sz w:val="22"/>
                <w:szCs w:val="22"/>
                <w:b w:val="1"/>
                <w:bCs w:val="1"/>
                <w:color w:val="auto"/>
              </w:rPr>
              <w:t>Barclays</w:t>
            </w:r>
          </w:p>
        </w:tc>
        <w:tc>
          <w:tcPr>
            <w:tcW w:w="1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00" w:type="dxa"/>
            <w:vAlign w:val="bottom"/>
          </w:tcPr>
          <w:p>
            <w:pPr>
              <w:jc w:val="center"/>
              <w:ind w:right="1072"/>
              <w:spacing w:after="0"/>
              <w:rPr>
                <w:sz w:val="20"/>
                <w:szCs w:val="20"/>
                <w:color w:val="auto"/>
              </w:rPr>
            </w:pPr>
            <w:r>
              <w:rPr>
                <w:rFonts w:ascii="Arial" w:cs="Arial" w:eastAsia="Arial" w:hAnsi="Arial"/>
                <w:sz w:val="22"/>
                <w:szCs w:val="22"/>
                <w:b w:val="1"/>
                <w:bCs w:val="1"/>
                <w:color w:val="auto"/>
                <w:w w:val="93"/>
              </w:rPr>
              <w:t>BNP PARIBAS</w:t>
            </w:r>
          </w:p>
        </w:tc>
      </w:tr>
      <w:tr>
        <w:trPr>
          <w:trHeight w:val="274"/>
        </w:trPr>
        <w:tc>
          <w:tcPr>
            <w:tcW w:w="26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1020" w:type="dxa"/>
            <w:vAlign w:val="bottom"/>
          </w:tcPr>
          <w:p>
            <w:pPr>
              <w:spacing w:after="0"/>
              <w:rPr>
                <w:sz w:val="23"/>
                <w:szCs w:val="23"/>
                <w:color w:val="auto"/>
              </w:rPr>
            </w:pPr>
          </w:p>
        </w:tc>
        <w:tc>
          <w:tcPr>
            <w:tcW w:w="2700" w:type="dxa"/>
            <w:vAlign w:val="bottom"/>
          </w:tcPr>
          <w:p>
            <w:pPr>
              <w:spacing w:after="0"/>
              <w:rPr>
                <w:sz w:val="23"/>
                <w:szCs w:val="23"/>
                <w:color w:val="auto"/>
              </w:rPr>
            </w:pPr>
          </w:p>
        </w:tc>
      </w:tr>
      <w:tr>
        <w:trPr>
          <w:trHeight w:val="370"/>
        </w:trPr>
        <w:tc>
          <w:tcPr>
            <w:tcW w:w="2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0" w:type="dxa"/>
            <w:vAlign w:val="bottom"/>
            <w:gridSpan w:val="2"/>
          </w:tcPr>
          <w:p>
            <w:pPr>
              <w:jc w:val="center"/>
              <w:ind w:right="1020"/>
              <w:spacing w:after="0"/>
              <w:rPr>
                <w:sz w:val="20"/>
                <w:szCs w:val="20"/>
                <w:color w:val="auto"/>
              </w:rPr>
            </w:pPr>
            <w:r>
              <w:rPr>
                <w:rFonts w:ascii="Arial" w:cs="Arial" w:eastAsia="Arial" w:hAnsi="Arial"/>
                <w:sz w:val="18"/>
                <w:szCs w:val="18"/>
                <w:i w:val="1"/>
                <w:iCs w:val="1"/>
                <w:color w:val="auto"/>
                <w:w w:val="89"/>
              </w:rPr>
              <w:t>Co-Managers</w:t>
            </w:r>
          </w:p>
        </w:tc>
        <w:tc>
          <w:tcPr>
            <w:tcW w:w="2700" w:type="dxa"/>
            <w:vAlign w:val="bottom"/>
          </w:tcPr>
          <w:p>
            <w:pPr>
              <w:spacing w:after="0"/>
              <w:rPr>
                <w:sz w:val="24"/>
                <w:szCs w:val="24"/>
                <w:color w:val="auto"/>
              </w:rPr>
            </w:pPr>
          </w:p>
        </w:tc>
      </w:tr>
      <w:tr>
        <w:trPr>
          <w:trHeight w:val="487"/>
        </w:trPr>
        <w:tc>
          <w:tcPr>
            <w:tcW w:w="2640" w:type="dxa"/>
            <w:vAlign w:val="bottom"/>
          </w:tcPr>
          <w:p>
            <w:pPr>
              <w:jc w:val="center"/>
              <w:ind w:right="252"/>
              <w:spacing w:after="0"/>
              <w:rPr>
                <w:sz w:val="20"/>
                <w:szCs w:val="20"/>
                <w:color w:val="auto"/>
              </w:rPr>
            </w:pPr>
            <w:r>
              <w:rPr>
                <w:rFonts w:ascii="Arial" w:cs="Arial" w:eastAsia="Arial" w:hAnsi="Arial"/>
                <w:sz w:val="18"/>
                <w:szCs w:val="18"/>
                <w:b w:val="1"/>
                <w:bCs w:val="1"/>
                <w:color w:val="auto"/>
                <w:w w:val="92"/>
              </w:rPr>
              <w:t>Citigroup</w:t>
            </w:r>
          </w:p>
        </w:tc>
        <w:tc>
          <w:tcPr>
            <w:tcW w:w="1140" w:type="dxa"/>
            <w:vAlign w:val="bottom"/>
          </w:tcPr>
          <w:p>
            <w:pPr>
              <w:spacing w:after="0"/>
              <w:rPr>
                <w:sz w:val="24"/>
                <w:szCs w:val="24"/>
                <w:color w:val="auto"/>
              </w:rPr>
            </w:pPr>
          </w:p>
        </w:tc>
        <w:tc>
          <w:tcPr>
            <w:tcW w:w="340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6"/>
              </w:rPr>
              <w:t>Credit Suisse</w:t>
            </w:r>
          </w:p>
        </w:tc>
        <w:tc>
          <w:tcPr>
            <w:tcW w:w="2700" w:type="dxa"/>
            <w:vAlign w:val="bottom"/>
          </w:tcPr>
          <w:p>
            <w:pPr>
              <w:jc w:val="center"/>
              <w:ind w:left="552"/>
              <w:spacing w:after="0"/>
              <w:rPr>
                <w:sz w:val="20"/>
                <w:szCs w:val="20"/>
                <w:color w:val="auto"/>
              </w:rPr>
            </w:pPr>
            <w:r>
              <w:rPr>
                <w:rFonts w:ascii="Arial" w:cs="Arial" w:eastAsia="Arial" w:hAnsi="Arial"/>
                <w:sz w:val="18"/>
                <w:szCs w:val="18"/>
                <w:b w:val="1"/>
                <w:bCs w:val="1"/>
                <w:color w:val="auto"/>
                <w:w w:val="85"/>
              </w:rPr>
              <w:t>Deutsche Bank Securities</w:t>
            </w:r>
          </w:p>
        </w:tc>
      </w:tr>
      <w:tr>
        <w:trPr>
          <w:trHeight w:val="216"/>
        </w:trPr>
        <w:tc>
          <w:tcPr>
            <w:tcW w:w="2640" w:type="dxa"/>
            <w:vAlign w:val="bottom"/>
          </w:tcPr>
          <w:p>
            <w:pPr>
              <w:jc w:val="center"/>
              <w:ind w:right="252"/>
              <w:spacing w:after="0"/>
              <w:rPr>
                <w:sz w:val="20"/>
                <w:szCs w:val="20"/>
                <w:color w:val="auto"/>
              </w:rPr>
            </w:pPr>
            <w:r>
              <w:rPr>
                <w:rFonts w:ascii="Arial" w:cs="Arial" w:eastAsia="Arial" w:hAnsi="Arial"/>
                <w:sz w:val="18"/>
                <w:szCs w:val="18"/>
                <w:b w:val="1"/>
                <w:bCs w:val="1"/>
                <w:color w:val="auto"/>
                <w:w w:val="88"/>
              </w:rPr>
              <w:t>Goldman, Sachs &amp; Co.</w:t>
            </w:r>
          </w:p>
        </w:tc>
        <w:tc>
          <w:tcPr>
            <w:tcW w:w="1140" w:type="dxa"/>
            <w:vAlign w:val="bottom"/>
          </w:tcPr>
          <w:p>
            <w:pPr>
              <w:spacing w:after="0"/>
              <w:rPr>
                <w:sz w:val="18"/>
                <w:szCs w:val="18"/>
                <w:color w:val="auto"/>
              </w:rPr>
            </w:pPr>
          </w:p>
        </w:tc>
        <w:tc>
          <w:tcPr>
            <w:tcW w:w="340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0"/>
              </w:rPr>
              <w:t>J.P. Morgan</w:t>
            </w:r>
          </w:p>
        </w:tc>
        <w:tc>
          <w:tcPr>
            <w:tcW w:w="2700" w:type="dxa"/>
            <w:vAlign w:val="bottom"/>
          </w:tcPr>
          <w:p>
            <w:pPr>
              <w:jc w:val="center"/>
              <w:ind w:left="572"/>
              <w:spacing w:after="0"/>
              <w:rPr>
                <w:sz w:val="20"/>
                <w:szCs w:val="20"/>
                <w:color w:val="auto"/>
              </w:rPr>
            </w:pPr>
            <w:r>
              <w:rPr>
                <w:rFonts w:ascii="Arial" w:cs="Arial" w:eastAsia="Arial" w:hAnsi="Arial"/>
                <w:sz w:val="18"/>
                <w:szCs w:val="18"/>
                <w:b w:val="1"/>
                <w:bCs w:val="1"/>
                <w:color w:val="auto"/>
                <w:w w:val="85"/>
              </w:rPr>
              <w:t>Lloyds Securities</w:t>
            </w:r>
          </w:p>
        </w:tc>
      </w:tr>
      <w:tr>
        <w:trPr>
          <w:trHeight w:val="216"/>
        </w:trPr>
        <w:tc>
          <w:tcPr>
            <w:tcW w:w="2640" w:type="dxa"/>
            <w:vAlign w:val="bottom"/>
          </w:tcPr>
          <w:p>
            <w:pPr>
              <w:jc w:val="center"/>
              <w:ind w:right="252"/>
              <w:spacing w:after="0"/>
              <w:rPr>
                <w:sz w:val="20"/>
                <w:szCs w:val="20"/>
                <w:color w:val="auto"/>
              </w:rPr>
            </w:pPr>
            <w:r>
              <w:rPr>
                <w:rFonts w:ascii="Arial" w:cs="Arial" w:eastAsia="Arial" w:hAnsi="Arial"/>
                <w:sz w:val="18"/>
                <w:szCs w:val="18"/>
                <w:b w:val="1"/>
                <w:bCs w:val="1"/>
                <w:color w:val="auto"/>
                <w:w w:val="87"/>
              </w:rPr>
              <w:t>Mizuho Securities</w:t>
            </w:r>
          </w:p>
        </w:tc>
        <w:tc>
          <w:tcPr>
            <w:tcW w:w="1140" w:type="dxa"/>
            <w:vAlign w:val="bottom"/>
          </w:tcPr>
          <w:p>
            <w:pPr>
              <w:spacing w:after="0"/>
              <w:rPr>
                <w:sz w:val="18"/>
                <w:szCs w:val="18"/>
                <w:color w:val="auto"/>
              </w:rPr>
            </w:pPr>
          </w:p>
        </w:tc>
        <w:tc>
          <w:tcPr>
            <w:tcW w:w="340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9"/>
              </w:rPr>
              <w:t>Morgan Stanley</w:t>
            </w:r>
          </w:p>
        </w:tc>
        <w:tc>
          <w:tcPr>
            <w:tcW w:w="2700" w:type="dxa"/>
            <w:vAlign w:val="bottom"/>
          </w:tcPr>
          <w:p>
            <w:pPr>
              <w:jc w:val="center"/>
              <w:ind w:left="572"/>
              <w:spacing w:after="0"/>
              <w:rPr>
                <w:sz w:val="20"/>
                <w:szCs w:val="20"/>
                <w:color w:val="auto"/>
              </w:rPr>
            </w:pPr>
            <w:r>
              <w:rPr>
                <w:rFonts w:ascii="Arial" w:cs="Arial" w:eastAsia="Arial" w:hAnsi="Arial"/>
                <w:sz w:val="18"/>
                <w:szCs w:val="18"/>
                <w:b w:val="1"/>
                <w:bCs w:val="1"/>
                <w:color w:val="auto"/>
                <w:w w:val="93"/>
              </w:rPr>
              <w:t>SMBC Nikko</w:t>
            </w:r>
          </w:p>
        </w:tc>
      </w:tr>
      <w:tr>
        <w:trPr>
          <w:trHeight w:val="228"/>
        </w:trPr>
        <w:tc>
          <w:tcPr>
            <w:tcW w:w="2640" w:type="dxa"/>
            <w:vAlign w:val="bottom"/>
          </w:tcPr>
          <w:p>
            <w:pPr>
              <w:jc w:val="center"/>
              <w:ind w:right="232"/>
              <w:spacing w:after="0"/>
              <w:rPr>
                <w:sz w:val="20"/>
                <w:szCs w:val="20"/>
                <w:color w:val="auto"/>
              </w:rPr>
            </w:pPr>
            <w:r>
              <w:rPr>
                <w:rFonts w:ascii="Arial" w:cs="Arial" w:eastAsia="Arial" w:hAnsi="Arial"/>
                <w:sz w:val="18"/>
                <w:szCs w:val="18"/>
                <w:b w:val="1"/>
                <w:bCs w:val="1"/>
                <w:color w:val="auto"/>
                <w:w w:val="88"/>
              </w:rPr>
              <w:t>SunTrust Robinson Humphrey</w:t>
            </w:r>
          </w:p>
        </w:tc>
        <w:tc>
          <w:tcPr>
            <w:tcW w:w="11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700" w:type="dxa"/>
            <w:vAlign w:val="bottom"/>
          </w:tcPr>
          <w:p>
            <w:pPr>
              <w:jc w:val="center"/>
              <w:ind w:left="572"/>
              <w:spacing w:after="0"/>
              <w:rPr>
                <w:sz w:val="20"/>
                <w:szCs w:val="20"/>
                <w:color w:val="auto"/>
              </w:rPr>
            </w:pPr>
            <w:r>
              <w:rPr>
                <w:rFonts w:ascii="Arial" w:cs="Arial" w:eastAsia="Arial" w:hAnsi="Arial"/>
                <w:sz w:val="18"/>
                <w:szCs w:val="18"/>
                <w:b w:val="1"/>
                <w:bCs w:val="1"/>
                <w:color w:val="auto"/>
                <w:w w:val="89"/>
              </w:rPr>
              <w:t>UBS Investment Bank</w:t>
            </w:r>
          </w:p>
        </w:tc>
      </w:tr>
      <w:tr>
        <w:trPr>
          <w:trHeight w:val="297"/>
        </w:trPr>
        <w:tc>
          <w:tcPr>
            <w:tcW w:w="2640" w:type="dxa"/>
            <w:vAlign w:val="bottom"/>
          </w:tcPr>
          <w:p>
            <w:pPr>
              <w:ind w:left="1680"/>
              <w:spacing w:after="0"/>
              <w:rPr>
                <w:sz w:val="20"/>
                <w:szCs w:val="20"/>
                <w:color w:val="auto"/>
              </w:rPr>
            </w:pPr>
            <w:r>
              <w:rPr>
                <w:rFonts w:ascii="Arial" w:cs="Arial" w:eastAsia="Arial" w:hAnsi="Arial"/>
                <w:sz w:val="18"/>
                <w:szCs w:val="18"/>
                <w:b w:val="1"/>
                <w:bCs w:val="1"/>
                <w:color w:val="auto"/>
              </w:rPr>
              <w:t>Santander</w:t>
            </w:r>
          </w:p>
        </w:tc>
        <w:tc>
          <w:tcPr>
            <w:tcW w:w="1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00" w:type="dxa"/>
            <w:vAlign w:val="bottom"/>
          </w:tcPr>
          <w:p>
            <w:pPr>
              <w:jc w:val="center"/>
              <w:ind w:right="1092"/>
              <w:spacing w:after="0"/>
              <w:rPr>
                <w:sz w:val="20"/>
                <w:szCs w:val="20"/>
                <w:color w:val="auto"/>
              </w:rPr>
            </w:pPr>
            <w:r>
              <w:rPr>
                <w:rFonts w:ascii="Arial" w:cs="Arial" w:eastAsia="Arial" w:hAnsi="Arial"/>
                <w:sz w:val="18"/>
                <w:szCs w:val="18"/>
                <w:b w:val="1"/>
                <w:bCs w:val="1"/>
                <w:color w:val="auto"/>
                <w:w w:val="89"/>
              </w:rPr>
              <w:t>US Bancorp</w:t>
            </w:r>
          </w:p>
        </w:tc>
      </w:tr>
      <w:tr>
        <w:trPr>
          <w:trHeight w:val="297"/>
        </w:trPr>
        <w:tc>
          <w:tcPr>
            <w:tcW w:w="2640" w:type="dxa"/>
            <w:vAlign w:val="bottom"/>
          </w:tcPr>
          <w:p>
            <w:pPr>
              <w:jc w:val="center"/>
              <w:ind w:right="132"/>
              <w:spacing w:after="0"/>
              <w:rPr>
                <w:sz w:val="20"/>
                <w:szCs w:val="20"/>
                <w:color w:val="auto"/>
              </w:rPr>
            </w:pPr>
            <w:r>
              <w:rPr>
                <w:rFonts w:ascii="Arial" w:cs="Arial" w:eastAsia="Arial" w:hAnsi="Arial"/>
                <w:sz w:val="18"/>
                <w:szCs w:val="18"/>
                <w:b w:val="1"/>
                <w:bCs w:val="1"/>
                <w:color w:val="auto"/>
                <w:w w:val="94"/>
              </w:rPr>
              <w:t>DNB Markets</w:t>
            </w:r>
          </w:p>
        </w:tc>
        <w:tc>
          <w:tcPr>
            <w:tcW w:w="1140" w:type="dxa"/>
            <w:vAlign w:val="bottom"/>
          </w:tcPr>
          <w:p>
            <w:pPr>
              <w:spacing w:after="0"/>
              <w:rPr>
                <w:sz w:val="24"/>
                <w:szCs w:val="24"/>
                <w:color w:val="auto"/>
              </w:rPr>
            </w:pPr>
          </w:p>
        </w:tc>
        <w:tc>
          <w:tcPr>
            <w:tcW w:w="340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94"/>
              </w:rPr>
              <w:t>PNC Capital Markets LLC</w:t>
            </w:r>
          </w:p>
        </w:tc>
        <w:tc>
          <w:tcPr>
            <w:tcW w:w="2700" w:type="dxa"/>
            <w:vAlign w:val="bottom"/>
          </w:tcPr>
          <w:p>
            <w:pPr>
              <w:jc w:val="center"/>
              <w:ind w:left="552"/>
              <w:spacing w:after="0"/>
              <w:rPr>
                <w:sz w:val="20"/>
                <w:szCs w:val="20"/>
                <w:color w:val="auto"/>
              </w:rPr>
            </w:pPr>
            <w:r>
              <w:rPr>
                <w:rFonts w:ascii="Arial" w:cs="Arial" w:eastAsia="Arial" w:hAnsi="Arial"/>
                <w:sz w:val="18"/>
                <w:szCs w:val="18"/>
                <w:b w:val="1"/>
                <w:bCs w:val="1"/>
                <w:color w:val="auto"/>
                <w:w w:val="88"/>
              </w:rPr>
              <w:t>TD Securities</w:t>
            </w:r>
          </w:p>
        </w:tc>
      </w:tr>
      <w:tr>
        <w:trPr>
          <w:trHeight w:val="219"/>
        </w:trPr>
        <w:tc>
          <w:tcPr>
            <w:tcW w:w="2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0"/>
              </w:rPr>
              <w:t>The Williams Capital Group, L.P.</w:t>
            </w:r>
          </w:p>
        </w:tc>
        <w:tc>
          <w:tcPr>
            <w:tcW w:w="2700" w:type="dxa"/>
            <w:vAlign w:val="bottom"/>
          </w:tcPr>
          <w:p>
            <w:pPr>
              <w:spacing w:after="0"/>
              <w:rPr>
                <w:sz w:val="19"/>
                <w:szCs w:val="19"/>
                <w:color w:val="auto"/>
              </w:rPr>
            </w:pPr>
          </w:p>
        </w:tc>
      </w:tr>
      <w:tr>
        <w:trPr>
          <w:trHeight w:val="149"/>
        </w:trPr>
        <w:tc>
          <w:tcPr>
            <w:tcW w:w="264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7"/>
              </w:rPr>
              <w:t>C.L. King &amp; Associates</w:t>
            </w:r>
          </w:p>
        </w:tc>
        <w:tc>
          <w:tcPr>
            <w:tcW w:w="1140" w:type="dxa"/>
            <w:vAlign w:val="bottom"/>
          </w:tcPr>
          <w:p>
            <w:pPr>
              <w:spacing w:after="0"/>
              <w:rPr>
                <w:sz w:val="12"/>
                <w:szCs w:val="12"/>
                <w:color w:val="auto"/>
              </w:rPr>
            </w:pPr>
          </w:p>
        </w:tc>
        <w:tc>
          <w:tcPr>
            <w:tcW w:w="34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Drexel Hamilton</w:t>
            </w:r>
          </w:p>
        </w:tc>
        <w:tc>
          <w:tcPr>
            <w:tcW w:w="2700" w:type="dxa"/>
            <w:vAlign w:val="bottom"/>
          </w:tcPr>
          <w:p>
            <w:pPr>
              <w:jc w:val="center"/>
              <w:ind w:left="572"/>
              <w:spacing w:after="0" w:line="149" w:lineRule="exact"/>
              <w:rPr>
                <w:sz w:val="20"/>
                <w:szCs w:val="20"/>
                <w:color w:val="auto"/>
              </w:rPr>
            </w:pPr>
            <w:r>
              <w:rPr>
                <w:rFonts w:ascii="Arial" w:cs="Arial" w:eastAsia="Arial" w:hAnsi="Arial"/>
                <w:sz w:val="14"/>
                <w:szCs w:val="14"/>
                <w:b w:val="1"/>
                <w:bCs w:val="1"/>
                <w:color w:val="auto"/>
                <w:w w:val="89"/>
              </w:rPr>
              <w:t>Lebenthal Capital Markets</w:t>
            </w:r>
          </w:p>
        </w:tc>
      </w:tr>
      <w:tr>
        <w:trPr>
          <w:trHeight w:val="174"/>
        </w:trPr>
        <w:tc>
          <w:tcPr>
            <w:tcW w:w="2640" w:type="dxa"/>
            <w:vAlign w:val="bottom"/>
          </w:tcPr>
          <w:p>
            <w:pPr>
              <w:jc w:val="center"/>
              <w:ind w:right="152"/>
              <w:spacing w:after="0"/>
              <w:rPr>
                <w:sz w:val="20"/>
                <w:szCs w:val="20"/>
                <w:color w:val="auto"/>
              </w:rPr>
            </w:pPr>
            <w:r>
              <w:rPr>
                <w:rFonts w:ascii="Arial" w:cs="Arial" w:eastAsia="Arial" w:hAnsi="Arial"/>
                <w:sz w:val="14"/>
                <w:szCs w:val="14"/>
                <w:b w:val="1"/>
                <w:bCs w:val="1"/>
                <w:color w:val="auto"/>
                <w:w w:val="90"/>
              </w:rPr>
              <w:t>Loop Capital Markets</w:t>
            </w:r>
          </w:p>
        </w:tc>
        <w:tc>
          <w:tcPr>
            <w:tcW w:w="1140" w:type="dxa"/>
            <w:vAlign w:val="bottom"/>
          </w:tcPr>
          <w:p>
            <w:pPr>
              <w:spacing w:after="0"/>
              <w:rPr>
                <w:sz w:val="15"/>
                <w:szCs w:val="15"/>
                <w:color w:val="auto"/>
              </w:rPr>
            </w:pPr>
          </w:p>
        </w:tc>
        <w:tc>
          <w:tcPr>
            <w:tcW w:w="34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0"/>
              </w:rPr>
              <w:t>Mischler Financial Group, Inc.</w:t>
            </w:r>
          </w:p>
        </w:tc>
        <w:tc>
          <w:tcPr>
            <w:tcW w:w="2700" w:type="dxa"/>
            <w:vAlign w:val="bottom"/>
          </w:tcPr>
          <w:p>
            <w:pPr>
              <w:jc w:val="center"/>
              <w:ind w:left="552"/>
              <w:spacing w:after="0"/>
              <w:rPr>
                <w:sz w:val="20"/>
                <w:szCs w:val="20"/>
                <w:color w:val="auto"/>
              </w:rPr>
            </w:pPr>
            <w:r>
              <w:rPr>
                <w:rFonts w:ascii="Arial" w:cs="Arial" w:eastAsia="Arial" w:hAnsi="Arial"/>
                <w:sz w:val="14"/>
                <w:szCs w:val="14"/>
                <w:b w:val="1"/>
                <w:bCs w:val="1"/>
                <w:color w:val="auto"/>
                <w:w w:val="88"/>
              </w:rPr>
              <w:t>Ramirez and Co., Inc.</w:t>
            </w:r>
          </w:p>
        </w:tc>
      </w:tr>
      <w:tr>
        <w:trPr>
          <w:trHeight w:val="284"/>
        </w:trPr>
        <w:tc>
          <w:tcPr>
            <w:tcW w:w="2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451"/>
        </w:trPr>
        <w:tc>
          <w:tcPr>
            <w:tcW w:w="2640" w:type="dxa"/>
            <w:vAlign w:val="bottom"/>
          </w:tcPr>
          <w:p>
            <w:pPr>
              <w:spacing w:after="0"/>
              <w:rPr>
                <w:sz w:val="24"/>
                <w:szCs w:val="24"/>
                <w:color w:val="auto"/>
              </w:rPr>
            </w:pPr>
          </w:p>
        </w:tc>
        <w:tc>
          <w:tcPr>
            <w:tcW w:w="4540" w:type="dxa"/>
            <w:vAlign w:val="bottom"/>
            <w:gridSpan w:val="3"/>
          </w:tcPr>
          <w:p>
            <w:pPr>
              <w:jc w:val="center"/>
              <w:ind w:left="32"/>
              <w:spacing w:after="0"/>
              <w:rPr>
                <w:sz w:val="20"/>
                <w:szCs w:val="20"/>
                <w:color w:val="auto"/>
              </w:rPr>
            </w:pPr>
            <w:r>
              <w:rPr>
                <w:rFonts w:ascii="Arial" w:cs="Arial" w:eastAsia="Arial" w:hAnsi="Arial"/>
                <w:sz w:val="18"/>
                <w:szCs w:val="18"/>
                <w:b w:val="1"/>
                <w:bCs w:val="1"/>
                <w:color w:val="auto"/>
                <w:w w:val="86"/>
              </w:rPr>
              <w:t>The date of this prospectus supplement is March 22, 2016.</w:t>
            </w:r>
          </w:p>
        </w:tc>
        <w:tc>
          <w:tcPr>
            <w:tcW w:w="2700" w:type="dxa"/>
            <w:vAlign w:val="bottom"/>
          </w:tcPr>
          <w:p>
            <w:pPr>
              <w:spacing w:after="0"/>
              <w:rPr>
                <w:sz w:val="24"/>
                <w:szCs w:val="24"/>
                <w:color w:val="auto"/>
              </w:rPr>
            </w:pPr>
          </w:p>
        </w:tc>
      </w:tr>
    </w:tbl>
    <w:p>
      <w:pPr>
        <w:sectPr>
          <w:pgSz w:w="11900" w:h="16838" w:orient="portrait"/>
          <w:cols w:equalWidth="0" w:num="1">
            <w:col w:w="9880"/>
          </w:cols>
          <w:pgMar w:left="980" w:top="131" w:right="10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 Supplement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40" w:type="dxa"/>
            <w:vAlign w:val="bottom"/>
            <w:gridSpan w:val="17"/>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Where You Can Find More Information</w:t>
              </w:r>
            </w:hyperlink>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10940" w:type="dxa"/>
            <w:vAlign w:val="bottom"/>
            <w:gridSpan w:val="17"/>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3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Prospectus Supplement Summary</w:t>
              </w:r>
            </w:hyperlink>
          </w:p>
        </w:tc>
        <w:tc>
          <w:tcPr>
            <w:tcW w:w="420" w:type="dxa"/>
            <w:vAlign w:val="bottom"/>
            <w:tcBorders>
              <w:top w:val="single" w:sz="8" w:color="0000EE"/>
            </w:tcBorders>
          </w:tcPr>
          <w:p>
            <w:pPr>
              <w:spacing w:after="0"/>
              <w:rPr>
                <w:sz w:val="18"/>
                <w:szCs w:val="18"/>
                <w:color w:val="auto"/>
              </w:rPr>
            </w:pPr>
          </w:p>
        </w:tc>
        <w:tc>
          <w:tcPr>
            <w:tcW w:w="8140" w:type="dxa"/>
            <w:vAlign w:val="bottom"/>
            <w:gridSpan w:val="5"/>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10940" w:type="dxa"/>
            <w:vAlign w:val="bottom"/>
            <w:gridSpan w:val="17"/>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17"/>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Ratios of Earnings to Fixed Charges and of Earnings to Combined Fixed Charges and Preferred Dividends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Description of the Notes</w:t>
              </w:r>
            </w:hyperlink>
          </w:p>
        </w:tc>
        <w:tc>
          <w:tcPr>
            <w:tcW w:w="346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Material U.S. Federal Income Tax Consequences for Non-U.S. Holders</w:t>
              </w:r>
            </w:hyperlink>
          </w:p>
        </w:tc>
        <w:tc>
          <w:tcPr>
            <w:tcW w:w="5920" w:type="dxa"/>
            <w:vAlign w:val="bottom"/>
            <w:gridSpan w:val="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S-12</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21">
              <w:r>
                <w:rPr>
                  <w:rFonts w:ascii="Arial" w:cs="Arial" w:eastAsia="Arial" w:hAnsi="Arial"/>
                  <w:sz w:val="18"/>
                  <w:szCs w:val="18"/>
                  <w:color w:val="0000EE"/>
                  <w:w w:val="93"/>
                </w:rPr>
                <w:t>Underwriting</w:t>
              </w:r>
            </w:hyperlink>
          </w:p>
        </w:tc>
        <w:tc>
          <w:tcPr>
            <w:tcW w:w="9980" w:type="dxa"/>
            <w:vAlign w:val="bottom"/>
            <w:gridSpan w:val="15"/>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S-16</w:t>
            </w:r>
          </w:p>
        </w:tc>
        <w:tc>
          <w:tcPr>
            <w:tcW w:w="0" w:type="dxa"/>
            <w:vAlign w:val="bottom"/>
          </w:tcPr>
          <w:p>
            <w:pPr>
              <w:spacing w:after="0"/>
              <w:rPr>
                <w:sz w:val="1"/>
                <w:szCs w:val="1"/>
                <w:color w:val="auto"/>
              </w:rPr>
            </w:pPr>
          </w:p>
        </w:tc>
      </w:tr>
      <w:tr>
        <w:trPr>
          <w:trHeight w:val="196"/>
        </w:trPr>
        <w:tc>
          <w:tcPr>
            <w:tcW w:w="10940" w:type="dxa"/>
            <w:vAlign w:val="bottom"/>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Legal Matters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S-21</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Experts</w:t>
              </w:r>
            </w:hyperlink>
          </w:p>
        </w:tc>
        <w:tc>
          <w:tcPr>
            <w:tcW w:w="9960" w:type="dxa"/>
            <w:vAlign w:val="bottom"/>
            <w:gridSpan w:val="14"/>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S-21</w:t>
            </w:r>
          </w:p>
        </w:tc>
        <w:tc>
          <w:tcPr>
            <w:tcW w:w="0" w:type="dxa"/>
            <w:vAlign w:val="bottom"/>
          </w:tcPr>
          <w:p>
            <w:pPr>
              <w:spacing w:after="0"/>
              <w:rPr>
                <w:sz w:val="1"/>
                <w:szCs w:val="1"/>
                <w:color w:val="auto"/>
              </w:rPr>
            </w:pPr>
          </w:p>
        </w:tc>
      </w:tr>
      <w:tr>
        <w:trPr>
          <w:trHeight w:val="451"/>
        </w:trPr>
        <w:tc>
          <w:tcPr>
            <w:tcW w:w="5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920" w:type="dxa"/>
            <w:vAlign w:val="bottom"/>
            <w:gridSpan w:val="2"/>
          </w:tcPr>
          <w:p>
            <w:pPr>
              <w:ind w:left="240"/>
              <w:spacing w:after="0"/>
              <w:rPr>
                <w:sz w:val="20"/>
                <w:szCs w:val="20"/>
                <w:color w:val="auto"/>
              </w:rPr>
            </w:pPr>
            <w:r>
              <w:rPr>
                <w:rFonts w:ascii="Arial" w:cs="Arial" w:eastAsia="Arial" w:hAnsi="Arial"/>
                <w:sz w:val="18"/>
                <w:szCs w:val="18"/>
                <w:b w:val="1"/>
                <w:bCs w:val="1"/>
                <w:color w:val="auto"/>
              </w:rPr>
              <w:t>Prospectus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4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29">
              <w:r>
                <w:rPr>
                  <w:rFonts w:ascii="Arial" w:cs="Arial" w:eastAsia="Arial" w:hAnsi="Arial"/>
                  <w:sz w:val="18"/>
                  <w:szCs w:val="18"/>
                  <w:color w:val="0000EE"/>
                  <w:w w:val="86"/>
                </w:rPr>
                <w:t>The Companies</w:t>
              </w:r>
            </w:hyperlink>
          </w:p>
        </w:tc>
        <w:tc>
          <w:tcPr>
            <w:tcW w:w="980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Caution Concerning Forward-Looking Statements</w:t>
              </w:r>
            </w:hyperlink>
          </w:p>
        </w:tc>
        <w:tc>
          <w:tcPr>
            <w:tcW w:w="740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1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Use of Proceeds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Dividend Policy</w:t>
              </w:r>
            </w:hyperlink>
          </w:p>
        </w:tc>
        <w:tc>
          <w:tcPr>
            <w:tcW w:w="978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1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Ratios of Earnings to Fixed Charges and of Earnings to Combined Fixed Charges and Preferred Dividends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Description of Debt Securities and Guarantees</w:t>
              </w:r>
            </w:hyperlink>
          </w:p>
        </w:tc>
        <w:tc>
          <w:tcPr>
            <w:tcW w:w="34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Global Securities</w:t>
              </w:r>
            </w:hyperlink>
          </w:p>
        </w:tc>
        <w:tc>
          <w:tcPr>
            <w:tcW w:w="768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Description of Capital Stock</w:t>
              </w:r>
            </w:hyperlink>
          </w:p>
        </w:tc>
        <w:tc>
          <w:tcPr>
            <w:tcW w:w="892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1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Plan of Distribution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Legal Matters</w:t>
              </w:r>
            </w:hyperlink>
          </w:p>
        </w:tc>
        <w:tc>
          <w:tcPr>
            <w:tcW w:w="954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Experts</w:t>
              </w:r>
            </w:hyperlink>
          </w:p>
        </w:tc>
        <w:tc>
          <w:tcPr>
            <w:tcW w:w="9960" w:type="dxa"/>
            <w:vAlign w:val="bottom"/>
            <w:gridSpan w:val="1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17"/>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Available Information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Incorporation of Certain Documents by Reference</w:t>
              </w:r>
            </w:hyperlink>
          </w:p>
        </w:tc>
        <w:tc>
          <w:tcPr>
            <w:tcW w:w="740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have not, and the underwriters have not, authorized anyone to provide any information other than that contained or incorporated by reference in this prospectus supplement and the accompanying prospectus or the free writing prospectus prepared by or on behalf of us or to which we have referred you. We and the underwriters take no responsibility for, and can provide no assurance as to the reliability of, any other information that others may give you. We are not, and the underwriters are not, making an offer to sell these securities in any jurisdiction where the offer or sale is not permitted. You should assume that the information appearing in this prospectus supplement, the accompanying prospectus, any related free writing prospectus and the documents incorporated by reference herein or therein is accurate only as of their respective dates. Our business, financial condition, results of operations and prospects may have changed since those dates.</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 and the accompanying prospectus.</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This prospectus supplement incorporates by reference the documents of Comcast and NBCUniversal Media, LLC (“NBCUniversal”) set forth below that we or NBCUniversal have previously filed with the SEC:</w:t>
      </w:r>
    </w:p>
    <w:p>
      <w:pPr>
        <w:spacing w:after="0" w:line="5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Comcast’s and NBCUniversal’s combined Annual Report on Form 10-K for the year ended December 31, 2015, filed on February 5, 2016.</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Comcast’s Current Reports on Form 8-K filed on February 17, 2016 and February 23, 2016.</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and NBCUniversal also incorporate by reference into this prospectus supplement and the accompanying prospectus additional documents that we or NBCUniversal may file with the SEC under Sections 13(a), 13(c), 14 or 15(d) of the Securities Exchange Act of 1934, as amended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903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62903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PROSPECTUS SUPPLEMENT SUMMARY</w:t>
      </w:r>
    </w:p>
    <w:p>
      <w:pPr>
        <w:spacing w:after="0" w:line="17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Companies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were incorporated under the laws of Pennsylvania in 2001. Through our predecessors, we have developed, managed and operated cable systems since 1963. In 2011, we acquired control of the businesses of NBCUniversal from General Electric Company, and in 2013, we acquired the remaining 49% common equity interest in NBCUniversal, LLC that we did not already own.</w:t>
      </w:r>
    </w:p>
    <w:p>
      <w:pPr>
        <w:spacing w:after="0" w:line="143" w:lineRule="exact"/>
        <w:rPr>
          <w:sz w:val="20"/>
          <w:szCs w:val="20"/>
          <w:color w:val="auto"/>
        </w:rPr>
      </w:pPr>
    </w:p>
    <w:p>
      <w:pPr>
        <w:ind w:left="200" w:right="520" w:firstLine="443"/>
        <w:spacing w:after="0" w:line="268" w:lineRule="auto"/>
        <w:rPr>
          <w:sz w:val="20"/>
          <w:szCs w:val="20"/>
          <w:color w:val="auto"/>
        </w:rPr>
      </w:pPr>
      <w:r>
        <w:rPr>
          <w:rFonts w:ascii="Arial" w:cs="Arial" w:eastAsia="Arial" w:hAnsi="Arial"/>
          <w:sz w:val="18"/>
          <w:szCs w:val="18"/>
          <w:color w:val="auto"/>
        </w:rPr>
        <w:t>We present our operations for Comcast Cable in one reportable business segment, referred to as Cable Communications, and our operations for NBCUniversal in four reportable business segments.</w:t>
      </w:r>
    </w:p>
    <w:p>
      <w:pPr>
        <w:spacing w:after="0" w:line="45" w:lineRule="exact"/>
        <w:rPr>
          <w:sz w:val="20"/>
          <w:szCs w:val="20"/>
          <w:color w:val="auto"/>
        </w:rPr>
      </w:pPr>
    </w:p>
    <w:p>
      <w:pPr>
        <w:ind w:left="1060" w:right="440" w:hanging="323"/>
        <w:spacing w:after="0" w:line="262"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video, high-speed</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and voice services to residential customers under the XFINITY brand, and we also provide these and other services to business customers and sell advertising.</w:t>
      </w:r>
    </w:p>
    <w:p>
      <w:pPr>
        <w:spacing w:after="0" w:line="51" w:lineRule="exact"/>
        <w:rPr>
          <w:rFonts w:ascii="Arial" w:cs="Arial" w:eastAsia="Arial" w:hAnsi="Arial"/>
          <w:sz w:val="18"/>
          <w:szCs w:val="18"/>
          <w:color w:val="auto"/>
        </w:rPr>
      </w:pPr>
    </w:p>
    <w:p>
      <w:pPr>
        <w:ind w:left="1060" w:right="160" w:hanging="323"/>
        <w:spacing w:after="0" w:line="275"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 cable networks,</w:t>
      </w:r>
      <w:r>
        <w:rPr>
          <w:rFonts w:ascii="Arial" w:cs="Arial" w:eastAsia="Arial" w:hAnsi="Arial"/>
          <w:sz w:val="18"/>
          <w:szCs w:val="18"/>
          <w:b w:val="1"/>
          <w:bCs w:val="1"/>
          <w:color w:val="auto"/>
        </w:rPr>
        <w:t xml:space="preserve"> </w:t>
      </w:r>
      <w:r>
        <w:rPr>
          <w:rFonts w:ascii="Arial" w:cs="Arial" w:eastAsia="Arial" w:hAnsi="Arial"/>
          <w:sz w:val="18"/>
          <w:szCs w:val="18"/>
          <w:color w:val="auto"/>
        </w:rPr>
        <w:t>and our cable television production operations.</w:t>
      </w:r>
    </w:p>
    <w:p>
      <w:pPr>
        <w:spacing w:after="0" w:line="38" w:lineRule="exact"/>
        <w:rPr>
          <w:rFonts w:ascii="Arial" w:cs="Arial" w:eastAsia="Arial" w:hAnsi="Arial"/>
          <w:sz w:val="18"/>
          <w:szCs w:val="18"/>
          <w:color w:val="auto"/>
        </w:rPr>
      </w:pPr>
    </w:p>
    <w:p>
      <w:pPr>
        <w:ind w:left="1060" w:right="620" w:hanging="323"/>
        <w:spacing w:after="0" w:line="275"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the NBC and Telemundo broadcast networks, our 10 NBC and 17 Telemundo owned local</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 television stations, and our broadcast television studio production operations.</w:t>
      </w:r>
    </w:p>
    <w:p>
      <w:pPr>
        <w:spacing w:after="0" w:line="38" w:lineRule="exact"/>
        <w:rPr>
          <w:rFonts w:ascii="Arial" w:cs="Arial" w:eastAsia="Arial" w:hAnsi="Arial"/>
          <w:sz w:val="18"/>
          <w:szCs w:val="18"/>
          <w:color w:val="auto"/>
        </w:rPr>
      </w:pPr>
    </w:p>
    <w:p>
      <w:pPr>
        <w:ind w:left="1060" w:right="240" w:hanging="323"/>
        <w:spacing w:after="0" w:line="275"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primarily of the operations of Universal Pictures, which produces, acquires, markets and distributes filmed</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worldwide.</w:t>
      </w:r>
    </w:p>
    <w:p>
      <w:pPr>
        <w:spacing w:after="0" w:line="38" w:lineRule="exact"/>
        <w:rPr>
          <w:rFonts w:ascii="Arial" w:cs="Arial" w:eastAsia="Arial" w:hAnsi="Arial"/>
          <w:sz w:val="18"/>
          <w:szCs w:val="18"/>
          <w:color w:val="auto"/>
        </w:rPr>
      </w:pPr>
    </w:p>
    <w:p>
      <w:pPr>
        <w:ind w:left="1060" w:right="860" w:hanging="323"/>
        <w:spacing w:after="0" w:line="339"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Theme Parks: </w:t>
      </w:r>
      <w:r>
        <w:rPr>
          <w:rFonts w:ascii="Arial" w:cs="Arial" w:eastAsia="Arial" w:hAnsi="Arial"/>
          <w:sz w:val="16"/>
          <w:szCs w:val="16"/>
          <w:color w:val="auto"/>
        </w:rPr>
        <w:t>Consists primarily of our Universal theme parks in Orlando, Florida and Hollywood, California. In November 2015,</w:t>
      </w:r>
      <w:r>
        <w:rPr>
          <w:rFonts w:ascii="Arial" w:cs="Arial" w:eastAsia="Arial" w:hAnsi="Arial"/>
          <w:sz w:val="16"/>
          <w:szCs w:val="16"/>
          <w:b w:val="1"/>
          <w:bCs w:val="1"/>
          <w:color w:val="auto"/>
        </w:rPr>
        <w:t xml:space="preserve"> </w:t>
      </w:r>
      <w:r>
        <w:rPr>
          <w:rFonts w:ascii="Arial" w:cs="Arial" w:eastAsia="Arial" w:hAnsi="Arial"/>
          <w:sz w:val="16"/>
          <w:szCs w:val="16"/>
          <w:color w:val="auto"/>
        </w:rPr>
        <w:t>NBCUniversal acquired a 51% interest in the Universal Studios theme park located in Osaka, Japan.</w:t>
      </w:r>
    </w:p>
    <w:p>
      <w:pPr>
        <w:spacing w:after="0" w:line="80" w:lineRule="exact"/>
        <w:rPr>
          <w:sz w:val="20"/>
          <w:szCs w:val="20"/>
          <w:color w:val="auto"/>
        </w:rPr>
      </w:pPr>
    </w:p>
    <w:p>
      <w:pPr>
        <w:ind w:left="200" w:right="580" w:firstLine="443"/>
        <w:spacing w:after="0" w:line="268" w:lineRule="auto"/>
        <w:rPr>
          <w:sz w:val="20"/>
          <w:szCs w:val="20"/>
          <w:color w:val="auto"/>
        </w:rPr>
      </w:pPr>
      <w:r>
        <w:rPr>
          <w:rFonts w:ascii="Arial" w:cs="Arial" w:eastAsia="Arial" w:hAnsi="Arial"/>
          <w:sz w:val="18"/>
          <w:szCs w:val="18"/>
          <w:color w:val="auto"/>
        </w:rPr>
        <w:t>The Cable Networks, Broadcast Television, Filmed Entertainment and Theme Parks segments comprise the NBCUniversal businesses and are collectively referred to as the “NBCUniversal segments.”</w:t>
      </w:r>
    </w:p>
    <w:p>
      <w:pPr>
        <w:spacing w:after="0" w:line="132" w:lineRule="exact"/>
        <w:rPr>
          <w:sz w:val="20"/>
          <w:szCs w:val="20"/>
          <w:color w:val="auto"/>
        </w:rPr>
      </w:pPr>
    </w:p>
    <w:p>
      <w:pPr>
        <w:ind w:left="200" w:right="820" w:firstLine="443"/>
        <w:spacing w:after="0" w:line="268" w:lineRule="auto"/>
        <w:rPr>
          <w:sz w:val="20"/>
          <w:szCs w:val="20"/>
          <w:color w:val="auto"/>
        </w:rPr>
      </w:pPr>
      <w:r>
        <w:rPr>
          <w:rFonts w:ascii="Arial" w:cs="Arial" w:eastAsia="Arial" w:hAnsi="Arial"/>
          <w:sz w:val="18"/>
          <w:szCs w:val="18"/>
          <w:color w:val="auto"/>
        </w:rPr>
        <w:t>Our other business interests primarily include Comcast Spectacor, which owns the Philadelphia Flyers and the Wells Fargo Center arena in Philadelphia, Pennsylvania and operates arena management-related businesses.</w:t>
      </w:r>
    </w:p>
    <w:p>
      <w:pPr>
        <w:spacing w:after="0" w:line="132" w:lineRule="exact"/>
        <w:rPr>
          <w:sz w:val="20"/>
          <w:szCs w:val="20"/>
          <w:color w:val="auto"/>
        </w:rPr>
      </w:pPr>
    </w:p>
    <w:p>
      <w:pPr>
        <w:ind w:left="200" w:right="200" w:firstLine="443"/>
        <w:spacing w:after="0" w:line="306"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us, see our filings with the Securities and Exchange Commission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Comcast’s principal executive offices are located at One Comcast Center, Philadelphia, Pennsylvania 19103-2838. Comcast’s telephone number is</w:t>
      </w:r>
    </w:p>
    <w:p>
      <w:pPr>
        <w:spacing w:after="0" w:line="38" w:lineRule="exact"/>
        <w:rPr>
          <w:sz w:val="20"/>
          <w:szCs w:val="20"/>
          <w:color w:val="auto"/>
        </w:rPr>
      </w:pPr>
    </w:p>
    <w:p>
      <w:pPr>
        <w:ind w:left="200" w:right="400" w:hanging="3"/>
        <w:spacing w:after="0" w:line="261"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286-1700. The address of our website is www.comcastcorporation.com. The information on, or accessible through, our website is not part of this prospectus supplement or the accompanying prospectus.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Guarantors</w:t>
      </w:r>
    </w:p>
    <w:p>
      <w:pPr>
        <w:spacing w:after="0" w:line="96" w:lineRule="exact"/>
        <w:rPr>
          <w:sz w:val="20"/>
          <w:szCs w:val="20"/>
          <w:color w:val="auto"/>
        </w:rPr>
      </w:pPr>
    </w:p>
    <w:p>
      <w:pPr>
        <w:jc w:val="both"/>
        <w:ind w:left="200" w:right="20" w:firstLine="443"/>
        <w:spacing w:after="0" w:line="259" w:lineRule="auto"/>
        <w:rPr>
          <w:sz w:val="20"/>
          <w:szCs w:val="20"/>
          <w:color w:val="auto"/>
        </w:rPr>
      </w:pPr>
      <w:r>
        <w:rPr>
          <w:rFonts w:ascii="Arial" w:cs="Arial" w:eastAsia="Arial" w:hAnsi="Arial"/>
          <w:sz w:val="18"/>
          <w:szCs w:val="18"/>
          <w:color w:val="auto"/>
        </w:rPr>
        <w:t>Our obligations, including the payment of principal, premium, if any, and interest on the notes will be fully and unconditionally guaranteed by each of Comcast Cable Communications, LLC (“Comcast Cable Communications”) and NBCUniversal. In this prospectus supplement, we refer to these guarantors as the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796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179641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line="268" w:lineRule="auto"/>
        <w:rPr>
          <w:sz w:val="20"/>
          <w:szCs w:val="20"/>
          <w:color w:val="auto"/>
        </w:rPr>
      </w:pPr>
      <w:r>
        <w:rPr>
          <w:rFonts w:ascii="Arial" w:cs="Arial" w:eastAsia="Arial" w:hAnsi="Arial"/>
          <w:sz w:val="18"/>
          <w:szCs w:val="18"/>
          <w:color w:val="auto"/>
        </w:rPr>
        <w:t>guarantors and to these guarantees as the guarantees. Effective October 1, 2015, three former guarantors, Comcast Cable Holdings, LLC, Comcast MO of Delaware, LLC and Comcast MO Group, LLC, merged with and into Comcast Cable Communications.</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1060" w:right="20" w:hanging="323"/>
        <w:spacing w:after="0" w:line="268"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94" w:lineRule="exact"/>
        <w:rPr>
          <w:sz w:val="20"/>
          <w:szCs w:val="20"/>
          <w:color w:val="auto"/>
        </w:rPr>
      </w:pPr>
    </w:p>
    <w:p>
      <w:pPr>
        <w:ind w:left="200" w:right="280" w:firstLine="443"/>
        <w:spacing w:after="0" w:line="268" w:lineRule="auto"/>
        <w:rPr>
          <w:sz w:val="20"/>
          <w:szCs w:val="20"/>
          <w:color w:val="auto"/>
        </w:rPr>
      </w:pPr>
      <w:r>
        <w:rPr>
          <w:rFonts w:ascii="Arial" w:cs="Arial" w:eastAsia="Arial" w:hAnsi="Arial"/>
          <w:sz w:val="18"/>
          <w:szCs w:val="18"/>
          <w:color w:val="auto"/>
        </w:rPr>
        <w:t>Comcast Cable Communications’ principal place of business is One Comcast Center, Philadelphia, Pennsylvania 19103-2838. NBCUniversal’s principal executive offices are located at 30 Rockefeller Plaza, New York, NY 10112-0015.</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000"/>
          </w:cols>
          <w:pgMar w:left="24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845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60845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220"/>
          </w:cols>
          <w:pgMar w:left="240" w:top="459" w:right="439" w:bottom="1440" w:gutter="0" w:footer="0" w:header="0"/>
        </w:sect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Comcast Corporation.</w:t>
      </w:r>
    </w:p>
    <w:p>
      <w:pPr>
        <w:spacing w:after="0" w:line="200"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spacing w:after="0" w:line="6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Securities Offered</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$350,000,000 aggregate principal amount of 2.75% Notes due 2023.</w:t>
      </w:r>
    </w:p>
    <w:p>
      <w:pPr>
        <w:spacing w:after="0" w:line="200"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spacing w:after="0" w:line="6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$700,000,000 aggregate principal amount of 3.15% Notes due 2026.</w:t>
      </w:r>
    </w:p>
    <w:p>
      <w:pPr>
        <w:spacing w:after="0" w:line="212" w:lineRule="exact"/>
        <w:rPr>
          <w:sz w:val="20"/>
          <w:szCs w:val="20"/>
          <w:color w:val="auto"/>
        </w:rPr>
      </w:pPr>
    </w:p>
    <w:p>
      <w:pPr>
        <w:ind w:left="4400"/>
        <w:spacing w:after="0" w:line="291" w:lineRule="auto"/>
        <w:rPr>
          <w:sz w:val="20"/>
          <w:szCs w:val="20"/>
          <w:color w:val="auto"/>
        </w:rPr>
      </w:pPr>
      <w:r>
        <w:rPr>
          <w:rFonts w:ascii="Arial" w:cs="Arial" w:eastAsia="Arial" w:hAnsi="Arial"/>
          <w:sz w:val="16"/>
          <w:szCs w:val="16"/>
          <w:color w:val="auto"/>
        </w:rPr>
        <w:t>Each of the Notes due 2023 and the Notes due 2026 will be a further issuance of, and will form a single series with, the $750 million aggregate principal amount of 2.75% Notes due 2023 and the $1.50 billion aggregate principal amount of 3.15% Notes due 2026, respectively, each issued on February 23, 2016. Upon completion of this offering, we will have $1.10 billion aggregate principal amount of outstanding 2.75% Notes due 2023 and $2.20 billion aggregate principal amount of outstanding 3.15% Notes due 2026.</w:t>
      </w:r>
    </w:p>
    <w:p>
      <w:pPr>
        <w:sectPr>
          <w:pgSz w:w="11900" w:h="16838" w:orient="portrait"/>
          <w:cols w:equalWidth="0" w:num="1">
            <w:col w:w="11220"/>
          </w:cols>
          <w:pgMar w:left="240" w:top="459" w:right="439" w:bottom="1440" w:gutter="0" w:footer="0" w:header="0"/>
          <w:type w:val="continuous"/>
        </w:sectPr>
      </w:pPr>
    </w:p>
    <w:p>
      <w:pPr>
        <w:spacing w:after="0" w:line="16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Maturity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The Notes due 2023 will mature on March 1, 2023.</w:t>
      </w:r>
    </w:p>
    <w:p>
      <w:pPr>
        <w:spacing w:after="0" w:line="200"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spacing w:after="0" w:line="48"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The Notes due 2026 will mature on March 1, 2026.</w:t>
      </w:r>
    </w:p>
    <w:p>
      <w:pPr>
        <w:sectPr>
          <w:pgSz w:w="11900" w:h="16838" w:orient="portrait"/>
          <w:cols w:equalWidth="0" w:num="1">
            <w:col w:w="11220"/>
          </w:cols>
          <w:pgMar w:left="240" w:top="459" w:right="439" w:bottom="1440" w:gutter="0" w:footer="0" w:header="0"/>
          <w:type w:val="continuous"/>
        </w:sectPr>
      </w:pPr>
    </w:p>
    <w:p>
      <w:pPr>
        <w:spacing w:after="0" w:line="2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Interest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Interest on the Notes due 2023 will accrue at the rate of 2.75% per year, payable semiannually in cash in arrears on March 1 and September 1, beginning September 1, 2016 (interest will accrue from February 23, 2016). Interest on the Notes due 2026 will accrue at the rate of 3.15% per year, payable semiannually in cash in arrears on March 1 and September 1, beginning September 1, 2016 (interest will accrue from February 23, 2016).</w:t>
      </w:r>
    </w:p>
    <w:p>
      <w:pPr>
        <w:spacing w:after="0" w:line="156"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jc w:val="both"/>
        <w:ind w:right="40"/>
        <w:spacing w:after="0" w:line="259" w:lineRule="auto"/>
        <w:rPr>
          <w:sz w:val="20"/>
          <w:szCs w:val="20"/>
          <w:color w:val="auto"/>
        </w:rPr>
      </w:pPr>
      <w:r>
        <w:rPr>
          <w:rFonts w:ascii="Arial" w:cs="Arial" w:eastAsia="Arial" w:hAnsi="Arial"/>
          <w:sz w:val="18"/>
          <w:szCs w:val="18"/>
          <w:color w:val="auto"/>
        </w:rPr>
        <w:t>The notes will be unsecured and will rank equally with all of our and the guarantors’ unsecured and unsubordinated indebtedness (including the outstanding notes of the applicable series issued on February 23, 2016).</w:t>
      </w:r>
    </w:p>
    <w:p>
      <w:pPr>
        <w:spacing w:after="0" w:line="181"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Guarantors</w:t>
      </w:r>
    </w:p>
    <w:p>
      <w:pPr>
        <w:spacing w:after="0" w:line="20" w:lineRule="exact"/>
        <w:rPr>
          <w:sz w:val="20"/>
          <w:szCs w:val="20"/>
          <w:color w:val="auto"/>
        </w:rPr>
      </w:pPr>
      <w:r>
        <w:rPr>
          <w:sz w:val="20"/>
          <w:szCs w:val="20"/>
          <w:color w:val="auto"/>
        </w:rPr>
        <w:br w:type="column"/>
      </w:r>
    </w:p>
    <w:p>
      <w:pPr>
        <w:jc w:val="center"/>
        <w:ind w:right="3080"/>
        <w:spacing w:after="0"/>
        <w:rPr>
          <w:sz w:val="20"/>
          <w:szCs w:val="20"/>
          <w:color w:val="auto"/>
        </w:rPr>
      </w:pPr>
      <w:r>
        <w:rPr>
          <w:rFonts w:ascii="Arial" w:cs="Arial" w:eastAsia="Arial" w:hAnsi="Arial"/>
          <w:sz w:val="16"/>
          <w:szCs w:val="16"/>
          <w:color w:val="auto"/>
        </w:rPr>
        <w:t>Comcast Cable Communications and NBCUniversal.</w:t>
      </w:r>
    </w:p>
    <w:p>
      <w:pPr>
        <w:spacing w:after="0" w:line="200"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spacing w:after="0" w:line="4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Guarantees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guarantors will fully and unconditionally guarantee the notes, including the payment of principal, premium, if any, and interest. The guarantees will rank equally with all other general unsecured and unsubordinated obligations of the guarantors.</w:t>
      </w:r>
    </w:p>
    <w:p>
      <w:pPr>
        <w:spacing w:after="0" w:line="147"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We may, at our option, redeem any series of notes, in whole or in part, at any time at the applicable Redemption Price determined as set forth under the heading “Description of the Notes —Optional Redemption.”</w:t>
      </w:r>
    </w:p>
    <w:p>
      <w:pPr>
        <w:spacing w:after="0" w:line="181"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140"/>
        <w:spacing w:after="0" w:line="259" w:lineRule="auto"/>
        <w:rPr>
          <w:sz w:val="20"/>
          <w:szCs w:val="20"/>
          <w:color w:val="auto"/>
        </w:rPr>
      </w:pPr>
      <w:r>
        <w:rPr>
          <w:rFonts w:ascii="Arial" w:cs="Arial" w:eastAsia="Arial" w:hAnsi="Arial"/>
          <w:sz w:val="18"/>
          <w:szCs w:val="18"/>
          <w:color w:val="auto"/>
        </w:rPr>
        <w:t>We intend to use the net proceeds from the offering, after deducting underwriters’ discount and expenses, for working capital and general corporate purposes. See “Use of Proceeds” in this prospectus supplement.</w:t>
      </w:r>
    </w:p>
    <w:p>
      <w:pPr>
        <w:spacing w:after="0" w:line="200"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spacing w:after="0" w:line="200" w:lineRule="exact"/>
        <w:rPr>
          <w:sz w:val="20"/>
          <w:szCs w:val="20"/>
          <w:color w:val="auto"/>
        </w:rPr>
      </w:pPr>
    </w:p>
    <w:p>
      <w:pPr>
        <w:spacing w:after="0" w:line="388"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S-3</w:t>
      </w:r>
    </w:p>
    <w:p>
      <w:pPr>
        <w:sectPr>
          <w:pgSz w:w="11900" w:h="16838" w:orient="portrait"/>
          <w:cols w:equalWidth="0" w:num="1">
            <w:col w:w="11220"/>
          </w:cols>
          <w:pgMar w:left="240" w:top="459" w:right="439" w:bottom="1440" w:gutter="0" w:footer="0" w:header="0"/>
          <w:type w:val="continuous"/>
        </w:sectPr>
      </w:pPr>
    </w:p>
    <w:bookmarkStart w:id="8" w:name="page9"/>
    <w:bookmarkEnd w:id="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1350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135064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Book-Entry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notes will be issued in book-entry form and will be represented by global notes deposited with, or on behalf of, DTC and registered in the name of DTC or its nominees. Beneficial interests in any of the notes will be shown on, and transfers will be effected only through, records maintained by DTC or its nominee or indirectly through organizations that have accounts with DTC, including Euroclear and Clearstream, and these beneficial interests may not be exchanged for certificated notes, except in limited circumstances. See “Description of the Notes—Book-Entry System” in this prospectus supplement.</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S-4</w:t>
      </w:r>
    </w:p>
    <w:p>
      <w:pPr>
        <w:sectPr>
          <w:pgSz w:w="11900" w:h="16838" w:orient="portrait"/>
          <w:cols w:equalWidth="0" w:num="1">
            <w:col w:w="11240"/>
          </w:cols>
          <w:pgMar w:left="240" w:top="459" w:right="41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intend to use the net proceeds from the offering, after deducting underwriters’ discount and expenses, for working capital and general corporate purposes.</w:t>
      </w:r>
    </w:p>
    <w:p>
      <w:pPr>
        <w:spacing w:after="0" w:line="11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820"/>
          </w:cols>
          <w:pgMar w:left="240" w:top="459" w:right="8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FIXED CHARGES AND PREFERRED DIVIDENDS</w:t>
      </w:r>
    </w:p>
    <w:p>
      <w:pPr>
        <w:spacing w:after="0" w:line="16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740" w:type="dxa"/>
            <w:vAlign w:val="bottom"/>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13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74"/>
        </w:trPr>
        <w:tc>
          <w:tcPr>
            <w:tcW w:w="2440" w:type="dxa"/>
            <w:vAlign w:val="bottom"/>
            <w:tcBorders>
              <w:bottom w:val="single" w:sz="8" w:color="auto"/>
            </w:tcBorders>
          </w:tcPr>
          <w:p>
            <w:pPr>
              <w:jc w:val="right"/>
              <w:ind w:right="1019"/>
              <w:spacing w:after="0"/>
              <w:rPr>
                <w:sz w:val="20"/>
                <w:szCs w:val="20"/>
                <w:color w:val="auto"/>
              </w:rPr>
            </w:pPr>
            <w:r>
              <w:rPr>
                <w:rFonts w:ascii="Arial" w:cs="Arial" w:eastAsia="Arial" w:hAnsi="Arial"/>
                <w:sz w:val="14"/>
                <w:szCs w:val="14"/>
                <w:b w:val="1"/>
                <w:bCs w:val="1"/>
                <w:color w:val="auto"/>
              </w:rPr>
              <w:t>2015</w:t>
            </w:r>
          </w:p>
        </w:tc>
        <w:tc>
          <w:tcPr>
            <w:tcW w:w="18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2014</w:t>
            </w:r>
          </w:p>
        </w:tc>
        <w:tc>
          <w:tcPr>
            <w:tcW w:w="3740" w:type="dxa"/>
            <w:vAlign w:val="bottom"/>
            <w:tcBorders>
              <w:bottom w:val="single" w:sz="8" w:color="auto"/>
            </w:tcBorders>
          </w:tcPr>
          <w:p>
            <w:pPr>
              <w:jc w:val="right"/>
              <w:ind w:right="1866"/>
              <w:spacing w:after="0"/>
              <w:rPr>
                <w:sz w:val="20"/>
                <w:szCs w:val="20"/>
                <w:color w:val="auto"/>
              </w:rPr>
            </w:pPr>
            <w:r>
              <w:rPr>
                <w:rFonts w:ascii="Arial" w:cs="Arial" w:eastAsia="Arial" w:hAnsi="Arial"/>
                <w:sz w:val="14"/>
                <w:szCs w:val="14"/>
                <w:b w:val="1"/>
                <w:bCs w:val="1"/>
                <w:color w:val="auto"/>
              </w:rPr>
              <w:t>2013</w:t>
            </w:r>
          </w:p>
        </w:tc>
        <w:tc>
          <w:tcPr>
            <w:tcW w:w="1320" w:type="dxa"/>
            <w:vAlign w:val="bottom"/>
            <w:tcBorders>
              <w:bottom w:val="single" w:sz="8" w:color="auto"/>
            </w:tcBorders>
          </w:tcPr>
          <w:p>
            <w:pPr>
              <w:jc w:val="right"/>
              <w:ind w:right="902"/>
              <w:spacing w:after="0"/>
              <w:rPr>
                <w:sz w:val="20"/>
                <w:szCs w:val="20"/>
                <w:color w:val="auto"/>
              </w:rPr>
            </w:pPr>
            <w:r>
              <w:rPr>
                <w:rFonts w:ascii="Arial" w:cs="Arial" w:eastAsia="Arial" w:hAnsi="Arial"/>
                <w:sz w:val="14"/>
                <w:szCs w:val="14"/>
                <w:b w:val="1"/>
                <w:bCs w:val="1"/>
                <w:color w:val="auto"/>
              </w:rPr>
              <w:t>2012</w:t>
            </w:r>
          </w:p>
        </w:tc>
        <w:tc>
          <w:tcPr>
            <w:tcW w:w="2060" w:type="dxa"/>
            <w:vAlign w:val="bottom"/>
            <w:tcBorders>
              <w:bottom w:val="single" w:sz="8" w:color="auto"/>
            </w:tcBorders>
          </w:tcPr>
          <w:p>
            <w:pPr>
              <w:jc w:val="right"/>
              <w:ind w:right="762"/>
              <w:spacing w:after="0"/>
              <w:rPr>
                <w:sz w:val="20"/>
                <w:szCs w:val="20"/>
                <w:color w:val="auto"/>
              </w:rPr>
            </w:pPr>
            <w:r>
              <w:rPr>
                <w:rFonts w:ascii="Arial" w:cs="Arial" w:eastAsia="Arial" w:hAnsi="Arial"/>
                <w:sz w:val="14"/>
                <w:szCs w:val="14"/>
                <w:b w:val="1"/>
                <w:bCs w:val="1"/>
                <w:color w:val="auto"/>
              </w:rPr>
              <w:t>2011</w:t>
            </w:r>
          </w:p>
        </w:tc>
      </w:tr>
      <w:tr>
        <w:trPr>
          <w:trHeight w:val="210"/>
        </w:trPr>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86"/>
              </w:rPr>
              <w:t>Ratio of earnings to fixed charges and ratio of earnings to combined fixed charges and preferred dividends:</w:t>
            </w:r>
          </w:p>
        </w:tc>
        <w:tc>
          <w:tcPr>
            <w:tcW w:w="13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r>
      <w:tr>
        <w:trPr>
          <w:trHeight w:val="222"/>
        </w:trPr>
        <w:tc>
          <w:tcPr>
            <w:tcW w:w="2440" w:type="dxa"/>
            <w:vAlign w:val="bottom"/>
          </w:tcPr>
          <w:p>
            <w:pPr>
              <w:jc w:val="center"/>
              <w:spacing w:after="0"/>
              <w:rPr>
                <w:sz w:val="20"/>
                <w:szCs w:val="20"/>
                <w:color w:val="auto"/>
              </w:rPr>
            </w:pPr>
            <w:r>
              <w:rPr>
                <w:rFonts w:ascii="Arial" w:cs="Arial" w:eastAsia="Arial" w:hAnsi="Arial"/>
                <w:sz w:val="18"/>
                <w:szCs w:val="18"/>
                <w:color w:val="auto"/>
                <w:w w:val="86"/>
              </w:rPr>
              <w:t>5.48x</w:t>
            </w:r>
          </w:p>
        </w:tc>
        <w:tc>
          <w:tcPr>
            <w:tcW w:w="1860" w:type="dxa"/>
            <w:vAlign w:val="bottom"/>
          </w:tcPr>
          <w:p>
            <w:pPr>
              <w:jc w:val="center"/>
              <w:ind w:left="542"/>
              <w:spacing w:after="0"/>
              <w:rPr>
                <w:sz w:val="20"/>
                <w:szCs w:val="20"/>
                <w:color w:val="auto"/>
              </w:rPr>
            </w:pPr>
            <w:r>
              <w:rPr>
                <w:rFonts w:ascii="Arial" w:cs="Arial" w:eastAsia="Arial" w:hAnsi="Arial"/>
                <w:sz w:val="18"/>
                <w:szCs w:val="18"/>
                <w:color w:val="auto"/>
                <w:w w:val="90"/>
              </w:rPr>
              <w:t>5.22x</w:t>
            </w:r>
          </w:p>
        </w:tc>
        <w:tc>
          <w:tcPr>
            <w:tcW w:w="3740" w:type="dxa"/>
            <w:vAlign w:val="bottom"/>
          </w:tcPr>
          <w:p>
            <w:pPr>
              <w:jc w:val="center"/>
              <w:ind w:right="326"/>
              <w:spacing w:after="0"/>
              <w:rPr>
                <w:sz w:val="20"/>
                <w:szCs w:val="20"/>
                <w:color w:val="auto"/>
              </w:rPr>
            </w:pPr>
            <w:r>
              <w:rPr>
                <w:rFonts w:ascii="Arial" w:cs="Arial" w:eastAsia="Arial" w:hAnsi="Arial"/>
                <w:sz w:val="18"/>
                <w:szCs w:val="18"/>
                <w:color w:val="auto"/>
                <w:w w:val="86"/>
              </w:rPr>
              <w:t>4.85x</w:t>
            </w:r>
          </w:p>
        </w:tc>
        <w:tc>
          <w:tcPr>
            <w:tcW w:w="1320" w:type="dxa"/>
            <w:vAlign w:val="bottom"/>
          </w:tcPr>
          <w:p>
            <w:pPr>
              <w:jc w:val="center"/>
              <w:ind w:right="842"/>
              <w:spacing w:after="0"/>
              <w:rPr>
                <w:sz w:val="20"/>
                <w:szCs w:val="20"/>
                <w:color w:val="auto"/>
              </w:rPr>
            </w:pPr>
            <w:r>
              <w:rPr>
                <w:rFonts w:ascii="Arial" w:cs="Arial" w:eastAsia="Arial" w:hAnsi="Arial"/>
                <w:sz w:val="18"/>
                <w:szCs w:val="18"/>
                <w:color w:val="auto"/>
                <w:w w:val="90"/>
              </w:rPr>
              <w:t>4.82x</w:t>
            </w:r>
          </w:p>
        </w:tc>
        <w:tc>
          <w:tcPr>
            <w:tcW w:w="2060" w:type="dxa"/>
            <w:vAlign w:val="bottom"/>
          </w:tcPr>
          <w:p>
            <w:pPr>
              <w:jc w:val="center"/>
              <w:ind w:left="62"/>
              <w:spacing w:after="0"/>
              <w:rPr>
                <w:sz w:val="20"/>
                <w:szCs w:val="20"/>
                <w:color w:val="auto"/>
              </w:rPr>
            </w:pPr>
            <w:r>
              <w:rPr>
                <w:rFonts w:ascii="Arial" w:cs="Arial" w:eastAsia="Arial" w:hAnsi="Arial"/>
                <w:sz w:val="18"/>
                <w:szCs w:val="18"/>
                <w:color w:val="auto"/>
                <w:w w:val="90"/>
              </w:rPr>
              <w:t>4.04x</w:t>
            </w:r>
          </w:p>
        </w:tc>
      </w:tr>
    </w:tbl>
    <w:p>
      <w:pPr>
        <w:spacing w:after="0" w:line="161"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w:t>
      </w:r>
    </w:p>
    <w:p>
      <w:pPr>
        <w:spacing w:after="0" w:line="1" w:lineRule="exact"/>
        <w:rPr>
          <w:sz w:val="20"/>
          <w:szCs w:val="20"/>
          <w:color w:val="auto"/>
        </w:rPr>
      </w:pPr>
    </w:p>
    <w:p>
      <w:pPr>
        <w:ind w:firstLine="8"/>
        <w:spacing w:after="0" w:line="312" w:lineRule="auto"/>
        <w:tabs>
          <w:tab w:leader="none" w:pos="239" w:val="left"/>
        </w:tabs>
        <w:numPr>
          <w:ilvl w:val="0"/>
          <w:numId w:val="7"/>
        </w:numPr>
        <w:rPr>
          <w:rFonts w:ascii="Arial" w:cs="Arial" w:eastAsia="Arial" w:hAnsi="Arial"/>
          <w:sz w:val="15"/>
          <w:szCs w:val="15"/>
          <w:color w:val="auto"/>
        </w:rPr>
      </w:pPr>
      <w:r>
        <w:rPr>
          <w:rFonts w:ascii="Arial" w:cs="Arial" w:eastAsia="Arial" w:hAnsi="Arial"/>
          <w:sz w:val="15"/>
          <w:szCs w:val="15"/>
          <w:color w:val="auto"/>
        </w:rPr>
        <w:t>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NOTES</w:t>
      </w:r>
    </w:p>
    <w:p>
      <w:pPr>
        <w:spacing w:after="0" w:line="177"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color w:val="auto"/>
        </w:rPr>
        <w:t>We are offering $350,000,000 aggregate principal amount of our 2.75% Notes due 2023 and $700,000,000 aggregate principal amount of our 3.15% Notes due 2026. The Notes due 2023 and the Notes due 2026 will each be a separate series of securities, and form a single series with, the outstanding notes of such series issued on February 23, 2016 under a senior indenture dated September 18, 2013, entered into among us, the guarantors and The Bank of New York Mellon, as trustee, as amended by the first supplemental indenture dated as of November 17, 2015, entered into among us, the guarantors, and The Bank of New York Mellon, as trustee (as amended, the “indenture”). We previously issued, on February 23, 2016, $750,000,000 aggregate principal amount of 2.75% Notes due 2023 and $1,500,000,000 aggregate principal amount of 3.15% Notes due 2026, all of which will remain outstanding following this offering. Each of the series of notes offered hereby will form a part of the applicable series and will have the same terms (other than issue date and price) and CUSIP numbers as the existing 2.75% Notes due 2023 and 3.15% Notes due 2026. Upon completion of this offering, we will have $1,100,000,000 aggregate principal amount of outstanding</w:t>
      </w:r>
    </w:p>
    <w:p>
      <w:pPr>
        <w:spacing w:after="0" w:line="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2.75% Notes due 2023 and $2,200,000,000 aggregate principal amount of outstanding 3.15% Notes due 2026. Unless the context requires otherwise, for all purposes of the indenture and this “Description of the Notes,” references to any series of the notes include the notes of such series offered hereby and the existing notes of such series. The notes will be our direct unsecured and unsubordinated obligations and will be fully and unconditionally guaranteed by Comcast Cable Communications and NBCUniversal, referred to as the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a series of these notes and issue additional notes of such series. Additional notes of such series will be consolidated with and form a single series with the notes then outstanding of such series;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additional notes are not fungible with the notes of the applicable series offered hereby for U.S. federal income tax purposes, such additional notes will have one or more separate CUSIP numbers. Copies of the indenture and the form of notes are available from us upon request.</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following, along with the additional information contained in the accompanying prospectus under “Description of Debt Securities and Guarantees,” is a summary of the material provisions of the indenture, the notes and the guarantees. Because this is a summary, it may not contain all the information that is important to you. For further information, you should read the notes and the indenture.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Terms of the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w:t>
      </w:r>
    </w:p>
    <w:p>
      <w:pPr>
        <w:spacing w:after="0" w:line="90" w:lineRule="exact"/>
        <w:rPr>
          <w:sz w:val="20"/>
          <w:szCs w:val="20"/>
          <w:color w:val="auto"/>
        </w:rPr>
      </w:pPr>
    </w:p>
    <w:p>
      <w:pPr>
        <w:ind w:left="9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 rank equally with all of our other unsecured and unsubordinated debt (including the outstanding notes of the applicable series issued on February 23, 2016) and will be entitled to the benefits of the guarantees described below;</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 be issued in an aggregate principal amount of $1,050,000,000 comprised as follows:</w:t>
      </w:r>
    </w:p>
    <w:p>
      <w:pPr>
        <w:spacing w:after="0" w:line="90" w:lineRule="exact"/>
        <w:rPr>
          <w:rFonts w:ascii="Arial" w:cs="Arial" w:eastAsia="Arial" w:hAnsi="Arial"/>
          <w:sz w:val="18"/>
          <w:szCs w:val="18"/>
          <w:color w:val="auto"/>
        </w:rPr>
      </w:pPr>
    </w:p>
    <w:p>
      <w:pPr>
        <w:ind w:left="1480" w:right="20" w:hanging="446"/>
        <w:spacing w:after="0" w:line="332" w:lineRule="auto"/>
        <w:tabs>
          <w:tab w:leader="none" w:pos="1480" w:val="left"/>
        </w:tabs>
        <w:numPr>
          <w:ilvl w:val="1"/>
          <w:numId w:val="8"/>
        </w:numPr>
        <w:rPr>
          <w:rFonts w:ascii="Arial" w:cs="Arial" w:eastAsia="Arial" w:hAnsi="Arial"/>
          <w:sz w:val="16"/>
          <w:szCs w:val="16"/>
          <w:color w:val="auto"/>
        </w:rPr>
      </w:pPr>
      <w:r>
        <w:rPr>
          <w:rFonts w:ascii="Arial" w:cs="Arial" w:eastAsia="Arial" w:hAnsi="Arial"/>
          <w:sz w:val="16"/>
          <w:szCs w:val="16"/>
          <w:color w:val="auto"/>
        </w:rPr>
        <w:t>$350,000,000 aggregate principal amount of 2.75% Notes due 2023, maturing on March 1, 2023, with interest payable semiannually on each March 1 and September 1, beginning September 1, 2016, to holders of record on the preceding February 15 and August 15;</w:t>
      </w:r>
    </w:p>
    <w:p>
      <w:pPr>
        <w:spacing w:after="0" w:line="4" w:lineRule="exact"/>
        <w:rPr>
          <w:rFonts w:ascii="Arial" w:cs="Arial" w:eastAsia="Arial" w:hAnsi="Arial"/>
          <w:sz w:val="16"/>
          <w:szCs w:val="16"/>
          <w:color w:val="auto"/>
        </w:rPr>
      </w:pPr>
    </w:p>
    <w:p>
      <w:pPr>
        <w:ind w:left="1480" w:right="20" w:hanging="446"/>
        <w:spacing w:after="0" w:line="332" w:lineRule="auto"/>
        <w:tabs>
          <w:tab w:leader="none" w:pos="1480" w:val="left"/>
        </w:tabs>
        <w:numPr>
          <w:ilvl w:val="1"/>
          <w:numId w:val="8"/>
        </w:numPr>
        <w:rPr>
          <w:rFonts w:ascii="Arial" w:cs="Arial" w:eastAsia="Arial" w:hAnsi="Arial"/>
          <w:sz w:val="16"/>
          <w:szCs w:val="16"/>
          <w:color w:val="auto"/>
        </w:rPr>
      </w:pPr>
      <w:r>
        <w:rPr>
          <w:rFonts w:ascii="Arial" w:cs="Arial" w:eastAsia="Arial" w:hAnsi="Arial"/>
          <w:sz w:val="16"/>
          <w:szCs w:val="16"/>
          <w:color w:val="auto"/>
        </w:rPr>
        <w:t>$700,000,000 aggregate principal amount of 3.15% Notes due 2026, maturing on March 1, 2026, with interest payable semiannually on each March 1 and September 1, beginning September 1, 2016, to holders of record on the preceding February 15 and August 15; and</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$2,000 and in multiples of $1,000 in excess thereof.</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on the notes will be computed on the basis of a 360-day year consisting of twelve 30-day months. Interest on the notes will accrue from</w:t>
      </w:r>
    </w:p>
    <w:p>
      <w:pPr>
        <w:spacing w:after="0" w:line="38" w:lineRule="exact"/>
        <w:rPr>
          <w:sz w:val="20"/>
          <w:szCs w:val="20"/>
          <w:color w:val="auto"/>
        </w:rPr>
      </w:pPr>
    </w:p>
    <w:p>
      <w:pPr>
        <w:ind w:right="320" w:firstLine="8"/>
        <w:spacing w:after="0" w:line="261" w:lineRule="auto"/>
        <w:tabs>
          <w:tab w:leader="none" w:pos="21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February 23, 2016 or (ii) from the most recent interest payment date to which interest has been paid, and will be payable semiannually on interest payment dates described for each year.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more information on payment and transfer procedures for the notes, see “—Book-Entry System”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guarantors as described in the accompanying prospectus.</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will have the right at our option to redeem any of the notes of each series in whole or in part, at any time or from time to time prior to their maturity, on at least 30 days, but not more than 60 days, prior notice mailed to the registered address of each holder of notes, at the applicable Redemption Price.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“Redemption Price” means:</w:t>
      </w:r>
    </w:p>
    <w:p>
      <w:pPr>
        <w:spacing w:after="0" w:line="171" w:lineRule="exact"/>
        <w:rPr>
          <w:sz w:val="20"/>
          <w:szCs w:val="20"/>
          <w:color w:val="auto"/>
        </w:rPr>
      </w:pPr>
    </w:p>
    <w:p>
      <w:pPr>
        <w:ind w:left="700" w:hanging="236"/>
        <w:spacing w:after="0"/>
        <w:tabs>
          <w:tab w:leader="none" w:pos="7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with respect to the Notes due 2023, at any time prior to February 1, 2023 (one month prior to the maturity of the Notes due 2023), the greater of</w:t>
      </w:r>
    </w:p>
    <w:p>
      <w:pPr>
        <w:spacing w:after="0" w:line="38" w:lineRule="exact"/>
        <w:rPr>
          <w:rFonts w:ascii="Arial" w:cs="Arial" w:eastAsia="Arial" w:hAnsi="Arial"/>
          <w:sz w:val="16"/>
          <w:szCs w:val="16"/>
          <w:color w:val="auto"/>
        </w:rPr>
      </w:pPr>
    </w:p>
    <w:p>
      <w:pPr>
        <w:ind w:right="20" w:firstLine="8"/>
        <w:spacing w:after="0" w:line="253" w:lineRule="auto"/>
        <w:tabs>
          <w:tab w:leader="none" w:pos="2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100% of the principal amount of such notes and (ii) the sum of the present values of the principal amount of such notes and the scheduled payments of interest thereon (exclusive of interest accrued to the date of redemption) from the redemption date to February 1, 2023, in each case discounted to the redemption date on a semiannual basis (assuming a 360-day year consisting of twelve 30-day months) at the Treasury Rate plus 20 basis points; provided that, if the Notes due 2023 are redeemed on or after February 1, 2023 (one month prior to the maturity of the Notes due 2023) the Redemption Price will equal 100% of the principal amount of such notes; and</w:t>
      </w:r>
    </w:p>
    <w:p>
      <w:pPr>
        <w:spacing w:after="0" w:line="145" w:lineRule="exact"/>
        <w:rPr>
          <w:rFonts w:ascii="Arial" w:cs="Arial" w:eastAsia="Arial" w:hAnsi="Arial"/>
          <w:sz w:val="18"/>
          <w:szCs w:val="18"/>
          <w:color w:val="auto"/>
        </w:rPr>
      </w:pPr>
    </w:p>
    <w:p>
      <w:pPr>
        <w:ind w:left="720" w:hanging="256"/>
        <w:spacing w:after="0"/>
        <w:tabs>
          <w:tab w:leader="none" w:pos="7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with respect to the Notes due 2026, at any time prior to December 1, 2025 (three months prior to the maturity of the Notes due 2026), the greater of</w:t>
      </w:r>
    </w:p>
    <w:p>
      <w:pPr>
        <w:spacing w:after="0" w:line="38" w:lineRule="exact"/>
        <w:rPr>
          <w:sz w:val="20"/>
          <w:szCs w:val="20"/>
          <w:color w:val="auto"/>
        </w:rPr>
      </w:pPr>
    </w:p>
    <w:p>
      <w:pPr>
        <w:ind w:right="40" w:firstLine="8"/>
        <w:spacing w:after="0" w:line="253" w:lineRule="auto"/>
        <w:tabs>
          <w:tab w:leader="none" w:pos="21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100% of the principal amount of such notes and (ii) the sum of the present values of the principal amount of such notes and the scheduled payments of interest thereon (exclusive of interest accrued to the date of redemption) from the redemption date to December 1, 2025, in each case discounted to the redemption date on a semiannual basis (assuming a 360-day year consisting of twelve 30-day months) at the Treasury Rate plus 25 basis points; provided that, if the Notes due 2026 are redeemed on or after December 1, 2025 (three months prior to the maturity of the Notes due 2026) the Redemption Price will equal 100% of the principal amount of such notes;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and unpaid interest thereon to the date of redemption.</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“Comparable Treasury Issue” means the United States Treasury security or securities selected by an Independent Investment Banker as having an actual or interpolated maturity comparable to the remaining term of the notes to be redeemed that would be utilized, at the time of selection and in accordance with customary financial practice, in pricing new issues of corporate debt securities of a comparable maturity to the remaining term of such notes.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“Independent Investment Banker” means one of the Reference Treasury Dealers appointed by us. “Comparable Treasury Price”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“Reference Treasury Dealer” means each of Merrill Lynch, Pierce, Fenner &amp; Smith Incorporated, RBC Capital Markets, LLC and Wells Fargo Securities, LLC or their affiliates which are primary United States government securities dealers, and their respective successors; provided, however, that if any of the foregoing shall cease to be a primary United States government securities dealer in the United States (a “Primary Treasury Dealer”), we will substitute therefor another Primary Treasury Dealer.</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“Reference Treasury Dealer Quotation”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by such Reference Treasury Dealer at 3:30 pm New York time on the third business day preceding such redemption date.</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such method as the trustee shall deem fair and appropriate (provided that interests in notes represented by a Global Note will be selected for redemption by The Depository Trust Company in accordance with its standard procedures therefor). Additionally, we may at any time repurchase notes in the open market and may hold or surrender such notes to the trustee for cancellation.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1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Holders may hold interests in the notes outside the United States through Euroclear or Clearstream if they are participants in those systems, or indirectly through organizations which are participants in those systems. 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DTC</w:t>
      </w:r>
    </w:p>
    <w:p>
      <w:pPr>
        <w:spacing w:after="0" w:line="9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1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expect that pursuant to procedures established by DTC, upon the deposit of the Global Notes with DTC, DTC will credit on its book-entry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8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participants, or the relationship between such participants or indirect participants, and the owners of beneficial interests in the Global Notes owning through such participants.</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minimum denominations of $2,000 principal amount and multiples of $1,000 in excess thereof if:</w:t>
      </w:r>
    </w:p>
    <w:p>
      <w:pPr>
        <w:spacing w:after="0" w:line="51" w:lineRule="exact"/>
        <w:rPr>
          <w:sz w:val="20"/>
          <w:szCs w:val="20"/>
          <w:color w:val="auto"/>
        </w:rPr>
      </w:pPr>
    </w:p>
    <w:p>
      <w:pPr>
        <w:ind w:left="900" w:right="54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Same-Day Payment</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40"/>
          </w:cols>
          <w:pgMar w:left="240" w:top="45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all of the following conditions:</w:t>
      </w:r>
    </w:p>
    <w:p>
      <w:pPr>
        <w:spacing w:after="0" w:line="51" w:lineRule="exact"/>
        <w:rPr>
          <w:sz w:val="20"/>
          <w:szCs w:val="20"/>
          <w:color w:val="auto"/>
        </w:rPr>
      </w:pPr>
    </w:p>
    <w:p>
      <w:pPr>
        <w:ind w:left="9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they are held by those holders who purchased such notes in this offering at the “Price to Investors” listed on the cover of this prospectus supplement;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they are held as capital assets.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or to holders subject to special rules, such as:</w:t>
      </w:r>
    </w:p>
    <w:p>
      <w:pPr>
        <w:spacing w:after="0" w:line="5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w:t>
      </w:r>
    </w:p>
    <w:p>
      <w:pPr>
        <w:spacing w:after="0" w:line="171"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If a partnership or other entity classified as a partnership for U.S. federal income tax purposes holds the notes, the tax treatment of a partner will generally depend upon the status of the partner and the activities of the partnership. A partner of a partnership holding the notes is urged to consult his or her tax advisor.</w:t>
      </w:r>
    </w:p>
    <w:p>
      <w:pPr>
        <w:spacing w:after="0" w:line="6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This summary is based on the Internal Revenue Code of 1986, as amended to the date hereof (the “Code”),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non-U.S. taxing jurisdiction.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section applies to U.S. Holders. A holder is a U.S. Holder if for U.S. federal income tax purposes such holder is a beneficial owner of a note and is:</w:t>
      </w:r>
    </w:p>
    <w:p>
      <w:pPr>
        <w:spacing w:after="0" w:line="113"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of Interest</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Stated interest on a note (other than any portion of the first interest payment treated as a return of pre-acquisition accrued interest, as described under “Pre-acquisition Accrued Interest” below) will be taxable to a U.S. Holder as ordinary interest income at the time it accrues or is received, in accordance with such U.S. Holder’s method of accounting for U.S. federal income tax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Pre-acquisition Accrued Interest</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 portion of the price paid for a note offered hereby will be allocable to interest that accrued prior to the date the note is purchased (the “pre-acquisition accrued interest”). On the first interest payment date, a portion of the interest received in an amount equal to the pre-acquisition accrued interest should be treated as a return of the pre-acquisition accrued interest and not as a payment of interest on the note. Amounts treated as a return of pre-acquisition accrued interest should not be taxable when received. It is not clear in such instance whether to exclude the amount attributable to pre-acquisition accrued interest from a U.S. Holder’s initial basis, or to reduce basis by the amount of pre-acquisition accrued interest when it is received.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Amortizable Bond Premium</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If a U.S. Holder purchases a note for an amount (not including any amount paid for pre-acquisition accrued interest) that is greater than the note’s principal amount, such U.S Holder will be considered to have purchased the note with amortizable bond premium. In general, the amortizable bond premium with respect to any note is the excess of the purchase price (not including any amount paid for pre-acquisition accrued interest) over the principal amount, and a U.S. Holder may elect to amortize this bond premium, using a constant-yield method, over the remaining term of the note. Because of the optional redemption feature of the notes, the timing and amount of such amortization may be adversely affected. A U.S. Holder generally may use the amortizable bond premium allocable to an accrual period to offset stated interest otherwise required to be included in income with respect to the note in that accrual period. An election to amortize bond premium applies to all taxable debt obligations then owned or thereafter acquired and may be revoked only with the consent of the Internal Revenue Service (the “IRS”).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or Other Taxable Disposition of a Note</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Upon the sale or other taxable disposition of a note, a U.S. Holder will recognize taxable gain or loss equal to the difference between the amount realized on the sale or other taxable disposition and such U.S. Holder’s adjusted tax basis in the note. Subject to the discussion above under “—Pre-acquisition Accrued Interest,” a U.S. Holder’s adjusted tax basis in a note will generally equal the cost of such note reduced by any amortized premium such U.S. Holder received. For these purposes, the amount realized does not include any amount attributable to accrued interest, which is treated as described under “Payments of Interest” above.</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Gain or loss realized on the sale or other taxable disposition of a note will generally be capital gain or loss and will be long-term capital gain or loss if at the time of the sale or other taxable disposition the note has been held for more than one year. Long-term capital gains recognized by non-corporate taxpayers are subject to reduced tax rates. The deductibility of capital losses is subject to limitations.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individual who is not a U.S. citizen and who is classified as a nonresident for U.S. federal income tax purposes;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“Non-U.S. Holder” does not include a holder who is an individual present in the United States for 183 days or more in the taxable year of disposition. Such a holder is urged to consult his or her tax advisor regarding the U.S. federal income tax consequences of the sale, exchange or other disposition of a note.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a Note</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Subject to the discussions below concerning backup withholding and FATCA, payments of principal and interest on the notes by us or any paying agent to any Non-U.S. Holder will not be subject to U.S. federal withholding tax, provided that, in the case of interest not effectively connected with the conduct of a trade or business in the United States:</w:t>
      </w:r>
    </w:p>
    <w:p>
      <w:pPr>
        <w:spacing w:after="0" w:line="59" w:lineRule="exact"/>
        <w:rPr>
          <w:sz w:val="20"/>
          <w:szCs w:val="20"/>
          <w:color w:val="auto"/>
        </w:rPr>
      </w:pPr>
    </w:p>
    <w:p>
      <w:pPr>
        <w:ind w:left="900" w:right="12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holder does not own, actually or constructively, 10 percent or more of the total combined voting power of all classes of our stock entitled to vote and is not a controlled foreign corporation related, directly or indirectly, to us through stock ownership;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certification requirement described below has been fulfilled with respect to the beneficial owner, as discussed below.</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Interest on a note described above will not be exempt from withholding tax unless the beneficial owner of that note certifies on a properly executed Internal Revenue Service Form W-8BEN or W-8BEN-E, as appropriate, under penalties of perjury, that it is not a U.S. person.</w:t>
      </w:r>
    </w:p>
    <w:p>
      <w:pPr>
        <w:spacing w:after="0" w:line="132"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If a Non-U.S. Holder of a note is engaged in a trade or business in the United States, and if interest on the note is effectively connected with the conduct of such trade or business, the Non-U.S. Holder will generally not be subject to the withholding discussed in the preceding paragraphs if a properly executed, applicable Form W-8 (generally an IRS Form W-8ECI) is provided to us. Such a Non-U.S. Holder will, however, generally be taxed on such interest in the same manner as a U.S. person, unless an applicable income tax treaty provides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Exchange, Redemption or Other Disposition of a Note</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Subject to the discussions below concerning backup withholding and FATCA, a Non-U.S. Holder of a note will not be subject to U.S. federal income tax on gain realized on the sale, exchange, redemption or other disposition of such note, unless the gain is effectively connected with the conduct by the holder of a trade or business in the United States.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a Non-U.S. Holder of a note is engaged in a trade or business in the United States, and if gain realized by the Non-U.S. Holder on a sale, exchange, redemption or other disposition of a note is effectively connected with the conduct of such trade or business, the Non-U.S. Holder will generally be taxed in the same manner as a U.S. person, subject to an applicable income tax treaty providing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For U.S. Holders, information returns are required to be filed with the IRS in connection with payments on the notes and proceeds received from a sale or other disposition of the notes unless such U.S. Holder is an exempt recipient. U.S. Holders may also be subject to backup withholding on these payments in respect of notes unless such U.S. Holders provide their taxpayer identification number and otherwise comply with applicable requirements of the backup withholding rules or provide proof of an applicable exemption.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Non-U.S. Holders, information returns are required to be filed with the IRS in connection with payments of interest on the notes. Unless a Non-U.S. Holder complies with certification procedures to establish that it is not a U.S. person, information returns may also be filed with the IRS in connection with the proceeds from a sale or other disposition of a note. A Non-U.S. Holder may be subject to backup withholding on payments on the notes or on the proceeds from a sale or other disposition of the notes unless such Non-U.S. Holder complies with certification procedures to establish that it is not a U.S. person or otherwise establish an exemption. The certification procedures required to claim the exemption from withholding tax on interest described above will satisfy the certification requirements necessary to avoid backup withholding as well.</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Amounts withheld under the backup withholding rules are not additional taxes and may be refunded or credited against a holder’s U.S. federal income tax liability, provided the required information is timely furnished to the IRS.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Legislation</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Provisions commonly referred to as “FATCA” impose withholding of 30% on payments of U.S.-source interest and, for dispositions after December 31, 2018, payments of gross proceeds of the sale, exchange, redemption, or other disposition of a note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 Prospective investors should consult their tax advisors regarding the effects of FATCA on their investment in the notes. We will not pay additional amounts with respect to any withholding taxes.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intend to offer the notes through the underwriters named below. Subject to the terms and conditions contained in an underwriting agreement, we have agreed to sell to the underwriters and the underwriters severally have agreed to purchase from us, the principal amount of the notes listed opposite their names below.</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7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Underwriter</w:t>
            </w:r>
          </w:p>
        </w:tc>
        <w:tc>
          <w:tcPr>
            <w:tcW w:w="36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89"/>
              </w:rPr>
              <w:t>Principal Amount</w:t>
            </w:r>
          </w:p>
        </w:tc>
        <w:tc>
          <w:tcPr>
            <w:tcW w:w="70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Principal Amount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3680" w:type="dxa"/>
            <w:vAlign w:val="bottom"/>
          </w:tcPr>
          <w:p>
            <w:pPr>
              <w:spacing w:after="0"/>
              <w:rPr>
                <w:sz w:val="14"/>
                <w:szCs w:val="14"/>
                <w:color w:val="auto"/>
              </w:rPr>
            </w:pPr>
          </w:p>
        </w:tc>
        <w:tc>
          <w:tcPr>
            <w:tcW w:w="10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5"/>
              </w:rPr>
              <w:t>of Notes due 2023</w:t>
            </w:r>
          </w:p>
        </w:tc>
        <w:tc>
          <w:tcPr>
            <w:tcW w:w="700" w:type="dxa"/>
            <w:vAlign w:val="bottom"/>
          </w:tcPr>
          <w:p>
            <w:pPr>
              <w:spacing w:after="0"/>
              <w:rPr>
                <w:sz w:val="14"/>
                <w:szCs w:val="14"/>
                <w:color w:val="auto"/>
              </w:rPr>
            </w:pPr>
          </w:p>
        </w:tc>
        <w:tc>
          <w:tcPr>
            <w:tcW w:w="118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w w:val="93"/>
              </w:rPr>
              <w:t>of Notes due 2026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Merrill Lynch, Pierce, Fenner &amp; Smith</w:t>
            </w:r>
          </w:p>
        </w:tc>
        <w:tc>
          <w:tcPr>
            <w:tcW w:w="36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Incorporated</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$52,500,000</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105,000,000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52,500,000</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105,000,000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52,500,000</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105,000,000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35,000,000</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35,000,000</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7,875,000</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7,875,000</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7,875,000</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7,875,000</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7,875,000</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Lloyds Securities Inc.</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7,875,000</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Mizuho Securities USA Inc.</w:t>
            </w: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7,875,000</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7,875,000</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SMBC Nikko Securities America, Inc.</w:t>
            </w: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7,875,000</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7,875,000</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UBS Securities LLC</w:t>
            </w: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7,875,000</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Santander Investment Securities Inc.</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5,250,000</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5,250,000</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DNB Markets, Inc.</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4,375,000</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4,375,000</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TD Securities (USA) LLC</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4,375,000</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The Williams Capital Group, L.P.</w:t>
            </w: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1,750,000</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 King &amp; Associates, Inc.</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1,750,000</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Drexel Hamilton, LLC</w:t>
            </w: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1,750,000</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Lebenthal &amp; Co., LLC</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1,750,000</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Loop Capital Markets LLC</w:t>
            </w: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1,750,000</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Mischler Financial Group, Inc.</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1,750,000</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Samuel A. Ramirez &amp; Company, Inc.</w:t>
            </w:r>
          </w:p>
        </w:tc>
        <w:tc>
          <w:tcPr>
            <w:tcW w:w="36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1,750,000</w:t>
            </w:r>
          </w:p>
        </w:tc>
        <w:tc>
          <w:tcPr>
            <w:tcW w:w="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$ 350,000,000</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700,000,000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in respect of those liabilities.</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opinions. The underwriters reserve the right to withdraw, cancel or modify offers to the public and to reject orders in whole or in part.</w:t>
      </w:r>
    </w:p>
    <w:p>
      <w:pPr>
        <w:spacing w:after="0" w:line="171"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It is expected that delivery of the notes will be made against payment therefor on or about March 30, 2016, which is the fifth business day following the date hereof (such settlement cycle being referred to as “T+5”). Under Rule 15c6-1 under the Securities Exchange Act of 1934, as amended, trades in the secondary market generally are required to settle in three business days unless the parties to any such trade expressly agree otherwise. Accordingly, purchasers who wish to trade the notes on the date of pricing or the next succeeding business day will be required, by virtue of the fact that the notes initially will settle in T+5, to specify an alternative settlement cycle at the time of any such trade to prevent failed settlement and should consult their own advisors.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underwriters have advised us that they propose initially to offer the notes to the public at the public offering price on the cover page of this prospectus supplement, and to dealers at that price less a concession not in excess of 0.20% and 0.25% of the principal amount of the Notes due 2023 and the Notes due 2026, respectively. The underwriters may allow, and the dealers may reallow, a discount not in excess of 0.15% and 0.20% of the principal amount of the Notes due 2023 and the Notes due 2026, respectively, to other dealers. After the initial public offering, the public offering prices, concessions and discounts may be changed.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expenses of the offering, not including the underwriting discount, are estimated to be $350,000 and are payable by 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the Notes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of the Notes due 2023 and the Notes due 2026 will be a further issuance of, and will form a single series with, our existing 2.75% Notes due 2023 and 3.15% Notes due 2026, respectively, each issued on February 23, 2016. We do not intend to apply for listing of the notes on any national securities exchange or for quotation of the notes on any automated dealer quotation system. We have been advised by the underwriters that certain of the underwriters currently make a market in the existing 2.75% Notes due 2023 and 3.15% Notes due 2026 and that they presently intend to continue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 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for which they currently and may in the future receive customary fees and commissions.</w:t>
      </w:r>
    </w:p>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 and securities activities may involve our securities and instruments. Certain of the underwriters or their affiliates that have a lending relationship with us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Canada</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bonds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bonds must be made in accordance with an exemption from, or in a transaction not subject to, the prospectus requirements of applicable securities laws.</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3"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no offer of notes may be made to the public in that Relevant Member State other than:</w:t>
      </w:r>
    </w:p>
    <w:p>
      <w:pPr>
        <w:spacing w:after="0" w:line="59"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Prospectus Directive), as permitted under the Prospectus Directive, subject to obtaining the prior consent of the representative; or</w:t>
      </w:r>
    </w:p>
    <w:p>
      <w:pPr>
        <w:spacing w:after="0" w:line="90"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provided that no such offer of notes shall require the Company or the representative to publish a prospectus pursuant to Article 3 of the Prospectus Directive or supplement a prospectus pursuant to Article 16 of the Prospectus Directive.</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This prospectus supplement has been prepared on the basis that any offer of notes in any Relevant Member State will be made pursuant to an exemption under the Prospectus Directive from the requirement to publish a prospectus for offers of notes. Accordingly, any person making or intending to make an offer in that Relevant Member State of notes which are the subject of the offering contemplated in this prospectus supplement may only do so in circumstances in which no obligation arises for us or any of the underwriters to publish a prospectus pursuant to Article 3 of the Prospectus Directive in relation to such offer. Neither we nor the underwriters have authorized, nor do we or the underwriters authorize, the making of any offer of notes in circumstances in which an obligation arises for us or the underwriters to publish a prospectus for such offer.</w:t>
      </w:r>
    </w:p>
    <w:p>
      <w:pPr>
        <w:spacing w:after="0" w:line="12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For the purpose of the above provisions, the expression “an offer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the Relevant Member State by any measure implementing the Prospectus Directive in the Relevant Member State,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United Kingdom</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Each underwriter has represented, warranted and agreed that it has only communicated or caused to be communicated and will only communicate or cause to be communicated an invitation or inducement to engage in investment activity (within the meaning of Section 21 of the U.K. Financial Services and Markets Act 2000 (“FSMA”) received by it in connection with the issue or sale of the notes in circumstances in which Section 21(1) of FSMA does not apply to the issuer or the guarantors; and it has complied with and will comply with all applicable provisions of FSMA with respect to anything done by it in relation to the notes in, from or otherwise involving the United Kingdom.</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Hong Kong</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notes may not be offered or sold by means of any document other than to persons whose ordinary business is to buy or sell shares or debentures, whether as principal or agent, or in circumstances that do not constitute an offer to the public within the meaning of the Companies Ordinance (Cap. 32) of Hong Kong, and no advertisement, invitation or document relating to the notes may be issued, whether in Hong Kong or elsewhere, that is directed at, or the contents of which are likely to be accessed or read by, the public in Hong Kong (except if permitted to do so under the securities laws of Hong Kong) other than with respect to notes that are or are intended to be disposed of only to persons outside Hong Kong or only to “professional investors” within the meaning of the Securities and Futures Ordinance (Cap. 571) of Hong Kong and any rules made thereunder.</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Japan</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notes have not been and will not be registered under the Financial Instruments and Exchange Law of Japan (Law No. 25 of 1948) (as amended) (the “FIEL”), and each of the underwriters and each of its affiliates has represented and agreed that it has not offered or sold, and it will not offer or sell, directly or indirectly, any 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notes in or to residents of Japan or to any persons for reoffering or resale, directly or indirectly in Japan or to any resident of Japan, except pursuant to any exemption from the registration requirements of and otherwise in compliance with, the FIEL available thereunder and in compliance with the other relevant laws and regulations of Japan.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Singapore</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w:t>
      </w:r>
    </w:p>
    <w:p>
      <w:pPr>
        <w:spacing w:after="0" w:line="62"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a relevant person, or any person pursuant to Section 257(1A), and in accordance with the conditions, specified in Section 275 of the SFA; or</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Whether the notes are subscribed or purchased under Section 275 by a relevant person that is:</w:t>
      </w:r>
    </w:p>
    <w:p>
      <w:pPr>
        <w:spacing w:after="0" w:line="90" w:lineRule="exact"/>
        <w:rPr>
          <w:sz w:val="20"/>
          <w:szCs w:val="20"/>
          <w:color w:val="auto"/>
        </w:rPr>
      </w:pPr>
    </w:p>
    <w:p>
      <w:pPr>
        <w:ind w:left="460" w:firstLine="443"/>
        <w:spacing w:after="0" w:line="268" w:lineRule="auto"/>
        <w:tabs>
          <w:tab w:leader="none" w:pos="1137"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50"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Various legal matters relating to the offering will be passed upon for us by Arthur R. Block, Esquire, Executive Vice President, General Counsel and Secretary of Comcast Corporation, Francis M. Buono, Senior Vice President, Legal Regulatory Affairs and Senior Deputy General Counsel of Comcast Corporation, and by Davis Polk &amp; Wardwell LLP, Menlo Park, California. Cahill Gordon &amp; Reindel LLP, New York, New York, is representing the underwriters.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Comcast Corporation and subsidiaries, incorporated herein by reference from Comcast Corporation’s Annual Report on Form 10-K for the year ended December 31, 2015,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1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NBCUniversal Media, LLC and its subsidiaries, incorporated herein by reference from NBCUniversal Media, LLC’s Annual Report on Form 10-K for the year ended December 31, 2015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872490</wp:posOffset>
            </wp:positionV>
            <wp:extent cx="15176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194945</wp:posOffset>
            </wp:positionV>
            <wp:extent cx="1397635" cy="4889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40"/>
              <w:spacing w:after="0"/>
              <w:rPr>
                <w:sz w:val="20"/>
                <w:szCs w:val="20"/>
                <w:color w:val="auto"/>
              </w:rPr>
            </w:pPr>
            <w:r>
              <w:rPr>
                <w:rFonts w:ascii="Arial" w:cs="Arial" w:eastAsia="Arial" w:hAnsi="Arial"/>
                <w:sz w:val="18"/>
                <w:szCs w:val="18"/>
                <w:color w:val="auto"/>
              </w:rPr>
              <w:t>Unsecured senior debt securities</w:t>
            </w:r>
          </w:p>
        </w:tc>
        <w:tc>
          <w:tcPr>
            <w:tcW w:w="1720" w:type="dxa"/>
            <w:vAlign w:val="bottom"/>
          </w:tcPr>
          <w:p>
            <w:pPr>
              <w:ind w:left="1620"/>
              <w:spacing w:after="0"/>
              <w:rPr>
                <w:sz w:val="20"/>
                <w:szCs w:val="20"/>
                <w:color w:val="auto"/>
              </w:rPr>
            </w:pPr>
            <w:r>
              <w:rPr>
                <w:rFonts w:ascii="Arial" w:cs="Arial" w:eastAsia="Arial" w:hAnsi="Arial"/>
                <w:sz w:val="18"/>
                <w:szCs w:val="18"/>
                <w:color w:val="auto"/>
              </w:rPr>
              <w:t>•</w:t>
            </w:r>
          </w:p>
        </w:tc>
        <w:tc>
          <w:tcPr>
            <w:tcW w:w="2240" w:type="dxa"/>
            <w:vAlign w:val="bottom"/>
          </w:tcPr>
          <w:p>
            <w:pPr>
              <w:ind w:left="40"/>
              <w:spacing w:after="0"/>
              <w:rPr>
                <w:sz w:val="20"/>
                <w:szCs w:val="20"/>
                <w:color w:val="auto"/>
              </w:rPr>
            </w:pPr>
            <w:r>
              <w:rPr>
                <w:rFonts w:ascii="Arial" w:cs="Arial" w:eastAsia="Arial" w:hAnsi="Arial"/>
                <w:sz w:val="18"/>
                <w:szCs w:val="18"/>
                <w:color w:val="auto"/>
              </w:rPr>
              <w:t>Preferred stock</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40"/>
              <w:spacing w:after="0"/>
              <w:rPr>
                <w:sz w:val="20"/>
                <w:szCs w:val="20"/>
                <w:color w:val="auto"/>
              </w:rPr>
            </w:pPr>
            <w:r>
              <w:rPr>
                <w:rFonts w:ascii="Arial" w:cs="Arial" w:eastAsia="Arial" w:hAnsi="Arial"/>
                <w:sz w:val="18"/>
                <w:szCs w:val="18"/>
                <w:color w:val="auto"/>
              </w:rPr>
              <w:t>Warrants</w:t>
            </w:r>
          </w:p>
        </w:tc>
        <w:tc>
          <w:tcPr>
            <w:tcW w:w="1720" w:type="dxa"/>
            <w:vAlign w:val="bottom"/>
          </w:tcPr>
          <w:p>
            <w:pPr>
              <w:ind w:left="1620"/>
              <w:spacing w:after="0"/>
              <w:rPr>
                <w:sz w:val="20"/>
                <w:szCs w:val="20"/>
                <w:color w:val="auto"/>
              </w:rPr>
            </w:pPr>
            <w:r>
              <w:rPr>
                <w:rFonts w:ascii="Arial" w:cs="Arial" w:eastAsia="Arial" w:hAnsi="Arial"/>
                <w:sz w:val="18"/>
                <w:szCs w:val="18"/>
                <w:color w:val="auto"/>
              </w:rPr>
              <w:t>•</w:t>
            </w:r>
          </w:p>
        </w:tc>
        <w:tc>
          <w:tcPr>
            <w:tcW w:w="2240" w:type="dxa"/>
            <w:vAlign w:val="bottom"/>
          </w:tcPr>
          <w:p>
            <w:pPr>
              <w:ind w:left="40"/>
              <w:spacing w:after="0"/>
              <w:rPr>
                <w:sz w:val="20"/>
                <w:szCs w:val="20"/>
                <w:color w:val="auto"/>
              </w:rPr>
            </w:pPr>
            <w:r>
              <w:rPr>
                <w:rFonts w:ascii="Arial" w:cs="Arial" w:eastAsia="Arial" w:hAnsi="Arial"/>
                <w:sz w:val="18"/>
                <w:szCs w:val="18"/>
                <w:color w:val="auto"/>
              </w:rPr>
              <w:t>Depositary shares</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 Purchase contracts</w:t>
            </w:r>
          </w:p>
        </w:tc>
        <w:tc>
          <w:tcPr>
            <w:tcW w:w="3960" w:type="dxa"/>
            <w:vAlign w:val="bottom"/>
            <w:gridSpan w:val="2"/>
          </w:tcPr>
          <w:p>
            <w:pPr>
              <w:ind w:left="1620"/>
              <w:spacing w:after="0"/>
              <w:rPr>
                <w:sz w:val="20"/>
                <w:szCs w:val="20"/>
                <w:color w:val="auto"/>
              </w:rPr>
            </w:pPr>
            <w:r>
              <w:rPr>
                <w:rFonts w:ascii="Arial" w:cs="Arial" w:eastAsia="Arial" w:hAnsi="Arial"/>
                <w:sz w:val="18"/>
                <w:szCs w:val="18"/>
                <w:color w:val="auto"/>
              </w:rPr>
              <w:t>• Class A common stock</w:t>
            </w:r>
          </w:p>
        </w:tc>
      </w:tr>
      <w:tr>
        <w:trPr>
          <w:trHeight w:val="222"/>
        </w:trPr>
        <w:tc>
          <w:tcPr>
            <w:tcW w:w="4060" w:type="dxa"/>
            <w:vAlign w:val="bottom"/>
            <w:gridSpan w:val="2"/>
          </w:tcPr>
          <w:p>
            <w:pPr>
              <w:spacing w:after="0"/>
              <w:rPr>
                <w:sz w:val="20"/>
                <w:szCs w:val="20"/>
                <w:color w:val="auto"/>
              </w:rPr>
            </w:pPr>
            <w:r>
              <w:rPr>
                <w:rFonts w:ascii="Arial" w:cs="Arial" w:eastAsia="Arial" w:hAnsi="Arial"/>
                <w:sz w:val="18"/>
                <w:szCs w:val="18"/>
                <w:color w:val="auto"/>
              </w:rPr>
              <w:t>• Units</w:t>
            </w:r>
          </w:p>
        </w:tc>
        <w:tc>
          <w:tcPr>
            <w:tcW w:w="3960" w:type="dxa"/>
            <w:vAlign w:val="bottom"/>
            <w:gridSpan w:val="2"/>
          </w:tcPr>
          <w:p>
            <w:pPr>
              <w:ind w:left="1620"/>
              <w:spacing w:after="0"/>
              <w:rPr>
                <w:sz w:val="20"/>
                <w:szCs w:val="20"/>
                <w:color w:val="auto"/>
              </w:rPr>
            </w:pPr>
            <w:r>
              <w:rPr>
                <w:rFonts w:ascii="Arial" w:cs="Arial" w:eastAsia="Arial" w:hAnsi="Arial"/>
                <w:sz w:val="18"/>
                <w:szCs w:val="18"/>
                <w:color w:val="auto"/>
                <w:w w:val="89"/>
              </w:rPr>
              <w:t>• Class A Special common stock</w:t>
            </w:r>
          </w:p>
        </w:tc>
      </w:tr>
    </w:tbl>
    <w:p>
      <w:pPr>
        <w:spacing w:after="0" w:line="156"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subsidiaries named in this prospectus.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Class A common stock and Class A Special common stock are quoted on the Nasdaq Global Select Market under the ticker symbols “CMCSA” and “CMCSK”. On November 20, 2015, the reported last sale prices on the Nasdaq Global Select Market for our Class A common stock and our Class A Special common stock were $62.90 and $63.01, respectively.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Maturity</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Dividends</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w w:val="87"/>
              </w:rPr>
              <w:t>Conversion or exchange rights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Redemption terms</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Liquidation amount</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Sinking fund terms</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Listing on a securities exchange</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Subsidiary guarantees</w:t>
            </w:r>
          </w:p>
        </w:tc>
      </w:tr>
      <w:tr>
        <w:trPr>
          <w:trHeight w:val="222"/>
        </w:trPr>
        <w:tc>
          <w:tcPr>
            <w:tcW w:w="2280" w:type="dxa"/>
            <w:vAlign w:val="bottom"/>
            <w:gridSpan w:val="2"/>
          </w:tcPr>
          <w:p>
            <w:pPr>
              <w:spacing w:after="0"/>
              <w:rPr>
                <w:sz w:val="20"/>
                <w:szCs w:val="20"/>
                <w:color w:val="auto"/>
              </w:rPr>
            </w:pPr>
            <w:r>
              <w:rPr>
                <w:rFonts w:ascii="Arial" w:cs="Arial" w:eastAsia="Arial" w:hAnsi="Arial"/>
                <w:sz w:val="18"/>
                <w:szCs w:val="18"/>
                <w:color w:val="auto"/>
              </w:rPr>
              <w:t>• Currency of payments</w:t>
            </w:r>
          </w:p>
        </w:tc>
        <w:tc>
          <w:tcPr>
            <w:tcW w:w="3720" w:type="dxa"/>
            <w:vAlign w:val="bottom"/>
            <w:gridSpan w:val="2"/>
          </w:tcPr>
          <w:p>
            <w:pPr>
              <w:ind w:left="580"/>
              <w:spacing w:after="0"/>
              <w:rPr>
                <w:sz w:val="20"/>
                <w:szCs w:val="20"/>
                <w:color w:val="auto"/>
              </w:rPr>
            </w:pPr>
            <w:r>
              <w:rPr>
                <w:rFonts w:ascii="Arial" w:cs="Arial" w:eastAsia="Arial" w:hAnsi="Arial"/>
                <w:sz w:val="18"/>
                <w:szCs w:val="18"/>
                <w:color w:val="auto"/>
              </w:rPr>
              <w:t>• Amount payable at maturity</w:t>
            </w: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right="760" w:firstLine="456"/>
        <w:spacing w:after="0" w:line="339" w:lineRule="auto"/>
        <w:rPr>
          <w:sz w:val="20"/>
          <w:szCs w:val="20"/>
          <w:color w:val="auto"/>
        </w:rPr>
      </w:pPr>
      <w:r>
        <w:rPr>
          <w:rFonts w:ascii="Arial" w:cs="Arial" w:eastAsia="Arial" w:hAnsi="Arial"/>
          <w:sz w:val="16"/>
          <w:szCs w:val="16"/>
          <w:b w:val="1"/>
          <w:bCs w:val="1"/>
          <w:color w:val="auto"/>
        </w:rPr>
        <w:t>Investing in these securities involves certain risks. See “Item 1A—Risk Factors” beginning on page 30 of Comcast’s and NBCUniversal’s combined annual report on Form 10-K for the year ended December 31, 2014,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2"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170815</wp:posOffset>
            </wp:positionV>
            <wp:extent cx="15176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November 23, 2015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520" w:type="dxa"/>
            <w:vAlign w:val="bottom"/>
            <w:gridSpan w:val="3"/>
          </w:tcPr>
          <w:p>
            <w:pPr>
              <w:ind w:left="2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377"/>
        </w:trPr>
        <w:tc>
          <w:tcPr>
            <w:tcW w:w="1120" w:type="dxa"/>
            <w:vAlign w:val="bottom"/>
            <w:gridSpan w:val="3"/>
            <w:vMerge w:val="restart"/>
          </w:tcPr>
          <w:p>
            <w:pPr>
              <w:spacing w:after="0"/>
              <w:rPr>
                <w:rFonts w:ascii="Arial" w:cs="Arial" w:eastAsia="Arial" w:hAnsi="Arial"/>
                <w:sz w:val="18"/>
                <w:szCs w:val="18"/>
                <w:color w:val="0000EE"/>
                <w:w w:val="86"/>
              </w:rPr>
            </w:pPr>
            <w:hyperlink w:anchor="page29">
              <w:r>
                <w:rPr>
                  <w:rFonts w:ascii="Arial" w:cs="Arial" w:eastAsia="Arial" w:hAnsi="Arial"/>
                  <w:sz w:val="18"/>
                  <w:szCs w:val="18"/>
                  <w:color w:val="0000EE"/>
                  <w:w w:val="86"/>
                </w:rPr>
                <w:t>The Companies</w:t>
              </w:r>
            </w:hyperlink>
          </w:p>
        </w:tc>
        <w:tc>
          <w:tcPr>
            <w:tcW w:w="9920" w:type="dxa"/>
            <w:vAlign w:val="bottom"/>
            <w:gridSpan w:val="12"/>
            <w:vMerge w:val="restart"/>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20" w:type="dxa"/>
            <w:vAlign w:val="bottom"/>
            <w:tcBorders>
              <w:bottom w:val="single" w:sz="8" w:color="0000EE"/>
            </w:tcBorders>
            <w:gridSpan w:val="3"/>
            <w:vMerge w:val="continue"/>
          </w:tcPr>
          <w:p>
            <w:pPr>
              <w:spacing w:after="0"/>
              <w:rPr>
                <w:sz w:val="13"/>
                <w:szCs w:val="13"/>
                <w:color w:val="auto"/>
              </w:rPr>
            </w:pPr>
          </w:p>
        </w:tc>
        <w:tc>
          <w:tcPr>
            <w:tcW w:w="9920" w:type="dxa"/>
            <w:vAlign w:val="bottom"/>
            <w:gridSpan w:val="12"/>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35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Caution Concerning Forward-Looking Statements</w:t>
              </w:r>
            </w:hyperlink>
          </w:p>
        </w:tc>
        <w:tc>
          <w:tcPr>
            <w:tcW w:w="7500" w:type="dxa"/>
            <w:vAlign w:val="bottom"/>
            <w:gridSpan w:val="4"/>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Use of Proceeds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Dividend Policy</w:t>
              </w:r>
            </w:hyperlink>
          </w:p>
        </w:tc>
        <w:tc>
          <w:tcPr>
            <w:tcW w:w="988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Ratios of Earnings to Fixed Charges and of Earnings to Combined Fixed Charges and Preferred Dividends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Description of Debt Securities and Guarantees</w:t>
              </w:r>
            </w:hyperlink>
          </w:p>
        </w:tc>
        <w:tc>
          <w:tcPr>
            <w:tcW w:w="35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2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Global Securities</w:t>
              </w:r>
            </w:hyperlink>
          </w:p>
        </w:tc>
        <w:tc>
          <w:tcPr>
            <w:tcW w:w="778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Description of Capital Stock</w:t>
              </w:r>
            </w:hyperlink>
          </w:p>
        </w:tc>
        <w:tc>
          <w:tcPr>
            <w:tcW w:w="902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Plan of Distribution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Legal Matters</w:t>
              </w:r>
            </w:hyperlink>
          </w:p>
        </w:tc>
        <w:tc>
          <w:tcPr>
            <w:tcW w:w="96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Experts</w:t>
              </w:r>
            </w:hyperlink>
          </w:p>
        </w:tc>
        <w:tc>
          <w:tcPr>
            <w:tcW w:w="1006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Available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Incorporation of Certain Documents by Reference</w:t>
              </w:r>
            </w:hyperlink>
          </w:p>
        </w:tc>
        <w:tc>
          <w:tcPr>
            <w:tcW w:w="75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refer to Comcast Corporation in this prospectus as “Comcast;” Comcast and its consolidated subsidiaries, including NBCUniversal, as “we,” “us,” “our” or comparable terms and to Comcast Holdings Corporation as “Comcast Holdings.” We refer to NBCUniversal Media, LLC as “NBCUniversal,” Comcast Cable Communications, LLC as “Comcast Cable,” and both of them collectively as the “Guarantors.”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 The Cable Networks, Broadcast Television, Filmed Entertainment and Theme Parks segments comprise the NBCUniversal businesses (collectively, the “NBCUniversal segments”).</w:t>
      </w:r>
    </w:p>
    <w:p>
      <w:pPr>
        <w:spacing w:after="0" w:line="56" w:lineRule="exact"/>
        <w:rPr>
          <w:sz w:val="20"/>
          <w:szCs w:val="20"/>
          <w:color w:val="auto"/>
        </w:rPr>
      </w:pPr>
    </w:p>
    <w:p>
      <w:pPr>
        <w:ind w:left="900" w:right="240" w:hanging="325"/>
        <w:spacing w:after="0" w:line="262"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Cable Communications</w:t>
      </w:r>
      <w:r>
        <w:rPr>
          <w:rFonts w:ascii="Arial" w:cs="Arial" w:eastAsia="Arial" w:hAnsi="Arial"/>
          <w:sz w:val="18"/>
          <w:szCs w:val="18"/>
          <w:color w:val="auto"/>
        </w:rPr>
        <w:t>: Consists of the operations of Comcast Cable, which is one of the nation’s largest providers of video, high-speed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and voice services to residential customers under the XFINITY brand, and we also provide these and other services to businesses and sell advertising.</w:t>
      </w:r>
    </w:p>
    <w:p>
      <w:pPr>
        <w:spacing w:after="0" w:line="51" w:lineRule="exact"/>
        <w:rPr>
          <w:rFonts w:ascii="Arial" w:cs="Arial" w:eastAsia="Arial" w:hAnsi="Arial"/>
          <w:sz w:val="18"/>
          <w:szCs w:val="18"/>
          <w:color w:val="auto"/>
        </w:rPr>
      </w:pPr>
    </w:p>
    <w:p>
      <w:pPr>
        <w:ind w:left="900" w:right="20" w:hanging="325"/>
        <w:spacing w:after="0" w:line="275"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our national cable networks, our regional sports and news networks, our international cable networks and our</w:t>
      </w:r>
      <w:r>
        <w:rPr>
          <w:rFonts w:ascii="Arial" w:cs="Arial" w:eastAsia="Arial" w:hAnsi="Arial"/>
          <w:sz w:val="18"/>
          <w:szCs w:val="18"/>
          <w:b w:val="1"/>
          <w:bCs w:val="1"/>
          <w:color w:val="auto"/>
        </w:rPr>
        <w:t xml:space="preserve"> </w:t>
      </w:r>
      <w:r>
        <w:rPr>
          <w:rFonts w:ascii="Arial" w:cs="Arial" w:eastAsia="Arial" w:hAnsi="Arial"/>
          <w:sz w:val="18"/>
          <w:szCs w:val="18"/>
          <w:color w:val="auto"/>
        </w:rPr>
        <w:t>cable television production operations.</w:t>
      </w:r>
    </w:p>
    <w:p>
      <w:pPr>
        <w:spacing w:after="0" w:line="38" w:lineRule="exact"/>
        <w:rPr>
          <w:rFonts w:ascii="Arial" w:cs="Arial" w:eastAsia="Arial" w:hAnsi="Arial"/>
          <w:sz w:val="18"/>
          <w:szCs w:val="18"/>
          <w:color w:val="auto"/>
        </w:rPr>
      </w:pPr>
    </w:p>
    <w:p>
      <w:pPr>
        <w:ind w:left="900" w:hanging="325"/>
        <w:spacing w:after="0" w:line="275"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our NBC and Telemundo owned local broadcast television</w:t>
      </w:r>
      <w:r>
        <w:rPr>
          <w:rFonts w:ascii="Arial" w:cs="Arial" w:eastAsia="Arial" w:hAnsi="Arial"/>
          <w:sz w:val="18"/>
          <w:szCs w:val="18"/>
          <w:b w:val="1"/>
          <w:bCs w:val="1"/>
          <w:color w:val="auto"/>
        </w:rPr>
        <w:t xml:space="preserve"> </w:t>
      </w:r>
      <w:r>
        <w:rPr>
          <w:rFonts w:ascii="Arial" w:cs="Arial" w:eastAsia="Arial" w:hAnsi="Arial"/>
          <w:sz w:val="18"/>
          <w:szCs w:val="18"/>
          <w:color w:val="auto"/>
        </w:rPr>
        <w:t>stations, the NBC Universo national cable network, and our broadcast television production operations.</w:t>
      </w:r>
    </w:p>
    <w:p>
      <w:pPr>
        <w:spacing w:after="0" w:line="38" w:lineRule="exact"/>
        <w:rPr>
          <w:rFonts w:ascii="Arial" w:cs="Arial" w:eastAsia="Arial" w:hAnsi="Arial"/>
          <w:sz w:val="18"/>
          <w:szCs w:val="18"/>
          <w:color w:val="auto"/>
        </w:rPr>
      </w:pPr>
    </w:p>
    <w:p>
      <w:pPr>
        <w:ind w:left="900" w:right="160" w:hanging="325"/>
        <w:spacing w:after="0" w:line="275"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studio operations of Universal Pictures, which produces, acquires, markets and distributes filmed</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worldwide.</w:t>
      </w:r>
    </w:p>
    <w:p>
      <w:pPr>
        <w:spacing w:after="0" w:line="38"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and Hollywood.</w:t>
      </w:r>
    </w:p>
    <w:p>
      <w:pPr>
        <w:spacing w:after="0" w:line="177"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In 2014, our Cable Communications segment generated 64% of our consolidated revenue and 79% of our operating income before depreciation and amortization. The Cable Networks, Broadcast Television, Filmed Entertainment and Theme Parks segments comprise NBCUniversal’s businesses.</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other business interests primarily include Comcast-Spectacor, which owns the Philadelphia Flyers and the Wells Fargo Center arena in Philadelphia and operates arena management-related businesses.</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a description of the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other filings incorporated by reference in this prospectus, see “Available Information” in this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Guarantors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900" w:right="1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any payment of principal, interest or premium, if any, on or repay, repurchase or redeem any debt securities of that Guarantor.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NBCUniversal Media, LLC</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NBCUniversal is one of the world’s leading media and entertainment companies. It develops, produces and distributes entertainment, news and information, sports and other content for global audiences and owns and operates a diversified and integrated portfolio of some of the most recognizable media brands in the world.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88900</wp:posOffset>
            </wp:positionV>
            <wp:extent cx="15176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principal executive offices of Comcast and Comcast Cable are located at One Comcast Center, Philadelphia, Pennsylvania 19103-2838, and our telephone number is (215) 286-1700.</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principal executive offices of NBCUniversal are located at 30 Rockefeller Plaza, New York, New York 10112-0015, and its telephone number is (212) 664-4444.</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maintain a website at http://www.comcastcorporation.com where general information about us is available. We are not incorporating the contents of the website into this prospectus.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2014 incorporated herein by reference. Actual events or our actual results may differ materially from any of our forward-looking statements. We undertake no obligation to update any forward-looking statements.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90" w:lineRule="exact"/>
        <w:rPr>
          <w:sz w:val="20"/>
          <w:szCs w:val="20"/>
          <w:color w:val="auto"/>
        </w:rPr>
      </w:pPr>
    </w:p>
    <w:p>
      <w:pPr>
        <w:ind w:left="900" w:right="46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consumer behavior driven by new products and services may adversely affect our businesses and challenge existing business models;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decline in advertising expenditures or changes in advertising markets could negatively impact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may impose additional costs and restrictions on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to existing statutes, rules, regulations, or interpretations thereof, or adoption of new ones, could have an adverse effect on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programming expenses for our video services are increasing, which could adversely affect our Cable Communications segment’s businesses;</w:t>
      </w:r>
    </w:p>
    <w:p>
      <w:pPr>
        <w:spacing w:after="0" w:line="113"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NBCUniversal’s success depends on consumer acceptance of its content and its businesses may be adversely affected if its content fails to achieve sufficient consumer acceptance or the costs to create or acquire content increase;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businesses depend on using and protecting certain intellectual property rights and on not infringing the intellectual property rights of others ;</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labor disputes, whether involving employees or sports organizations, may disrupt our operations and adversely affect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 and</w:t>
      </w:r>
    </w:p>
    <w:p>
      <w:pPr>
        <w:spacing w:after="0" w:line="9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intend to pay quarterly dividends at an annual rate currently of $1.00 per share, although each dividend is subject to approval by our Board of Directors.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retains the right to change our dividend policy at any time.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 COMBINED FIXED CHARGES AND PREFERRED DIVIDENDS</w:t>
      </w:r>
    </w:p>
    <w:p>
      <w:pPr>
        <w:spacing w:after="0" w:line="1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Arial" w:cs="Arial" w:eastAsia="Arial" w:hAnsi="Arial"/>
                <w:sz w:val="14"/>
                <w:szCs w:val="14"/>
                <w:b w:val="1"/>
                <w:bCs w:val="1"/>
                <w:color w:val="auto"/>
                <w:w w:val="91"/>
              </w:rPr>
              <w:t>For the Nine Months</w:t>
            </w:r>
          </w:p>
        </w:tc>
        <w:tc>
          <w:tcPr>
            <w:tcW w:w="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32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w w:val="87"/>
              </w:rPr>
              <w:t>For the Years Ended December 31,</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1300" w:type="dxa"/>
            <w:vAlign w:val="bottom"/>
            <w:vMerge w:val="restart"/>
          </w:tcPr>
          <w:p>
            <w:pPr>
              <w:ind w:left="40"/>
              <w:spacing w:after="0" w:line="149" w:lineRule="exact"/>
              <w:rPr>
                <w:sz w:val="20"/>
                <w:szCs w:val="20"/>
                <w:color w:val="auto"/>
              </w:rPr>
            </w:pPr>
            <w:r>
              <w:rPr>
                <w:rFonts w:ascii="Arial" w:cs="Arial" w:eastAsia="Arial" w:hAnsi="Arial"/>
                <w:sz w:val="14"/>
                <w:szCs w:val="14"/>
                <w:b w:val="1"/>
                <w:bCs w:val="1"/>
                <w:color w:val="auto"/>
                <w:w w:val="87"/>
              </w:rPr>
              <w:t>Ended September 30,</w:t>
            </w:r>
          </w:p>
        </w:tc>
        <w:tc>
          <w:tcPr>
            <w:tcW w:w="680" w:type="dxa"/>
            <w:vAlign w:val="bottom"/>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gridSpan w:val="4"/>
            <w:vMerge w:val="continue"/>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56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860" w:type="dxa"/>
            <w:vAlign w:val="bottom"/>
            <w:gridSpan w:val="2"/>
          </w:tcPr>
          <w:p>
            <w:pPr>
              <w:jc w:val="right"/>
              <w:ind w:right="446"/>
              <w:spacing w:after="0"/>
              <w:rPr>
                <w:sz w:val="20"/>
                <w:szCs w:val="20"/>
                <w:color w:val="auto"/>
              </w:rPr>
            </w:pPr>
            <w:r>
              <w:rPr>
                <w:rFonts w:ascii="Arial" w:cs="Arial" w:eastAsia="Arial" w:hAnsi="Arial"/>
                <w:sz w:val="14"/>
                <w:szCs w:val="14"/>
                <w:b w:val="1"/>
                <w:bCs w:val="1"/>
                <w:color w:val="auto"/>
              </w:rPr>
              <w:t>2015</w:t>
            </w:r>
          </w:p>
        </w:tc>
        <w:tc>
          <w:tcPr>
            <w:tcW w:w="2380" w:type="dxa"/>
            <w:vAlign w:val="bottom"/>
            <w:gridSpan w:val="2"/>
          </w:tcPr>
          <w:p>
            <w:pPr>
              <w:jc w:val="right"/>
              <w:ind w:right="632"/>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Arial" w:cs="Arial" w:eastAsia="Arial" w:hAnsi="Arial"/>
                <w:sz w:val="14"/>
                <w:szCs w:val="14"/>
                <w:b w:val="1"/>
                <w:bCs w:val="1"/>
                <w:color w:val="auto"/>
              </w:rPr>
              <w:t>2013</w:t>
            </w:r>
          </w:p>
        </w:tc>
        <w:tc>
          <w:tcPr>
            <w:tcW w:w="2200" w:type="dxa"/>
            <w:vAlign w:val="bottom"/>
            <w:gridSpan w:val="3"/>
          </w:tcPr>
          <w:p>
            <w:pPr>
              <w:jc w:val="right"/>
              <w:ind w:right="61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5"/>
                <w:szCs w:val="15"/>
                <w:color w:val="auto"/>
              </w:rPr>
            </w:pPr>
          </w:p>
        </w:tc>
        <w:tc>
          <w:tcPr>
            <w:tcW w:w="1700" w:type="dxa"/>
            <w:vAlign w:val="bottom"/>
          </w:tcPr>
          <w:p>
            <w:pPr>
              <w:jc w:val="right"/>
              <w:ind w:right="64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c>
          <w:tcPr>
            <w:tcW w:w="1600" w:type="dxa"/>
            <w:vAlign w:val="bottom"/>
          </w:tcPr>
          <w:p>
            <w:pPr>
              <w:jc w:val="right"/>
              <w:ind w:right="58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03"/>
        </w:trPr>
        <w:tc>
          <w:tcPr>
            <w:tcW w:w="5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5.51x</w:t>
            </w:r>
          </w:p>
        </w:tc>
        <w:tc>
          <w:tcPr>
            <w:tcW w:w="6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5.22x</w:t>
            </w:r>
          </w:p>
        </w:tc>
        <w:tc>
          <w:tcPr>
            <w:tcW w:w="1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center"/>
              <w:ind w:left="302"/>
              <w:spacing w:after="0" w:line="203" w:lineRule="exact"/>
              <w:rPr>
                <w:sz w:val="20"/>
                <w:szCs w:val="20"/>
                <w:color w:val="auto"/>
              </w:rPr>
            </w:pPr>
            <w:r>
              <w:rPr>
                <w:rFonts w:ascii="Arial" w:cs="Arial" w:eastAsia="Arial" w:hAnsi="Arial"/>
                <w:sz w:val="18"/>
                <w:szCs w:val="18"/>
                <w:color w:val="auto"/>
                <w:w w:val="86"/>
              </w:rPr>
              <w:t>4.85x</w:t>
            </w: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4.82x</w:t>
            </w:r>
          </w:p>
        </w:tc>
        <w:tc>
          <w:tcPr>
            <w:tcW w:w="1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4.04x</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3.57x</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w:t>
      </w:r>
    </w:p>
    <w:p>
      <w:pPr>
        <w:spacing w:after="0" w:line="1" w:lineRule="exact"/>
        <w:rPr>
          <w:sz w:val="20"/>
          <w:szCs w:val="20"/>
          <w:color w:val="auto"/>
        </w:rPr>
      </w:pPr>
    </w:p>
    <w:p>
      <w:pPr>
        <w:ind w:firstLine="8"/>
        <w:spacing w:after="0" w:line="312" w:lineRule="auto"/>
        <w:tabs>
          <w:tab w:leader="none" w:pos="239" w:val="left"/>
        </w:tabs>
        <w:numPr>
          <w:ilvl w:val="0"/>
          <w:numId w:val="27"/>
        </w:numPr>
        <w:rPr>
          <w:rFonts w:ascii="Arial" w:cs="Arial" w:eastAsia="Arial" w:hAnsi="Arial"/>
          <w:sz w:val="15"/>
          <w:szCs w:val="15"/>
          <w:color w:val="auto"/>
        </w:rPr>
      </w:pPr>
      <w:r>
        <w:rPr>
          <w:rFonts w:ascii="Arial" w:cs="Arial" w:eastAsia="Arial" w:hAnsi="Arial"/>
          <w:sz w:val="15"/>
          <w:szCs w:val="15"/>
          <w:color w:val="auto"/>
        </w:rPr>
        <w:t>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DEBT SECURITIES AND GUARANTEES</w:t>
      </w:r>
    </w:p>
    <w:p>
      <w:pPr>
        <w:spacing w:after="0" w:line="17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Our debt securities, consisting of notes, debentures or other evidences of indebtedness, may be issued from time to time in one or more series under a senior indenture dated September 18, 2013, entered into among us, the Guarantors and The Bank of New York Mellon, as trustee.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indenture is included as an exhibit to the registration statement of which this prospectus is a part.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90" w:lineRule="exact"/>
        <w:rPr>
          <w:rFonts w:ascii="Arial" w:cs="Arial" w:eastAsia="Arial" w:hAnsi="Arial"/>
          <w:sz w:val="18"/>
          <w:szCs w:val="18"/>
          <w:color w:val="auto"/>
        </w:rPr>
      </w:pPr>
    </w:p>
    <w:p>
      <w:pPr>
        <w:ind w:left="900" w:right="560" w:hanging="325"/>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8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Debt</w:t>
      </w:r>
      <w:r>
        <w:rPr>
          <w:rFonts w:ascii="Arial" w:cs="Arial" w:eastAsia="Arial" w:hAnsi="Arial"/>
          <w:sz w:val="18"/>
          <w:szCs w:val="18"/>
          <w:color w:val="auto"/>
        </w:rPr>
        <w:t>” means, with respect to an Obligor, the sum of the following as of the date of determination:</w:t>
      </w:r>
    </w:p>
    <w:p>
      <w:pPr>
        <w:spacing w:after="0" w:line="96" w:lineRule="exact"/>
        <w:rPr>
          <w:sz w:val="20"/>
          <w:szCs w:val="20"/>
          <w:color w:val="auto"/>
        </w:rPr>
      </w:pPr>
    </w:p>
    <w:p>
      <w:pPr>
        <w:ind w:right="320" w:firstLine="464"/>
        <w:spacing w:after="0" w:line="268" w:lineRule="auto"/>
        <w:tabs>
          <w:tab w:leader="none" w:pos="6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aggregate principal amount of such Obligor’s Indebtedness incurred after the date of initial issuance of the senior debt securities and secured by Liens not permitted by the first sentence under “—</w:t>
      </w: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and</w:t>
      </w:r>
    </w:p>
    <w:p>
      <w:pPr>
        <w:spacing w:after="0" w:line="131" w:lineRule="exact"/>
        <w:rPr>
          <w:rFonts w:ascii="Arial" w:cs="Arial" w:eastAsia="Arial" w:hAnsi="Arial"/>
          <w:sz w:val="18"/>
          <w:szCs w:val="18"/>
          <w:color w:val="auto"/>
        </w:rPr>
      </w:pPr>
    </w:p>
    <w:p>
      <w:pPr>
        <w:ind w:right="460" w:firstLine="464"/>
        <w:spacing w:after="0" w:line="268" w:lineRule="auto"/>
        <w:tabs>
          <w:tab w:leader="none" w:pos="7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Obligor’s Attributable Liens in respect of sale and lease-back transactions entered into after the date of the initial issuance of the senior debt securities pursuant to the second paragraph of “—</w:t>
      </w: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Liens</w:t>
      </w:r>
      <w:r>
        <w:rPr>
          <w:rFonts w:ascii="Arial" w:cs="Arial" w:eastAsia="Arial" w:hAnsi="Arial"/>
          <w:sz w:val="18"/>
          <w:szCs w:val="18"/>
          <w:color w:val="auto"/>
        </w:rPr>
        <w:t>” means in connection with a sale and lease-back transaction of an Obligor the lesser of:</w:t>
      </w:r>
    </w:p>
    <w:p>
      <w:pPr>
        <w:spacing w:after="0" w:line="96" w:lineRule="exact"/>
        <w:rPr>
          <w:sz w:val="20"/>
          <w:szCs w:val="20"/>
          <w:color w:val="auto"/>
        </w:rPr>
      </w:pPr>
    </w:p>
    <w:p>
      <w:pPr>
        <w:ind w:right="480" w:firstLine="464"/>
        <w:spacing w:after="0" w:line="268" w:lineRule="auto"/>
        <w:tabs>
          <w:tab w:leader="none" w:pos="6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(in our case) or the equivalent governing body of any Guarantor); and</w:t>
      </w:r>
    </w:p>
    <w:p>
      <w:pPr>
        <w:spacing w:after="0" w:line="131"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34"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w:t>
      </w:r>
      <w:r>
        <w:rPr>
          <w:rFonts w:ascii="Arial" w:cs="Arial" w:eastAsia="Arial" w:hAnsi="Arial"/>
          <w:sz w:val="16"/>
          <w:szCs w:val="16"/>
          <w:color w:val="auto"/>
        </w:rPr>
        <w:t>”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97"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Worth</w:t>
      </w:r>
      <w:r>
        <w:rPr>
          <w:rFonts w:ascii="Arial" w:cs="Arial" w:eastAsia="Arial" w:hAnsi="Arial"/>
          <w:sz w:val="18"/>
          <w:szCs w:val="18"/>
          <w:color w:val="auto"/>
        </w:rPr>
        <w:t>” of any Person means, as of any date of determination, stockholders’ equity or members’ capital of such Person as reflected on the most recent consolidated balance sheet of such Person and prepared in accordance with GAAP.</w:t>
      </w:r>
    </w:p>
    <w:p>
      <w:pPr>
        <w:spacing w:after="0" w:line="120" w:lineRule="exact"/>
        <w:rPr>
          <w:sz w:val="20"/>
          <w:szCs w:val="20"/>
          <w:color w:val="auto"/>
        </w:rPr>
      </w:pPr>
    </w:p>
    <w:p>
      <w:pPr>
        <w:ind w:right="80" w:firstLine="456"/>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senior indenture, for purposes of the definition of “Capital Lease” and (ii) the date of determination, for all other purposes under the senior indenture.</w:t>
      </w:r>
    </w:p>
    <w:p>
      <w:pPr>
        <w:spacing w:after="0" w:line="89" w:lineRule="exact"/>
        <w:rPr>
          <w:sz w:val="20"/>
          <w:szCs w:val="20"/>
          <w:color w:val="auto"/>
        </w:rPr>
      </w:pPr>
    </w:p>
    <w:p>
      <w:pPr>
        <w:ind w:right="160" w:firstLine="456"/>
        <w:spacing w:after="0" w:line="31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Governmental Obligations</w:t>
      </w:r>
      <w:r>
        <w:rPr>
          <w:rFonts w:ascii="Arial" w:cs="Arial" w:eastAsia="Arial" w:hAnsi="Arial"/>
          <w:sz w:val="15"/>
          <w:szCs w:val="15"/>
          <w:color w:val="auto"/>
        </w:rPr>
        <w:t>”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03"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08"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lien, security interest, charge or encumbrance of any kind (including any conditional sale or other title retention agreement, any lease in the nature thereof, and any agreement to give any security interest).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means us and the Guarantors.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with respect to an Obligor:</w:t>
      </w:r>
    </w:p>
    <w:p>
      <w:pPr>
        <w:spacing w:after="0" w:line="96" w:lineRule="exact"/>
        <w:rPr>
          <w:sz w:val="20"/>
          <w:szCs w:val="20"/>
          <w:color w:val="auto"/>
        </w:rPr>
      </w:pPr>
    </w:p>
    <w:p>
      <w:pPr>
        <w:ind w:right="120" w:firstLine="464"/>
        <w:spacing w:after="0" w:line="259" w:lineRule="auto"/>
        <w:tabs>
          <w:tab w:leader="none" w:pos="6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20" w:lineRule="exact"/>
        <w:rPr>
          <w:sz w:val="20"/>
          <w:szCs w:val="20"/>
          <w:color w:val="auto"/>
        </w:rPr>
      </w:pPr>
    </w:p>
    <w:p>
      <w:pPr>
        <w:ind w:left="700" w:hanging="236"/>
        <w:spacing w:after="0"/>
        <w:tabs>
          <w:tab w:leader="none" w:pos="7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Liens in favor of customs and revenue authorities arising as a matter of law to secure payment of customs duties in connection with the importation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goods;</w:t>
      </w:r>
    </w:p>
    <w:p>
      <w:pPr>
        <w:spacing w:after="0" w:line="164" w:lineRule="exact"/>
        <w:rPr>
          <w:rFonts w:ascii="Arial" w:cs="Arial" w:eastAsia="Arial" w:hAnsi="Arial"/>
          <w:sz w:val="16"/>
          <w:szCs w:val="16"/>
          <w:color w:val="auto"/>
        </w:rPr>
      </w:pPr>
    </w:p>
    <w:p>
      <w:pPr>
        <w:ind w:right="60" w:firstLine="464"/>
        <w:spacing w:after="0" w:line="268" w:lineRule="auto"/>
        <w:tabs>
          <w:tab w:leader="none" w:pos="7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31" w:lineRule="exact"/>
        <w:rPr>
          <w:rFonts w:ascii="Arial" w:cs="Arial" w:eastAsia="Arial" w:hAnsi="Arial"/>
          <w:sz w:val="18"/>
          <w:szCs w:val="18"/>
          <w:color w:val="auto"/>
        </w:rPr>
      </w:pPr>
    </w:p>
    <w:p>
      <w:pPr>
        <w:ind w:right="160" w:firstLine="464"/>
        <w:spacing w:after="0" w:line="268" w:lineRule="auto"/>
        <w:tabs>
          <w:tab w:leader="none" w:pos="6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31" w:lineRule="exact"/>
        <w:rPr>
          <w:rFonts w:ascii="Arial" w:cs="Arial" w:eastAsia="Arial" w:hAnsi="Arial"/>
          <w:sz w:val="18"/>
          <w:szCs w:val="18"/>
          <w:color w:val="auto"/>
        </w:rPr>
      </w:pPr>
    </w:p>
    <w:p>
      <w:pPr>
        <w:ind w:right="360" w:firstLine="464"/>
        <w:spacing w:after="0" w:line="259" w:lineRule="auto"/>
        <w:tabs>
          <w:tab w:leader="none" w:pos="676"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in favor of us or any Guarantor;</w:t>
      </w:r>
    </w:p>
    <w:p>
      <w:pPr>
        <w:spacing w:after="0" w:line="171" w:lineRule="exact"/>
        <w:rPr>
          <w:rFonts w:ascii="Arial" w:cs="Arial" w:eastAsia="Arial" w:hAnsi="Arial"/>
          <w:sz w:val="18"/>
          <w:szCs w:val="18"/>
          <w:color w:val="auto"/>
        </w:rPr>
      </w:pPr>
    </w:p>
    <w:p>
      <w:pPr>
        <w:ind w:right="320" w:firstLine="464"/>
        <w:spacing w:after="0" w:line="259" w:lineRule="auto"/>
        <w:tabs>
          <w:tab w:leader="none" w:pos="7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40" w:lineRule="exact"/>
        <w:rPr>
          <w:rFonts w:ascii="Arial" w:cs="Arial" w:eastAsia="Arial" w:hAnsi="Arial"/>
          <w:sz w:val="18"/>
          <w:szCs w:val="18"/>
          <w:color w:val="auto"/>
        </w:rPr>
      </w:pPr>
    </w:p>
    <w:p>
      <w:pPr>
        <w:ind w:right="360" w:firstLine="464"/>
        <w:spacing w:after="0" w:line="268" w:lineRule="auto"/>
        <w:tabs>
          <w:tab w:leader="none" w:pos="666"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31" w:lineRule="exact"/>
        <w:rPr>
          <w:rFonts w:ascii="Arial" w:cs="Arial" w:eastAsia="Arial" w:hAnsi="Arial"/>
          <w:sz w:val="18"/>
          <w:szCs w:val="18"/>
          <w:color w:val="auto"/>
        </w:rPr>
      </w:pPr>
    </w:p>
    <w:p>
      <w:pPr>
        <w:ind w:right="380" w:firstLine="464"/>
        <w:spacing w:after="0" w:line="268" w:lineRule="auto"/>
        <w:tabs>
          <w:tab w:leader="none" w:pos="666"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31" w:lineRule="exact"/>
        <w:rPr>
          <w:rFonts w:ascii="Arial" w:cs="Arial" w:eastAsia="Arial" w:hAnsi="Arial"/>
          <w:sz w:val="18"/>
          <w:szCs w:val="18"/>
          <w:color w:val="auto"/>
        </w:rPr>
      </w:pPr>
    </w:p>
    <w:p>
      <w:pPr>
        <w:ind w:firstLine="464"/>
        <w:spacing w:after="0" w:line="259" w:lineRule="auto"/>
        <w:tabs>
          <w:tab w:leader="none" w:pos="7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such Obligor’s statutory obligations in the ordinary course of our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64"/>
        <w:spacing w:after="0" w:line="268" w:lineRule="auto"/>
        <w:tabs>
          <w:tab w:leader="none" w:pos="754" w:val="left"/>
        </w:tabs>
        <w:numPr>
          <w:ilvl w:val="1"/>
          <w:numId w:val="34"/>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171" w:lineRule="exact"/>
        <w:rPr>
          <w:rFonts w:ascii="Arial" w:cs="Arial" w:eastAsia="Arial" w:hAnsi="Arial"/>
          <w:sz w:val="18"/>
          <w:szCs w:val="18"/>
          <w:color w:val="auto"/>
        </w:rPr>
      </w:pPr>
    </w:p>
    <w:p>
      <w:pPr>
        <w:ind w:right="240" w:firstLine="464"/>
        <w:spacing w:after="0" w:line="268" w:lineRule="auto"/>
        <w:tabs>
          <w:tab w:leader="none" w:pos="705" w:val="left"/>
        </w:tabs>
        <w:numPr>
          <w:ilvl w:val="1"/>
          <w:numId w:val="34"/>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131" w:lineRule="exact"/>
        <w:rPr>
          <w:rFonts w:ascii="Arial" w:cs="Arial" w:eastAsia="Arial" w:hAnsi="Arial"/>
          <w:sz w:val="18"/>
          <w:szCs w:val="18"/>
          <w:color w:val="auto"/>
        </w:rPr>
      </w:pPr>
    </w:p>
    <w:p>
      <w:pPr>
        <w:ind w:right="600" w:firstLine="464"/>
        <w:spacing w:after="0" w:line="268" w:lineRule="auto"/>
        <w:tabs>
          <w:tab w:leader="none" w:pos="705" w:val="left"/>
        </w:tabs>
        <w:numPr>
          <w:ilvl w:val="1"/>
          <w:numId w:val="34"/>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31" w:lineRule="exact"/>
        <w:rPr>
          <w:rFonts w:ascii="Arial" w:cs="Arial" w:eastAsia="Arial" w:hAnsi="Arial"/>
          <w:sz w:val="18"/>
          <w:szCs w:val="18"/>
          <w:color w:val="auto"/>
        </w:rPr>
      </w:pPr>
    </w:p>
    <w:p>
      <w:pPr>
        <w:ind w:firstLine="464"/>
        <w:spacing w:after="0" w:line="332" w:lineRule="auto"/>
        <w:tabs>
          <w:tab w:leader="none" w:pos="705" w:val="left"/>
        </w:tabs>
        <w:numPr>
          <w:ilvl w:val="1"/>
          <w:numId w:val="34"/>
        </w:numPr>
        <w:rPr>
          <w:rFonts w:ascii="Arial" w:cs="Arial" w:eastAsia="Arial" w:hAnsi="Arial"/>
          <w:sz w:val="16"/>
          <w:szCs w:val="16"/>
          <w:color w:val="auto"/>
        </w:rPr>
      </w:pPr>
      <w:r>
        <w:rPr>
          <w:rFonts w:ascii="Arial" w:cs="Arial" w:eastAsia="Arial" w:hAnsi="Arial"/>
          <w:sz w:val="16"/>
          <w:szCs w:val="16"/>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85" w:lineRule="exact"/>
        <w:rPr>
          <w:rFonts w:ascii="Arial" w:cs="Arial" w:eastAsia="Arial" w:hAnsi="Arial"/>
          <w:sz w:val="16"/>
          <w:szCs w:val="16"/>
          <w:color w:val="auto"/>
        </w:rPr>
      </w:pPr>
    </w:p>
    <w:p>
      <w:pPr>
        <w:ind w:right="200" w:firstLine="464"/>
        <w:spacing w:after="0" w:line="286" w:lineRule="auto"/>
        <w:tabs>
          <w:tab w:leader="none" w:pos="676" w:val="left"/>
        </w:tabs>
        <w:numPr>
          <w:ilvl w:val="1"/>
          <w:numId w:val="34"/>
        </w:numPr>
        <w:rPr>
          <w:rFonts w:ascii="Arial" w:cs="Arial" w:eastAsia="Arial" w:hAnsi="Arial"/>
          <w:sz w:val="16"/>
          <w:szCs w:val="16"/>
          <w:color w:val="auto"/>
        </w:rPr>
      </w:pPr>
      <w:r>
        <w:rPr>
          <w:rFonts w:ascii="Arial" w:cs="Arial" w:eastAsia="Arial" w:hAnsi="Arial"/>
          <w:sz w:val="16"/>
          <w:szCs w:val="16"/>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w:t>
      </w: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attaching to other prepayments, deposits or earnest money in the ordinary course of business; and</w:t>
      </w:r>
    </w:p>
    <w:p>
      <w:pPr>
        <w:spacing w:after="0" w:line="164" w:lineRule="exact"/>
        <w:rPr>
          <w:rFonts w:ascii="Arial" w:cs="Arial" w:eastAsia="Arial" w:hAnsi="Arial"/>
          <w:sz w:val="18"/>
          <w:szCs w:val="18"/>
          <w:color w:val="auto"/>
        </w:rPr>
      </w:pPr>
    </w:p>
    <w:p>
      <w:pPr>
        <w:ind w:left="700" w:hanging="236"/>
        <w:spacing w:after="0"/>
        <w:tabs>
          <w:tab w:leader="none" w:pos="7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165"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Property</w:t>
      </w:r>
      <w:r>
        <w:rPr>
          <w:rFonts w:ascii="Arial" w:cs="Arial" w:eastAsia="Arial" w:hAnsi="Arial"/>
          <w:sz w:val="16"/>
          <w:szCs w:val="16"/>
          <w:color w:val="auto"/>
        </w:rPr>
        <w:t>” means with respect to any Person any property or asset, whether real, personal or mixed, or tangible or intangible, including shares of capital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59"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Guarantees</w:t>
      </w:r>
    </w:p>
    <w:p>
      <w:pPr>
        <w:spacing w:after="0" w:line="90"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900" w:right="12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and the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With respect to the senior debt securities of each series, each Obligor will covenant under the senior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p>
    <w:p>
      <w:pPr>
        <w:spacing w:after="0" w:line="62"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senior debt securities of such series;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senior debt securities of such series, created in favor of the registered holders of the senior debt securities of such series;</w:t>
      </w:r>
    </w:p>
    <w:p>
      <w:pPr>
        <w:spacing w:after="0" w:line="50" w:lineRule="exact"/>
        <w:rPr>
          <w:rFonts w:ascii="Arial" w:cs="Arial" w:eastAsia="Arial" w:hAnsi="Arial"/>
          <w:sz w:val="18"/>
          <w:szCs w:val="18"/>
          <w:color w:val="auto"/>
        </w:rPr>
      </w:pPr>
    </w:p>
    <w:p>
      <w:pPr>
        <w:ind w:left="900" w:right="20" w:hanging="325"/>
        <w:spacing w:after="0" w:line="323" w:lineRule="auto"/>
        <w:tabs>
          <w:tab w:leader="none" w:pos="9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16" w:lineRule="exact"/>
        <w:rPr>
          <w:rFonts w:ascii="Arial" w:cs="Arial" w:eastAsia="Arial" w:hAnsi="Arial"/>
          <w:sz w:val="15"/>
          <w:szCs w:val="15"/>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18"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 With respect to the senior debt securities of each series, each Obligor will covenant under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not to enter into any sale and lease-back transaction for the sale and leasing back of any Property, whether owned at the time the senior indenture is executed or acquired afterward, unless:</w:t>
      </w:r>
    </w:p>
    <w:p>
      <w:pPr>
        <w:spacing w:after="0" w:line="59"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such Obligor of any Property by one of its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w:t>
      </w: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above; or</w:t>
      </w:r>
    </w:p>
    <w:p>
      <w:pPr>
        <w:spacing w:after="0" w:line="59" w:lineRule="exact"/>
        <w:rPr>
          <w:rFonts w:ascii="Arial" w:cs="Arial" w:eastAsia="Arial" w:hAnsi="Arial"/>
          <w:sz w:val="18"/>
          <w:szCs w:val="18"/>
          <w:color w:val="auto"/>
        </w:rPr>
      </w:pPr>
    </w:p>
    <w:p>
      <w:pPr>
        <w:ind w:left="900" w:right="100" w:hanging="325"/>
        <w:spacing w:after="0" w:line="256"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14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Consolidation, Merger and Sale of Assets</w:t>
      </w:r>
      <w:r>
        <w:rPr>
          <w:rFonts w:ascii="Arial" w:cs="Arial" w:eastAsia="Arial" w:hAnsi="Arial"/>
          <w:sz w:val="18"/>
          <w:szCs w:val="18"/>
          <w:color w:val="auto"/>
        </w:rPr>
        <w:t>. We will not consolidate or combine with or merge with or into or, directly or indirectly, sell, assign, convey,</w:t>
      </w:r>
      <w:r>
        <w:rPr>
          <w:rFonts w:ascii="Arial" w:cs="Arial" w:eastAsia="Arial" w:hAnsi="Arial"/>
          <w:sz w:val="18"/>
          <w:szCs w:val="18"/>
          <w:i w:val="1"/>
          <w:iCs w:val="1"/>
          <w:color w:val="auto"/>
        </w:rPr>
        <w:t xml:space="preserve"> </w:t>
      </w:r>
      <w:r>
        <w:rPr>
          <w:rFonts w:ascii="Arial" w:cs="Arial" w:eastAsia="Arial" w:hAnsi="Arial"/>
          <w:sz w:val="18"/>
          <w:szCs w:val="18"/>
          <w:color w:val="auto"/>
        </w:rPr>
        <w:t>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59" w:lineRule="exact"/>
        <w:rPr>
          <w:sz w:val="20"/>
          <w:szCs w:val="20"/>
          <w:color w:val="auto"/>
        </w:rPr>
      </w:pPr>
    </w:p>
    <w:p>
      <w:pPr>
        <w:ind w:left="900" w:right="30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59"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or series of transactions on a pro forma basis, no default has occurred and is continuing; and</w:t>
      </w:r>
    </w:p>
    <w:p>
      <w:pPr>
        <w:spacing w:after="0" w:line="113" w:lineRule="exact"/>
        <w:rPr>
          <w:rFonts w:ascii="Arial" w:cs="Arial" w:eastAsia="Arial" w:hAnsi="Arial"/>
          <w:sz w:val="16"/>
          <w:szCs w:val="16"/>
          <w:color w:val="auto"/>
        </w:rPr>
      </w:pPr>
    </w:p>
    <w:p>
      <w:pPr>
        <w:ind w:left="900" w:right="42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90" w:lineRule="exact"/>
        <w:rPr>
          <w:sz w:val="20"/>
          <w:szCs w:val="20"/>
          <w:color w:val="auto"/>
        </w:rPr>
      </w:pPr>
    </w:p>
    <w:p>
      <w:pPr>
        <w:ind w:left="900" w:right="2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person will succeed to, and be substituted for, and may exercise every right and power of ours under the indenture with the same effect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Existence</w:t>
      </w:r>
      <w:r>
        <w:rPr>
          <w:rFonts w:ascii="Arial" w:cs="Arial" w:eastAsia="Arial" w:hAnsi="Arial"/>
          <w:sz w:val="18"/>
          <w:szCs w:val="18"/>
          <w:color w:val="auto"/>
        </w:rPr>
        <w:t>. Except as permitted under “—</w:t>
      </w:r>
      <w:r>
        <w:rPr>
          <w:rFonts w:ascii="Arial" w:cs="Arial" w:eastAsia="Arial" w:hAnsi="Arial"/>
          <w:sz w:val="18"/>
          <w:szCs w:val="18"/>
          <w:i w:val="1"/>
          <w:iCs w:val="1"/>
          <w:color w:val="auto"/>
        </w:rPr>
        <w:t>Consolidation, Merger and Sale of Assets</w:t>
      </w:r>
      <w:r>
        <w:rPr>
          <w:rFonts w:ascii="Arial" w:cs="Arial" w:eastAsia="Arial" w:hAnsi="Arial"/>
          <w:sz w:val="18"/>
          <w:szCs w:val="18"/>
          <w:color w:val="auto"/>
        </w:rPr>
        <w:t>,” the indenture requires us to do or cause to be done all things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Information</w:t>
      </w:r>
      <w:r>
        <w:rPr>
          <w:rFonts w:ascii="Arial" w:cs="Arial" w:eastAsia="Arial" w:hAnsi="Arial"/>
          <w:sz w:val="18"/>
          <w:szCs w:val="18"/>
          <w:color w:val="auto"/>
        </w:rPr>
        <w:t>. We will furnish to the trustee any document or report we are required to file with the SEC pursuant to Section 13 or Section 15(d)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will constitute an event of default in the senior indenture with respect to the senior debt securities of any series:</w:t>
      </w:r>
    </w:p>
    <w:p>
      <w:pPr>
        <w:spacing w:after="0" w:line="90" w:lineRule="exact"/>
        <w:rPr>
          <w:sz w:val="20"/>
          <w:szCs w:val="20"/>
          <w:color w:val="auto"/>
        </w:rPr>
      </w:pPr>
    </w:p>
    <w:p>
      <w:pPr>
        <w:ind w:left="700" w:hanging="236"/>
        <w:spacing w:after="0"/>
        <w:tabs>
          <w:tab w:leader="none" w:pos="7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default in paying interest on the senior debt securities of such series when it becomes due and the default continues for a period of 30 days or more;</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default in paying principal on the senior debt securities of such series when due;</w:t>
      </w:r>
    </w:p>
    <w:p>
      <w:pPr>
        <w:spacing w:after="0" w:line="171" w:lineRule="exact"/>
        <w:rPr>
          <w:rFonts w:ascii="Arial" w:cs="Arial" w:eastAsia="Arial" w:hAnsi="Arial"/>
          <w:sz w:val="18"/>
          <w:szCs w:val="18"/>
          <w:color w:val="auto"/>
        </w:rPr>
      </w:pPr>
    </w:p>
    <w:p>
      <w:pPr>
        <w:jc w:val="both"/>
        <w:ind w:right="180" w:firstLine="464"/>
        <w:spacing w:after="0" w:line="256" w:lineRule="auto"/>
        <w:tabs>
          <w:tab w:leader="none" w:pos="6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certain events of bankruptcy, insolvency, reorganization, administration or similar proceedings with respect to us or any Obligor have occurred; or</w:t>
      </w:r>
    </w:p>
    <w:p>
      <w:pPr>
        <w:spacing w:after="0" w:line="194" w:lineRule="exact"/>
        <w:rPr>
          <w:rFonts w:ascii="Arial" w:cs="Arial" w:eastAsia="Arial" w:hAnsi="Arial"/>
          <w:sz w:val="16"/>
          <w:szCs w:val="16"/>
          <w:color w:val="auto"/>
        </w:rPr>
      </w:pPr>
    </w:p>
    <w:p>
      <w:pPr>
        <w:ind w:left="700" w:hanging="23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Guarantee shall not be (or shall be claimed by the relevant Guarantor not to be) in full force and effect.</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After a declaration of acceleration or any automatic acceleration under clause (d)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1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senior indenture within 120 days of the end of each fiscal year.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may terminate our obligations and the obligations of the Guarantors under the indenture with respect to the senior debt securities of any series and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Guarantees of such series of senior debt securities, when:</w:t>
      </w:r>
    </w:p>
    <w:p>
      <w:pPr>
        <w:spacing w:after="0" w:line="84"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80" w:right="400" w:hanging="446"/>
        <w:spacing w:after="0" w:line="268" w:lineRule="auto"/>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the senior debt securities of such series that have been authenticated and delivered have been canceled or delivered to the trustee for cancellation; or</w:t>
      </w:r>
    </w:p>
    <w:p>
      <w:pPr>
        <w:spacing w:after="0" w:line="50" w:lineRule="exact"/>
        <w:rPr>
          <w:rFonts w:ascii="Arial" w:cs="Arial" w:eastAsia="Arial" w:hAnsi="Arial"/>
          <w:sz w:val="18"/>
          <w:szCs w:val="18"/>
          <w:color w:val="auto"/>
        </w:rPr>
      </w:pPr>
    </w:p>
    <w:p>
      <w:pPr>
        <w:ind w:left="1480" w:hanging="446"/>
        <w:spacing w:after="0" w:line="294" w:lineRule="auto"/>
        <w:tabs>
          <w:tab w:leader="none" w:pos="14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34"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with respect to the senior debt securities of such series; and</w:t>
      </w:r>
    </w:p>
    <w:p>
      <w:pPr>
        <w:spacing w:after="0" w:line="50" w:lineRule="exact"/>
        <w:rPr>
          <w:rFonts w:ascii="Arial" w:cs="Arial" w:eastAsia="Arial" w:hAnsi="Arial"/>
          <w:sz w:val="18"/>
          <w:szCs w:val="18"/>
          <w:color w:val="auto"/>
        </w:rPr>
      </w:pPr>
    </w:p>
    <w:p>
      <w:pPr>
        <w:ind w:left="900" w:right="420" w:hanging="325"/>
        <w:spacing w:after="0" w:line="370" w:lineRule="auto"/>
        <w:tabs>
          <w:tab w:leader="none" w:pos="9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6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26"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rights of holders of the senior debt securities of such series to receive principal or interest when due;</w:t>
      </w:r>
    </w:p>
    <w:p>
      <w:pPr>
        <w:spacing w:after="0" w:line="90" w:lineRule="exact"/>
        <w:rPr>
          <w:rFonts w:ascii="Arial" w:cs="Arial" w:eastAsia="Arial" w:hAnsi="Arial"/>
          <w:sz w:val="18"/>
          <w:szCs w:val="18"/>
          <w:color w:val="auto"/>
        </w:rPr>
      </w:pPr>
    </w:p>
    <w:p>
      <w:pPr>
        <w:jc w:val="both"/>
        <w:ind w:left="900" w:right="160" w:hanging="325"/>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59"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provisions relating to the resignation and removal of the trustee and the appointment of a successor trustee;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we may elect to have our and the Guarantors’ obligations released with respect to certain covenants in the indenture (“covenant defeasance”). In the event covenant defeasance occurs, certain events, not including nonpayment, bankruptcy and insolvency events, described under “—Events of Default” will no longer constitute an event of default for that series.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to exercise either legal defeasance or covenant defeasance with respect to outstanding senior debt securities and Guarantees of any series:</w:t>
      </w:r>
    </w:p>
    <w:p>
      <w:pPr>
        <w:spacing w:after="0" w:line="113" w:lineRule="exact"/>
        <w:rPr>
          <w:sz w:val="20"/>
          <w:szCs w:val="20"/>
          <w:color w:val="auto"/>
        </w:rPr>
      </w:pPr>
    </w:p>
    <w:p>
      <w:pPr>
        <w:ind w:left="900" w:right="400" w:hanging="325"/>
        <w:spacing w:after="0" w:line="332"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U.S. Government Obligations (measured with respect to the scheduled payments of principal and interest thereon); or</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combination of cash and U.S. Government Obligations;</w:t>
      </w:r>
    </w:p>
    <w:p>
      <w:pPr>
        <w:spacing w:after="0" w:line="90"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62" w:lineRule="exact"/>
        <w:rPr>
          <w:sz w:val="20"/>
          <w:szCs w:val="20"/>
          <w:color w:val="auto"/>
        </w:rPr>
      </w:pPr>
    </w:p>
    <w:p>
      <w:pPr>
        <w:ind w:left="900" w:right="100" w:hanging="325"/>
        <w:spacing w:after="0" w:line="298"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the case of legal defeasance, we have delivered to the trustee an opinion of counsel stating that, as a result of an Internal Revenue Service (“IRS”) ruling or a change in applicable federal income tax law, the holders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31" w:lineRule="exact"/>
        <w:rPr>
          <w:rFonts w:ascii="Arial" w:cs="Arial" w:eastAsia="Arial" w:hAnsi="Arial"/>
          <w:sz w:val="16"/>
          <w:szCs w:val="16"/>
          <w:color w:val="auto"/>
        </w:rPr>
      </w:pPr>
    </w:p>
    <w:p>
      <w:pPr>
        <w:ind w:left="900" w:right="60" w:hanging="325"/>
        <w:spacing w:after="0" w:line="306"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the case of covenant defeasance, we have delivered to the trustee an opinion of counsel to the effect that the holders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25" w:lineRule="exact"/>
        <w:rPr>
          <w:rFonts w:ascii="Arial" w:cs="Arial" w:eastAsia="Arial" w:hAnsi="Arial"/>
          <w:sz w:val="16"/>
          <w:szCs w:val="16"/>
          <w:color w:val="auto"/>
        </w:rPr>
      </w:pPr>
    </w:p>
    <w:p>
      <w:pPr>
        <w:ind w:left="900" w:hanging="325"/>
        <w:spacing w:after="0" w:line="298"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31" w:lineRule="exact"/>
        <w:rPr>
          <w:rFonts w:ascii="Arial" w:cs="Arial" w:eastAsia="Arial" w:hAnsi="Arial"/>
          <w:sz w:val="16"/>
          <w:szCs w:val="16"/>
          <w:color w:val="auto"/>
        </w:rPr>
      </w:pPr>
    </w:p>
    <w:p>
      <w:pPr>
        <w:ind w:left="900" w:right="28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50" w:lineRule="exact"/>
        <w:rPr>
          <w:rFonts w:ascii="Arial" w:cs="Arial" w:eastAsia="Arial" w:hAnsi="Arial"/>
          <w:sz w:val="18"/>
          <w:szCs w:val="18"/>
          <w:color w:val="auto"/>
        </w:rPr>
      </w:pPr>
    </w:p>
    <w:p>
      <w:pPr>
        <w:jc w:val="both"/>
        <w:ind w:left="900" w:right="60" w:hanging="325"/>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Guarantors or any other material agreement or instrument to which we are a party;</w:t>
      </w:r>
    </w:p>
    <w:p>
      <w:pPr>
        <w:spacing w:after="0" w:line="59" w:lineRule="exact"/>
        <w:rPr>
          <w:rFonts w:ascii="Arial" w:cs="Arial" w:eastAsia="Arial" w:hAnsi="Arial"/>
          <w:sz w:val="18"/>
          <w:szCs w:val="18"/>
          <w:color w:val="auto"/>
        </w:rPr>
      </w:pPr>
    </w:p>
    <w:p>
      <w:pPr>
        <w:ind w:left="900" w:right="460" w:hanging="325"/>
        <w:spacing w:after="0" w:line="357" w:lineRule="auto"/>
        <w:tabs>
          <w:tab w:leader="none" w:pos="9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ind w:left="900" w:right="4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the Guarantors and the trustee may amend or modify the senior indenture or the senior debt securities of any series without notice to or the consent of any holder in order to:</w:t>
      </w:r>
    </w:p>
    <w:p>
      <w:pPr>
        <w:spacing w:after="0" w:line="51" w:lineRule="exact"/>
        <w:rPr>
          <w:sz w:val="20"/>
          <w:szCs w:val="20"/>
          <w:color w:val="auto"/>
        </w:rPr>
      </w:pPr>
    </w:p>
    <w:p>
      <w:pPr>
        <w:ind w:left="900" w:right="46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cure any ambiguities, omissions, defects or inconsistencies in the senior indenture in a manner that does not adversely affect the interests of the holders in any material respect;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secure the senior debt securities of any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 the form or terms of senior debt securities of any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for uncertificated senior debt securities in addition to or in place of certificated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conform any provision in the indenture to this “Description of Debt Securities and Guarantees”;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39" w:lineRule="exact"/>
        <w:rPr>
          <w:sz w:val="20"/>
          <w:szCs w:val="20"/>
          <w:color w:val="auto"/>
        </w:rPr>
      </w:pPr>
    </w:p>
    <w:p>
      <w:pPr>
        <w:ind w:left="900" w:right="18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senior debt securities of such series or alter or waive the redemption provisions of the senior debt securities of such series;</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senior debt securities of such series which must consent to an amendment, supplement or waiver or consent to take any 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waive a payment default with respect to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senior debt securities of such series;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adversely affect the ranking of the senior debt securities of such series.</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 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 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senior indenture, including any Guarantee, and each senior debt security is governed by and construed in accordance with the laws of the State of New</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Gerald L. Hassell, one of our directors, is the Chairman and Chief Executive Officer and a director of the trustee.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5"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0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2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459" w:right="3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Special common stock.</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intend to pay quarterly dividends at an annual rate currently of $1.00 per share, although each dividend is subject to approval by our Board of Directors.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See “Dividend Policy” above.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6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As of December 31, 2014, on all matters submitted for a vote of holders of all classes of our voting stock, holders of our Class A common stock in the aggregate hold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xml:space="preserve">% of the aggregate voting power of our capital stock. As of December 31, 2014, our Class B common stock has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combined voting power of our common stock. This nondilutable voting power is subject to proportional decrease to the extent the number of shares of Class B common stock is reduced below 9,444,375, subject to adjustment in specified situations. Stock dividends payable on the Class B common stock in the form of Class B or Class A Special common stock do not decrease the nondilutable voting power of the Class B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Except as required by law, holders of Class A Special common stock and Class A common stock have no specific approval rights over any corporate actions. Holders of our Class B common stock have an approval right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 xml:space="preserve">Brian L. Roberts, our Chairman, Chief Executive Officer and President, beneficially owns all outstanding shares of our Class B common stock, which has a nondilutable 33 </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or Class A Special common stock. As of September 30, 2015, if Mr. Roberts were to convert the Class B common stock he beneficially owns into Class A common stock, Mr. Roberts would beneficially own 15,182,592 shares of Class A common stock, which is less than 1% of the Class A common stock that would be outstanding after the conversion.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Class B common stock is convertible share for share into either the Class A common stock or the Class A Special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holders of Class A common stock, Class A Special common stock and Class B common stock do not have any preemptive rights. All shares of Class A common stock, Class A Special common stock and Class B common stock presently outstanding are, and all shares of the Class A common stock and Class A Special common stock offered hereby, or issuable upon conversion, exchange or exercise of securities offered hereby,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will, when issued, be, fully paid and nonassessable. We have been advised that the Class A common stock and Class A Special common stock are exempt from existing Pennsylvania personal property tax.</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transfer agent and registrar for our Class A Special common stock and Class A common stock is Wells Fargo Shareowner Services, P.O. Box 64874, St.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Paul, Minnesota 55164-0874 . Their telephone number is (888) 883-8903.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selling security holders may sell the securities being offered hereby in four ways:</w:t>
      </w:r>
    </w:p>
    <w:p>
      <w:pPr>
        <w:spacing w:after="0" w:line="90"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As to matters governed by Pennsylvania law, Arthur R. Block, Esquire, Executive Vice President, General Counsel and Secretary of Comcast,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LLP will represent the underwriters.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Comcast Corporation and subsidiaries, incorporated herein by reference from Comcast Corporation ’s Annual Report on Form 10-K for the year ended December 31, 2014,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1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NBCUniversal Media, LLC and its subsidiaries, incorporated herein by reference from NBCUniversal Media, LLC’s Annual Report on Form 10-K for the year ended December 31, 2014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Comcast and NBCUniversal file combined annual and quarterly reports and combined or separate special reports and other information with the SEC. Comcast Cable does not currently file information with the SEC. Although Comcast Cable would normally be required to file information with the SEC on an ongoing basis, we expect that it will continue to be exempt from this filing obligation for as long as we continue to file our information with the SEC. You may read and copy any document we or NBCUniversal files at the SEC’s public reference room located at 100 F Street, NE, Washington, D.C. 20549. Please call the SEC at 1-800-SEC-0330 for further information on the public reference rooms. Our and NBCUniversal’s SEC filings, including the complete registration statement and all of the exhibits to it, are available through the SEC’s website at http://www.sec.gov.</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in any free writing prospectus prepared by or on behalf of us or to which we have referred you and in material we or NBCUniversal file with the SEC and incorporate by reference herein.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any such free writing prospectus and our and NBCUniversal’s filings with the SEC is accurate as of any date other than their respective dates.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Comcast’s and NBCUniversal’s combined Annual Report on Form 10-K for the year ended December 31, 2014, filed on February 27, 2015.</w:t>
      </w:r>
    </w:p>
    <w:p>
      <w:pPr>
        <w:spacing w:after="0" w:line="113"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Comcast’s and NBCUniversal’s combined Quarterly Reports on Form 10-Q for the quarters ended March 31, 2015, June 30, 2015 and September 30, 2015, filed on May 4, 2015, July 23, 2015 and October 27, 2015, respectively.</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Comcast’s Current Reports on Form 8-K and amendments thereto filed on January 29, 2015, March 31, 2015, April 24, 2015, May 11, 2015, May 22, 2015, May 27, 2015, June 18, 2015, July 1, 2015 and July 7, 2015.</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NBCUniversal’s Current Reports on Form 8-K and amendments thereto filed on March 31, 2015, May 11, 2015 and July 1, 2015.</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section of Comcast’s Definitive Proxy Statement on Schedule 14A for the 2015 annual meeting of shareholders incorporated by reference in Comcast’s Annual Report on Form 10-K for the year ended December 31, 2014.</w:t>
      </w:r>
    </w:p>
    <w:p>
      <w:pPr>
        <w:spacing w:after="0" w:line="50" w:lineRule="exact"/>
        <w:rPr>
          <w:rFonts w:ascii="Arial" w:cs="Arial" w:eastAsia="Arial" w:hAnsi="Arial"/>
          <w:sz w:val="18"/>
          <w:szCs w:val="18"/>
          <w:color w:val="auto"/>
        </w:rPr>
      </w:pPr>
    </w:p>
    <w:p>
      <w:pPr>
        <w:jc w:val="both"/>
        <w:ind w:left="900" w:right="40" w:hanging="325"/>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description of our capital stock incorporated in Comcast’s Current Report on Form 8-K12G3 and Registration Statement on Form 8-A12G, each filed on November 18, 2002, as amended by our Registration Statement on Form 8-A12B/A filed on December 20, 2010, as the same may be further amended from time to time.</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and NBCUniversal also incorporate by reference into this prospectus additional documents that we or NBCUniversal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685800</wp:posOffset>
            </wp:positionV>
            <wp:extent cx="1397635" cy="4889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260"/>
        <w:spacing w:after="0"/>
        <w:rPr>
          <w:sz w:val="20"/>
          <w:szCs w:val="20"/>
          <w:color w:val="auto"/>
        </w:rPr>
      </w:pPr>
      <w:r>
        <w:rPr>
          <w:rFonts w:ascii="Arial" w:cs="Arial" w:eastAsia="Arial" w:hAnsi="Arial"/>
          <w:sz w:val="32"/>
          <w:szCs w:val="32"/>
          <w:b w:val="1"/>
          <w:bCs w:val="1"/>
          <w:color w:val="auto"/>
        </w:rPr>
        <w:t>$350,000,000 2.75% Notes due 2023</w:t>
      </w:r>
    </w:p>
    <w:p>
      <w:pPr>
        <w:spacing w:after="0" w:line="33" w:lineRule="exact"/>
        <w:rPr>
          <w:sz w:val="20"/>
          <w:szCs w:val="20"/>
          <w:color w:val="auto"/>
        </w:rPr>
      </w:pPr>
    </w:p>
    <w:p>
      <w:pPr>
        <w:ind w:left="3260"/>
        <w:spacing w:after="0"/>
        <w:rPr>
          <w:sz w:val="20"/>
          <w:szCs w:val="20"/>
          <w:color w:val="auto"/>
        </w:rPr>
      </w:pPr>
      <w:r>
        <w:rPr>
          <w:rFonts w:ascii="Arial" w:cs="Arial" w:eastAsia="Arial" w:hAnsi="Arial"/>
          <w:sz w:val="32"/>
          <w:szCs w:val="32"/>
          <w:b w:val="1"/>
          <w:bCs w:val="1"/>
          <w:color w:val="auto"/>
        </w:rPr>
        <w:t>$700,000,000 3.15%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549910</wp:posOffset>
            </wp:positionV>
            <wp:extent cx="15176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00" w:type="dxa"/>
            <w:vAlign w:val="bottom"/>
          </w:tcPr>
          <w:p>
            <w:pPr>
              <w:spacing w:after="0"/>
              <w:rPr>
                <w:sz w:val="19"/>
                <w:szCs w:val="19"/>
                <w:color w:val="auto"/>
              </w:rPr>
            </w:pPr>
          </w:p>
        </w:tc>
        <w:tc>
          <w:tcPr>
            <w:tcW w:w="3520" w:type="dxa"/>
            <w:vAlign w:val="bottom"/>
            <w:gridSpan w:val="3"/>
          </w:tcPr>
          <w:p>
            <w:pPr>
              <w:jc w:val="center"/>
              <w:ind w:left="32"/>
              <w:spacing w:after="0"/>
              <w:rPr>
                <w:sz w:val="20"/>
                <w:szCs w:val="20"/>
                <w:color w:val="auto"/>
              </w:rPr>
            </w:pPr>
            <w:r>
              <w:rPr>
                <w:rFonts w:ascii="Arial" w:cs="Arial" w:eastAsia="Arial" w:hAnsi="Arial"/>
                <w:sz w:val="18"/>
                <w:szCs w:val="18"/>
                <w:b w:val="1"/>
                <w:bCs w:val="1"/>
                <w:color w:val="auto"/>
                <w:w w:val="95"/>
              </w:rPr>
              <w:t>PROSPECTUS SUPPLEMENT</w:t>
            </w:r>
          </w:p>
        </w:tc>
        <w:tc>
          <w:tcPr>
            <w:tcW w:w="4000" w:type="dxa"/>
            <w:vAlign w:val="bottom"/>
          </w:tcPr>
          <w:p>
            <w:pPr>
              <w:spacing w:after="0"/>
              <w:rPr>
                <w:sz w:val="19"/>
                <w:szCs w:val="19"/>
                <w:color w:val="auto"/>
              </w:rPr>
            </w:pPr>
          </w:p>
        </w:tc>
      </w:tr>
      <w:tr>
        <w:trPr>
          <w:trHeight w:val="286"/>
        </w:trPr>
        <w:tc>
          <w:tcPr>
            <w:tcW w:w="3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70"/>
        </w:trPr>
        <w:tc>
          <w:tcPr>
            <w:tcW w:w="3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00" w:type="dxa"/>
            <w:vAlign w:val="bottom"/>
            <w:gridSpan w:val="2"/>
          </w:tcPr>
          <w:p>
            <w:pPr>
              <w:jc w:val="center"/>
              <w:ind w:right="500"/>
              <w:spacing w:after="0"/>
              <w:rPr>
                <w:sz w:val="20"/>
                <w:szCs w:val="20"/>
                <w:color w:val="auto"/>
              </w:rPr>
            </w:pPr>
            <w:r>
              <w:rPr>
                <w:rFonts w:ascii="Arial" w:cs="Arial" w:eastAsia="Arial" w:hAnsi="Arial"/>
                <w:sz w:val="18"/>
                <w:szCs w:val="18"/>
                <w:i w:val="1"/>
                <w:iCs w:val="1"/>
                <w:color w:val="auto"/>
                <w:w w:val="89"/>
              </w:rPr>
              <w:t>Joint Book-Running Managers</w:t>
            </w:r>
          </w:p>
        </w:tc>
        <w:tc>
          <w:tcPr>
            <w:tcW w:w="4000" w:type="dxa"/>
            <w:vAlign w:val="bottom"/>
          </w:tcPr>
          <w:p>
            <w:pPr>
              <w:spacing w:after="0"/>
              <w:rPr>
                <w:sz w:val="24"/>
                <w:szCs w:val="24"/>
                <w:color w:val="auto"/>
              </w:rPr>
            </w:pPr>
          </w:p>
        </w:tc>
      </w:tr>
      <w:tr>
        <w:trPr>
          <w:trHeight w:val="434"/>
        </w:trPr>
        <w:tc>
          <w:tcPr>
            <w:tcW w:w="3900" w:type="dxa"/>
            <w:vAlign w:val="bottom"/>
          </w:tcPr>
          <w:p>
            <w:pPr>
              <w:spacing w:after="0"/>
              <w:rPr>
                <w:sz w:val="20"/>
                <w:szCs w:val="20"/>
                <w:color w:val="auto"/>
              </w:rPr>
            </w:pPr>
            <w:r>
              <w:rPr>
                <w:rFonts w:ascii="Arial" w:cs="Arial" w:eastAsia="Arial" w:hAnsi="Arial"/>
                <w:sz w:val="22"/>
                <w:szCs w:val="22"/>
                <w:b w:val="1"/>
                <w:bCs w:val="1"/>
                <w:color w:val="auto"/>
              </w:rPr>
              <w:t>BofA Merrill Lynch</w:t>
            </w:r>
          </w:p>
        </w:tc>
        <w:tc>
          <w:tcPr>
            <w:tcW w:w="620" w:type="dxa"/>
            <w:vAlign w:val="bottom"/>
          </w:tcPr>
          <w:p>
            <w:pPr>
              <w:spacing w:after="0"/>
              <w:rPr>
                <w:sz w:val="24"/>
                <w:szCs w:val="24"/>
                <w:color w:val="auto"/>
              </w:rPr>
            </w:pPr>
          </w:p>
        </w:tc>
        <w:tc>
          <w:tcPr>
            <w:tcW w:w="2900" w:type="dxa"/>
            <w:vAlign w:val="bottom"/>
            <w:gridSpan w:val="2"/>
          </w:tcPr>
          <w:p>
            <w:pPr>
              <w:jc w:val="center"/>
              <w:ind w:right="260"/>
              <w:spacing w:after="0"/>
              <w:rPr>
                <w:sz w:val="20"/>
                <w:szCs w:val="20"/>
                <w:color w:val="auto"/>
              </w:rPr>
            </w:pPr>
            <w:r>
              <w:rPr>
                <w:rFonts w:ascii="Arial" w:cs="Arial" w:eastAsia="Arial" w:hAnsi="Arial"/>
                <w:sz w:val="22"/>
                <w:szCs w:val="22"/>
                <w:b w:val="1"/>
                <w:bCs w:val="1"/>
                <w:color w:val="auto"/>
                <w:w w:val="94"/>
              </w:rPr>
              <w:t>RBC Capital Markets</w:t>
            </w:r>
          </w:p>
        </w:tc>
        <w:tc>
          <w:tcPr>
            <w:tcW w:w="4000" w:type="dxa"/>
            <w:vAlign w:val="bottom"/>
          </w:tcPr>
          <w:p>
            <w:pPr>
              <w:jc w:val="center"/>
              <w:ind w:left="252"/>
              <w:spacing w:after="0"/>
              <w:rPr>
                <w:sz w:val="20"/>
                <w:szCs w:val="20"/>
                <w:color w:val="auto"/>
              </w:rPr>
            </w:pPr>
            <w:r>
              <w:rPr>
                <w:rFonts w:ascii="Arial" w:cs="Arial" w:eastAsia="Arial" w:hAnsi="Arial"/>
                <w:sz w:val="22"/>
                <w:szCs w:val="22"/>
                <w:b w:val="1"/>
                <w:bCs w:val="1"/>
                <w:color w:val="auto"/>
                <w:w w:val="87"/>
              </w:rPr>
              <w:t>Wells Fargo Securities</w:t>
            </w:r>
          </w:p>
        </w:tc>
      </w:tr>
      <w:tr>
        <w:trPr>
          <w:trHeight w:val="281"/>
        </w:trPr>
        <w:tc>
          <w:tcPr>
            <w:tcW w:w="3900" w:type="dxa"/>
            <w:vAlign w:val="bottom"/>
          </w:tcPr>
          <w:p>
            <w:pPr>
              <w:ind w:left="2500"/>
              <w:spacing w:after="0"/>
              <w:rPr>
                <w:sz w:val="20"/>
                <w:szCs w:val="20"/>
                <w:color w:val="auto"/>
              </w:rPr>
            </w:pPr>
            <w:r>
              <w:rPr>
                <w:rFonts w:ascii="Arial" w:cs="Arial" w:eastAsia="Arial" w:hAnsi="Arial"/>
                <w:sz w:val="22"/>
                <w:szCs w:val="22"/>
                <w:b w:val="1"/>
                <w:bCs w:val="1"/>
                <w:color w:val="auto"/>
              </w:rPr>
              <w:t>Barclays</w:t>
            </w:r>
          </w:p>
        </w:tc>
        <w:tc>
          <w:tcPr>
            <w:tcW w:w="6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0" w:type="dxa"/>
            <w:vAlign w:val="bottom"/>
          </w:tcPr>
          <w:p>
            <w:pPr>
              <w:jc w:val="center"/>
              <w:ind w:right="1452"/>
              <w:spacing w:after="0"/>
              <w:rPr>
                <w:sz w:val="20"/>
                <w:szCs w:val="20"/>
                <w:color w:val="auto"/>
              </w:rPr>
            </w:pPr>
            <w:r>
              <w:rPr>
                <w:rFonts w:ascii="Arial" w:cs="Arial" w:eastAsia="Arial" w:hAnsi="Arial"/>
                <w:sz w:val="22"/>
                <w:szCs w:val="22"/>
                <w:b w:val="1"/>
                <w:bCs w:val="1"/>
                <w:color w:val="auto"/>
                <w:w w:val="93"/>
              </w:rPr>
              <w:t>BNP PARIBAS</w:t>
            </w:r>
          </w:p>
        </w:tc>
      </w:tr>
      <w:tr>
        <w:trPr>
          <w:trHeight w:val="287"/>
        </w:trPr>
        <w:tc>
          <w:tcPr>
            <w:tcW w:w="3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70"/>
        </w:trPr>
        <w:tc>
          <w:tcPr>
            <w:tcW w:w="3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00" w:type="dxa"/>
            <w:vAlign w:val="bottom"/>
            <w:gridSpan w:val="2"/>
          </w:tcPr>
          <w:p>
            <w:pPr>
              <w:jc w:val="center"/>
              <w:ind w:right="520"/>
              <w:spacing w:after="0"/>
              <w:rPr>
                <w:sz w:val="20"/>
                <w:szCs w:val="20"/>
                <w:color w:val="auto"/>
              </w:rPr>
            </w:pPr>
            <w:r>
              <w:rPr>
                <w:rFonts w:ascii="Arial" w:cs="Arial" w:eastAsia="Arial" w:hAnsi="Arial"/>
                <w:sz w:val="18"/>
                <w:szCs w:val="18"/>
                <w:i w:val="1"/>
                <w:iCs w:val="1"/>
                <w:color w:val="auto"/>
                <w:w w:val="89"/>
              </w:rPr>
              <w:t>Co-Managers</w:t>
            </w:r>
          </w:p>
        </w:tc>
        <w:tc>
          <w:tcPr>
            <w:tcW w:w="4000" w:type="dxa"/>
            <w:vAlign w:val="bottom"/>
          </w:tcPr>
          <w:p>
            <w:pPr>
              <w:spacing w:after="0"/>
              <w:rPr>
                <w:sz w:val="24"/>
                <w:szCs w:val="24"/>
                <w:color w:val="auto"/>
              </w:rPr>
            </w:pPr>
          </w:p>
        </w:tc>
      </w:tr>
      <w:tr>
        <w:trPr>
          <w:trHeight w:val="406"/>
        </w:trPr>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92"/>
              </w:rPr>
              <w:t>Citigroup</w:t>
            </w:r>
          </w:p>
        </w:tc>
        <w:tc>
          <w:tcPr>
            <w:tcW w:w="620" w:type="dxa"/>
            <w:vAlign w:val="bottom"/>
          </w:tcPr>
          <w:p>
            <w:pPr>
              <w:spacing w:after="0"/>
              <w:rPr>
                <w:sz w:val="24"/>
                <w:szCs w:val="24"/>
                <w:color w:val="auto"/>
              </w:rPr>
            </w:pPr>
          </w:p>
        </w:tc>
        <w:tc>
          <w:tcPr>
            <w:tcW w:w="2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Credit Suisse</w:t>
            </w:r>
          </w:p>
        </w:tc>
        <w:tc>
          <w:tcPr>
            <w:tcW w:w="4000" w:type="dxa"/>
            <w:vAlign w:val="bottom"/>
          </w:tcPr>
          <w:p>
            <w:pPr>
              <w:jc w:val="center"/>
              <w:ind w:left="252"/>
              <w:spacing w:after="0"/>
              <w:rPr>
                <w:sz w:val="20"/>
                <w:szCs w:val="20"/>
                <w:color w:val="auto"/>
              </w:rPr>
            </w:pPr>
            <w:r>
              <w:rPr>
                <w:rFonts w:ascii="Arial" w:cs="Arial" w:eastAsia="Arial" w:hAnsi="Arial"/>
                <w:sz w:val="18"/>
                <w:szCs w:val="18"/>
                <w:b w:val="1"/>
                <w:bCs w:val="1"/>
                <w:color w:val="auto"/>
                <w:w w:val="85"/>
              </w:rPr>
              <w:t>Deutsche Bank Securities</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88"/>
              </w:rPr>
              <w:t>Goldman, Sachs &amp; Co.</w:t>
            </w:r>
          </w:p>
        </w:tc>
        <w:tc>
          <w:tcPr>
            <w:tcW w:w="620" w:type="dxa"/>
            <w:vAlign w:val="bottom"/>
          </w:tcPr>
          <w:p>
            <w:pPr>
              <w:spacing w:after="0"/>
              <w:rPr>
                <w:sz w:val="18"/>
                <w:szCs w:val="18"/>
                <w:color w:val="auto"/>
              </w:rPr>
            </w:pPr>
          </w:p>
        </w:tc>
        <w:tc>
          <w:tcPr>
            <w:tcW w:w="2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J.P. Morgan</w:t>
            </w:r>
          </w:p>
        </w:tc>
        <w:tc>
          <w:tcPr>
            <w:tcW w:w="4000" w:type="dxa"/>
            <w:vAlign w:val="bottom"/>
          </w:tcPr>
          <w:p>
            <w:pPr>
              <w:jc w:val="center"/>
              <w:ind w:left="272"/>
              <w:spacing w:after="0"/>
              <w:rPr>
                <w:sz w:val="20"/>
                <w:szCs w:val="20"/>
                <w:color w:val="auto"/>
              </w:rPr>
            </w:pPr>
            <w:r>
              <w:rPr>
                <w:rFonts w:ascii="Arial" w:cs="Arial" w:eastAsia="Arial" w:hAnsi="Arial"/>
                <w:sz w:val="18"/>
                <w:szCs w:val="18"/>
                <w:b w:val="1"/>
                <w:bCs w:val="1"/>
                <w:color w:val="auto"/>
                <w:w w:val="85"/>
              </w:rPr>
              <w:t>Lloyds Securities</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87"/>
              </w:rPr>
              <w:t>Mizuho Securities</w:t>
            </w:r>
          </w:p>
        </w:tc>
        <w:tc>
          <w:tcPr>
            <w:tcW w:w="620" w:type="dxa"/>
            <w:vAlign w:val="bottom"/>
          </w:tcPr>
          <w:p>
            <w:pPr>
              <w:spacing w:after="0"/>
              <w:rPr>
                <w:sz w:val="18"/>
                <w:szCs w:val="18"/>
                <w:color w:val="auto"/>
              </w:rPr>
            </w:pPr>
          </w:p>
        </w:tc>
        <w:tc>
          <w:tcPr>
            <w:tcW w:w="2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Morgan Stanley</w:t>
            </w:r>
          </w:p>
        </w:tc>
        <w:tc>
          <w:tcPr>
            <w:tcW w:w="4000" w:type="dxa"/>
            <w:vAlign w:val="bottom"/>
          </w:tcPr>
          <w:p>
            <w:pPr>
              <w:jc w:val="center"/>
              <w:ind w:left="272"/>
              <w:spacing w:after="0"/>
              <w:rPr>
                <w:sz w:val="20"/>
                <w:szCs w:val="20"/>
                <w:color w:val="auto"/>
              </w:rPr>
            </w:pPr>
            <w:r>
              <w:rPr>
                <w:rFonts w:ascii="Arial" w:cs="Arial" w:eastAsia="Arial" w:hAnsi="Arial"/>
                <w:sz w:val="18"/>
                <w:szCs w:val="18"/>
                <w:b w:val="1"/>
                <w:bCs w:val="1"/>
                <w:color w:val="auto"/>
                <w:w w:val="93"/>
              </w:rPr>
              <w:t>SMBC Nikko</w:t>
            </w:r>
          </w:p>
        </w:tc>
      </w:tr>
      <w:tr>
        <w:trPr>
          <w:trHeight w:val="228"/>
        </w:trPr>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88"/>
              </w:rPr>
              <w:t>SunTrust Robinson Humphrey</w:t>
            </w:r>
          </w:p>
        </w:tc>
        <w:tc>
          <w:tcPr>
            <w:tcW w:w="6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0" w:type="dxa"/>
            <w:vAlign w:val="bottom"/>
          </w:tcPr>
          <w:p>
            <w:pPr>
              <w:jc w:val="center"/>
              <w:ind w:left="272"/>
              <w:spacing w:after="0"/>
              <w:rPr>
                <w:sz w:val="20"/>
                <w:szCs w:val="20"/>
                <w:color w:val="auto"/>
              </w:rPr>
            </w:pPr>
            <w:r>
              <w:rPr>
                <w:rFonts w:ascii="Arial" w:cs="Arial" w:eastAsia="Arial" w:hAnsi="Arial"/>
                <w:sz w:val="18"/>
                <w:szCs w:val="18"/>
                <w:b w:val="1"/>
                <w:bCs w:val="1"/>
                <w:color w:val="auto"/>
                <w:w w:val="89"/>
              </w:rPr>
              <w:t>UBS Investment Bank</w:t>
            </w:r>
          </w:p>
        </w:tc>
      </w:tr>
      <w:tr>
        <w:trPr>
          <w:trHeight w:val="297"/>
        </w:trPr>
        <w:tc>
          <w:tcPr>
            <w:tcW w:w="3900" w:type="dxa"/>
            <w:vAlign w:val="bottom"/>
          </w:tcPr>
          <w:p>
            <w:pPr>
              <w:ind w:left="2500"/>
              <w:spacing w:after="0"/>
              <w:rPr>
                <w:sz w:val="20"/>
                <w:szCs w:val="20"/>
                <w:color w:val="auto"/>
              </w:rPr>
            </w:pPr>
            <w:r>
              <w:rPr>
                <w:rFonts w:ascii="Arial" w:cs="Arial" w:eastAsia="Arial" w:hAnsi="Arial"/>
                <w:sz w:val="18"/>
                <w:szCs w:val="18"/>
                <w:b w:val="1"/>
                <w:bCs w:val="1"/>
                <w:color w:val="auto"/>
              </w:rPr>
              <w:t>Santander</w:t>
            </w:r>
          </w:p>
        </w:tc>
        <w:tc>
          <w:tcPr>
            <w:tcW w:w="6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0" w:type="dxa"/>
            <w:vAlign w:val="bottom"/>
          </w:tcPr>
          <w:p>
            <w:pPr>
              <w:jc w:val="center"/>
              <w:ind w:right="1452"/>
              <w:spacing w:after="0"/>
              <w:rPr>
                <w:sz w:val="20"/>
                <w:szCs w:val="20"/>
                <w:color w:val="auto"/>
              </w:rPr>
            </w:pPr>
            <w:r>
              <w:rPr>
                <w:rFonts w:ascii="Arial" w:cs="Arial" w:eastAsia="Arial" w:hAnsi="Arial"/>
                <w:sz w:val="18"/>
                <w:szCs w:val="18"/>
                <w:b w:val="1"/>
                <w:bCs w:val="1"/>
                <w:color w:val="auto"/>
                <w:w w:val="87"/>
              </w:rPr>
              <w:t>US Bancorp</w:t>
            </w:r>
          </w:p>
        </w:tc>
      </w:tr>
      <w:tr>
        <w:trPr>
          <w:trHeight w:val="297"/>
        </w:trPr>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94"/>
              </w:rPr>
              <w:t>DNB Markets</w:t>
            </w:r>
          </w:p>
        </w:tc>
        <w:tc>
          <w:tcPr>
            <w:tcW w:w="620" w:type="dxa"/>
            <w:vAlign w:val="bottom"/>
          </w:tcPr>
          <w:p>
            <w:pPr>
              <w:spacing w:after="0"/>
              <w:rPr>
                <w:sz w:val="24"/>
                <w:szCs w:val="24"/>
                <w:color w:val="auto"/>
              </w:rPr>
            </w:pPr>
          </w:p>
        </w:tc>
        <w:tc>
          <w:tcPr>
            <w:tcW w:w="2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PNC Capital Markets LLC</w:t>
            </w:r>
          </w:p>
        </w:tc>
        <w:tc>
          <w:tcPr>
            <w:tcW w:w="4000" w:type="dxa"/>
            <w:vAlign w:val="bottom"/>
          </w:tcPr>
          <w:p>
            <w:pPr>
              <w:jc w:val="center"/>
              <w:ind w:left="252"/>
              <w:spacing w:after="0"/>
              <w:rPr>
                <w:sz w:val="20"/>
                <w:szCs w:val="20"/>
                <w:color w:val="auto"/>
              </w:rPr>
            </w:pPr>
            <w:r>
              <w:rPr>
                <w:rFonts w:ascii="Arial" w:cs="Arial" w:eastAsia="Arial" w:hAnsi="Arial"/>
                <w:sz w:val="18"/>
                <w:szCs w:val="18"/>
                <w:b w:val="1"/>
                <w:bCs w:val="1"/>
                <w:color w:val="auto"/>
                <w:w w:val="88"/>
              </w:rPr>
              <w:t>TD Securities</w:t>
            </w:r>
          </w:p>
        </w:tc>
      </w:tr>
      <w:tr>
        <w:trPr>
          <w:trHeight w:val="219"/>
        </w:trPr>
        <w:tc>
          <w:tcPr>
            <w:tcW w:w="3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The Williams Capital Group, L.P.</w:t>
            </w:r>
          </w:p>
        </w:tc>
        <w:tc>
          <w:tcPr>
            <w:tcW w:w="4000" w:type="dxa"/>
            <w:vAlign w:val="bottom"/>
          </w:tcPr>
          <w:p>
            <w:pPr>
              <w:spacing w:after="0"/>
              <w:rPr>
                <w:sz w:val="19"/>
                <w:szCs w:val="19"/>
                <w:color w:val="auto"/>
              </w:rPr>
            </w:pPr>
          </w:p>
        </w:tc>
      </w:tr>
      <w:tr>
        <w:trPr>
          <w:trHeight w:val="149"/>
        </w:trPr>
        <w:tc>
          <w:tcPr>
            <w:tcW w:w="3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C.L. King &amp; Associates</w:t>
            </w:r>
          </w:p>
        </w:tc>
        <w:tc>
          <w:tcPr>
            <w:tcW w:w="620" w:type="dxa"/>
            <w:vAlign w:val="bottom"/>
          </w:tcPr>
          <w:p>
            <w:pPr>
              <w:spacing w:after="0"/>
              <w:rPr>
                <w:sz w:val="12"/>
                <w:szCs w:val="12"/>
                <w:color w:val="auto"/>
              </w:rPr>
            </w:pPr>
          </w:p>
        </w:tc>
        <w:tc>
          <w:tcPr>
            <w:tcW w:w="2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Drexel Hamilton</w:t>
            </w:r>
          </w:p>
        </w:tc>
        <w:tc>
          <w:tcPr>
            <w:tcW w:w="4000" w:type="dxa"/>
            <w:vAlign w:val="bottom"/>
          </w:tcPr>
          <w:p>
            <w:pPr>
              <w:jc w:val="center"/>
              <w:ind w:left="272"/>
              <w:spacing w:after="0" w:line="149" w:lineRule="exact"/>
              <w:rPr>
                <w:sz w:val="20"/>
                <w:szCs w:val="20"/>
                <w:color w:val="auto"/>
              </w:rPr>
            </w:pPr>
            <w:r>
              <w:rPr>
                <w:rFonts w:ascii="Arial" w:cs="Arial" w:eastAsia="Arial" w:hAnsi="Arial"/>
                <w:sz w:val="14"/>
                <w:szCs w:val="14"/>
                <w:b w:val="1"/>
                <w:bCs w:val="1"/>
                <w:color w:val="auto"/>
                <w:w w:val="89"/>
              </w:rPr>
              <w:t>Lebenthal Capital Markets</w:t>
            </w:r>
          </w:p>
        </w:tc>
      </w:tr>
      <w:tr>
        <w:trPr>
          <w:trHeight w:val="174"/>
        </w:trPr>
        <w:tc>
          <w:tcPr>
            <w:tcW w:w="3900" w:type="dxa"/>
            <w:vAlign w:val="bottom"/>
          </w:tcPr>
          <w:p>
            <w:pPr>
              <w:jc w:val="center"/>
              <w:spacing w:after="0"/>
              <w:rPr>
                <w:sz w:val="20"/>
                <w:szCs w:val="20"/>
                <w:color w:val="auto"/>
              </w:rPr>
            </w:pPr>
            <w:r>
              <w:rPr>
                <w:rFonts w:ascii="Arial" w:cs="Arial" w:eastAsia="Arial" w:hAnsi="Arial"/>
                <w:sz w:val="14"/>
                <w:szCs w:val="14"/>
                <w:b w:val="1"/>
                <w:bCs w:val="1"/>
                <w:color w:val="auto"/>
                <w:w w:val="90"/>
              </w:rPr>
              <w:t>Loop Capital Markets</w:t>
            </w:r>
          </w:p>
        </w:tc>
        <w:tc>
          <w:tcPr>
            <w:tcW w:w="620" w:type="dxa"/>
            <w:vAlign w:val="bottom"/>
          </w:tcPr>
          <w:p>
            <w:pPr>
              <w:spacing w:after="0"/>
              <w:rPr>
                <w:sz w:val="15"/>
                <w:szCs w:val="15"/>
                <w:color w:val="auto"/>
              </w:rPr>
            </w:pPr>
          </w:p>
        </w:tc>
        <w:tc>
          <w:tcPr>
            <w:tcW w:w="2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Mischler Financial Group, Inc.</w:t>
            </w:r>
          </w:p>
        </w:tc>
        <w:tc>
          <w:tcPr>
            <w:tcW w:w="4000" w:type="dxa"/>
            <w:vAlign w:val="bottom"/>
          </w:tcPr>
          <w:p>
            <w:pPr>
              <w:jc w:val="center"/>
              <w:ind w:left="252"/>
              <w:spacing w:after="0"/>
              <w:rPr>
                <w:sz w:val="20"/>
                <w:szCs w:val="20"/>
                <w:color w:val="auto"/>
              </w:rPr>
            </w:pPr>
            <w:r>
              <w:rPr>
                <w:rFonts w:ascii="Arial" w:cs="Arial" w:eastAsia="Arial" w:hAnsi="Arial"/>
                <w:sz w:val="14"/>
                <w:szCs w:val="14"/>
                <w:b w:val="1"/>
                <w:bCs w:val="1"/>
                <w:color w:val="auto"/>
                <w:w w:val="88"/>
              </w:rPr>
              <w:t>Ramirez and Co., Inc.</w:t>
            </w:r>
          </w:p>
        </w:tc>
      </w:tr>
      <w:tr>
        <w:trPr>
          <w:trHeight w:val="876"/>
        </w:trPr>
        <w:tc>
          <w:tcPr>
            <w:tcW w:w="3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March 22, 2016</w:t>
            </w:r>
          </w:p>
        </w:tc>
        <w:tc>
          <w:tcPr>
            <w:tcW w:w="4000" w:type="dxa"/>
            <w:vAlign w:val="bottom"/>
          </w:tcPr>
          <w:p>
            <w:pPr>
              <w:spacing w:after="0"/>
              <w:rPr>
                <w:sz w:val="24"/>
                <w:szCs w:val="24"/>
                <w:color w:val="auto"/>
              </w:rPr>
            </w:pPr>
          </w:p>
        </w:tc>
      </w:tr>
      <w:tr>
        <w:trPr>
          <w:trHeight w:val="522"/>
        </w:trPr>
        <w:tc>
          <w:tcPr>
            <w:tcW w:w="39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decimal"/>
      <w:start w:val="1"/>
    </w:lvl>
  </w:abstractNum>
  <w:abstractNum w:abstractNumId="1">
    <w:nsid w:val="54E49EB4"/>
    <w:multiLevelType w:val="hybridMultilevel"/>
    <w:lvl w:ilvl="0">
      <w:lvlJc w:val="left"/>
      <w:lvlText w:val="(%1)"/>
      <w:numFmt w:val="decimal"/>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decimal"/>
      <w:start w:val="215"/>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1)"/>
      <w:numFmt w:val="lowerLetter"/>
      <w:start w:val="3"/>
    </w:lvl>
  </w:abstractNum>
  <w:abstractNum w:abstractNumId="7">
    <w:nsid w:val="8138641"/>
    <w:multiLevelType w:val="hybridMultilevel"/>
    <w:lvl w:ilvl="0">
      <w:lvlJc w:val="left"/>
      <w:lvlText w:val="•"/>
      <w:numFmt w:val="bullet"/>
      <w:start w:val="1"/>
    </w:lvl>
    <w:lvl w:ilvl="1">
      <w:lvlJc w:val="left"/>
      <w:lvlText w:val="•"/>
      <w:numFmt w:val="bullet"/>
      <w:start w:val="1"/>
    </w:lvl>
  </w:abstractNum>
  <w:abstractNum w:abstractNumId="8">
    <w:nsid w:val="1E7FF521"/>
    <w:multiLevelType w:val="hybridMultilevel"/>
    <w:lvl w:ilvl="0">
      <w:lvlJc w:val="left"/>
      <w:lvlText w:val="(%1)"/>
      <w:numFmt w:val="lowerRoman"/>
      <w:start w:val="1"/>
    </w:lvl>
  </w:abstractNum>
  <w:abstractNum w:abstractNumId="9">
    <w:nsid w:val="7C3DBD3D"/>
    <w:multiLevelType w:val="hybridMultilevel"/>
    <w:lvl w:ilvl="0">
      <w:lvlJc w:val="left"/>
      <w:lvlText w:val="%1"/>
      <w:numFmt w:val="lowerLetter"/>
      <w:start w:val="1"/>
    </w:lvl>
    <w:lvl w:ilvl="1">
      <w:lvlJc w:val="left"/>
      <w:lvlText w:val="(%2)"/>
      <w:numFmt w:val="lowerLetter"/>
      <w:start w:val="1"/>
    </w:lvl>
  </w:abstractNum>
  <w:abstractNum w:abstractNumId="10">
    <w:nsid w:val="737B8DDC"/>
    <w:multiLevelType w:val="hybridMultilevel"/>
    <w:lvl w:ilvl="0">
      <w:lvlJc w:val="left"/>
      <w:lvlText w:val="(%1)"/>
      <w:numFmt w:val="lowerLetter"/>
      <w:start w:val="9"/>
    </w:lvl>
    <w:lvl w:ilvl="1">
      <w:lvlJc w:val="left"/>
      <w:lvlText w:val="(%2)"/>
      <w:numFmt w:val="lowerLetter"/>
      <w:start w:val="2"/>
    </w:lvl>
  </w:abstractNum>
  <w:abstractNum w:abstractNumId="11">
    <w:nsid w:val="6CEAF087"/>
    <w:multiLevelType w:val="hybridMultilevel"/>
    <w:lvl w:ilvl="0">
      <w:lvlJc w:val="left"/>
      <w:lvlText w:val="(%1)"/>
      <w:numFmt w:val="lowerRoman"/>
      <w:start w:val="1"/>
    </w:lvl>
  </w:abstractNum>
  <w:abstractNum w:abstractNumId="12">
    <w:nsid w:val="22221A70"/>
    <w:multiLevelType w:val="hybridMultilevel"/>
    <w:lvl w:ilvl="0">
      <w:lvlJc w:val="left"/>
      <w:lvlText w:val="(%1)"/>
      <w:numFmt w:val="decimal"/>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1."/>
      <w:numFmt w:val="upperLetter"/>
      <w:start w:val="1"/>
    </w:lvl>
  </w:abstractNum>
  <w:abstractNum w:abstractNumId="19">
    <w:nsid w:val="5072367"/>
    <w:multiLevelType w:val="hybridMultilevel"/>
    <w:lvl w:ilvl="0">
      <w:lvlJc w:val="left"/>
      <w:lvlText w:val="%1."/>
      <w:numFmt w:val="upperLetter"/>
      <w:start w:val="3"/>
    </w:lvl>
  </w:abstractNum>
  <w:abstractNum w:abstractNumId="20">
    <w:nsid w:val="3804823E"/>
    <w:multiLevelType w:val="hybridMultilevel"/>
    <w:lvl w:ilvl="0">
      <w:lvlJc w:val="left"/>
      <w:lvlText w:val="(%1)"/>
      <w:numFmt w:val="lowerRoman"/>
      <w:start w:val="1"/>
    </w:lvl>
  </w:abstractNum>
  <w:abstractNum w:abstractNumId="21">
    <w:nsid w:val="77465F01"/>
    <w:multiLevelType w:val="hybridMultilevel"/>
    <w:lvl w:ilvl="0">
      <w:lvlJc w:val="left"/>
      <w:lvlText w:val="(%1)"/>
      <w:numFmt w:val="lowerLetter"/>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1)"/>
      <w:numFmt w:val="lowerLetter"/>
      <w:start w:val="3"/>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1)"/>
      <w:numFmt w:val="lowerLetter"/>
      <w:start w:val="1"/>
    </w:lvl>
  </w:abstractNum>
  <w:abstractNum w:abstractNumId="30">
    <w:nsid w:val="3855585C"/>
    <w:multiLevelType w:val="hybridMultilevel"/>
    <w:lvl w:ilvl="0">
      <w:lvlJc w:val="left"/>
      <w:lvlText w:val="(%1)"/>
      <w:numFmt w:val="lowerLetter"/>
      <w:start w:val="1"/>
    </w:lvl>
  </w:abstractNum>
  <w:abstractNum w:abstractNumId="31">
    <w:nsid w:val="70A64E2A"/>
    <w:multiLevelType w:val="hybridMultilevel"/>
    <w:lvl w:ilvl="0">
      <w:lvlJc w:val="left"/>
      <w:lvlText w:val="(%1)"/>
      <w:numFmt w:val="lowerLetter"/>
      <w:start w:val="1"/>
    </w:lvl>
  </w:abstractNum>
  <w:abstractNum w:abstractNumId="32">
    <w:nsid w:val="6A2342EC"/>
    <w:multiLevelType w:val="hybridMultilevel"/>
    <w:lvl w:ilvl="0">
      <w:lvlJc w:val="left"/>
      <w:lvlText w:val="(%1)"/>
      <w:numFmt w:val="lowerLetter"/>
      <w:start w:val="3"/>
    </w:lvl>
  </w:abstractNum>
  <w:abstractNum w:abstractNumId="33">
    <w:nsid w:val="2A487CB0"/>
    <w:multiLevelType w:val="hybridMultilevel"/>
    <w:lvl w:ilvl="0">
      <w:lvlJc w:val="left"/>
      <w:lvlText w:val="%1"/>
      <w:numFmt w:val="lowerLetter"/>
      <w:start w:val="1"/>
    </w:lvl>
    <w:lvl w:ilvl="1">
      <w:lvlJc w:val="left"/>
      <w:lvlText w:val="(%2)"/>
      <w:numFmt w:val="lowerLetter"/>
      <w:start w:val="13"/>
    </w:lvl>
  </w:abstractNum>
  <w:abstractNum w:abstractNumId="34">
    <w:nsid w:val="1D4ED43B"/>
    <w:multiLevelType w:val="hybridMultilevel"/>
    <w:lvl w:ilvl="0">
      <w:lvlJc w:val="left"/>
      <w:lvlText w:val="(%1)"/>
      <w:numFmt w:val="lowerLetter"/>
      <w:start w:val="61"/>
    </w:lvl>
    <w:lvl w:ilvl="1">
      <w:lvlJc w:val="left"/>
      <w:lvlText w:val="(%2)"/>
      <w:numFmt w:val="lowerLetter"/>
      <w:start w:val="19"/>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1)"/>
      <w:numFmt w:val="lowerLetter"/>
      <w:start w:val="1"/>
    </w:lvl>
  </w:abstractNum>
  <w:abstractNum w:abstractNumId="42">
    <w:nsid w:val="38437FDB"/>
    <w:multiLevelType w:val="hybridMultilevel"/>
    <w:lvl w:ilvl="0">
      <w:lvlJc w:val="left"/>
      <w:lvlText w:val="•"/>
      <w:numFmt w:val="bullet"/>
      <w:start w:val="1"/>
    </w:lvl>
    <w:lvl w:ilvl="1">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lvl w:ilvl="1">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2019-12-07T15:11:39Z</dcterms:created>
  <dcterms:modified xsi:type="dcterms:W3CDTF">2019-12-07T15:11:39Z</dcterms:modified>
</cp:coreProperties>
</file>