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September 20,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4760" w:type="dxa"/>
            <w:vAlign w:val="bottom"/>
          </w:tcPr>
          <w:p>
            <w:pPr>
              <w:jc w:val="center"/>
              <w:ind w:right="2165"/>
              <w:spacing w:after="0"/>
              <w:rPr>
                <w:sz w:val="20"/>
                <w:szCs w:val="20"/>
                <w:color w:val="auto"/>
              </w:rPr>
            </w:pPr>
            <w:r>
              <w:rPr>
                <w:rFonts w:ascii="Arial" w:cs="Arial" w:eastAsia="Arial" w:hAnsi="Arial"/>
                <w:sz w:val="18"/>
                <w:szCs w:val="18"/>
                <w:b w:val="1"/>
                <w:bCs w:val="1"/>
                <w:color w:val="auto"/>
                <w:w w:val="86"/>
              </w:rPr>
              <w:t>Pennsylvania</w:t>
            </w:r>
          </w:p>
        </w:tc>
      </w:tr>
      <w:tr>
        <w:trPr>
          <w:trHeight w:val="149"/>
        </w:trPr>
        <w:tc>
          <w:tcPr>
            <w:tcW w:w="2740" w:type="dxa"/>
            <w:vAlign w:val="bottom"/>
          </w:tcPr>
          <w:p>
            <w:pPr>
              <w:spacing w:after="0"/>
              <w:rPr>
                <w:sz w:val="12"/>
                <w:szCs w:val="12"/>
                <w:color w:val="auto"/>
              </w:rPr>
            </w:pPr>
          </w:p>
        </w:tc>
        <w:tc>
          <w:tcPr>
            <w:tcW w:w="4760" w:type="dxa"/>
            <w:vAlign w:val="bottom"/>
          </w:tcPr>
          <w:p>
            <w:pPr>
              <w:jc w:val="center"/>
              <w:ind w:right="2165"/>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r>
      <w:tr>
        <w:trPr>
          <w:trHeight w:val="174"/>
        </w:trPr>
        <w:tc>
          <w:tcPr>
            <w:tcW w:w="2740" w:type="dxa"/>
            <w:vAlign w:val="bottom"/>
          </w:tcPr>
          <w:p>
            <w:pPr>
              <w:spacing w:after="0"/>
              <w:rPr>
                <w:sz w:val="15"/>
                <w:szCs w:val="15"/>
                <w:color w:val="auto"/>
              </w:rPr>
            </w:pPr>
          </w:p>
        </w:tc>
        <w:tc>
          <w:tcPr>
            <w:tcW w:w="4760" w:type="dxa"/>
            <w:vAlign w:val="bottom"/>
          </w:tcPr>
          <w:p>
            <w:pPr>
              <w:jc w:val="center"/>
              <w:ind w:right="2165"/>
              <w:spacing w:after="0"/>
              <w:rPr>
                <w:sz w:val="20"/>
                <w:szCs w:val="20"/>
                <w:color w:val="auto"/>
              </w:rPr>
            </w:pPr>
            <w:r>
              <w:rPr>
                <w:rFonts w:ascii="Arial" w:cs="Arial" w:eastAsia="Arial" w:hAnsi="Arial"/>
                <w:sz w:val="14"/>
                <w:szCs w:val="14"/>
                <w:b w:val="1"/>
                <w:bCs w:val="1"/>
                <w:color w:val="auto"/>
                <w:w w:val="89"/>
              </w:rPr>
              <w:t>of Incorporation)</w:t>
            </w:r>
          </w:p>
        </w:tc>
      </w:tr>
      <w:tr>
        <w:trPr>
          <w:trHeight w:val="393"/>
        </w:trPr>
        <w:tc>
          <w:tcPr>
            <w:tcW w:w="2740" w:type="dxa"/>
            <w:vAlign w:val="bottom"/>
          </w:tcPr>
          <w:p>
            <w:pPr>
              <w:jc w:val="center"/>
              <w:ind w:right="382"/>
              <w:spacing w:after="0"/>
              <w:rPr>
                <w:sz w:val="20"/>
                <w:szCs w:val="20"/>
                <w:color w:val="auto"/>
              </w:rPr>
            </w:pPr>
            <w:r>
              <w:rPr>
                <w:rFonts w:ascii="Arial" w:cs="Arial" w:eastAsia="Arial" w:hAnsi="Arial"/>
                <w:sz w:val="18"/>
                <w:szCs w:val="18"/>
                <w:b w:val="1"/>
                <w:bCs w:val="1"/>
                <w:color w:val="auto"/>
                <w:w w:val="88"/>
              </w:rPr>
              <w:t>001-32871</w:t>
            </w:r>
          </w:p>
        </w:tc>
        <w:tc>
          <w:tcPr>
            <w:tcW w:w="4760" w:type="dxa"/>
            <w:vAlign w:val="bottom"/>
          </w:tcPr>
          <w:p>
            <w:pPr>
              <w:jc w:val="center"/>
              <w:ind w:left="3605"/>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274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85"/>
              </w:rPr>
              <w:t>(Commission</w:t>
            </w:r>
          </w:p>
        </w:tc>
        <w:tc>
          <w:tcPr>
            <w:tcW w:w="4760" w:type="dxa"/>
            <w:vAlign w:val="bottom"/>
          </w:tcPr>
          <w:p>
            <w:pPr>
              <w:jc w:val="center"/>
              <w:ind w:left="360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40" w:type="dxa"/>
            <w:vAlign w:val="bottom"/>
          </w:tcPr>
          <w:p>
            <w:pPr>
              <w:jc w:val="center"/>
              <w:ind w:right="362"/>
              <w:spacing w:after="0"/>
              <w:rPr>
                <w:sz w:val="20"/>
                <w:szCs w:val="20"/>
                <w:color w:val="auto"/>
              </w:rPr>
            </w:pPr>
            <w:r>
              <w:rPr>
                <w:rFonts w:ascii="Arial" w:cs="Arial" w:eastAsia="Arial" w:hAnsi="Arial"/>
                <w:sz w:val="14"/>
                <w:szCs w:val="14"/>
                <w:b w:val="1"/>
                <w:bCs w:val="1"/>
                <w:color w:val="auto"/>
                <w:w w:val="91"/>
              </w:rPr>
              <w:t>File Number)</w:t>
            </w:r>
          </w:p>
        </w:tc>
        <w:tc>
          <w:tcPr>
            <w:tcW w:w="4760" w:type="dxa"/>
            <w:vAlign w:val="bottom"/>
          </w:tcPr>
          <w:p>
            <w:pPr>
              <w:jc w:val="center"/>
              <w:ind w:left="3625"/>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740" w:type="dxa"/>
            <w:vAlign w:val="bottom"/>
          </w:tcPr>
          <w:p>
            <w:pPr>
              <w:jc w:val="center"/>
              <w:ind w:right="382"/>
              <w:spacing w:after="0"/>
              <w:rPr>
                <w:sz w:val="20"/>
                <w:szCs w:val="20"/>
                <w:color w:val="auto"/>
              </w:rPr>
            </w:pPr>
            <w:r>
              <w:rPr>
                <w:rFonts w:ascii="Arial" w:cs="Arial" w:eastAsia="Arial" w:hAnsi="Arial"/>
                <w:sz w:val="18"/>
                <w:szCs w:val="18"/>
                <w:b w:val="1"/>
                <w:bCs w:val="1"/>
                <w:color w:val="auto"/>
                <w:w w:val="87"/>
              </w:rPr>
              <w:t>One Comcast Center</w:t>
            </w:r>
          </w:p>
        </w:tc>
        <w:tc>
          <w:tcPr>
            <w:tcW w:w="4760" w:type="dxa"/>
            <w:vAlign w:val="bottom"/>
          </w:tcPr>
          <w:p>
            <w:pPr>
              <w:spacing w:after="0"/>
              <w:rPr>
                <w:sz w:val="24"/>
                <w:szCs w:val="24"/>
                <w:color w:val="auto"/>
              </w:rPr>
            </w:pPr>
          </w:p>
        </w:tc>
      </w:tr>
      <w:tr>
        <w:trPr>
          <w:trHeight w:val="231"/>
        </w:trPr>
        <w:tc>
          <w:tcPr>
            <w:tcW w:w="2740" w:type="dxa"/>
            <w:vAlign w:val="bottom"/>
          </w:tcPr>
          <w:p>
            <w:pPr>
              <w:jc w:val="center"/>
              <w:ind w:right="362"/>
              <w:spacing w:after="0"/>
              <w:rPr>
                <w:sz w:val="20"/>
                <w:szCs w:val="20"/>
                <w:color w:val="auto"/>
              </w:rPr>
            </w:pPr>
            <w:r>
              <w:rPr>
                <w:rFonts w:ascii="Arial" w:cs="Arial" w:eastAsia="Arial" w:hAnsi="Arial"/>
                <w:sz w:val="18"/>
                <w:szCs w:val="18"/>
                <w:b w:val="1"/>
                <w:bCs w:val="1"/>
                <w:color w:val="auto"/>
                <w:w w:val="89"/>
              </w:rPr>
              <w:t>Philadelphia, PA</w:t>
            </w:r>
          </w:p>
        </w:tc>
        <w:tc>
          <w:tcPr>
            <w:tcW w:w="4760" w:type="dxa"/>
            <w:vAlign w:val="bottom"/>
          </w:tcPr>
          <w:p>
            <w:pPr>
              <w:jc w:val="center"/>
              <w:ind w:left="3605"/>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740" w:type="dxa"/>
            <w:vAlign w:val="bottom"/>
          </w:tcPr>
          <w:p>
            <w:pPr>
              <w:jc w:val="center"/>
              <w:ind w:right="3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760" w:type="dxa"/>
            <w:vAlign w:val="bottom"/>
          </w:tcPr>
          <w:p>
            <w:pPr>
              <w:jc w:val="center"/>
              <w:ind w:left="3625"/>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Following over ten years of outstanding service, S. Decker Anstrom, a member of the Board of Directors of Comcast Corporation (the “Company”), the Chair of the Governance and Directors Nominating Committee and a member of the Compensation Committee, resigned from the Board of Directors on September 20, 2011 in order to satisfy other professional commitments that, among other things, will involve significant foreign travel.</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September 22, 2011, Johnathan Rodgers was appointed to the Board of Directors. The Board has determined that Mr. Rodgers is independent in accordance with applicable NASDAQ Global Select Market rules and the Company’s corporate governance guidelines. From January 2004 until his retirement in July 2011, Mr. Rodgers was the President and Chief Executive Officer of TV One, a cable network that delivers real life and entertainment programming from the African American point of view. From January 1, 2010 through August 31, 2011, the Company paid TV One approximately $22.5 million in programming carriage fees, and TV One paid Comcast approximately $2.7 million for transmission and origination services.</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September 22, 2011</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2019-12-10T21:57:26Z</dcterms:created>
  <dcterms:modified xsi:type="dcterms:W3CDTF">2019-12-10T21:57:26Z</dcterms:modified>
</cp:coreProperties>
</file>