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-168275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7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5330190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4012565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4036695</wp:posOffset>
            </wp:positionH>
            <wp:positionV relativeFrom="paragraph">
              <wp:posOffset>-581660</wp:posOffset>
            </wp:positionV>
            <wp:extent cx="1277620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-1598295</wp:posOffset>
            </wp:positionH>
            <wp:positionV relativeFrom="paragraph">
              <wp:posOffset>26670</wp:posOffset>
            </wp:positionV>
            <wp:extent cx="6969760" cy="1592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40" w:space="480"/>
            <w:col w:w="856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Bergman Naomi M.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49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196850</wp:posOffset>
            </wp:positionV>
            <wp:extent cx="6969760" cy="864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7386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73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35560</wp:posOffset>
            </wp:positionV>
            <wp:extent cx="7018655" cy="10509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105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426.635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426.635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42.8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2,787.635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1. These securities convert on a one-to-one basis.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The Reporting Person has elected to notionally reinvest previously deferred compensation into another deferred compensation investment plan.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Elizabeth Wideman, Attorney-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-1147445</wp:posOffset>
            </wp:positionV>
            <wp:extent cx="7018655" cy="3479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34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661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2020-08-04T16:01:04Z</dcterms:created>
  <dcterms:modified xsi:type="dcterms:W3CDTF">2020-08-04T16:01:04Z</dcterms:modified>
</cp:coreProperties>
</file>