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2007</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8" w:lineRule="exact"/>
        <w:rPr>
          <w:sz w:val="24"/>
          <w:szCs w:val="24"/>
          <w:color w:val="auto"/>
        </w:rPr>
      </w:pPr>
    </w:p>
    <w:p>
      <w:pPr>
        <w:spacing w:after="0" w:line="207" w:lineRule="exact"/>
        <w:tabs>
          <w:tab w:leader="none" w:pos="440" w:val="left"/>
          <w:tab w:leader="none" w:pos="10260" w:val="left"/>
          <w:tab w:leader="none" w:pos="112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127635</wp:posOffset>
            </wp:positionV>
            <wp:extent cx="2933065" cy="840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065" cy="840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COMCAST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226" w:right="239" w:bottom="1440" w:gutter="0" w:footer="0" w:header="0"/>
        </w:sectPr>
      </w:pPr>
    </w:p>
    <w:p>
      <w:pPr>
        <w:spacing w:after="0" w:line="55"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23"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3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27-0000798</w:t>
      </w:r>
    </w:p>
    <w:p>
      <w:pPr>
        <w:spacing w:after="0" w:line="23"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85" w:lineRule="exact"/>
        <w:rPr>
          <w:sz w:val="24"/>
          <w:szCs w:val="24"/>
          <w:color w:val="auto"/>
        </w:rPr>
      </w:pPr>
    </w:p>
    <w:p>
      <w:pPr>
        <w:sectPr>
          <w:pgSz w:w="11900" w:h="16838" w:orient="portrait"/>
          <w:cols w:equalWidth="0" w:num="2">
            <w:col w:w="7360" w:space="720"/>
            <w:col w:w="3340"/>
          </w:cols>
          <w:pgMar w:left="240" w:top="226"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 Market Street, Philadelphia, PA 19102-2148</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(Zip Code)</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140970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p>
      <w:pPr>
        <w:spacing w:after="0" w:line="329"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143510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13"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4"/>
          <w:szCs w:val="24"/>
          <w:color w:val="auto"/>
        </w:rPr>
      </w:pPr>
    </w:p>
    <w:p>
      <w:pPr>
        <w:ind w:right="4120" w:firstLine="5"/>
        <w:spacing w:after="0" w:line="270"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As of March 31, 2007, there were 2,068,611,983 shares of our Class A Common Stock, 1,033,988,874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ind w:right="15"/>
              <w:spacing w:after="0" w:line="159" w:lineRule="exact"/>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48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20" w:type="dxa"/>
            <w:vAlign w:val="bottom"/>
            <w:gridSpan w:val="2"/>
          </w:tcPr>
          <w:p>
            <w:pPr>
              <w:ind w:left="840"/>
              <w:spacing w:after="0" w:line="192" w:lineRule="exact"/>
              <w:rPr>
                <w:sz w:val="20"/>
                <w:szCs w:val="20"/>
                <w:color w:val="auto"/>
              </w:rPr>
            </w:pPr>
            <w:r>
              <w:rPr>
                <w:rFonts w:ascii="Times New Roman" w:cs="Times New Roman" w:eastAsia="Times New Roman" w:hAnsi="Times New Roman"/>
                <w:sz w:val="18"/>
                <w:szCs w:val="18"/>
                <w:b w:val="1"/>
                <w:bCs w:val="1"/>
                <w:color w:val="auto"/>
              </w:rPr>
              <w:t>Item 1.</w:t>
            </w:r>
          </w:p>
        </w:tc>
        <w:tc>
          <w:tcPr>
            <w:tcW w:w="8760" w:type="dxa"/>
            <w:vAlign w:val="bottom"/>
            <w:gridSpan w:val="13"/>
          </w:tcPr>
          <w:p>
            <w:pPr>
              <w:spacing w:after="0" w:line="19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60" w:type="dxa"/>
            <w:vAlign w:val="bottom"/>
            <w:gridSpan w:val="13"/>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 as of March 31, 2007 and December 31, 2006 (Unaudited)</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Condensed Consolidated Statement of Operations for the Three Months Ended March 31, 2007 and 2006 (Unaudited)</w:t>
              </w:r>
            </w:hyperlink>
          </w:p>
        </w:tc>
        <w:tc>
          <w:tcPr>
            <w:tcW w:w="48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60" w:type="dxa"/>
            <w:vAlign w:val="bottom"/>
            <w:gridSpan w:val="13"/>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 of Cash Flows for the Three Months Ended March 31, 2007 and 2006 (Unaudited)</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gridSpan w:val="2"/>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3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 (Unaudited)</w:t>
              </w:r>
            </w:hyperlink>
          </w:p>
        </w:tc>
        <w:tc>
          <w:tcPr>
            <w:tcW w:w="4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gridSpan w:val="2"/>
            <w:vMerge w:val="continu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63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246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gridSpan w:val="2"/>
          </w:tcPr>
          <w:p>
            <w:pPr>
              <w:ind w:left="840"/>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42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Quantitative and Qualitative Disclosures About Market Risk</w:t>
              </w:r>
            </w:hyperlink>
          </w:p>
        </w:tc>
        <w:tc>
          <w:tcPr>
            <w:tcW w:w="4500" w:type="dxa"/>
            <w:vAlign w:val="bottom"/>
            <w:gridSpan w:val="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gridSpan w:val="2"/>
          </w:tcPr>
          <w:p>
            <w:pPr>
              <w:ind w:left="840"/>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8760" w:type="dxa"/>
            <w:vAlign w:val="bottom"/>
            <w:gridSpan w:val="13"/>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Controls and Procedures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5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20" w:type="dxa"/>
            <w:vAlign w:val="bottom"/>
            <w:gridSpan w:val="2"/>
          </w:tcPr>
          <w:p>
            <w:pPr>
              <w:ind w:left="840"/>
              <w:spacing w:after="0" w:line="192" w:lineRule="exact"/>
              <w:rPr>
                <w:sz w:val="20"/>
                <w:szCs w:val="20"/>
                <w:color w:val="auto"/>
              </w:rPr>
            </w:pPr>
            <w:r>
              <w:rPr>
                <w:rFonts w:ascii="Times New Roman" w:cs="Times New Roman" w:eastAsia="Times New Roman" w:hAnsi="Times New Roman"/>
                <w:sz w:val="18"/>
                <w:szCs w:val="18"/>
                <w:b w:val="1"/>
                <w:bCs w:val="1"/>
                <w:color w:val="auto"/>
              </w:rPr>
              <w:t>Item 1.</w:t>
            </w:r>
          </w:p>
        </w:tc>
        <w:tc>
          <w:tcPr>
            <w:tcW w:w="1300" w:type="dxa"/>
            <w:vAlign w:val="bottom"/>
            <w:tcBorders>
              <w:bottom w:val="single" w:sz="8" w:color="0000EE"/>
            </w:tcBorders>
            <w:gridSpan w:val="3"/>
          </w:tcPr>
          <w:p>
            <w:pPr>
              <w:spacing w:after="0" w:line="192" w:lineRule="exact"/>
              <w:rPr>
                <w:rFonts w:ascii="Times New Roman" w:cs="Times New Roman" w:eastAsia="Times New Roman" w:hAnsi="Times New Roman"/>
                <w:sz w:val="18"/>
                <w:szCs w:val="18"/>
                <w:color w:val="0000EE"/>
                <w:w w:val="95"/>
              </w:rPr>
            </w:pPr>
            <w:hyperlink w:anchor="page29">
              <w:r>
                <w:rPr>
                  <w:rFonts w:ascii="Times New Roman" w:cs="Times New Roman" w:eastAsia="Times New Roman" w:hAnsi="Times New Roman"/>
                  <w:sz w:val="18"/>
                  <w:szCs w:val="18"/>
                  <w:color w:val="0000EE"/>
                  <w:w w:val="95"/>
                </w:rPr>
                <w:t>Legal Proceedings</w:t>
              </w:r>
            </w:hyperlink>
          </w:p>
        </w:tc>
        <w:tc>
          <w:tcPr>
            <w:tcW w:w="7460" w:type="dxa"/>
            <w:vAlign w:val="bottom"/>
            <w:gridSpan w:val="10"/>
          </w:tcPr>
          <w:p>
            <w:pPr>
              <w:spacing w:after="0"/>
              <w:rPr>
                <w:sz w:val="16"/>
                <w:szCs w:val="16"/>
                <w:color w:val="auto"/>
              </w:rPr>
            </w:pPr>
          </w:p>
        </w:tc>
        <w:tc>
          <w:tcPr>
            <w:tcW w:w="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gridSpan w:val="2"/>
          </w:tcPr>
          <w:p>
            <w:pPr>
              <w:ind w:left="840"/>
              <w:spacing w:after="0" w:line="19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8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w:anchor="page29">
              <w:r>
                <w:rPr>
                  <w:rFonts w:ascii="Times New Roman" w:cs="Times New Roman" w:eastAsia="Times New Roman" w:hAnsi="Times New Roman"/>
                  <w:sz w:val="18"/>
                  <w:szCs w:val="18"/>
                  <w:color w:val="0000EE"/>
                  <w:w w:val="94"/>
                </w:rPr>
                <w:t>Risk Factors</w:t>
              </w:r>
            </w:hyperlink>
          </w:p>
        </w:tc>
        <w:tc>
          <w:tcPr>
            <w:tcW w:w="7880" w:type="dxa"/>
            <w:vAlign w:val="bottom"/>
            <w:gridSpan w:val="1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gridSpan w:val="2"/>
          </w:tcPr>
          <w:p>
            <w:pPr>
              <w:ind w:left="840"/>
              <w:spacing w:after="0" w:line="196" w:lineRule="exact"/>
              <w:rPr>
                <w:sz w:val="20"/>
                <w:szCs w:val="20"/>
                <w:color w:val="auto"/>
              </w:rPr>
            </w:pPr>
            <w:r>
              <w:rPr>
                <w:rFonts w:ascii="Times New Roman" w:cs="Times New Roman" w:eastAsia="Times New Roman" w:hAnsi="Times New Roman"/>
                <w:sz w:val="18"/>
                <w:szCs w:val="18"/>
                <w:b w:val="1"/>
                <w:bCs w:val="1"/>
                <w:color w:val="auto"/>
              </w:rPr>
              <w:t>Item 2.</w:t>
            </w:r>
          </w:p>
        </w:tc>
        <w:tc>
          <w:tcPr>
            <w:tcW w:w="42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Unregistered Sales of Equity Securities and Use of Proceeds</w:t>
              </w:r>
            </w:hyperlink>
          </w:p>
        </w:tc>
        <w:tc>
          <w:tcPr>
            <w:tcW w:w="4520" w:type="dxa"/>
            <w:vAlign w:val="bottom"/>
            <w:gridSpan w:val="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gridSpan w:val="2"/>
          </w:tcPr>
          <w:p>
            <w:pPr>
              <w:ind w:left="840"/>
              <w:spacing w:after="0" w:line="196" w:lineRule="exact"/>
              <w:rPr>
                <w:sz w:val="20"/>
                <w:szCs w:val="20"/>
                <w:color w:val="auto"/>
              </w:rPr>
            </w:pPr>
            <w:r>
              <w:rPr>
                <w:rFonts w:ascii="Times New Roman" w:cs="Times New Roman" w:eastAsia="Times New Roman" w:hAnsi="Times New Roman"/>
                <w:sz w:val="18"/>
                <w:szCs w:val="18"/>
                <w:b w:val="1"/>
                <w:bCs w:val="1"/>
                <w:color w:val="auto"/>
              </w:rPr>
              <w:t>Item 6.</w:t>
            </w:r>
          </w:p>
        </w:tc>
        <w:tc>
          <w:tcPr>
            <w:tcW w:w="8760" w:type="dxa"/>
            <w:vAlign w:val="bottom"/>
            <w:gridSpan w:val="13"/>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Exhibits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b w:val="1"/>
                <w:bCs w:val="1"/>
                <w:color w:val="0000EE"/>
                <w:w w:val="95"/>
              </w:rPr>
            </w:pPr>
            <w:hyperlink w:anchor="page31">
              <w:r>
                <w:rPr>
                  <w:rFonts w:ascii="Times New Roman" w:cs="Times New Roman" w:eastAsia="Times New Roman" w:hAnsi="Times New Roman"/>
                  <w:sz w:val="18"/>
                  <w:szCs w:val="18"/>
                  <w:b w:val="1"/>
                  <w:bCs w:val="1"/>
                  <w:color w:val="0000EE"/>
                  <w:w w:val="95"/>
                </w:rPr>
                <w:t>SIGNATURES</w:t>
              </w:r>
            </w:hyperlink>
          </w:p>
        </w:tc>
        <w:tc>
          <w:tcPr>
            <w:tcW w:w="60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120015</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is for the three months ended March 31, 2007. This Quarterly Report modifies and supersedes documents filed prior to this Quarterly Report.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77" w:lineRule="exact"/>
        <w:rPr>
          <w:sz w:val="20"/>
          <w:szCs w:val="20"/>
          <w:color w:val="auto"/>
        </w:rPr>
      </w:pPr>
    </w:p>
    <w:p>
      <w:pPr>
        <w:ind w:left="1020" w:right="1260" w:hanging="215"/>
        <w:spacing w:after="0" w:line="275"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services offered by our cable systems face a wide range of competition that could adversely affect our future results of operations</w:t>
      </w:r>
    </w:p>
    <w:p>
      <w:pPr>
        <w:spacing w:after="0" w:line="25"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are increasing, which could adversely affect our future results of operations</w:t>
      </w:r>
    </w:p>
    <w:p>
      <w:pPr>
        <w:spacing w:after="0" w:line="76"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and local governments, which may impose costs and restrictions</w:t>
      </w:r>
    </w:p>
    <w:p>
      <w:pPr>
        <w:spacing w:after="0" w:line="76"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increased competition because of technological advances and new regulatory requirements, which could adversely affect our future results of operations</w:t>
      </w:r>
    </w:p>
    <w:p>
      <w:pPr>
        <w:spacing w:after="0" w:line="25"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the outcome of various litigation matters</w:t>
      </w:r>
    </w:p>
    <w:p>
      <w:pPr>
        <w:spacing w:after="0" w:line="76"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transactions present many risks, and we may not realize the financial and strategic goals that were contemplated at the time of any transaction</w:t>
      </w:r>
    </w:p>
    <w:p>
      <w:pPr>
        <w:spacing w:after="0" w:line="25" w:lineRule="exact"/>
        <w:rPr>
          <w:rFonts w:ascii="Times New Roman" w:cs="Times New Roman" w:eastAsia="Times New Roman" w:hAnsi="Times New Roman"/>
          <w:sz w:val="18"/>
          <w:szCs w:val="18"/>
          <w:color w:val="auto"/>
        </w:rPr>
      </w:pPr>
    </w:p>
    <w:p>
      <w:pPr>
        <w:jc w:val="both"/>
        <w:ind w:left="1020" w:right="1240" w:hanging="215"/>
        <w:spacing w:after="0" w:line="26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a number of potentially material transactions and, through his beneficial ownership of the Class B common stock, our Chairman and CEO has considerable influence over our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1380" w:type="dxa"/>
            <w:vAlign w:val="bottom"/>
            <w:gridSpan w:val="2"/>
          </w:tcPr>
          <w:p>
            <w:pPr>
              <w:jc w:val="right"/>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8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540" w:type="dxa"/>
            <w:vAlign w:val="bottom"/>
          </w:tcPr>
          <w:p>
            <w:pPr>
              <w:spacing w:after="0"/>
              <w:rPr>
                <w:sz w:val="14"/>
                <w:szCs w:val="14"/>
                <w:color w:val="auto"/>
              </w:rPr>
            </w:pPr>
          </w:p>
        </w:tc>
        <w:tc>
          <w:tcPr>
            <w:tcW w:w="8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2007</w:t>
            </w:r>
          </w:p>
        </w:tc>
        <w:tc>
          <w:tcPr>
            <w:tcW w:w="400" w:type="dxa"/>
            <w:vAlign w:val="bottom"/>
          </w:tcPr>
          <w:p>
            <w:pPr>
              <w:spacing w:after="0"/>
              <w:rPr>
                <w:sz w:val="14"/>
                <w:szCs w:val="14"/>
                <w:color w:val="auto"/>
              </w:rPr>
            </w:pPr>
          </w:p>
        </w:tc>
        <w:tc>
          <w:tcPr>
            <w:tcW w:w="7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2006</w:t>
            </w:r>
          </w:p>
        </w:tc>
      </w:tr>
      <w:tr>
        <w:trPr>
          <w:trHeight w:val="210"/>
        </w:trPr>
        <w:tc>
          <w:tcPr>
            <w:tcW w:w="20" w:type="dxa"/>
            <w:vAlign w:val="bottom"/>
          </w:tcPr>
          <w:p>
            <w:pPr>
              <w:spacing w:after="0"/>
              <w:rPr>
                <w:sz w:val="18"/>
                <w:szCs w:val="18"/>
                <w:color w:val="auto"/>
              </w:rPr>
            </w:pPr>
          </w:p>
        </w:tc>
        <w:tc>
          <w:tcPr>
            <w:tcW w:w="892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1,037</w:t>
            </w:r>
          </w:p>
        </w:tc>
        <w:tc>
          <w:tcPr>
            <w:tcW w:w="40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Investments</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1,248</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$157 and $157</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1,282</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688</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10"/>
        </w:trPr>
        <w:tc>
          <w:tcPr>
            <w:tcW w:w="20" w:type="dxa"/>
            <w:vAlign w:val="bottom"/>
          </w:tcPr>
          <w:p>
            <w:pPr>
              <w:spacing w:after="0"/>
              <w:rPr>
                <w:sz w:val="18"/>
                <w:szCs w:val="18"/>
                <w:color w:val="auto"/>
              </w:rPr>
            </w:pPr>
          </w:p>
        </w:tc>
        <w:tc>
          <w:tcPr>
            <w:tcW w:w="8920" w:type="dxa"/>
            <w:vAlign w:val="bottom"/>
            <w:tcBorders>
              <w:bottom w:val="single" w:sz="8" w:color="E5E5E5"/>
            </w:tcBorders>
            <w:shd w:val="clear" w:color="auto" w:fill="E5E5E5"/>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5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4,255</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5,202</w:t>
            </w: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6,077</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$16,548 and $15,506</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22,513</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21,248</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Franchise rights</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57,838</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55,927</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14,076</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13,768</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$5,897 and $5,543</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5,022</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r>
      <w:tr>
        <w:trPr>
          <w:trHeight w:val="216"/>
        </w:trPr>
        <w:tc>
          <w:tcPr>
            <w:tcW w:w="20" w:type="dxa"/>
            <w:vAlign w:val="bottom"/>
          </w:tcPr>
          <w:p>
            <w:pPr>
              <w:spacing w:after="0"/>
              <w:rPr>
                <w:sz w:val="18"/>
                <w:szCs w:val="18"/>
                <w:color w:val="auto"/>
              </w:rPr>
            </w:pPr>
          </w:p>
        </w:tc>
        <w:tc>
          <w:tcPr>
            <w:tcW w:w="892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5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556</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17"/>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w w:val="92"/>
              </w:rPr>
              <w:t>110,337</w:t>
            </w:r>
          </w:p>
        </w:tc>
        <w:tc>
          <w:tcPr>
            <w:tcW w:w="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110,405</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2,980</w:t>
            </w:r>
          </w:p>
        </w:tc>
        <w:tc>
          <w:tcPr>
            <w:tcW w:w="40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2,862</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2,957</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388</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1,049</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10"/>
        </w:trPr>
        <w:tc>
          <w:tcPr>
            <w:tcW w:w="20" w:type="dxa"/>
            <w:vAlign w:val="bottom"/>
          </w:tcPr>
          <w:p>
            <w:pPr>
              <w:spacing w:after="0"/>
              <w:rPr>
                <w:sz w:val="18"/>
                <w:szCs w:val="18"/>
                <w:color w:val="auto"/>
              </w:rPr>
            </w:pPr>
          </w:p>
        </w:tc>
        <w:tc>
          <w:tcPr>
            <w:tcW w:w="8920" w:type="dxa"/>
            <w:vAlign w:val="bottom"/>
            <w:tcBorders>
              <w:bottom w:val="single" w:sz="8" w:color="E5E5E5"/>
            </w:tcBorders>
            <w:shd w:val="clear" w:color="auto" w:fill="E5E5E5"/>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7,374</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7,440</w:t>
            </w: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27,222</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27,992</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26,197</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27,089</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7,466</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240</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stock—authorized, 20,000,000 shares; issued, zero</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20" w:type="dxa"/>
            <w:vAlign w:val="bottom"/>
          </w:tcPr>
          <w:p>
            <w:pPr>
              <w:spacing w:after="0"/>
              <w:rPr>
                <w:sz w:val="17"/>
                <w:szCs w:val="17"/>
                <w:color w:val="auto"/>
              </w:rPr>
            </w:pPr>
          </w:p>
        </w:tc>
        <w:tc>
          <w:tcPr>
            <w:tcW w:w="8920" w:type="dxa"/>
            <w:vAlign w:val="bottom"/>
            <w:shd w:val="clear" w:color="auto" w:fill="E5E5E5"/>
          </w:tcPr>
          <w:p>
            <w:pPr>
              <w:ind w:left="420"/>
              <w:spacing w:after="0" w:line="201" w:lineRule="exact"/>
              <w:rPr>
                <w:sz w:val="20"/>
                <w:szCs w:val="20"/>
                <w:color w:val="auto"/>
              </w:rPr>
            </w:pPr>
            <w:r>
              <w:rPr>
                <w:rFonts w:ascii="Times New Roman" w:cs="Times New Roman" w:eastAsia="Times New Roman" w:hAnsi="Times New Roman"/>
                <w:sz w:val="18"/>
                <w:szCs w:val="18"/>
                <w:color w:val="auto"/>
                <w:w w:val="99"/>
              </w:rPr>
              <w:t>Class A common stock, $0.01 par value—authorized, 7,500,000,000 shares; issued, 2,434,072,733 and 2,425,818,710;</w:t>
            </w:r>
          </w:p>
        </w:tc>
        <w:tc>
          <w:tcPr>
            <w:tcW w:w="5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E5E5E5"/>
          </w:tcPr>
          <w:p>
            <w:pPr>
              <w:ind w:left="640"/>
              <w:spacing w:after="0"/>
              <w:rPr>
                <w:sz w:val="20"/>
                <w:szCs w:val="20"/>
                <w:color w:val="auto"/>
              </w:rPr>
            </w:pPr>
            <w:r>
              <w:rPr>
                <w:rFonts w:ascii="Times New Roman" w:cs="Times New Roman" w:eastAsia="Times New Roman" w:hAnsi="Times New Roman"/>
                <w:sz w:val="18"/>
                <w:szCs w:val="18"/>
                <w:color w:val="auto"/>
              </w:rPr>
              <w:t>outstanding, 2,068,611,983 and 2,060,357,960</w:t>
            </w:r>
          </w:p>
        </w:tc>
        <w:tc>
          <w:tcPr>
            <w:tcW w:w="540" w:type="dxa"/>
            <w:vAlign w:val="bottom"/>
            <w:shd w:val="clear" w:color="auto" w:fill="E5E5E5"/>
          </w:tcPr>
          <w:p>
            <w:pPr>
              <w:spacing w:after="0"/>
              <w:rPr>
                <w:sz w:val="20"/>
                <w:szCs w:val="20"/>
                <w:color w:val="auto"/>
              </w:rPr>
            </w:pPr>
          </w:p>
        </w:tc>
        <w:tc>
          <w:tcPr>
            <w:tcW w:w="84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2"/>
        </w:trPr>
        <w:tc>
          <w:tcPr>
            <w:tcW w:w="20" w:type="dxa"/>
            <w:vAlign w:val="bottom"/>
          </w:tcPr>
          <w:p>
            <w:pPr>
              <w:spacing w:after="0"/>
              <w:rPr>
                <w:sz w:val="17"/>
                <w:szCs w:val="17"/>
                <w:color w:val="auto"/>
              </w:rPr>
            </w:pPr>
          </w:p>
        </w:tc>
        <w:tc>
          <w:tcPr>
            <w:tcW w:w="892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Class A Special common stock, $0.01 par value—authorized, 7,500,000,000 shares; issued 1,104,923,638 and</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8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1,120,659,771; outstanding, 1,033,988,874 and 1,049,725,007</w:t>
            </w:r>
          </w:p>
        </w:tc>
        <w:tc>
          <w:tcPr>
            <w:tcW w:w="540" w:type="dxa"/>
            <w:vAlign w:val="bottom"/>
          </w:tcPr>
          <w:p>
            <w:pPr>
              <w:spacing w:after="0"/>
              <w:rPr>
                <w:sz w:val="19"/>
                <w:szCs w:val="19"/>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7"/>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Class B common stock, $0.01 par value—authorized, 75,000,000 shares; issued and outstanding, 9,444,375</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Additional capital</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42,547</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42,401</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6,814</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6,214</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stock—365,460,750 Class A common shares and 70,934,764 Class A Special common shares</w:t>
            </w:r>
          </w:p>
        </w:tc>
        <w:tc>
          <w:tcPr>
            <w:tcW w:w="54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(7,517)</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w:t>
            </w:r>
          </w:p>
        </w:tc>
      </w:tr>
      <w:tr>
        <w:trPr>
          <w:trHeight w:val="216"/>
        </w:trPr>
        <w:tc>
          <w:tcPr>
            <w:tcW w:w="20" w:type="dxa"/>
            <w:vAlign w:val="bottom"/>
          </w:tcPr>
          <w:p>
            <w:pPr>
              <w:spacing w:after="0"/>
              <w:rPr>
                <w:sz w:val="18"/>
                <w:szCs w:val="18"/>
                <w:color w:val="auto"/>
              </w:rPr>
            </w:pPr>
          </w:p>
        </w:tc>
        <w:tc>
          <w:tcPr>
            <w:tcW w:w="892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5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20" w:type="dxa"/>
            <w:vAlign w:val="bottom"/>
          </w:tcPr>
          <w:p>
            <w:pPr>
              <w:spacing w:after="0"/>
              <w:rPr>
                <w:sz w:val="18"/>
                <w:szCs w:val="18"/>
                <w:color w:val="auto"/>
              </w:rPr>
            </w:pPr>
          </w:p>
        </w:tc>
        <w:tc>
          <w:tcPr>
            <w:tcW w:w="89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41,838</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41,167</w:t>
            </w:r>
          </w:p>
        </w:tc>
      </w:tr>
      <w:tr>
        <w:trPr>
          <w:trHeight w:val="217"/>
        </w:trPr>
        <w:tc>
          <w:tcPr>
            <w:tcW w:w="20" w:type="dxa"/>
            <w:vAlign w:val="bottom"/>
          </w:tcPr>
          <w:p>
            <w:pPr>
              <w:spacing w:after="0"/>
              <w:rPr>
                <w:sz w:val="18"/>
                <w:szCs w:val="18"/>
                <w:color w:val="auto"/>
              </w:rPr>
            </w:pPr>
          </w:p>
        </w:tc>
        <w:tc>
          <w:tcPr>
            <w:tcW w:w="8920" w:type="dxa"/>
            <w:vAlign w:val="bottom"/>
            <w:tcBorders>
              <w:bottom w:val="single" w:sz="8" w:color="E5E5E5"/>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w w:val="92"/>
              </w:rPr>
              <w:t>110,337</w:t>
            </w:r>
          </w:p>
        </w:tc>
        <w:tc>
          <w:tcPr>
            <w:tcW w:w="40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110,405</w:t>
            </w:r>
          </w:p>
        </w:tc>
      </w:tr>
    </w:tbl>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Operations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0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9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120" w:type="dxa"/>
            <w:vAlign w:val="bottom"/>
          </w:tcPr>
          <w:p>
            <w:pPr>
              <w:spacing w:after="0"/>
              <w:rPr>
                <w:sz w:val="12"/>
                <w:szCs w:val="12"/>
                <w:color w:val="auto"/>
              </w:rPr>
            </w:pPr>
          </w:p>
        </w:tc>
        <w:tc>
          <w:tcPr>
            <w:tcW w:w="52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Revenues</w:t>
            </w:r>
          </w:p>
        </w:tc>
        <w:tc>
          <w:tcPr>
            <w:tcW w:w="6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7,388</w:t>
            </w:r>
          </w:p>
        </w:tc>
        <w:tc>
          <w:tcPr>
            <w:tcW w:w="12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Operating (excluding depreciation)</w:t>
            </w:r>
          </w:p>
        </w:tc>
        <w:tc>
          <w:tcPr>
            <w:tcW w:w="66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tcPr>
          <w:p>
            <w:pPr>
              <w:spacing w:after="0"/>
              <w:rPr>
                <w:sz w:val="18"/>
                <w:szCs w:val="18"/>
                <w:color w:val="auto"/>
              </w:rPr>
            </w:pPr>
          </w:p>
        </w:tc>
        <w:tc>
          <w:tcPr>
            <w:tcW w:w="10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w:t>
            </w: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tcBorders>
              <w:bottom w:val="single" w:sz="8" w:color="E5E5E5"/>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6,127</w:t>
            </w:r>
          </w:p>
        </w:tc>
        <w:tc>
          <w:tcPr>
            <w:tcW w:w="1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tcPr>
          <w:p>
            <w:pPr>
              <w:spacing w:after="0"/>
              <w:rPr>
                <w:sz w:val="19"/>
                <w:szCs w:val="19"/>
                <w:color w:val="auto"/>
              </w:rPr>
            </w:pPr>
          </w:p>
        </w:tc>
        <w:tc>
          <w:tcPr>
            <w:tcW w:w="10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90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6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spacing w:after="0"/>
              <w:rPr>
                <w:sz w:val="18"/>
                <w:szCs w:val="18"/>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66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net (losses) income of affiliates, net</w:t>
            </w:r>
          </w:p>
        </w:tc>
        <w:tc>
          <w:tcPr>
            <w:tcW w:w="660" w:type="dxa"/>
            <w:vAlign w:val="bottom"/>
          </w:tcPr>
          <w:p>
            <w:pPr>
              <w:spacing w:after="0"/>
              <w:rPr>
                <w:sz w:val="18"/>
                <w:szCs w:val="18"/>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Borders>
              <w:bottom w:val="single" w:sz="8" w:color="E5E5E5"/>
            </w:tcBorders>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Other income (expense)</w:t>
            </w:r>
          </w:p>
        </w:tc>
        <w:tc>
          <w:tcPr>
            <w:tcW w:w="66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 and minority interest</w:t>
            </w:r>
          </w:p>
        </w:tc>
        <w:tc>
          <w:tcPr>
            <w:tcW w:w="66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from continuing operations before minority interest</w:t>
            </w:r>
          </w:p>
        </w:tc>
        <w:tc>
          <w:tcPr>
            <w:tcW w:w="66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66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837</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837</w:t>
            </w:r>
          </w:p>
        </w:tc>
        <w:tc>
          <w:tcPr>
            <w:tcW w:w="1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660" w:type="dxa"/>
            <w:vAlign w:val="bottom"/>
          </w:tcPr>
          <w:p>
            <w:pPr>
              <w:spacing w:after="0"/>
              <w:rPr>
                <w:sz w:val="18"/>
                <w:szCs w:val="18"/>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0.27</w:t>
            </w:r>
          </w:p>
        </w:tc>
        <w:tc>
          <w:tcPr>
            <w:tcW w:w="1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660" w:type="dxa"/>
            <w:vAlign w:val="bottom"/>
          </w:tcPr>
          <w:p>
            <w:pPr>
              <w:spacing w:after="0"/>
              <w:rPr>
                <w:sz w:val="18"/>
                <w:szCs w:val="18"/>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0.26</w:t>
            </w:r>
          </w:p>
        </w:tc>
        <w:tc>
          <w:tcPr>
            <w:tcW w:w="1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0. 15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80" w:type="dxa"/>
            <w:vAlign w:val="bottom"/>
            <w:gridSpan w:val="3"/>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9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2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2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837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520" w:type="dxa"/>
            <w:vAlign w:val="bottom"/>
          </w:tcPr>
          <w:p>
            <w:pPr>
              <w:spacing w:after="0"/>
              <w:rPr>
                <w:sz w:val="18"/>
                <w:szCs w:val="18"/>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1,225</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Amortization</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4"/>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 on discontinued operations</w:t>
            </w:r>
          </w:p>
        </w:tc>
        <w:tc>
          <w:tcPr>
            <w:tcW w:w="520" w:type="dxa"/>
            <w:vAlign w:val="bottom"/>
          </w:tcPr>
          <w:p>
            <w:pPr>
              <w:spacing w:after="0"/>
              <w:rPr>
                <w:sz w:val="18"/>
                <w:szCs w:val="18"/>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4"/>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Noncash interest expense (income), net</w:t>
            </w:r>
          </w:p>
        </w:tc>
        <w:tc>
          <w:tcPr>
            <w:tcW w:w="520" w:type="dxa"/>
            <w:vAlign w:val="bottom"/>
          </w:tcPr>
          <w:p>
            <w:pPr>
              <w:spacing w:after="0"/>
              <w:rPr>
                <w:sz w:val="18"/>
                <w:szCs w:val="18"/>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Equity in net losses (income) of affiliates, net</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4"/>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(Gains) losses on investments and noncash other (income) expense, net</w:t>
            </w:r>
          </w:p>
        </w:tc>
        <w:tc>
          <w:tcPr>
            <w:tcW w:w="520" w:type="dxa"/>
            <w:vAlign w:val="bottom"/>
          </w:tcPr>
          <w:p>
            <w:pPr>
              <w:spacing w:after="0"/>
              <w:rPr>
                <w:sz w:val="18"/>
                <w:szCs w:val="18"/>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(651)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Noncash contribution expense</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4"/>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Minority interest</w:t>
            </w:r>
          </w:p>
        </w:tc>
        <w:tc>
          <w:tcPr>
            <w:tcW w:w="520" w:type="dxa"/>
            <w:vAlign w:val="bottom"/>
          </w:tcPr>
          <w:p>
            <w:pPr>
              <w:spacing w:after="0"/>
              <w:rPr>
                <w:sz w:val="18"/>
                <w:szCs w:val="18"/>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4"/>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4"/>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accounts payable and accrued expenses related to trade creditors</w:t>
            </w:r>
          </w:p>
        </w:tc>
        <w:tc>
          <w:tcPr>
            <w:tcW w:w="520" w:type="dxa"/>
            <w:vAlign w:val="bottom"/>
          </w:tcPr>
          <w:p>
            <w:pPr>
              <w:spacing w:after="0"/>
              <w:rPr>
                <w:sz w:val="18"/>
                <w:szCs w:val="18"/>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E5E5E5"/>
            </w:tcBorders>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Change in other operating assets and liabilities</w:t>
            </w:r>
          </w:p>
        </w:tc>
        <w:tc>
          <w:tcPr>
            <w:tcW w:w="5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4"/>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1,965</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520" w:type="dxa"/>
            <w:vAlign w:val="bottom"/>
          </w:tcPr>
          <w:p>
            <w:pPr>
              <w:spacing w:after="0"/>
              <w:rPr>
                <w:sz w:val="18"/>
                <w:szCs w:val="18"/>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Retirements and repayments of debt</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4"/>
              <w:spacing w:after="0"/>
              <w:rPr>
                <w:sz w:val="20"/>
                <w:szCs w:val="20"/>
                <w:color w:val="auto"/>
              </w:rPr>
            </w:pPr>
            <w:r>
              <w:rPr>
                <w:rFonts w:ascii="Times New Roman" w:cs="Times New Roman" w:eastAsia="Times New Roman" w:hAnsi="Times New Roman"/>
                <w:sz w:val="18"/>
                <w:szCs w:val="18"/>
                <w:color w:val="auto"/>
              </w:rPr>
              <w:t>(704)</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5"/>
              </w:rPr>
              <w:t>(1,457)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520" w:type="dxa"/>
            <w:vAlign w:val="bottom"/>
          </w:tcPr>
          <w:p>
            <w:pPr>
              <w:spacing w:after="0"/>
              <w:rPr>
                <w:sz w:val="18"/>
                <w:szCs w:val="18"/>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4"/>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E5E5E5"/>
            </w:tcBorders>
            <w:shd w:val="clear" w:color="auto" w:fill="E5E5E5"/>
          </w:tcPr>
          <w:p>
            <w:pPr>
              <w:ind w:left="86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5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(979)</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Capital expenditures</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4"/>
              <w:spacing w:after="0"/>
              <w:rPr>
                <w:sz w:val="20"/>
                <w:szCs w:val="20"/>
                <w:color w:val="auto"/>
              </w:rPr>
            </w:pPr>
            <w:r>
              <w:rPr>
                <w:rFonts w:ascii="Times New Roman" w:cs="Times New Roman" w:eastAsia="Times New Roman" w:hAnsi="Times New Roman"/>
                <w:sz w:val="18"/>
                <w:szCs w:val="18"/>
                <w:color w:val="auto"/>
                <w:w w:val="95"/>
              </w:rPr>
              <w:t>(1,454)</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520" w:type="dxa"/>
            <w:vAlign w:val="bottom"/>
          </w:tcPr>
          <w:p>
            <w:pPr>
              <w:spacing w:after="0"/>
              <w:rPr>
                <w:sz w:val="18"/>
                <w:szCs w:val="18"/>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4"/>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sales of investments</w:t>
            </w:r>
          </w:p>
        </w:tc>
        <w:tc>
          <w:tcPr>
            <w:tcW w:w="520" w:type="dxa"/>
            <w:vAlign w:val="bottom"/>
          </w:tcPr>
          <w:p>
            <w:pPr>
              <w:spacing w:after="0"/>
              <w:rPr>
                <w:sz w:val="18"/>
                <w:szCs w:val="18"/>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392</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4"/>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sales (purchases) of short-term investments</w:t>
            </w:r>
          </w:p>
        </w:tc>
        <w:tc>
          <w:tcPr>
            <w:tcW w:w="520" w:type="dxa"/>
            <w:vAlign w:val="bottom"/>
          </w:tcPr>
          <w:p>
            <w:pPr>
              <w:spacing w:after="0"/>
              <w:rPr>
                <w:sz w:val="18"/>
                <w:szCs w:val="18"/>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E5E5E5"/>
            </w:tcBorders>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94"/>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w w:val="95"/>
              </w:rPr>
              <w:t>(1,188)</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4"/>
              <w:spacing w:after="0"/>
              <w:rPr>
                <w:sz w:val="20"/>
                <w:szCs w:val="20"/>
                <w:color w:val="auto"/>
              </w:rPr>
            </w:pPr>
            <w:r>
              <w:rPr>
                <w:rFonts w:ascii="Times New Roman" w:cs="Times New Roman" w:eastAsia="Times New Roman" w:hAnsi="Times New Roman"/>
                <w:sz w:val="18"/>
                <w:szCs w:val="18"/>
                <w:color w:val="auto"/>
              </w:rPr>
              <w:t>(202)</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1,239</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E5E5E5"/>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1,037</w:t>
            </w:r>
          </w:p>
        </w:tc>
        <w:tc>
          <w:tcPr>
            <w:tcW w:w="3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1,963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ind w:right="4380"/>
        <w:spacing w:after="0" w:line="280"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have prepared these unaudited condensed consolidated financial statements based upon Securities and Exchange Commission (“SEC”) rules that permit reduced disclosure for interim periods.</w:t>
      </w:r>
    </w:p>
    <w:p>
      <w:pPr>
        <w:spacing w:after="0" w:line="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These financial statements include all adjustments that are necessary for a fair presentation of our results of operations and financial condition for the periods shown, including normal recurring accruals and other items. The results of operations for the interim periods presented are not necessarily indicative of results for the full year.</w:t>
      </w:r>
    </w:p>
    <w:p>
      <w:pPr>
        <w:spacing w:after="0" w:line="3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For a more complete discussion of our accounting policies and certain other information, refer to our annual financial statements for the preceding fiscal year as filed with the SEC.</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2007, our Board of Directors approved a three-for-two stock split in the form of a 50% stock dividend (the “Stock Split”) which was paid on February 21, 2007 to shareholders of record on February 14, 2007. The stock dividend was in the form of an additional 0.5 share for every share held and was payable in shares of Class A common stock on the existing Class A common stock and payable in shares of Class A Special common stock on the existing Class A Special common stock and Class B common stock with cash being paid in lieu of fractional shares. The number of shares outstanding and related prices, per share amounts, share conversions and share-based data have been adjusted to reflect the Stock Split for all prior periods presented.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in our segment presentation to be consistent with our management reporting presentation (see Note 12).</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159</w:t>
      </w:r>
    </w:p>
    <w:p>
      <w:pPr>
        <w:spacing w:after="0" w:line="7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In February 2007, the Financial Accounting Standards Board (“FASB”) issued Statement of Financial Accounting Standards (“SFAS”) No. 159, “The Fair Value Option for Financial Assets and Financial Liabilities” (“SFAS No. 159”). SFAS No. 159 provides the option to report certain financial assets and liabilities at fair value, with the intent to mitigate volatility in financial reporting that can occur when related assets and liabilities are recorded on different bases. This statement is effective for us beginning January 1, 2008. We do not expect SFAS No. 159 to have a material impact on our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Interpretation No. 48</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2006, the FASB issued Financial Interpretation No. 48, “Accounting for Uncertainty in Income Taxes—an Interpretation of FASB Statement No. 109” (“FIN 48”). FIN 48 clarifies the recognition threshold and measurement of a tax position taken on a tax return. FIN 48 also requires expanded disclosure with respect to the uncertainty in income taxes. Effective January 1, 2007, we adopted the provisions of FIN 48. See Note 9 for further detail regarding the adoption of this interpretation.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EITF Issue No. 06-10</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2007, the Emerging Issues Task Force (“EITF”) reached a consensus on EITF Issue No. 06-10, “Accounting for Deferred Compensation and Postretirement Benefit Aspects of Collateral Assignment Split-Dollar Life Insurance Arrangements” (“EITF 06-10”). EITF 06-10 provides that an employer should recognize a liability for the postretirement benefit related to collateral assignment split-dollar life insurance arrangements in accordance with either SFAS No. 106, “Employers’ Accounting for Postretirement Benefits Other Than Pensions,” or APB No. 12 “Omnibus Opinion.” Entities should recognize the effects of applying EITF 06-10 through either (i) a change in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accounting principle through a cumulative-effect adjustment to retained earnings or to other components of equity or net assets in the statement of financial position as of the beginning of the year of adoption or (ii) a change in accounting principle through retrospective application to all prior periods. The provisions of EITF 06-10 are effective as of January 1, 2008 and are not expected to have a material impact on our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3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Basic earnings per common share (“Basic EPS”) is computed by dividing income from continuing operations for common stockholders by the weighted-average number of common shares outstanding during the period.</w:t>
      </w:r>
    </w:p>
    <w:p>
      <w:pPr>
        <w:spacing w:after="0" w:line="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potentially dilutive securities include potential common shares related to our stock options and restricted share units. Diluted earnings per common share (“Diluted EPS”) considers the impact of potentially dilutive securities except in periods in which there is a loss because the inclusion of the potential common shares would have an antidilutive effect.</w:t>
      </w:r>
    </w:p>
    <w:p>
      <w:pPr>
        <w:spacing w:after="0" w:line="3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Diluted EPS for the three months ended March 31, 2007 and 2006 excludes approximately 39 million and 196 million potential common shares, respectively, related to our share-based compensation plans, because the inclusion of the potential common shares would have an antidilutive effect.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numerator and denominator of the computations of Diluted EPS from continuing operations for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Three Months Ended March 31,</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5"/>
        </w:trPr>
        <w:tc>
          <w:tcPr>
            <w:tcW w:w="2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jc w:val="right"/>
              <w:ind w:right="32"/>
              <w:spacing w:after="0" w:line="12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jc w:val="center"/>
              <w:ind w:left="39"/>
              <w:spacing w:after="0" w:line="125" w:lineRule="exact"/>
              <w:rPr>
                <w:sz w:val="20"/>
                <w:szCs w:val="20"/>
                <w:color w:val="auto"/>
              </w:rPr>
            </w:pPr>
            <w:r>
              <w:rPr>
                <w:rFonts w:ascii="Times New Roman" w:cs="Times New Roman" w:eastAsia="Times New Roman" w:hAnsi="Times New Roman"/>
                <w:sz w:val="14"/>
                <w:szCs w:val="14"/>
                <w:b w:val="1"/>
                <w:bCs w:val="1"/>
                <w:color w:val="auto"/>
                <w:w w:val="94"/>
              </w:rPr>
              <w:t>Per Share</w:t>
            </w:r>
          </w:p>
        </w:tc>
        <w:tc>
          <w:tcPr>
            <w:tcW w:w="20" w:type="dxa"/>
            <w:vAlign w:val="bottom"/>
          </w:tcPr>
          <w:p>
            <w:pPr>
              <w:spacing w:after="0"/>
              <w:rPr>
                <w:sz w:val="10"/>
                <w:szCs w:val="10"/>
                <w:color w:val="auto"/>
              </w:rPr>
            </w:pPr>
          </w:p>
        </w:tc>
      </w:tr>
      <w:tr>
        <w:trPr>
          <w:trHeight w:val="165"/>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Basic EPS</w:t>
            </w:r>
          </w:p>
        </w:tc>
        <w:tc>
          <w:tcPr>
            <w:tcW w:w="340" w:type="dxa"/>
            <w:vAlign w:val="bottom"/>
            <w:tcBorders>
              <w:top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837</w:t>
            </w:r>
          </w:p>
        </w:tc>
        <w:tc>
          <w:tcPr>
            <w:tcW w:w="54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400" w:type="dxa"/>
            <w:vAlign w:val="bottom"/>
            <w:tcBorders>
              <w:top w:val="single" w:sz="8" w:color="auto"/>
            </w:tcBorders>
            <w:shd w:val="clear" w:color="auto" w:fill="E5E5E5"/>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tcBorders>
              <w:top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438</w:t>
            </w:r>
          </w:p>
        </w:tc>
        <w:tc>
          <w:tcPr>
            <w:tcW w:w="640" w:type="dxa"/>
            <w:vAlign w:val="bottom"/>
            <w:tcBorders>
              <w:top w:val="single" w:sz="8" w:color="auto"/>
            </w:tcBorders>
            <w:shd w:val="clear" w:color="auto" w:fill="E5E5E5"/>
          </w:tcPr>
          <w:p>
            <w:pPr>
              <w:jc w:val="right"/>
              <w:ind w:right="20"/>
              <w:spacing w:after="0"/>
              <w:rPr>
                <w:sz w:val="20"/>
                <w:szCs w:val="20"/>
                <w:color w:val="auto"/>
              </w:rPr>
            </w:pPr>
            <w:r>
              <w:rPr>
                <w:rFonts w:ascii="Times New Roman" w:cs="Times New Roman" w:eastAsia="Times New Roman" w:hAnsi="Times New Roman"/>
                <w:sz w:val="18"/>
                <w:szCs w:val="18"/>
                <w:color w:val="auto"/>
              </w:rPr>
              <w:t>3,202</w:t>
            </w:r>
          </w:p>
        </w:tc>
        <w:tc>
          <w:tcPr>
            <w:tcW w:w="2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706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Assumed exercise or issuance of shares relating to stock plans</w:t>
            </w:r>
          </w:p>
        </w:tc>
        <w:tc>
          <w:tcPr>
            <w:tcW w:w="340" w:type="dxa"/>
            <w:vAlign w:val="bottom"/>
            <w:tcBorders>
              <w:bottom w:val="single" w:sz="8" w:color="auto"/>
            </w:tcBorders>
            <w:shd w:val="clear" w:color="auto" w:fill="E5E5E5"/>
          </w:tcPr>
          <w:p>
            <w:pPr>
              <w:spacing w:after="0"/>
              <w:rPr>
                <w:sz w:val="21"/>
                <w:szCs w:val="21"/>
                <w:color w:val="auto"/>
              </w:rPr>
            </w:pPr>
          </w:p>
        </w:tc>
        <w:tc>
          <w:tcPr>
            <w:tcW w:w="440" w:type="dxa"/>
            <w:vAlign w:val="bottom"/>
            <w:tcBorders>
              <w:bottom w:val="single" w:sz="8" w:color="auto"/>
            </w:tcBorders>
            <w:shd w:val="clear" w:color="auto" w:fill="E5E5E5"/>
          </w:tcPr>
          <w:p>
            <w:pPr>
              <w:spacing w:after="0"/>
              <w:rPr>
                <w:sz w:val="21"/>
                <w:szCs w:val="21"/>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Borders>
              <w:bottom w:val="single" w:sz="8" w:color="auto"/>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440" w:type="dxa"/>
            <w:vAlign w:val="bottom"/>
            <w:tcBorders>
              <w:bottom w:val="single" w:sz="8" w:color="auto"/>
            </w:tcBorders>
            <w:shd w:val="clear" w:color="auto" w:fill="E5E5E5"/>
          </w:tcPr>
          <w:p>
            <w:pPr>
              <w:spacing w:after="0"/>
              <w:rPr>
                <w:sz w:val="21"/>
                <w:szCs w:val="21"/>
                <w:color w:val="auto"/>
              </w:rPr>
            </w:pPr>
          </w:p>
        </w:tc>
        <w:tc>
          <w:tcPr>
            <w:tcW w:w="640" w:type="dxa"/>
            <w:vAlign w:val="bottom"/>
            <w:tcBorders>
              <w:bottom w:val="single" w:sz="8" w:color="auto"/>
            </w:tcBorders>
            <w:shd w:val="clear" w:color="auto" w:fill="E5E5E5"/>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shd w:val="clear" w:color="auto" w:fill="E5E5E5"/>
          </w:tcPr>
          <w:p>
            <w:pPr>
              <w:spacing w:after="0"/>
              <w:rPr>
                <w:sz w:val="21"/>
                <w:szCs w:val="21"/>
                <w:color w:val="auto"/>
              </w:rPr>
            </w:pPr>
          </w:p>
        </w:tc>
        <w:tc>
          <w:tcPr>
            <w:tcW w:w="560" w:type="dxa"/>
            <w:vAlign w:val="bottom"/>
            <w:tcBorders>
              <w:bottom w:val="single" w:sz="8" w:color="auto"/>
            </w:tcBorders>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837</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3,161</w:t>
            </w:r>
          </w:p>
        </w:tc>
        <w:tc>
          <w:tcPr>
            <w:tcW w:w="4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0.26</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438</w:t>
            </w:r>
          </w:p>
        </w:tc>
        <w:tc>
          <w:tcPr>
            <w:tcW w:w="6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20" w:type="dxa"/>
            <w:vAlign w:val="bottom"/>
            <w:tcBorders>
              <w:bottom w:val="single" w:sz="8" w:color="auto"/>
            </w:tcBorders>
          </w:tcPr>
          <w:p>
            <w:pPr>
              <w:spacing w:after="0"/>
              <w:rPr>
                <w:sz w:val="18"/>
                <w:szCs w:val="18"/>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Acquisitions and Other Significant Events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and Kansas City Cable Partnership</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2006, we initiated the dissolution of Texas and Kansas City Cable Partners (“TKCCP”), our 50%-50% cable system partnership with Time Warner Cable (“TWC”). On January 1, 2007, the distribution of assets by TKCCP was completed and we received the cable system serving Houston, Texas (“Houston Asset Pool”) and TWC received the cable systems serving Kansas City, south and west Texas, and New Mexico (“Kansas City Asset Pool”). We accounted for the distribution of assets by TKCCP as a sale of our 50% interest in the Kansas City Asset Pool in exchange for acquiring an additional 50% interest in the Houston Asset Pool. This transaction resulted in an increase of approximately 700,000 video subscribers. The estimated fair value of the 50% interest of the Houston Asset Pool we received was approximately $1.1 billion and resulted in a pretax gain of approximately $500 million, which is included in other income (expense). We recorded our 50% interest in the Houston Asset Pool as a step acquisition in accordance with SFAS No. 141, “Business Combinations” (“SFAS No. 141”). The valuation of assets acquired and the estimated gain are based on preliminary valuations. Refinements may occur as these valuations are finalized. The results of operations for the Houston Asset Pool have been included in our consolidated financial statements since the date of the distribution of assets by TKCCP (January 1, 2007) and are reported in our Cable segment. The exchange of our 50% interest in the Kansas City Asset Pool for TWC’s 50% interest in the Houston Asset Pool is considered a noncash investing activity.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Adelphia and Time Warner Transactions</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July 2006, we completed transactions with Adelphia and Time Warner that resulted in a net increase of approximately 1.7 million video subscribers, a net cash payment by us of approximately $1.5 billion and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disposition of our ownership interests in TWC and Time Warner Entertainment (“TWE”), the assets of two cable system partnerships, and the transfer of our previously owned cable systems in Los Angeles, Cleveland and Dallas (“Comcast Exchange Systems”). We collectively refer to these transactions as the “Adelphia and Time Warner transactions.”</w:t>
      </w:r>
    </w:p>
    <w:p>
      <w:pPr>
        <w:spacing w:after="0" w:line="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operating results of the Comcast Exchange Systems transferred to TWC are reported as discontinued operations and are presented in accordance with SFAS No. 144, “Accounting for the Impairment or Disposal of Long-Lived Assets” (“SFAS No. 144”). The following represents the operating results of the Comcast Exchange Systems for the three months ended March 31, 2006:</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5360" w:type="dxa"/>
            <w:vAlign w:val="bottom"/>
            <w:gridSpan w:val="2"/>
          </w:tcPr>
          <w:p>
            <w:pPr>
              <w:ind w:left="4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200" w:type="dxa"/>
            <w:vAlign w:val="bottom"/>
          </w:tcPr>
          <w:p>
            <w:pPr>
              <w:spacing w:after="0"/>
              <w:rPr>
                <w:sz w:val="14"/>
                <w:szCs w:val="14"/>
                <w:color w:val="auto"/>
              </w:rPr>
            </w:pPr>
          </w:p>
        </w:tc>
        <w:tc>
          <w:tcPr>
            <w:tcW w:w="11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w w:val="96"/>
              </w:rPr>
              <w:t>March 31, 2006</w:t>
            </w:r>
          </w:p>
        </w:tc>
      </w:tr>
      <w:tr>
        <w:trPr>
          <w:trHeight w:val="210"/>
        </w:trPr>
        <w:tc>
          <w:tcPr>
            <w:tcW w:w="20" w:type="dxa"/>
            <w:vAlign w:val="bottom"/>
          </w:tcPr>
          <w:p>
            <w:pPr>
              <w:spacing w:after="0"/>
              <w:rPr>
                <w:sz w:val="18"/>
                <w:szCs w:val="18"/>
                <w:color w:val="auto"/>
              </w:rPr>
            </w:pPr>
          </w:p>
        </w:tc>
        <w:tc>
          <w:tcPr>
            <w:tcW w:w="604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Revenues</w:t>
            </w:r>
          </w:p>
        </w:tc>
        <w:tc>
          <w:tcPr>
            <w:tcW w:w="4200" w:type="dxa"/>
            <w:vAlign w:val="bottom"/>
            <w:tcBorders>
              <w:top w:val="single" w:sz="8" w:color="auto"/>
            </w:tcBorders>
            <w:shd w:val="clear" w:color="auto" w:fill="E5E5E5"/>
          </w:tcPr>
          <w:p>
            <w:pPr>
              <w:ind w:left="40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0" w:type="dxa"/>
            <w:vAlign w:val="bottom"/>
          </w:tcPr>
          <w:p>
            <w:pPr>
              <w:spacing w:after="0"/>
              <w:rPr>
                <w:sz w:val="18"/>
                <w:szCs w:val="18"/>
                <w:color w:val="auto"/>
              </w:rPr>
            </w:pPr>
          </w:p>
        </w:tc>
        <w:tc>
          <w:tcPr>
            <w:tcW w:w="60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200" w:type="dxa"/>
            <w:vAlign w:val="bottom"/>
            <w:shd w:val="clear" w:color="auto" w:fill="E5E5E5"/>
          </w:tcPr>
          <w:p>
            <w:pPr>
              <w:ind w:left="40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8"/>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unaudited pro forma information has been presented as if the Adelphia and Time Warner transactions and the TKCCP transaction each occurred on January 1, 2006. This information is based on historical results of operations, adjusted for purchase price allocations, and is not necessarily indicative of what the results would have been had we operated the cable systems since January 1, 2006.</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4660" w:type="dxa"/>
            <w:vAlign w:val="bottom"/>
            <w:gridSpan w:val="3"/>
          </w:tcPr>
          <w:p>
            <w:pPr>
              <w:ind w:left="34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r>
      <w:tr>
        <w:trPr>
          <w:trHeight w:val="165"/>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5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2006</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Revenues</w:t>
            </w:r>
          </w:p>
        </w:tc>
        <w:tc>
          <w:tcPr>
            <w:tcW w:w="3540" w:type="dxa"/>
            <w:vAlign w:val="bottom"/>
            <w:tcBorders>
              <w:top w:val="single" w:sz="8" w:color="auto"/>
            </w:tcBorders>
            <w:shd w:val="clear" w:color="auto" w:fill="E5E5E5"/>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54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540" w:type="dxa"/>
            <w:vAlign w:val="bottom"/>
            <w:shd w:val="clear" w:color="auto" w:fill="E5E5E5"/>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54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Basic EPS</w:t>
            </w:r>
          </w:p>
        </w:tc>
        <w:tc>
          <w:tcPr>
            <w:tcW w:w="3540" w:type="dxa"/>
            <w:vAlign w:val="bottom"/>
            <w:shd w:val="clear" w:color="auto" w:fill="E5E5E5"/>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Diluted EPS</w:t>
            </w:r>
          </w:p>
        </w:tc>
        <w:tc>
          <w:tcPr>
            <w:tcW w:w="354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Pr>
          <w:p>
            <w:pPr>
              <w:spacing w:after="0"/>
              <w:rPr>
                <w:sz w:val="19"/>
                <w:szCs w:val="19"/>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2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52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2006</w:t>
            </w:r>
          </w:p>
        </w:tc>
      </w:tr>
      <w:tr>
        <w:trPr>
          <w:trHeight w:val="210"/>
        </w:trPr>
        <w:tc>
          <w:tcPr>
            <w:tcW w:w="20" w:type="dxa"/>
            <w:vAlign w:val="bottom"/>
          </w:tcPr>
          <w:p>
            <w:pPr>
              <w:spacing w:after="0"/>
              <w:rPr>
                <w:sz w:val="18"/>
                <w:szCs w:val="18"/>
                <w:color w:val="auto"/>
              </w:rPr>
            </w:pPr>
          </w:p>
        </w:tc>
        <w:tc>
          <w:tcPr>
            <w:tcW w:w="394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Fair value method</w:t>
            </w:r>
          </w:p>
        </w:tc>
        <w:tc>
          <w:tcPr>
            <w:tcW w:w="354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Cablevision Systems Corporation</w:t>
            </w:r>
          </w:p>
        </w:tc>
        <w:tc>
          <w:tcPr>
            <w:tcW w:w="4360" w:type="dxa"/>
            <w:vAlign w:val="bottom"/>
            <w:gridSpan w:val="2"/>
          </w:tcPr>
          <w:p>
            <w:pPr>
              <w:ind w:left="4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156</w:t>
            </w: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20" w:type="dxa"/>
            <w:vAlign w:val="bottom"/>
          </w:tcPr>
          <w:p>
            <w:pPr>
              <w:spacing w:after="0"/>
              <w:rPr>
                <w:sz w:val="18"/>
                <w:szCs w:val="18"/>
                <w:color w:val="auto"/>
              </w:rPr>
            </w:pPr>
          </w:p>
        </w:tc>
        <w:tc>
          <w:tcPr>
            <w:tcW w:w="394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Discovery Holding Company</w:t>
            </w:r>
          </w:p>
        </w:tc>
        <w:tc>
          <w:tcPr>
            <w:tcW w:w="35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3"/>
              <w:spacing w:after="0"/>
              <w:rPr>
                <w:sz w:val="20"/>
                <w:szCs w:val="20"/>
                <w:color w:val="auto"/>
              </w:rPr>
            </w:pPr>
            <w:r>
              <w:rPr>
                <w:rFonts w:ascii="Times New Roman" w:cs="Times New Roman" w:eastAsia="Times New Roman" w:hAnsi="Times New Roman"/>
                <w:sz w:val="18"/>
                <w:szCs w:val="18"/>
                <w:color w:val="auto"/>
              </w:rPr>
              <w:t>191</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Embarq Corporation</w:t>
            </w:r>
          </w:p>
        </w:tc>
        <w:tc>
          <w:tcPr>
            <w:tcW w:w="3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74</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0" w:type="dxa"/>
            <w:vAlign w:val="bottom"/>
          </w:tcPr>
          <w:p>
            <w:pPr>
              <w:spacing w:after="0"/>
              <w:rPr>
                <w:sz w:val="18"/>
                <w:szCs w:val="18"/>
                <w:color w:val="auto"/>
              </w:rPr>
            </w:pPr>
          </w:p>
        </w:tc>
        <w:tc>
          <w:tcPr>
            <w:tcW w:w="394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GSI Commerce</w:t>
            </w:r>
          </w:p>
        </w:tc>
        <w:tc>
          <w:tcPr>
            <w:tcW w:w="35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3"/>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Liberty Capital</w:t>
            </w:r>
          </w:p>
        </w:tc>
        <w:tc>
          <w:tcPr>
            <w:tcW w:w="3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553</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20" w:type="dxa"/>
            <w:vAlign w:val="bottom"/>
          </w:tcPr>
          <w:p>
            <w:pPr>
              <w:spacing w:after="0"/>
              <w:rPr>
                <w:sz w:val="18"/>
                <w:szCs w:val="18"/>
                <w:color w:val="auto"/>
              </w:rPr>
            </w:pPr>
          </w:p>
        </w:tc>
        <w:tc>
          <w:tcPr>
            <w:tcW w:w="394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Liberty Global</w:t>
            </w:r>
          </w:p>
        </w:tc>
        <w:tc>
          <w:tcPr>
            <w:tcW w:w="35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3"/>
              <w:spacing w:after="0"/>
              <w:rPr>
                <w:sz w:val="20"/>
                <w:szCs w:val="20"/>
                <w:color w:val="auto"/>
              </w:rPr>
            </w:pPr>
            <w:r>
              <w:rPr>
                <w:rFonts w:ascii="Times New Roman" w:cs="Times New Roman" w:eastAsia="Times New Roman" w:hAnsi="Times New Roman"/>
                <w:sz w:val="18"/>
                <w:szCs w:val="18"/>
                <w:color w:val="auto"/>
              </w:rPr>
              <w:t>488</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Liberty Interactive</w:t>
            </w:r>
          </w:p>
        </w:tc>
        <w:tc>
          <w:tcPr>
            <w:tcW w:w="3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596</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20" w:type="dxa"/>
            <w:vAlign w:val="bottom"/>
          </w:tcPr>
          <w:p>
            <w:pPr>
              <w:spacing w:after="0"/>
              <w:rPr>
                <w:sz w:val="18"/>
                <w:szCs w:val="18"/>
                <w:color w:val="auto"/>
              </w:rPr>
            </w:pPr>
          </w:p>
        </w:tc>
        <w:tc>
          <w:tcPr>
            <w:tcW w:w="394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Sprint Nextel</w:t>
            </w:r>
          </w:p>
        </w:tc>
        <w:tc>
          <w:tcPr>
            <w:tcW w:w="35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3"/>
              <w:spacing w:after="0"/>
              <w:rPr>
                <w:sz w:val="20"/>
                <w:szCs w:val="20"/>
                <w:color w:val="auto"/>
              </w:rPr>
            </w:pPr>
            <w:r>
              <w:rPr>
                <w:rFonts w:ascii="Times New Roman" w:cs="Times New Roman" w:eastAsia="Times New Roman" w:hAnsi="Times New Roman"/>
                <w:sz w:val="18"/>
                <w:szCs w:val="18"/>
                <w:color w:val="auto"/>
              </w:rPr>
              <w:t>495</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Time Warner</w:t>
            </w:r>
          </w:p>
        </w:tc>
        <w:tc>
          <w:tcPr>
            <w:tcW w:w="3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600</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20" w:type="dxa"/>
            <w:vAlign w:val="bottom"/>
          </w:tcPr>
          <w:p>
            <w:pPr>
              <w:spacing w:after="0"/>
              <w:rPr>
                <w:sz w:val="18"/>
                <w:szCs w:val="18"/>
                <w:color w:val="auto"/>
              </w:rPr>
            </w:pPr>
          </w:p>
        </w:tc>
        <w:tc>
          <w:tcPr>
            <w:tcW w:w="394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Vodafone</w:t>
            </w:r>
          </w:p>
        </w:tc>
        <w:tc>
          <w:tcPr>
            <w:tcW w:w="35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35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20" w:type="dxa"/>
            <w:vAlign w:val="bottom"/>
          </w:tcPr>
          <w:p>
            <w:pPr>
              <w:spacing w:after="0"/>
              <w:rPr>
                <w:sz w:val="18"/>
                <w:szCs w:val="18"/>
                <w:color w:val="auto"/>
              </w:rPr>
            </w:pPr>
          </w:p>
        </w:tc>
        <w:tc>
          <w:tcPr>
            <w:tcW w:w="3940" w:type="dxa"/>
            <w:vAlign w:val="bottom"/>
            <w:shd w:val="clear" w:color="auto" w:fill="E5E5E5"/>
          </w:tcPr>
          <w:p>
            <w:pPr>
              <w:spacing w:after="0"/>
              <w:rPr>
                <w:sz w:val="18"/>
                <w:szCs w:val="18"/>
                <w:color w:val="auto"/>
              </w:rPr>
            </w:pPr>
          </w:p>
        </w:tc>
        <w:tc>
          <w:tcPr>
            <w:tcW w:w="35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3"/>
              <w:spacing w:after="0"/>
              <w:rPr>
                <w:sz w:val="20"/>
                <w:szCs w:val="20"/>
                <w:color w:val="auto"/>
              </w:rPr>
            </w:pPr>
            <w:r>
              <w:rPr>
                <w:rFonts w:ascii="Times New Roman" w:cs="Times New Roman" w:eastAsia="Times New Roman" w:hAnsi="Times New Roman"/>
                <w:sz w:val="18"/>
                <w:szCs w:val="18"/>
                <w:color w:val="auto"/>
              </w:rPr>
              <w:t>3,224</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3,513</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principally cable-related</w:t>
            </w:r>
          </w:p>
        </w:tc>
        <w:tc>
          <w:tcPr>
            <w:tcW w:w="3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2,394</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r>
      <w:tr>
        <w:trPr>
          <w:trHeight w:val="216"/>
        </w:trPr>
        <w:tc>
          <w:tcPr>
            <w:tcW w:w="20" w:type="dxa"/>
            <w:vAlign w:val="bottom"/>
          </w:tcPr>
          <w:p>
            <w:pPr>
              <w:spacing w:after="0"/>
              <w:rPr>
                <w:sz w:val="18"/>
                <w:szCs w:val="18"/>
                <w:color w:val="auto"/>
              </w:rPr>
            </w:pPr>
          </w:p>
        </w:tc>
        <w:tc>
          <w:tcPr>
            <w:tcW w:w="394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Cost method, principally AirTouch</w:t>
            </w:r>
          </w:p>
        </w:tc>
        <w:tc>
          <w:tcPr>
            <w:tcW w:w="3540" w:type="dxa"/>
            <w:vAlign w:val="bottom"/>
            <w:tcBorders>
              <w:bottom w:val="single" w:sz="8" w:color="E5E5E5"/>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53"/>
              <w:spacing w:after="0"/>
              <w:rPr>
                <w:sz w:val="20"/>
                <w:szCs w:val="20"/>
                <w:color w:val="auto"/>
              </w:rPr>
            </w:pPr>
            <w:r>
              <w:rPr>
                <w:rFonts w:ascii="Times New Roman" w:cs="Times New Roman" w:eastAsia="Times New Roman" w:hAnsi="Times New Roman"/>
                <w:sz w:val="18"/>
                <w:szCs w:val="18"/>
                <w:color w:val="auto"/>
              </w:rPr>
              <w:t>1,707</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10"/>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investments</w:t>
            </w:r>
          </w:p>
        </w:tc>
        <w:tc>
          <w:tcPr>
            <w:tcW w:w="3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7,325</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w:t>
            </w:r>
          </w:p>
        </w:tc>
      </w:tr>
      <w:tr>
        <w:trPr>
          <w:trHeight w:val="216"/>
        </w:trPr>
        <w:tc>
          <w:tcPr>
            <w:tcW w:w="20" w:type="dxa"/>
            <w:vAlign w:val="bottom"/>
          </w:tcPr>
          <w:p>
            <w:pPr>
              <w:spacing w:after="0"/>
              <w:rPr>
                <w:sz w:val="18"/>
                <w:szCs w:val="18"/>
                <w:color w:val="auto"/>
              </w:rPr>
            </w:pPr>
          </w:p>
        </w:tc>
        <w:tc>
          <w:tcPr>
            <w:tcW w:w="394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Less: current investments</w:t>
            </w:r>
          </w:p>
        </w:tc>
        <w:tc>
          <w:tcPr>
            <w:tcW w:w="3540" w:type="dxa"/>
            <w:vAlign w:val="bottom"/>
            <w:tcBorders>
              <w:bottom w:val="single" w:sz="8" w:color="E5E5E5"/>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53"/>
              <w:spacing w:after="0"/>
              <w:rPr>
                <w:sz w:val="20"/>
                <w:szCs w:val="20"/>
                <w:color w:val="auto"/>
              </w:rPr>
            </w:pPr>
            <w:r>
              <w:rPr>
                <w:rFonts w:ascii="Times New Roman" w:cs="Times New Roman" w:eastAsia="Times New Roman" w:hAnsi="Times New Roman"/>
                <w:sz w:val="18"/>
                <w:szCs w:val="18"/>
                <w:color w:val="auto"/>
              </w:rPr>
              <w:t>1,248</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17"/>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investments</w:t>
            </w:r>
          </w:p>
        </w:tc>
        <w:tc>
          <w:tcPr>
            <w:tcW w:w="4360" w:type="dxa"/>
            <w:vAlign w:val="bottom"/>
            <w:gridSpan w:val="2"/>
          </w:tcPr>
          <w:p>
            <w:pPr>
              <w:ind w:left="42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6,077</w:t>
            </w: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8,847</w:t>
            </w:r>
          </w:p>
        </w:tc>
      </w:tr>
      <w:tr>
        <w:trPr>
          <w:trHeight w:val="36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540" w:type="dxa"/>
            <w:vAlign w:val="bottom"/>
          </w:tcPr>
          <w:p>
            <w:pPr>
              <w:jc w:val="right"/>
              <w:ind w:right="2232"/>
              <w:spacing w:after="0"/>
              <w:rPr>
                <w:sz w:val="20"/>
                <w:szCs w:val="20"/>
                <w:color w:val="auto"/>
              </w:rPr>
            </w:pPr>
            <w:r>
              <w:rPr>
                <w:rFonts w:ascii="Arial" w:cs="Arial" w:eastAsia="Arial" w:hAnsi="Arial"/>
                <w:sz w:val="18"/>
                <w:szCs w:val="18"/>
                <w:color w:val="auto"/>
              </w:rPr>
              <w:t>7</w:t>
            </w:r>
          </w:p>
        </w:tc>
        <w:tc>
          <w:tcPr>
            <w:tcW w:w="8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cost, fair value and unrealized gains related to our available for sale securities, which consist principally of our investment in Time Warner, are presented in the following table:</w:t>
      </w:r>
    </w:p>
    <w:p>
      <w:pPr>
        <w:spacing w:after="0" w:line="7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1740" w:type="dxa"/>
            <w:vAlign w:val="bottom"/>
            <w:gridSpan w:val="2"/>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14"/>
                <w:szCs w:val="14"/>
                <w:color w:val="auto"/>
              </w:rPr>
            </w:pPr>
          </w:p>
        </w:tc>
        <w:tc>
          <w:tcPr>
            <w:tcW w:w="8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56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2006</w:t>
            </w:r>
          </w:p>
        </w:tc>
      </w:tr>
      <w:tr>
        <w:trPr>
          <w:trHeight w:val="210"/>
        </w:trPr>
        <w:tc>
          <w:tcPr>
            <w:tcW w:w="20" w:type="dxa"/>
            <w:vAlign w:val="bottom"/>
          </w:tcPr>
          <w:p>
            <w:pPr>
              <w:spacing w:after="0"/>
              <w:rPr>
                <w:sz w:val="18"/>
                <w:szCs w:val="18"/>
                <w:color w:val="auto"/>
              </w:rPr>
            </w:pPr>
          </w:p>
        </w:tc>
        <w:tc>
          <w:tcPr>
            <w:tcW w:w="732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E5E5E5"/>
          </w:tcPr>
          <w:p>
            <w:pPr>
              <w:jc w:val="right"/>
              <w:ind w:right="297"/>
              <w:spacing w:after="0"/>
              <w:rPr>
                <w:sz w:val="20"/>
                <w:szCs w:val="20"/>
                <w:color w:val="auto"/>
              </w:rPr>
            </w:pPr>
            <w:r>
              <w:rPr>
                <w:rFonts w:ascii="Times New Roman" w:cs="Times New Roman" w:eastAsia="Times New Roman" w:hAnsi="Times New Roman"/>
                <w:sz w:val="18"/>
                <w:szCs w:val="18"/>
                <w:color w:val="auto"/>
              </w:rPr>
              <w:t>622</w:t>
            </w:r>
          </w:p>
        </w:tc>
        <w:tc>
          <w:tcPr>
            <w:tcW w:w="560" w:type="dxa"/>
            <w:vAlign w:val="bottom"/>
            <w:tcBorders>
              <w:top w:val="single" w:sz="8" w:color="auto"/>
            </w:tcBorders>
            <w:shd w:val="clear" w:color="auto" w:fill="E5E5E5"/>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9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8"/>
                <w:szCs w:val="18"/>
                <w:color w:val="auto"/>
              </w:rPr>
              <w:t>124</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7"/>
        </w:trPr>
        <w:tc>
          <w:tcPr>
            <w:tcW w:w="20" w:type="dxa"/>
            <w:vAlign w:val="bottom"/>
          </w:tcPr>
          <w:p>
            <w:pPr>
              <w:spacing w:after="0"/>
              <w:rPr>
                <w:sz w:val="18"/>
                <w:szCs w:val="18"/>
                <w:color w:val="auto"/>
              </w:rPr>
            </w:pPr>
          </w:p>
        </w:tc>
        <w:tc>
          <w:tcPr>
            <w:tcW w:w="732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746</w:t>
            </w:r>
          </w:p>
        </w:tc>
        <w:tc>
          <w:tcPr>
            <w:tcW w:w="560" w:type="dxa"/>
            <w:vAlign w:val="bottom"/>
            <w:tcBorders>
              <w:bottom w:val="single" w:sz="8" w:color="auto"/>
            </w:tcBorders>
            <w:shd w:val="clear" w:color="auto" w:fill="E5E5E5"/>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1,190</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and Kansas City Cable Partnership</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accounted for our interest in TKCCP, totaling approximately $3.0 billion, as an equity method investment through January 1, 2007, the date the Houston Asset Pool was distributed to 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Insight Midwest Partnership</w:t>
      </w:r>
    </w:p>
    <w:p>
      <w:pPr>
        <w:spacing w:after="0" w:line="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2007, we and Insight Communications (“Insight”) agreed to divide the assets and liabilities of Insight Midwest, LP (“IM”), a 50%-50% cable system partnership with Insight. Under the terms of the agreement, we will receive cable systems serving approximately 684,000 video subscribers in Illinois and Indiana, together with approximately $1.34 billion of debt allocated to such cable systems (“Comcast Asset Pool”). Insight will receive cable systems serving approximately 639,000 video subscribers, together with approximately $1.26 billion of debt allocated to such cable systems (“Insight Asset Pool”). We will continue to account for our interest in IM as an equity method investment until the Comcast Asset Pool is distributed to us. Closing of the transaction is subject to customary government and other approvals and is expected on or before December 31, 2007. Effective April 1, 2007, we will report our share of the earnings and losses of IM based solely on the operating results of the Comcast Asset Pool.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investment income (loss), net:</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900" w:type="dxa"/>
            <w:vAlign w:val="bottom"/>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8"/>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540" w:type="dxa"/>
            <w:vAlign w:val="bottom"/>
            <w:tcBorders>
              <w:bottom w:val="single" w:sz="8" w:color="auto"/>
            </w:tcBorders>
          </w:tcPr>
          <w:p>
            <w:pPr>
              <w:spacing w:after="0"/>
              <w:rPr>
                <w:sz w:val="15"/>
                <w:szCs w:val="15"/>
                <w:color w:val="auto"/>
              </w:rPr>
            </w:pPr>
          </w:p>
        </w:tc>
      </w:tr>
      <w:tr>
        <w:trPr>
          <w:trHeight w:val="143"/>
        </w:trPr>
        <w:tc>
          <w:tcPr>
            <w:tcW w:w="74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Pr>
          <w:p>
            <w:pPr>
              <w:spacing w:after="0"/>
              <w:rPr>
                <w:sz w:val="12"/>
                <w:szCs w:val="12"/>
                <w:color w:val="auto"/>
              </w:rPr>
            </w:pPr>
          </w:p>
        </w:tc>
        <w:tc>
          <w:tcPr>
            <w:tcW w:w="520" w:type="dxa"/>
            <w:vAlign w:val="bottom"/>
          </w:tcPr>
          <w:p>
            <w:pPr>
              <w:jc w:val="right"/>
              <w:ind w:right="137"/>
              <w:spacing w:after="0" w:line="143"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840" w:type="dxa"/>
            <w:vAlign w:val="bottom"/>
          </w:tcPr>
          <w:p>
            <w:pPr>
              <w:spacing w:after="0"/>
              <w:rPr>
                <w:sz w:val="12"/>
                <w:szCs w:val="12"/>
                <w:color w:val="auto"/>
              </w:rPr>
            </w:pPr>
          </w:p>
        </w:tc>
        <w:tc>
          <w:tcPr>
            <w:tcW w:w="540" w:type="dxa"/>
            <w:vAlign w:val="bottom"/>
          </w:tcPr>
          <w:p>
            <w:pPr>
              <w:jc w:val="right"/>
              <w:ind w:right="135"/>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4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4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Gains on sales and exchanges of investments, net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Investment impairment losses</w:t>
            </w:r>
          </w:p>
        </w:tc>
        <w:tc>
          <w:tcPr>
            <w:tcW w:w="9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trading securities and hedged items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Mark to market adjustments on derivatives related to trading securities and hedged items</w:t>
            </w:r>
          </w:p>
        </w:tc>
        <w:tc>
          <w:tcPr>
            <w:tcW w:w="9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4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Mark to market adjustments on derivatives</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7"/>
        </w:trPr>
        <w:tc>
          <w:tcPr>
            <w:tcW w:w="20" w:type="dxa"/>
            <w:vAlign w:val="bottom"/>
          </w:tcPr>
          <w:p>
            <w:pPr>
              <w:spacing w:after="0"/>
              <w:rPr>
                <w:sz w:val="18"/>
                <w:szCs w:val="18"/>
                <w:color w:val="auto"/>
              </w:rPr>
            </w:pPr>
          </w:p>
        </w:tc>
        <w:tc>
          <w:tcPr>
            <w:tcW w:w="742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Investment income (loss), net</w:t>
            </w:r>
          </w:p>
        </w:tc>
        <w:tc>
          <w:tcPr>
            <w:tcW w:w="9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8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Goodwill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business segment for the three months ended March 31, 2007 are presented in the following table:</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80" w:type="dxa"/>
            <w:vAlign w:val="bottom"/>
          </w:tcPr>
          <w:p>
            <w:pPr>
              <w:spacing w:after="0"/>
              <w:rPr>
                <w:sz w:val="13"/>
                <w:szCs w:val="13"/>
                <w:color w:val="auto"/>
              </w:rPr>
            </w:pPr>
          </w:p>
        </w:tc>
      </w:tr>
      <w:tr>
        <w:trPr>
          <w:trHeight w:val="165"/>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40" w:type="dxa"/>
            <w:vAlign w:val="bottom"/>
          </w:tcPr>
          <w:p>
            <w:pPr>
              <w:spacing w:after="0"/>
              <w:rPr>
                <w:sz w:val="14"/>
                <w:szCs w:val="14"/>
                <w:color w:val="auto"/>
              </w:rPr>
            </w:pPr>
          </w:p>
        </w:tc>
        <w:tc>
          <w:tcPr>
            <w:tcW w:w="14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Cable</w:t>
            </w: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Programming</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Balance, December 31, 2006</w:t>
            </w:r>
          </w:p>
        </w:tc>
        <w:tc>
          <w:tcPr>
            <w:tcW w:w="3260" w:type="dxa"/>
            <w:vAlign w:val="bottom"/>
            <w:tcBorders>
              <w:top w:val="single" w:sz="8" w:color="auto"/>
            </w:tcBorders>
            <w:gridSpan w:val="2"/>
            <w:shd w:val="clear" w:color="auto" w:fill="E5E5E5"/>
          </w:tcPr>
          <w:p>
            <w:pPr>
              <w:jc w:val="right"/>
              <w:ind w:right="202"/>
              <w:spacing w:after="0"/>
              <w:rPr>
                <w:sz w:val="20"/>
                <w:szCs w:val="20"/>
                <w:color w:val="auto"/>
              </w:rPr>
            </w:pPr>
            <w:r>
              <w:rPr>
                <w:rFonts w:ascii="Times New Roman" w:cs="Times New Roman" w:eastAsia="Times New Roman" w:hAnsi="Times New Roman"/>
                <w:sz w:val="18"/>
                <w:szCs w:val="18"/>
                <w:color w:val="auto"/>
              </w:rPr>
              <w:t>$12,010</w:t>
            </w:r>
          </w:p>
        </w:tc>
        <w:tc>
          <w:tcPr>
            <w:tcW w:w="540" w:type="dxa"/>
            <w:vAlign w:val="bottom"/>
            <w:tcBorders>
              <w:top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1,441</w:t>
            </w:r>
          </w:p>
        </w:tc>
        <w:tc>
          <w:tcPr>
            <w:tcW w:w="520" w:type="dxa"/>
            <w:vAlign w:val="bottom"/>
            <w:tcBorders>
              <w:top w:val="single" w:sz="8" w:color="auto"/>
            </w:tcBorders>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317</w:t>
            </w:r>
          </w:p>
        </w:tc>
        <w:tc>
          <w:tcPr>
            <w:tcW w:w="88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$13,768</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Settlements or adjustments</w:t>
            </w:r>
          </w:p>
        </w:tc>
        <w:tc>
          <w:tcPr>
            <w:tcW w:w="326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Pr>
          <w:p>
            <w:pPr>
              <w:spacing w:after="0"/>
              <w:rPr>
                <w:sz w:val="18"/>
                <w:szCs w:val="18"/>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0" w:type="dxa"/>
            <w:vAlign w:val="bottom"/>
          </w:tcPr>
          <w:p>
            <w:pPr>
              <w:spacing w:after="0"/>
              <w:rPr>
                <w:sz w:val="18"/>
                <w:szCs w:val="18"/>
                <w:color w:val="auto"/>
              </w:rPr>
            </w:pPr>
          </w:p>
        </w:tc>
        <w:tc>
          <w:tcPr>
            <w:tcW w:w="354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840" w:type="dxa"/>
            <w:vAlign w:val="bottom"/>
            <w:tcBorders>
              <w:bottom w:val="single" w:sz="8" w:color="E5E5E5"/>
            </w:tcBorders>
            <w:shd w:val="clear" w:color="auto" w:fill="E5E5E5"/>
          </w:tcPr>
          <w:p>
            <w:pPr>
              <w:spacing w:after="0"/>
              <w:rPr>
                <w:sz w:val="18"/>
                <w:szCs w:val="18"/>
                <w:color w:val="auto"/>
              </w:rPr>
            </w:pPr>
          </w:p>
        </w:tc>
        <w:tc>
          <w:tcPr>
            <w:tcW w:w="1420" w:type="dxa"/>
            <w:vAlign w:val="bottom"/>
            <w:tcBorders>
              <w:bottom w:val="single" w:sz="8" w:color="auto"/>
            </w:tcBorders>
            <w:shd w:val="clear" w:color="auto" w:fill="E5E5E5"/>
          </w:tcPr>
          <w:p>
            <w:pPr>
              <w:jc w:val="right"/>
              <w:ind w:right="202"/>
              <w:spacing w:after="0"/>
              <w:rPr>
                <w:sz w:val="20"/>
                <w:szCs w:val="20"/>
                <w:color w:val="auto"/>
              </w:rPr>
            </w:pPr>
            <w:r>
              <w:rPr>
                <w:rFonts w:ascii="Times New Roman" w:cs="Times New Roman" w:eastAsia="Times New Roman" w:hAnsi="Times New Roman"/>
                <w:sz w:val="18"/>
                <w:szCs w:val="18"/>
                <w:color w:val="auto"/>
              </w:rPr>
              <w:t>205</w:t>
            </w:r>
          </w:p>
        </w:tc>
        <w:tc>
          <w:tcPr>
            <w:tcW w:w="5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7"/>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2007</w:t>
            </w:r>
          </w:p>
        </w:tc>
        <w:tc>
          <w:tcPr>
            <w:tcW w:w="326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$12,318</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1,441</w:t>
            </w:r>
          </w:p>
        </w:tc>
        <w:tc>
          <w:tcPr>
            <w:tcW w:w="5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317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$14,076</w:t>
            </w:r>
          </w:p>
        </w:tc>
      </w:tr>
      <w:tr>
        <w:trPr>
          <w:trHeight w:val="36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4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14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Settlements or adjustments are primarily related to certain valuation refinements of the Adelphia and Time Warner transactions and the adoption of FIN 48.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are primarily related to the acquisition of the Houston Asset Pool.</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Redemptions</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During the three months ended March 31, 2007, we redeemed $186 million principal amount of 8.15% senior notes due 2032 and $268 million principal amount of 9.65% debt supporting trust preferred securities due 2027. These redemptions were funded with available cash.</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0"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Effective January 1, 2006, we adopted SFAS No. 123R, “Share-Based Payment” (“SFAS No. 123R”), which requires the cost of all share-based payments to employees to be recognized in the financial statements based on their fair values at grant date, or the date of later modification, over the requisite service period.</w:t>
      </w:r>
    </w:p>
    <w:p>
      <w:pPr>
        <w:spacing w:after="0" w:line="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Stock Split, all outstanding share-based awards were modified as required under the terms of our equity plans. This modification did not change the fair value of outstanding awards. Prior to this modification, compensation costs related to awards granted prior to the adoption of SFAS No. 123R were recognized under an accelerated recognition method. As a result of the Stock Split modification, the remaining unrecognized compensation costs related to all awards are recognized on a straight-line basis over the remaining requisite service period. The impact of this change was not material to our consolidated financial statements.</w:t>
      </w:r>
    </w:p>
    <w:p>
      <w:pPr>
        <w:spacing w:after="0" w:line="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March 2007, 12.5 million stock options and 4.9 million restricted share units (“RSUs”) were granted related to our annual management grant program. The fair values associated with these grants were $9.47 per stock option and $25.44 per RSU.</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recognized related to stock options and RSU awards is summarized in the table below:</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80" w:type="dxa"/>
            <w:vAlign w:val="bottom"/>
            <w:gridSpan w:val="3"/>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8"/>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460" w:type="dxa"/>
            <w:vAlign w:val="bottom"/>
            <w:tcBorders>
              <w:bottom w:val="single" w:sz="8" w:color="auto"/>
            </w:tcBorders>
          </w:tcPr>
          <w:p>
            <w:pPr>
              <w:spacing w:after="0"/>
              <w:rPr>
                <w:sz w:val="15"/>
                <w:szCs w:val="15"/>
                <w:color w:val="auto"/>
              </w:rPr>
            </w:pPr>
          </w:p>
        </w:tc>
      </w:tr>
      <w:tr>
        <w:trPr>
          <w:trHeight w:val="143"/>
        </w:trPr>
        <w:tc>
          <w:tcPr>
            <w:tcW w:w="78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2"/>
                <w:szCs w:val="12"/>
                <w:color w:val="auto"/>
              </w:rPr>
            </w:pPr>
          </w:p>
        </w:tc>
        <w:tc>
          <w:tcPr>
            <w:tcW w:w="460" w:type="dxa"/>
            <w:vAlign w:val="bottom"/>
          </w:tcPr>
          <w:p>
            <w:pPr>
              <w:jc w:val="right"/>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760" w:type="dxa"/>
            <w:vAlign w:val="bottom"/>
          </w:tcPr>
          <w:p>
            <w:pPr>
              <w:spacing w:after="0"/>
              <w:rPr>
                <w:sz w:val="12"/>
                <w:szCs w:val="12"/>
                <w:color w:val="auto"/>
              </w:rPr>
            </w:pPr>
          </w:p>
        </w:tc>
        <w:tc>
          <w:tcPr>
            <w:tcW w:w="460" w:type="dxa"/>
            <w:vAlign w:val="bottom"/>
          </w:tcPr>
          <w:p>
            <w:pPr>
              <w:jc w:val="right"/>
              <w:ind w:right="77"/>
              <w:spacing w:after="0" w:line="143" w:lineRule="exact"/>
              <w:rPr>
                <w:sz w:val="20"/>
                <w:szCs w:val="20"/>
                <w:color w:val="auto"/>
              </w:rPr>
            </w:pPr>
            <w:r>
              <w:rPr>
                <w:rFonts w:ascii="Times New Roman" w:cs="Times New Roman" w:eastAsia="Times New Roman" w:hAnsi="Times New Roman"/>
                <w:sz w:val="14"/>
                <w:szCs w:val="14"/>
                <w:b w:val="1"/>
                <w:bCs w:val="1"/>
                <w:color w:val="auto"/>
                <w:w w:val="99"/>
              </w:rPr>
              <w:t>2006</w:t>
            </w:r>
          </w:p>
        </w:tc>
      </w:tr>
      <w:tr>
        <w:trPr>
          <w:trHeight w:val="210"/>
        </w:trPr>
        <w:tc>
          <w:tcPr>
            <w:tcW w:w="20" w:type="dxa"/>
            <w:vAlign w:val="bottom"/>
          </w:tcPr>
          <w:p>
            <w:pPr>
              <w:spacing w:after="0"/>
              <w:rPr>
                <w:sz w:val="18"/>
                <w:szCs w:val="18"/>
                <w:color w:val="auto"/>
              </w:rPr>
            </w:pPr>
          </w:p>
        </w:tc>
        <w:tc>
          <w:tcPr>
            <w:tcW w:w="782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7"/>
        </w:trPr>
        <w:tc>
          <w:tcPr>
            <w:tcW w:w="20" w:type="dxa"/>
            <w:vAlign w:val="bottom"/>
          </w:tcPr>
          <w:p>
            <w:pPr>
              <w:spacing w:after="0"/>
              <w:rPr>
                <w:sz w:val="18"/>
                <w:szCs w:val="18"/>
                <w:color w:val="auto"/>
              </w:rPr>
            </w:pPr>
          </w:p>
        </w:tc>
        <w:tc>
          <w:tcPr>
            <w:tcW w:w="782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7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7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bl>
    <w:p>
      <w:pPr>
        <w:spacing w:after="0" w:line="1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March 31, 2007, there was $305 million and $296 million of unrecognized pretax compensation cost related to nonvested stock options and nonvested RSUs, respectively.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with the March 2007 grant above, we are granting net settled stock options instead of cash settled stock options. In net settled stock options, an employee receives the number of shares equal to the number of options being exercised less the number of shares necessary to satisfy the cost to exercise the options and, if applicable, taxes due on exercise based on the fair value of the shares at the exercise date. This change will result in fewer shares issued into the market and no cash proceeds will be received by us upon exercise of the option (as compared to options granted prior to the March 2007 grant).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comprehensive income for the three months ended March 31, 2007 and 2006 is presented in the following table:</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2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120" w:type="dxa"/>
            <w:vAlign w:val="bottom"/>
          </w:tcPr>
          <w:p>
            <w:pPr>
              <w:spacing w:after="0"/>
              <w:rPr>
                <w:sz w:val="12"/>
                <w:szCs w:val="12"/>
                <w:color w:val="auto"/>
              </w:rPr>
            </w:pPr>
          </w:p>
        </w:tc>
        <w:tc>
          <w:tcPr>
            <w:tcW w:w="52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E5E5E5"/>
          </w:tcPr>
          <w:p>
            <w:pPr>
              <w:jc w:val="right"/>
              <w:ind w:right="580"/>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gains on marketable securities</w:t>
            </w:r>
          </w:p>
        </w:tc>
        <w:tc>
          <w:tcPr>
            <w:tcW w:w="760" w:type="dxa"/>
            <w:vAlign w:val="bottom"/>
          </w:tcPr>
          <w:p>
            <w:pPr>
              <w:spacing w:after="0"/>
              <w:rPr>
                <w:sz w:val="18"/>
                <w:szCs w:val="18"/>
                <w:color w:val="auto"/>
              </w:rPr>
            </w:pPr>
          </w:p>
        </w:tc>
        <w:tc>
          <w:tcPr>
            <w:tcW w:w="1080" w:type="dxa"/>
            <w:vAlign w:val="bottom"/>
          </w:tcPr>
          <w:p>
            <w:pPr>
              <w:jc w:val="right"/>
              <w:ind w:right="52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Reclassification adjustments for (losses) gains included in net income</w:t>
            </w:r>
          </w:p>
        </w:tc>
        <w:tc>
          <w:tcPr>
            <w:tcW w:w="76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7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7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E5E5E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762</w:t>
            </w:r>
          </w:p>
        </w:tc>
        <w:tc>
          <w:tcPr>
            <w:tcW w:w="1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Income Taxes</w:t>
      </w:r>
    </w:p>
    <w:p>
      <w:pPr>
        <w:spacing w:after="0" w:line="8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We adopted the provisions of FIN 48 on January 1, 2007. FIN 48 prescribes the recognition threshold and measurement attribute for the financial statement recognition and measurement of uncertain tax positions taken or expected to be taken in a tax return. As a result of adoption, we recognized a $35 million decrease in our reserves for uncertain tax positions, a $25 million increase in goodwill, a $60 million increase in retained earnings and a reclassification of approximately $960 million between deferred income taxes and other noncurrent liabilities to conform with the balance sheet presentation requirements of FIN</w:t>
      </w:r>
    </w:p>
    <w:p>
      <w:pPr>
        <w:spacing w:after="0" w:line="3" w:lineRule="exact"/>
        <w:rPr>
          <w:sz w:val="20"/>
          <w:szCs w:val="20"/>
          <w:color w:val="auto"/>
        </w:rPr>
      </w:pPr>
    </w:p>
    <w:p>
      <w:pPr>
        <w:jc w:val="both"/>
        <w:ind w:firstLine="8"/>
        <w:spacing w:after="0" w:line="255" w:lineRule="auto"/>
        <w:tabs>
          <w:tab w:leader="none" w:pos="2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uncertain tax positions as of January 1, 2007 were $2.1 billion, excluding the federal benefits on state tax positions which have been recorded as deferred income taxes; this amount includes a $500 million tax payment for which we are seeking a refund. Approximately $550 million would impact our effective tax rate if we were to recognize the tax benefit for such positions.</w:t>
      </w:r>
    </w:p>
    <w:p>
      <w:pPr>
        <w:spacing w:after="0" w:line="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file a consolidated federal income tax return and income tax returns with various states. Our federal and our state income tax return examinations, with limited exceptions, have been completed through 1999. The Internal Revenue Service (“IRS”) and various states are currently conducting examinations of our income tax returns for the years 2000 through 2004. The IRS has proposed certain adjustments principally related to certain financing transactions. We are currently evaluating those proposed adjustments, but if the adjustments are accepted or otherwise are sustained, such adjustments would not have a material impact on our effective tax rate. In addition, the statutes of limitations could expire for certain of our state tax returns over the next 12 months which could result in favorable adjustments to our uncertain tax positions. Such adjustments are not expected to have a material impact on our effective tax rate.</w:t>
      </w:r>
    </w:p>
    <w:p>
      <w:pPr>
        <w:spacing w:after="0" w:line="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classify interest and penalties associated with our uncertain tax positions as a component of income tax expense. As of January 1, 2007, we had accrued approximately $700 million of interest and penalties associated with our uncertain tax positions. For the three months ended March 31, 2007, we recognized $22 million of interest and penalties, net of deferred tax benefit, within income tax expense.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Statement of Cash Flows—Supplemental Information</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2006, we began presenting our cash overdrafts resulting from checks drawn on zero balance accounts (“book overdrafts”) within accounts payable and accrued expenses related to trade creditors. Previously, these book overdrafts were included within cash and cash equivalents. Our financial statements reflect this revised presentation for 2006. Accordingly, the reported amounts of our cash and cash equivalents and accounts payable and accrued expenses related to trade creditors increased as of March 31, 2006 by $270 million and net cash provided by operating activities for the three months ended March 31, 2006 increased by $16 million.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cash payments we made for interest and income taxes during the three months ended March 31, 2007 and 2006:</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8"/>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5"/>
                <w:szCs w:val="15"/>
                <w:color w:val="auto"/>
              </w:rPr>
            </w:pPr>
          </w:p>
        </w:tc>
      </w:tr>
      <w:tr>
        <w:trPr>
          <w:trHeight w:val="143"/>
        </w:trPr>
        <w:tc>
          <w:tcPr>
            <w:tcW w:w="758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Pr>
          <w:p>
            <w:pPr>
              <w:spacing w:after="0"/>
              <w:rPr>
                <w:sz w:val="12"/>
                <w:szCs w:val="12"/>
                <w:color w:val="auto"/>
              </w:rPr>
            </w:pPr>
          </w:p>
        </w:tc>
        <w:tc>
          <w:tcPr>
            <w:tcW w:w="500" w:type="dxa"/>
            <w:vAlign w:val="bottom"/>
          </w:tcPr>
          <w:p>
            <w:pPr>
              <w:jc w:val="right"/>
              <w:ind w:right="122"/>
              <w:spacing w:after="0" w:line="143"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840" w:type="dxa"/>
            <w:vAlign w:val="bottom"/>
          </w:tcPr>
          <w:p>
            <w:pPr>
              <w:spacing w:after="0"/>
              <w:rPr>
                <w:sz w:val="12"/>
                <w:szCs w:val="12"/>
                <w:color w:val="auto"/>
              </w:rPr>
            </w:pPr>
          </w:p>
        </w:tc>
        <w:tc>
          <w:tcPr>
            <w:tcW w:w="480" w:type="dxa"/>
            <w:vAlign w:val="bottom"/>
          </w:tcPr>
          <w:p>
            <w:pPr>
              <w:jc w:val="right"/>
              <w:ind w:right="99"/>
              <w:spacing w:after="0" w:line="143" w:lineRule="exact"/>
              <w:rPr>
                <w:sz w:val="20"/>
                <w:szCs w:val="20"/>
                <w:color w:val="auto"/>
              </w:rPr>
            </w:pPr>
            <w:r>
              <w:rPr>
                <w:rFonts w:ascii="Times New Roman" w:cs="Times New Roman" w:eastAsia="Times New Roman" w:hAnsi="Times New Roman"/>
                <w:sz w:val="14"/>
                <w:szCs w:val="14"/>
                <w:b w:val="1"/>
                <w:bCs w:val="1"/>
                <w:color w:val="auto"/>
                <w:w w:val="99"/>
              </w:rPr>
              <w:t>2006</w:t>
            </w:r>
          </w:p>
        </w:tc>
      </w:tr>
      <w:tr>
        <w:trPr>
          <w:trHeight w:val="210"/>
        </w:trPr>
        <w:tc>
          <w:tcPr>
            <w:tcW w:w="20" w:type="dxa"/>
            <w:vAlign w:val="bottom"/>
          </w:tcPr>
          <w:p>
            <w:pPr>
              <w:spacing w:after="0"/>
              <w:rPr>
                <w:sz w:val="18"/>
                <w:szCs w:val="18"/>
                <w:color w:val="auto"/>
              </w:rPr>
            </w:pPr>
          </w:p>
        </w:tc>
        <w:tc>
          <w:tcPr>
            <w:tcW w:w="756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4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8"/>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2007, we:</w:t>
      </w:r>
    </w:p>
    <w:p>
      <w:pPr>
        <w:spacing w:after="0" w:line="77" w:lineRule="exact"/>
        <w:rPr>
          <w:sz w:val="20"/>
          <w:szCs w:val="20"/>
          <w:color w:val="auto"/>
        </w:rPr>
      </w:pPr>
    </w:p>
    <w:p>
      <w:pPr>
        <w:ind w:left="1020" w:right="1240" w:hanging="215"/>
        <w:spacing w:after="0" w:line="27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exchanged our 50% interest in the Kansas City Asset Pool for TWC’s 50% interest in the Houston Asset Pool, which is considered a noncash investing activity</w:t>
      </w:r>
    </w:p>
    <w:p>
      <w:pPr>
        <w:spacing w:after="0" w:line="25"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settled the remaining outstanding $49 million face amount of exchangeable notes by delivering approximately 1.8 million of the 2.2 million underlying Vodafone ADRs to the counterparty, which is considered a noncash financing and investing activity</w:t>
      </w:r>
    </w:p>
    <w:p>
      <w:pPr>
        <w:spacing w:after="0" w:line="25"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capital leases totaling $42 million, which are considered noncash investing and financing activities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subsidiaries support debt compliance with respect to obligations of certain cable television partnerships and investments in which we hold an ownership interest (see Note 5). The obligations expire between May 2008 and March 2011. Although there can be no assurance, we believe that we will not be required to meet our obligations under such commitments. The total notional amount of our commitments was $965 million as of March 31, 2007, at which time there were no quoted market prices for similar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Home Cases</w:t>
      </w:r>
    </w:p>
    <w:p>
      <w:pPr>
        <w:spacing w:after="0" w:line="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AT&amp;T (the former controlling shareholder of At Home and also a former distributor of the At Home service) and others in the United States District Court for the Southern District of New York, alleging securities law violations and common law fraud in connection with disclosures made by At Home in 2001; and (ii) a lawsuit brought in the United States District Court for the District of Delaware in the name of At Home by certain At Home bondholders against us, Brian L. Roberts (our Chairman and Chief Executive Officer and a director), Cox (Cox is also an investor in At Home and a former distributor of the At Home service) and others, alleging breaches of fiduciary duty relating to March 2000 agreements (which, among other things, revised the distributor relationships), and seeking recovery of alleged short-swing profits pursuant to Section 16(b) of the Securities Exchange Act of 1934 (the “Exchange Act”) (purported to have arisen in connection with certain transactions relating to At Home stock effected pursuant to the March 2000 agreements).</w:t>
      </w:r>
    </w:p>
    <w:p>
      <w:pPr>
        <w:spacing w:after="0" w:line="2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Southern District of New York actions (item (i) above), the court dismissed all claims. The plaintiffs appealed this decision, and the Court of Appeals for the Second Circuit denied the plaintiffs’ appeal. The plaintiffs petitioned the Court of Appeals for rehearing. The Delaware case (item (ii) above) was transferred to the United States District Court for the Southern District of New York. The court dismissed the Section 16(b) claims, and the breach of fiduciary duty claim for lack of federal jurisdiction. The Court of Appeals for the Second Circuit denied the plaintiffs’ appeal from the decision dismissing the Section 16(b) claims, and the U.S. Supreme Court denied the plaintiffs’ petition for a further appeal. The plaintiffs recommenced the breach of fiduciary duty claim in Delaware Chancery Court. The Court has set a trial date in October 2007.</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Under the terms of our 2002 acquisition of AT&amp;T Corp.’s cable business, we are contractually liable for 50% of any liabilities of AT&amp;T in the action described in item (i) above (in which we are also a defendant).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deny any wrongdoing in connection with the claims that have been made directly against us, our subsidiaries and Brian L. Roberts, and are defending all of these claims vigorously. The final disposition of these claims is not expected to have a material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w:t>
      </w:r>
    </w:p>
    <w:p>
      <w:pPr>
        <w:spacing w:after="0" w:line="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vendors pursuant to applicable contractual indemnification provisions. To the extent that the allegations in these lawsuits can be analyzed by us at this stage of their proceedings, we believe the claims are without merit and intend to defend the actions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defendants in two purported class actions originally filed in the United States District Courts for the District of Massachusetts and the Eastern District of Pennsylvania, respectively. The potential class in the Massachusetts case is our subscriber base in the “Boston Cluster” area, and the potential class in the Pennsylvania case is our subscriber base in the “Philadelphia and Chicago Clusters,” as those terms are defined in the complaints. In each case, the plaintiffs allege that certain subscriber exchange transactions with other cable providers resulted in unlawful “horizontal market restraints” in those areas and seek damages pursuant to antitrust statutes, including treble damages.</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recent events in both cases relating to the procedural issue of whether the plaintiffs’ claims could proceed in court or, alternatively, whether the plaintiffs should be compelled to arbitrate their claims pursuant to arbitration clauses in their subscriber agreements, it has become more likely that these cases will proceed in court. Our motion to dismiss the Pennsylvania case on the pleadings was denied, and the plaintiffs have moved to certify a class action. We are opposing the plaintiffs’ motion and are proceeding with class discovery. We have moved to dismiss the Massachusetts case. The Massachusetts case was recently transferred to the Eastern District of Pennsylvania and plaintiffs are seeking to consolidate it with the Pennsylvania case.</w:t>
      </w:r>
    </w:p>
    <w:p>
      <w:pPr>
        <w:spacing w:after="0" w:line="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believe the claims in these actions are without merit and are defending the actions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Financial Data by Business Segment</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Our financial data by business segment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Cable(a)</w:t>
            </w: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Eliminations(e)</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5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(b)(i)</w:t>
            </w: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Programming(c)</w:t>
            </w:r>
          </w:p>
        </w:tc>
        <w:tc>
          <w:tcPr>
            <w:tcW w:w="1620" w:type="dxa"/>
            <w:vAlign w:val="bottom"/>
            <w:gridSpan w:val="2"/>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Other(d)(e)(i)</w:t>
            </w:r>
          </w:p>
        </w:tc>
        <w:tc>
          <w:tcPr>
            <w:tcW w:w="580" w:type="dxa"/>
            <w:vAlign w:val="bottom"/>
          </w:tcPr>
          <w:p>
            <w:pPr>
              <w:spacing w:after="0"/>
              <w:rPr>
                <w:sz w:val="14"/>
                <w:szCs w:val="14"/>
                <w:color w:val="auto"/>
              </w:rPr>
            </w:pPr>
          </w:p>
        </w:tc>
        <w:tc>
          <w:tcPr>
            <w:tcW w:w="108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(f)</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100" w:type="dxa"/>
            <w:vAlign w:val="bottom"/>
            <w:tcBorders>
              <w:top w:val="single" w:sz="8" w:color="auto"/>
            </w:tcBorders>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2007</w:t>
            </w:r>
          </w:p>
        </w:tc>
        <w:tc>
          <w:tcPr>
            <w:tcW w:w="15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Revenues(g)</w:t>
            </w: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$6,998</w:t>
            </w: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302</w:t>
            </w: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155</w:t>
            </w:r>
          </w:p>
        </w:tc>
        <w:tc>
          <w:tcPr>
            <w:tcW w:w="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(67)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E5E5E5"/>
          </w:tcPr>
          <w:p>
            <w:pPr>
              <w:spacing w:after="0" w:line="201" w:lineRule="exact"/>
              <w:rPr>
                <w:sz w:val="20"/>
                <w:szCs w:val="20"/>
                <w:color w:val="auto"/>
              </w:rPr>
            </w:pPr>
            <w:r>
              <w:rPr>
                <w:rFonts w:ascii="Times New Roman" w:cs="Times New Roman" w:eastAsia="Times New Roman" w:hAnsi="Times New Roman"/>
                <w:sz w:val="18"/>
                <w:szCs w:val="18"/>
                <w:color w:val="auto"/>
              </w:rPr>
              <w:t>Operating income (loss) before depreciation and</w:t>
            </w:r>
          </w:p>
        </w:tc>
        <w:tc>
          <w:tcPr>
            <w:tcW w:w="15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amortization(h)</w:t>
            </w:r>
          </w:p>
        </w:tc>
        <w:tc>
          <w:tcPr>
            <w:tcW w:w="1540" w:type="dxa"/>
            <w:vAlign w:val="bottom"/>
            <w:shd w:val="clear" w:color="auto" w:fill="E5E5E5"/>
          </w:tcPr>
          <w:p>
            <w:pPr>
              <w:jc w:val="right"/>
              <w:ind w:right="256"/>
              <w:spacing w:after="0"/>
              <w:rPr>
                <w:sz w:val="20"/>
                <w:szCs w:val="20"/>
                <w:color w:val="auto"/>
              </w:rPr>
            </w:pPr>
            <w:r>
              <w:rPr>
                <w:rFonts w:ascii="Times New Roman" w:cs="Times New Roman" w:eastAsia="Times New Roman" w:hAnsi="Times New Roman"/>
                <w:sz w:val="18"/>
                <w:szCs w:val="18"/>
                <w:color w:val="auto"/>
              </w:rPr>
              <w:t>2,793</w:t>
            </w:r>
          </w:p>
        </w:tc>
        <w:tc>
          <w:tcPr>
            <w:tcW w:w="740" w:type="dxa"/>
            <w:vAlign w:val="bottom"/>
            <w:shd w:val="clear" w:color="auto" w:fill="E5E5E5"/>
          </w:tcPr>
          <w:p>
            <w:pPr>
              <w:spacing w:after="0"/>
              <w:rPr>
                <w:sz w:val="20"/>
                <w:szCs w:val="20"/>
                <w:color w:val="auto"/>
              </w:rPr>
            </w:pPr>
          </w:p>
        </w:tc>
        <w:tc>
          <w:tcPr>
            <w:tcW w:w="900" w:type="dxa"/>
            <w:vAlign w:val="bottom"/>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rPr>
              <w:t>65</w:t>
            </w:r>
          </w:p>
        </w:tc>
        <w:tc>
          <w:tcPr>
            <w:tcW w:w="680" w:type="dxa"/>
            <w:vAlign w:val="bottom"/>
            <w:shd w:val="clear" w:color="auto" w:fill="E5E5E5"/>
          </w:tcPr>
          <w:p>
            <w:pPr>
              <w:spacing w:after="0"/>
              <w:rPr>
                <w:sz w:val="20"/>
                <w:szCs w:val="20"/>
                <w:color w:val="auto"/>
              </w:rPr>
            </w:pPr>
          </w:p>
        </w:tc>
        <w:tc>
          <w:tcPr>
            <w:tcW w:w="940" w:type="dxa"/>
            <w:vAlign w:val="bottom"/>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rPr>
              <w:t>(95)</w:t>
            </w:r>
          </w:p>
        </w:tc>
        <w:tc>
          <w:tcPr>
            <w:tcW w:w="580" w:type="dxa"/>
            <w:vAlign w:val="bottom"/>
            <w:shd w:val="clear" w:color="auto" w:fill="E5E5E5"/>
          </w:tcPr>
          <w:p>
            <w:pPr>
              <w:spacing w:after="0"/>
              <w:rPr>
                <w:sz w:val="20"/>
                <w:szCs w:val="20"/>
                <w:color w:val="auto"/>
              </w:rPr>
            </w:pPr>
          </w:p>
        </w:tc>
        <w:tc>
          <w:tcPr>
            <w:tcW w:w="1080" w:type="dxa"/>
            <w:vAlign w:val="bottom"/>
            <w:shd w:val="clear" w:color="auto" w:fill="E5E5E5"/>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1,440</w:t>
            </w:r>
          </w:p>
        </w:tc>
        <w:tc>
          <w:tcPr>
            <w:tcW w:w="74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47</w:t>
            </w:r>
          </w:p>
        </w:tc>
        <w:tc>
          <w:tcPr>
            <w:tcW w:w="680" w:type="dxa"/>
            <w:vAlign w:val="bottom"/>
          </w:tcPr>
          <w:p>
            <w:pPr>
              <w:spacing w:after="0"/>
              <w:rPr>
                <w:sz w:val="18"/>
                <w:szCs w:val="18"/>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18"/>
                <w:szCs w:val="18"/>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540" w:type="dxa"/>
            <w:vAlign w:val="bottom"/>
            <w:shd w:val="clear" w:color="auto" w:fill="E5E5E5"/>
          </w:tcPr>
          <w:p>
            <w:pPr>
              <w:jc w:val="right"/>
              <w:ind w:right="256"/>
              <w:spacing w:after="0"/>
              <w:rPr>
                <w:sz w:val="20"/>
                <w:szCs w:val="20"/>
                <w:color w:val="auto"/>
              </w:rPr>
            </w:pPr>
            <w:r>
              <w:rPr>
                <w:rFonts w:ascii="Times New Roman" w:cs="Times New Roman" w:eastAsia="Times New Roman" w:hAnsi="Times New Roman"/>
                <w:sz w:val="18"/>
                <w:szCs w:val="18"/>
                <w:color w:val="auto"/>
              </w:rPr>
              <w:t>1,353</w:t>
            </w:r>
          </w:p>
        </w:tc>
        <w:tc>
          <w:tcPr>
            <w:tcW w:w="7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rPr>
              <w:t>18</w:t>
            </w:r>
          </w:p>
        </w:tc>
        <w:tc>
          <w:tcPr>
            <w:tcW w:w="6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rPr>
              <w:t>(115)</w:t>
            </w:r>
          </w:p>
        </w:tc>
        <w:tc>
          <w:tcPr>
            <w:tcW w:w="5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34"/>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1,443</w:t>
            </w:r>
          </w:p>
        </w:tc>
        <w:tc>
          <w:tcPr>
            <w:tcW w:w="740" w:type="dxa"/>
            <w:vAlign w:val="bottom"/>
          </w:tcPr>
          <w:p>
            <w:pPr>
              <w:spacing w:after="0"/>
              <w:rPr>
                <w:sz w:val="19"/>
                <w:szCs w:val="19"/>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spacing w:after="0"/>
              <w:rPr>
                <w:sz w:val="19"/>
                <w:szCs w:val="19"/>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Pr>
          <w:p>
            <w:pPr>
              <w:spacing w:after="0"/>
              <w:rPr>
                <w:sz w:val="19"/>
                <w:szCs w:val="19"/>
                <w:color w:val="auto"/>
              </w:rPr>
            </w:pP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4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2006</w:t>
            </w:r>
          </w:p>
        </w:tc>
        <w:tc>
          <w:tcPr>
            <w:tcW w:w="15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Revenues(g)</w:t>
            </w: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$5,269</w:t>
            </w: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239</w:t>
            </w: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129</w:t>
            </w:r>
          </w:p>
        </w:tc>
        <w:tc>
          <w:tcPr>
            <w:tcW w:w="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(42)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E5E5E5"/>
          </w:tcPr>
          <w:p>
            <w:pPr>
              <w:spacing w:after="0" w:line="201" w:lineRule="exact"/>
              <w:rPr>
                <w:sz w:val="20"/>
                <w:szCs w:val="20"/>
                <w:color w:val="auto"/>
              </w:rPr>
            </w:pPr>
            <w:r>
              <w:rPr>
                <w:rFonts w:ascii="Times New Roman" w:cs="Times New Roman" w:eastAsia="Times New Roman" w:hAnsi="Times New Roman"/>
                <w:sz w:val="18"/>
                <w:szCs w:val="18"/>
                <w:color w:val="auto"/>
              </w:rPr>
              <w:t>Operating income (loss) before depreciation and</w:t>
            </w:r>
          </w:p>
        </w:tc>
        <w:tc>
          <w:tcPr>
            <w:tcW w:w="15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amortization(h)</w:t>
            </w:r>
          </w:p>
        </w:tc>
        <w:tc>
          <w:tcPr>
            <w:tcW w:w="1540" w:type="dxa"/>
            <w:vAlign w:val="bottom"/>
            <w:shd w:val="clear" w:color="auto" w:fill="E5E5E5"/>
          </w:tcPr>
          <w:p>
            <w:pPr>
              <w:jc w:val="right"/>
              <w:ind w:right="256"/>
              <w:spacing w:after="0"/>
              <w:rPr>
                <w:sz w:val="20"/>
                <w:szCs w:val="20"/>
                <w:color w:val="auto"/>
              </w:rPr>
            </w:pPr>
            <w:r>
              <w:rPr>
                <w:rFonts w:ascii="Times New Roman" w:cs="Times New Roman" w:eastAsia="Times New Roman" w:hAnsi="Times New Roman"/>
                <w:sz w:val="18"/>
                <w:szCs w:val="18"/>
                <w:color w:val="auto"/>
              </w:rPr>
              <w:t>2,105</w:t>
            </w:r>
          </w:p>
        </w:tc>
        <w:tc>
          <w:tcPr>
            <w:tcW w:w="740" w:type="dxa"/>
            <w:vAlign w:val="bottom"/>
            <w:shd w:val="clear" w:color="auto" w:fill="E5E5E5"/>
          </w:tcPr>
          <w:p>
            <w:pPr>
              <w:spacing w:after="0"/>
              <w:rPr>
                <w:sz w:val="20"/>
                <w:szCs w:val="20"/>
                <w:color w:val="auto"/>
              </w:rPr>
            </w:pPr>
          </w:p>
        </w:tc>
        <w:tc>
          <w:tcPr>
            <w:tcW w:w="900" w:type="dxa"/>
            <w:vAlign w:val="bottom"/>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shd w:val="clear" w:color="auto" w:fill="E5E5E5"/>
          </w:tcPr>
          <w:p>
            <w:pPr>
              <w:spacing w:after="0"/>
              <w:rPr>
                <w:sz w:val="20"/>
                <w:szCs w:val="20"/>
                <w:color w:val="auto"/>
              </w:rPr>
            </w:pPr>
          </w:p>
        </w:tc>
        <w:tc>
          <w:tcPr>
            <w:tcW w:w="940" w:type="dxa"/>
            <w:vAlign w:val="bottom"/>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shd w:val="clear" w:color="auto" w:fill="E5E5E5"/>
          </w:tcPr>
          <w:p>
            <w:pPr>
              <w:spacing w:after="0"/>
              <w:rPr>
                <w:sz w:val="20"/>
                <w:szCs w:val="20"/>
                <w:color w:val="auto"/>
              </w:rPr>
            </w:pPr>
          </w:p>
        </w:tc>
        <w:tc>
          <w:tcPr>
            <w:tcW w:w="1080" w:type="dxa"/>
            <w:vAlign w:val="bottom"/>
            <w:shd w:val="clear" w:color="auto" w:fill="E5E5E5"/>
          </w:tcPr>
          <w:p>
            <w:pPr>
              <w:jc w:val="right"/>
              <w:ind w:right="274"/>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1,034</w:t>
            </w:r>
          </w:p>
        </w:tc>
        <w:tc>
          <w:tcPr>
            <w:tcW w:w="74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tcPr>
          <w:p>
            <w:pPr>
              <w:spacing w:after="0"/>
              <w:rPr>
                <w:sz w:val="18"/>
                <w:szCs w:val="18"/>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tcPr>
          <w:p>
            <w:pPr>
              <w:spacing w:after="0"/>
              <w:rPr>
                <w:sz w:val="18"/>
                <w:szCs w:val="18"/>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540" w:type="dxa"/>
            <w:vAlign w:val="bottom"/>
            <w:shd w:val="clear" w:color="auto" w:fill="E5E5E5"/>
          </w:tcPr>
          <w:p>
            <w:pPr>
              <w:jc w:val="right"/>
              <w:ind w:right="256"/>
              <w:spacing w:after="0"/>
              <w:rPr>
                <w:sz w:val="20"/>
                <w:szCs w:val="20"/>
                <w:color w:val="auto"/>
              </w:rPr>
            </w:pPr>
            <w:r>
              <w:rPr>
                <w:rFonts w:ascii="Times New Roman" w:cs="Times New Roman" w:eastAsia="Times New Roman" w:hAnsi="Times New Roman"/>
                <w:sz w:val="18"/>
                <w:szCs w:val="18"/>
                <w:color w:val="auto"/>
              </w:rPr>
              <w:t>1,071</w:t>
            </w:r>
          </w:p>
        </w:tc>
        <w:tc>
          <w:tcPr>
            <w:tcW w:w="7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rPr>
              <w:t>(80)</w:t>
            </w:r>
          </w:p>
        </w:tc>
        <w:tc>
          <w:tcPr>
            <w:tcW w:w="5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34"/>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825</w:t>
            </w:r>
          </w:p>
        </w:tc>
        <w:tc>
          <w:tcPr>
            <w:tcW w:w="740" w:type="dxa"/>
            <w:vAlign w:val="bottom"/>
          </w:tcPr>
          <w:p>
            <w:pPr>
              <w:spacing w:after="0"/>
              <w:rPr>
                <w:sz w:val="19"/>
                <w:szCs w:val="19"/>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Pr>
          <w:p>
            <w:pPr>
              <w:spacing w:after="0"/>
              <w:rPr>
                <w:sz w:val="19"/>
                <w:szCs w:val="19"/>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Pr>
          <w:p>
            <w:pPr>
              <w:spacing w:after="0"/>
              <w:rPr>
                <w:sz w:val="19"/>
                <w:szCs w:val="19"/>
                <w:color w:val="auto"/>
              </w:rPr>
            </w:pP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39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2007 and 2006, Cable segment revenues were derived from the following services:</w:t>
      </w:r>
    </w:p>
    <w:p>
      <w:pPr>
        <w:spacing w:after="0" w:line="74" w:lineRule="exact"/>
        <w:rPr>
          <w:sz w:val="20"/>
          <w:szCs w:val="20"/>
          <w:color w:val="auto"/>
        </w:rPr>
      </w:pPr>
    </w:p>
    <w:p>
      <w:pPr>
        <w:jc w:val="center"/>
        <w:ind w:left="9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9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-7620</wp:posOffset>
            </wp:positionV>
            <wp:extent cx="16554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76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2007</w:t>
            </w: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Video</w:t>
            </w:r>
          </w:p>
        </w:tc>
        <w:tc>
          <w:tcPr>
            <w:tcW w:w="1640" w:type="dxa"/>
            <w:vAlign w:val="bottom"/>
            <w:shd w:val="clear" w:color="auto" w:fill="E5E5E5"/>
          </w:tcPr>
          <w:p>
            <w:pPr>
              <w:jc w:val="right"/>
              <w:ind w:right="355"/>
              <w:spacing w:after="0"/>
              <w:rPr>
                <w:sz w:val="20"/>
                <w:szCs w:val="20"/>
                <w:color w:val="auto"/>
              </w:rPr>
            </w:pPr>
            <w:r>
              <w:rPr>
                <w:rFonts w:ascii="Times New Roman" w:cs="Times New Roman" w:eastAsia="Times New Roman" w:hAnsi="Times New Roman"/>
                <w:sz w:val="18"/>
                <w:szCs w:val="18"/>
                <w:color w:val="auto"/>
              </w:rPr>
              <w:t>62.3%</w:t>
            </w:r>
          </w:p>
        </w:tc>
        <w:tc>
          <w:tcPr>
            <w:tcW w:w="9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High-speed Internet</w:t>
            </w:r>
          </w:p>
        </w:tc>
        <w:tc>
          <w:tcPr>
            <w:tcW w:w="164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21.8</w:t>
            </w: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Phone</w:t>
            </w:r>
          </w:p>
        </w:tc>
        <w:tc>
          <w:tcPr>
            <w:tcW w:w="1640" w:type="dxa"/>
            <w:vAlign w:val="bottom"/>
            <w:shd w:val="clear" w:color="auto" w:fill="E5E5E5"/>
          </w:tcPr>
          <w:p>
            <w:pPr>
              <w:jc w:val="right"/>
              <w:ind w:right="495"/>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shd w:val="clear" w:color="auto" w:fill="E5E5E5"/>
          </w:tcPr>
          <w:p>
            <w:pPr>
              <w:jc w:val="right"/>
              <w:ind w:right="95"/>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64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4.5</w:t>
            </w: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bottom w:val="single" w:sz="8" w:color="E5E5E5"/>
            </w:tcBorders>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tcBorders>
              <w:bottom w:val="single" w:sz="8" w:color="auto"/>
            </w:tcBorders>
            <w:shd w:val="clear" w:color="auto" w:fill="E5E5E5"/>
          </w:tcPr>
          <w:p>
            <w:pPr>
              <w:jc w:val="right"/>
              <w:ind w:right="495"/>
              <w:spacing w:after="0"/>
              <w:rPr>
                <w:sz w:val="20"/>
                <w:szCs w:val="20"/>
                <w:color w:val="auto"/>
              </w:rPr>
            </w:pPr>
            <w:r>
              <w:rPr>
                <w:rFonts w:ascii="Times New Roman" w:cs="Times New Roman" w:eastAsia="Times New Roman" w:hAnsi="Times New Roman"/>
                <w:sz w:val="18"/>
                <w:szCs w:val="18"/>
                <w:color w:val="auto"/>
              </w:rPr>
              <w:t>6.4</w:t>
            </w:r>
          </w:p>
        </w:tc>
        <w:tc>
          <w:tcPr>
            <w:tcW w:w="960" w:type="dxa"/>
            <w:vAlign w:val="bottom"/>
            <w:tcBorders>
              <w:bottom w:val="single" w:sz="8" w:color="auto"/>
            </w:tcBorders>
            <w:shd w:val="clear" w:color="auto" w:fill="E5E5E5"/>
          </w:tcPr>
          <w:p>
            <w:pPr>
              <w:jc w:val="right"/>
              <w:ind w:right="95"/>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100%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 w:type="dxa"/>
            <w:vAlign w:val="bottom"/>
            <w:tcBorders>
              <w:bottom w:val="single" w:sz="8" w:color="auto"/>
            </w:tcBorders>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6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94" w:lineRule="exact"/>
        <w:rPr>
          <w:sz w:val="20"/>
          <w:szCs w:val="20"/>
          <w:color w:val="auto"/>
        </w:rPr>
      </w:pPr>
    </w:p>
    <w:p>
      <w:pPr>
        <w:ind w:left="460" w:right="20" w:hanging="452"/>
        <w:spacing w:after="0" w:line="27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regional sports and news networks (Comcast SportsNet, Comcast SportsNet Mid-Atlantic, Comcast SportsNet Chicago, Comcast SportsNet West, Cable Sports Southeast, MountainWest Sports Network and CN8-The Comcast Network) are included in our Cable segment.</w:t>
      </w:r>
    </w:p>
    <w:p>
      <w:pPr>
        <w:spacing w:after="0" w:line="25"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includes our consolidated national programming networks: E!, Style, The Golf Channel, VERSUS, G4, AZN Television and other entertainment related business.</w:t>
      </w:r>
    </w:p>
    <w:p>
      <w:pPr>
        <w:spacing w:after="0" w:line="25"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includes Comcast Spectacor, Comcast Interactive Media, a portion of operating results of our less than wholly owned technology development ventures (see “(e)” below), corporate activities and all other businesses not presented in our Cable or Programming segments.</w:t>
      </w:r>
    </w:p>
    <w:p>
      <w:pPr>
        <w:spacing w:after="0" w:line="25" w:lineRule="exact"/>
        <w:rPr>
          <w:rFonts w:ascii="Times New Roman" w:cs="Times New Roman" w:eastAsia="Times New Roman" w:hAnsi="Times New Roman"/>
          <w:sz w:val="18"/>
          <w:szCs w:val="18"/>
          <w:color w:val="auto"/>
        </w:rPr>
      </w:pPr>
    </w:p>
    <w:p>
      <w:pPr>
        <w:jc w:val="both"/>
        <w:ind w:left="460" w:hanging="452"/>
        <w:spacing w:after="0" w:line="258"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consolidate our less than wholly owned technology development ventures, which we control or of which we are considered the primary beneficiary. These ventures are with various corporate partners, such as Motorola and Gemstar. The ventures have been created to share the costs of development of new technologies for set-top boxes and other devices. The results of these entities are included within Corporate and Other. Cost allocations are made to the Cable segment based on our percentage ownership in each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entity. The remaining net costs related to the minority corporate partners are included in Corporate and Other.</w:t>
      </w:r>
    </w:p>
    <w:p>
      <w:pPr>
        <w:spacing w:after="0" w:line="90" w:lineRule="exact"/>
        <w:rPr>
          <w:sz w:val="20"/>
          <w:szCs w:val="20"/>
          <w:color w:val="auto"/>
        </w:rPr>
      </w:pPr>
    </w:p>
    <w:p>
      <w:pPr>
        <w:ind w:left="460" w:hanging="452"/>
        <w:spacing w:after="0" w:line="27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Eliminations column are intersegment transactions that our segments enter into with one another. The most common types of transactions are the following:</w:t>
      </w:r>
    </w:p>
    <w:p>
      <w:pPr>
        <w:spacing w:after="0" w:line="25"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Programming segment generates revenue by selling cable network programming to our Cable segment, which represents a substantial majority of the revenue elimination amount</w:t>
      </w:r>
    </w:p>
    <w:p>
      <w:pPr>
        <w:spacing w:after="0" w:line="25"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Cable segment receives incentives offered by our Programming segment when negotiating programming contracts that are recorded as a reduction of programming expenses</w:t>
      </w:r>
    </w:p>
    <w:p>
      <w:pPr>
        <w:spacing w:after="0" w:line="25"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Cable segment generates revenue by selling the use of satellite feeds to our Programming segment</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revenues were not significant in any period. No single customer accounted for a significant amount of our revenue in any period.</w:t>
      </w:r>
    </w:p>
    <w:p>
      <w:pPr>
        <w:spacing w:after="0" w:line="76" w:lineRule="exact"/>
        <w:rPr>
          <w:rFonts w:ascii="Times New Roman" w:cs="Times New Roman" w:eastAsia="Times New Roman" w:hAnsi="Times New Roman"/>
          <w:sz w:val="18"/>
          <w:szCs w:val="18"/>
          <w:color w:val="auto"/>
        </w:rPr>
      </w:pPr>
    </w:p>
    <w:p>
      <w:pPr>
        <w:jc w:val="both"/>
        <w:ind w:left="460" w:hanging="452"/>
        <w:spacing w:after="0" w:line="253"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measure the performance of our operating segments, we use operating income (loss)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net cash provided by operating activities or other measures of performance or liquidity reported in accordance with GAAP.</w:t>
      </w:r>
    </w:p>
    <w:p>
      <w:pPr>
        <w:spacing w:after="0" w:line="48" w:lineRule="exact"/>
        <w:rPr>
          <w:rFonts w:ascii="Times New Roman" w:cs="Times New Roman" w:eastAsia="Times New Roman" w:hAnsi="Times New Roman"/>
          <w:sz w:val="18"/>
          <w:szCs w:val="18"/>
          <w:color w:val="auto"/>
        </w:rPr>
      </w:pPr>
    </w:p>
    <w:p>
      <w:pPr>
        <w:jc w:val="both"/>
        <w:ind w:left="460" w:hanging="452"/>
        <w:spacing w:after="0" w:line="26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2006 Cable segment and Corporate and Other amounts have been adjusted for segment reclassifications to be consistent with our 2007 management reporting presentation. The adjustments resulted in the reclassification of revenue of $13 million and operating income (loss) before depreciation and amortization of $9 million from our Cable segment to Corporate and Other.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Condensed Consolidating Financial Information</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Comcast Corporation and five of our cable holding company subsidiaries, Comcast Cable Communications, LLC (“CCCL”), Comcast Cable Communications Holdings, Inc. (“CCCH”), Comcast MO Group, Inc. (“Comcast MO Group”), Comcast Cable Holdings, LLC (“CCH”), and Comcast MO of Delaware, LLC (“Comcast MO of Delaware”), fully and unconditionally guarantees each other’s debt securities. Comcast MO Group, CCH and Comcast MO of Delaware are collectively referred to as the “Combined CCHMO Parents.”</w:t>
      </w:r>
    </w:p>
    <w:p>
      <w:pPr>
        <w:spacing w:after="0" w:line="6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Comcast Corporation unconditionally guarantees Comcast Holdings’ ZONES due October 2029 and its 10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Senior Subordinated Debentures due 2012, both of which were issued by Comcast Holdings. Accordingly, we have included Comcast Holdings’ condensed consolidated information for all periods presented. Our condensed consolidating financial information is presented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Balance Sheet</w:t>
      </w:r>
    </w:p>
    <w:p>
      <w:pPr>
        <w:jc w:val="center"/>
        <w:spacing w:after="0"/>
        <w:rPr>
          <w:sz w:val="20"/>
          <w:szCs w:val="20"/>
          <w:color w:val="auto"/>
        </w:rPr>
      </w:pPr>
      <w:r>
        <w:rPr>
          <w:rFonts w:ascii="Arial" w:cs="Arial" w:eastAsia="Arial" w:hAnsi="Arial"/>
          <w:sz w:val="22"/>
          <w:szCs w:val="22"/>
          <w:b w:val="1"/>
          <w:bCs w:val="1"/>
          <w:color w:val="auto"/>
        </w:rPr>
        <w:t>March 31, 2007</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90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80" w:type="dxa"/>
            <w:vAlign w:val="bottom"/>
            <w:gridSpan w:val="2"/>
          </w:tcPr>
          <w:p>
            <w:pPr>
              <w:jc w:val="right"/>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200" w:type="dxa"/>
            <w:vAlign w:val="bottom"/>
          </w:tcPr>
          <w:p>
            <w:pPr>
              <w:spacing w:after="0"/>
              <w:rPr>
                <w:sz w:val="12"/>
                <w:szCs w:val="12"/>
                <w:color w:val="auto"/>
              </w:rPr>
            </w:pPr>
          </w:p>
        </w:tc>
        <w:tc>
          <w:tcPr>
            <w:tcW w:w="58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w w:val="95"/>
              </w:rPr>
              <w:t>CCCL</w:t>
            </w:r>
          </w:p>
        </w:tc>
        <w:tc>
          <w:tcPr>
            <w:tcW w:w="200" w:type="dxa"/>
            <w:vAlign w:val="bottom"/>
          </w:tcPr>
          <w:p>
            <w:pPr>
              <w:spacing w:after="0"/>
              <w:rPr>
                <w:sz w:val="12"/>
                <w:szCs w:val="12"/>
                <w:color w:val="auto"/>
              </w:rPr>
            </w:pPr>
          </w:p>
        </w:tc>
        <w:tc>
          <w:tcPr>
            <w:tcW w:w="60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w w:val="92"/>
              </w:rPr>
              <w:t>CCCH</w:t>
            </w:r>
          </w:p>
        </w:tc>
        <w:tc>
          <w:tcPr>
            <w:tcW w:w="82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80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920" w:type="dxa"/>
            <w:vAlign w:val="bottom"/>
            <w:gridSpan w:val="2"/>
          </w:tcPr>
          <w:p>
            <w:pPr>
              <w:jc w:val="right"/>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1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Consolidation</w:t>
            </w:r>
          </w:p>
        </w:tc>
        <w:tc>
          <w:tcPr>
            <w:tcW w:w="2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r>
      <w:tr>
        <w:trPr>
          <w:trHeight w:val="165"/>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w w:val="88"/>
              </w:rPr>
              <w:t>Parent</w:t>
            </w:r>
          </w:p>
        </w:tc>
        <w:tc>
          <w:tcPr>
            <w:tcW w:w="20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3"/>
              </w:rPr>
              <w:t>Parent</w:t>
            </w:r>
          </w:p>
        </w:tc>
        <w:tc>
          <w:tcPr>
            <w:tcW w:w="20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3"/>
              </w:rPr>
              <w:t>Parent</w:t>
            </w:r>
          </w:p>
        </w:tc>
        <w:tc>
          <w:tcPr>
            <w:tcW w:w="82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Parents</w:t>
            </w:r>
          </w:p>
        </w:tc>
        <w:tc>
          <w:tcPr>
            <w:tcW w:w="8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1,030</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1,248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1,282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660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4,220</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6,077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w w:val="99"/>
              </w:rPr>
              <w:t>Investments in and amounts due from subsidiaries eliminated</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upon consolidation</w:t>
            </w:r>
          </w:p>
        </w:tc>
        <w:tc>
          <w:tcPr>
            <w:tcW w:w="3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2"/>
              </w:rPr>
              <w:t>63,044</w:t>
            </w:r>
          </w:p>
        </w:tc>
        <w:tc>
          <w:tcPr>
            <w:tcW w:w="20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2"/>
              </w:rPr>
              <w:t>31,107</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92"/>
              </w:rPr>
              <w:t>38,405</w:t>
            </w:r>
          </w:p>
        </w:tc>
        <w:tc>
          <w:tcPr>
            <w:tcW w:w="2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6"/>
              </w:rPr>
              <w:t>41,473</w:t>
            </w:r>
          </w:p>
        </w:tc>
        <w:tc>
          <w:tcPr>
            <w:tcW w:w="20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2"/>
              </w:rPr>
              <w:t>24,993</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841</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9"/>
              </w:rPr>
              <w:t>(199,863)</w:t>
            </w: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22,485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22,513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Franchise rights</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57,838</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14,076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14,076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5,022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92"/>
              </w:rPr>
              <w:t>63,279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w w:val="92"/>
              </w:rPr>
              <w:t>31,122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92"/>
              </w:rPr>
              <w:t>38,425</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41,473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2"/>
              </w:rPr>
              <w:t>25,024</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99"/>
              </w:rPr>
              <w:t>110,877</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9"/>
              </w:rPr>
              <w:t>(199,863)</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110,337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42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Accounts payable and accrued expenses related</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 trade creditors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2,980</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2,980</w:t>
            </w:r>
          </w:p>
        </w:tc>
      </w:tr>
      <w:tr>
        <w:trPr>
          <w:trHeight w:val="218"/>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2,064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388</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996</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5,712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w w:val="92"/>
              </w:rPr>
              <w:t>15,168</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4,256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3,498</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3,039</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27,222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4,638</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902</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20,657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1,114</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6,240</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Other stockholders’ equity</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w w:val="92"/>
              </w:rPr>
              <w:t>41,803</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w w:val="92"/>
              </w:rPr>
              <w:t>25,834</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w w:val="92"/>
              </w:rPr>
              <w:t>34,875</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w w:val="96"/>
              </w:rPr>
              <w:t>38,405</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w w:val="92"/>
              </w:rPr>
              <w:t>23,017</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77,732</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w w:val="99"/>
              </w:rPr>
              <w:t>(199,863)</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41,803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92"/>
              </w:rPr>
              <w:t>41,838</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92"/>
              </w:rPr>
              <w:t>25,834</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92"/>
              </w:rPr>
              <w:t>34,875</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6"/>
              </w:rPr>
              <w:t>38,405</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2"/>
              </w:rPr>
              <w:t>23,017</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77,732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99"/>
              </w:rPr>
              <w:t>(199,863)</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41,838</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92"/>
              </w:rPr>
              <w:t>63,279</w:t>
            </w:r>
          </w:p>
        </w:tc>
        <w:tc>
          <w:tcPr>
            <w:tcW w:w="2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w w:val="92"/>
              </w:rPr>
              <w:t>31,122</w:t>
            </w:r>
          </w:p>
        </w:tc>
        <w:tc>
          <w:tcPr>
            <w:tcW w:w="2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92"/>
              </w:rPr>
              <w:t>38,425</w:t>
            </w:r>
          </w:p>
        </w:tc>
        <w:tc>
          <w:tcPr>
            <w:tcW w:w="22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41,473</w:t>
            </w:r>
          </w:p>
        </w:tc>
        <w:tc>
          <w:tcPr>
            <w:tcW w:w="2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2"/>
              </w:rPr>
              <w:t>25,024</w:t>
            </w:r>
          </w:p>
        </w:tc>
        <w:tc>
          <w:tcPr>
            <w:tcW w:w="22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99"/>
              </w:rPr>
              <w:t>110,877</w:t>
            </w:r>
          </w:p>
        </w:tc>
        <w:tc>
          <w:tcPr>
            <w:tcW w:w="26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9"/>
              </w:rPr>
              <w:t>(199,863)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110,337</w:t>
            </w:r>
          </w:p>
        </w:tc>
        <w:tc>
          <w:tcPr>
            <w:tcW w:w="2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center"/>
              <w:ind w:right="94"/>
              <w:spacing w:after="0"/>
              <w:rPr>
                <w:sz w:val="20"/>
                <w:szCs w:val="20"/>
                <w:color w:val="auto"/>
              </w:rPr>
            </w:pPr>
            <w:r>
              <w:rPr>
                <w:rFonts w:ascii="Arial" w:cs="Arial" w:eastAsia="Arial" w:hAnsi="Arial"/>
                <w:sz w:val="18"/>
                <w:szCs w:val="18"/>
                <w:color w:val="auto"/>
                <w:w w:val="99"/>
              </w:rPr>
              <w:t>15</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Balance Sheet</w:t>
      </w:r>
    </w:p>
    <w:p>
      <w:pPr>
        <w:jc w:val="center"/>
        <w:spacing w:after="0"/>
        <w:rPr>
          <w:sz w:val="20"/>
          <w:szCs w:val="20"/>
          <w:color w:val="auto"/>
        </w:rPr>
      </w:pPr>
      <w:r>
        <w:rPr>
          <w:rFonts w:ascii="Arial" w:cs="Arial" w:eastAsia="Arial" w:hAnsi="Arial"/>
          <w:sz w:val="22"/>
          <w:szCs w:val="22"/>
          <w:b w:val="1"/>
          <w:bCs w:val="1"/>
          <w:color w:val="auto"/>
        </w:rPr>
        <w:t>December 31, 2006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90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80" w:type="dxa"/>
            <w:vAlign w:val="bottom"/>
            <w:gridSpan w:val="2"/>
          </w:tcPr>
          <w:p>
            <w:pPr>
              <w:jc w:val="right"/>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200" w:type="dxa"/>
            <w:vAlign w:val="bottom"/>
          </w:tcPr>
          <w:p>
            <w:pPr>
              <w:spacing w:after="0"/>
              <w:rPr>
                <w:sz w:val="12"/>
                <w:szCs w:val="12"/>
                <w:color w:val="auto"/>
              </w:rPr>
            </w:pPr>
          </w:p>
        </w:tc>
        <w:tc>
          <w:tcPr>
            <w:tcW w:w="58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w w:val="95"/>
              </w:rPr>
              <w:t>CCCL</w:t>
            </w:r>
          </w:p>
        </w:tc>
        <w:tc>
          <w:tcPr>
            <w:tcW w:w="200" w:type="dxa"/>
            <w:vAlign w:val="bottom"/>
          </w:tcPr>
          <w:p>
            <w:pPr>
              <w:spacing w:after="0"/>
              <w:rPr>
                <w:sz w:val="12"/>
                <w:szCs w:val="12"/>
                <w:color w:val="auto"/>
              </w:rPr>
            </w:pPr>
          </w:p>
        </w:tc>
        <w:tc>
          <w:tcPr>
            <w:tcW w:w="60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w w:val="92"/>
              </w:rPr>
              <w:t>CCCH</w:t>
            </w:r>
          </w:p>
        </w:tc>
        <w:tc>
          <w:tcPr>
            <w:tcW w:w="82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80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920" w:type="dxa"/>
            <w:vAlign w:val="bottom"/>
            <w:gridSpan w:val="2"/>
          </w:tcPr>
          <w:p>
            <w:pPr>
              <w:jc w:val="right"/>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1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Consolidation</w:t>
            </w:r>
          </w:p>
        </w:tc>
        <w:tc>
          <w:tcPr>
            <w:tcW w:w="2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c>
          <w:tcPr>
            <w:tcW w:w="0" w:type="dxa"/>
            <w:vAlign w:val="bottom"/>
          </w:tcPr>
          <w:p>
            <w:pPr>
              <w:spacing w:after="0"/>
              <w:rPr>
                <w:sz w:val="1"/>
                <w:szCs w:val="1"/>
                <w:color w:val="auto"/>
              </w:rPr>
            </w:pPr>
          </w:p>
        </w:tc>
      </w:tr>
      <w:tr>
        <w:trPr>
          <w:trHeight w:val="165"/>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w w:val="88"/>
              </w:rPr>
              <w:t>Parent</w:t>
            </w:r>
          </w:p>
        </w:tc>
        <w:tc>
          <w:tcPr>
            <w:tcW w:w="20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3"/>
              </w:rPr>
              <w:t>Parent</w:t>
            </w:r>
          </w:p>
        </w:tc>
        <w:tc>
          <w:tcPr>
            <w:tcW w:w="20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3"/>
              </w:rPr>
              <w:t>Parent</w:t>
            </w:r>
          </w:p>
        </w:tc>
        <w:tc>
          <w:tcPr>
            <w:tcW w:w="82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Parents</w:t>
            </w:r>
          </w:p>
        </w:tc>
        <w:tc>
          <w:tcPr>
            <w:tcW w:w="8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1,162</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1,735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1,450</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762</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5,109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8,847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w w:val="99"/>
              </w:rPr>
              <w:t>Investments in and amounts due from subsidiaries eliminated</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upon consolidation</w:t>
            </w:r>
          </w:p>
        </w:tc>
        <w:tc>
          <w:tcPr>
            <w:tcW w:w="3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2"/>
              </w:rPr>
              <w:t>62,622</w:t>
            </w:r>
          </w:p>
        </w:tc>
        <w:tc>
          <w:tcPr>
            <w:tcW w:w="20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2"/>
              </w:rPr>
              <w:t>31,152</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92"/>
              </w:rPr>
              <w:t>37,757</w:t>
            </w:r>
          </w:p>
        </w:tc>
        <w:tc>
          <w:tcPr>
            <w:tcW w:w="2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6"/>
              </w:rPr>
              <w:t>41,151</w:t>
            </w:r>
          </w:p>
        </w:tc>
        <w:tc>
          <w:tcPr>
            <w:tcW w:w="20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2"/>
              </w:rPr>
              <w:t>24,250</w:t>
            </w:r>
          </w:p>
        </w:tc>
        <w:tc>
          <w:tcPr>
            <w:tcW w:w="24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1,629</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9"/>
              </w:rPr>
              <w:t>(198,561)</w:t>
            </w: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21,230</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Franchise rights</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55,927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13,768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4,881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92"/>
              </w:rPr>
              <w:t>62,907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w w:val="92"/>
              </w:rPr>
              <w:t>31,169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92"/>
              </w:rPr>
              <w:t>37,778</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41,151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2"/>
              </w:rPr>
              <w:t>24,281</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95"/>
              </w:rPr>
              <w:t>111,680</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9"/>
              </w:rPr>
              <w:t>(198,561)</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Accounts payable and accrued expenses related</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 trade creditors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2,851</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1,911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563</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847</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5,466</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Long term-debt, less current portion</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w w:val="92"/>
              </w:rPr>
              <w:t>15,358</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4,397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3,498</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3,046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949</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27,992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4,638</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887</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21,564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1,117</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5,237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Other stockholders’ equity</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w w:val="92"/>
              </w:rPr>
              <w:t>41,132</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w w:val="92"/>
              </w:rPr>
              <w:t>25,879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w w:val="92"/>
              </w:rPr>
              <w:t>34,197</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w w:val="96"/>
              </w:rPr>
              <w:t>37,757</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w w:val="92"/>
              </w:rPr>
              <w:t>22,300</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78,428</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w w:val="99"/>
              </w:rPr>
              <w:t>(198,561)</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41,132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92"/>
              </w:rPr>
              <w:t>41,167</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92"/>
              </w:rPr>
              <w:t>25,879</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92"/>
              </w:rPr>
              <w:t>34,197</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6"/>
              </w:rPr>
              <w:t>37,757</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2"/>
              </w:rPr>
              <w:t>22,300</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78,428</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99"/>
              </w:rPr>
              <w:t>(198,561)</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92"/>
              </w:rPr>
              <w:t>62,907</w:t>
            </w:r>
          </w:p>
        </w:tc>
        <w:tc>
          <w:tcPr>
            <w:tcW w:w="2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w w:val="92"/>
              </w:rPr>
              <w:t>31,169</w:t>
            </w:r>
          </w:p>
        </w:tc>
        <w:tc>
          <w:tcPr>
            <w:tcW w:w="2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92"/>
              </w:rPr>
              <w:t>37,778</w:t>
            </w:r>
          </w:p>
        </w:tc>
        <w:tc>
          <w:tcPr>
            <w:tcW w:w="22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41,151</w:t>
            </w:r>
          </w:p>
        </w:tc>
        <w:tc>
          <w:tcPr>
            <w:tcW w:w="2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2"/>
              </w:rPr>
              <w:t>24,281</w:t>
            </w:r>
          </w:p>
        </w:tc>
        <w:tc>
          <w:tcPr>
            <w:tcW w:w="24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95"/>
              </w:rPr>
              <w:t>111,680</w:t>
            </w:r>
          </w:p>
        </w:tc>
        <w:tc>
          <w:tcPr>
            <w:tcW w:w="26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9"/>
              </w:rPr>
              <w:t>(198,561)</w:t>
            </w:r>
          </w:p>
        </w:tc>
        <w:tc>
          <w:tcPr>
            <w:tcW w:w="22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110,405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center"/>
              <w:ind w:right="94"/>
              <w:spacing w:after="0"/>
              <w:rPr>
                <w:sz w:val="20"/>
                <w:szCs w:val="20"/>
                <w:color w:val="auto"/>
              </w:rPr>
            </w:pPr>
            <w:r>
              <w:rPr>
                <w:rFonts w:ascii="Arial" w:cs="Arial" w:eastAsia="Arial" w:hAnsi="Arial"/>
                <w:sz w:val="18"/>
                <w:szCs w:val="18"/>
                <w:color w:val="auto"/>
                <w:w w:val="99"/>
              </w:rPr>
              <w:t>16</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Three Months Ended March 31, 2007</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320" w:type="dxa"/>
            <w:vAlign w:val="bottom"/>
          </w:tcPr>
          <w:p>
            <w:pPr>
              <w:spacing w:after="0"/>
              <w:rPr>
                <w:sz w:val="12"/>
                <w:szCs w:val="12"/>
                <w:color w:val="auto"/>
              </w:rPr>
            </w:pPr>
          </w:p>
        </w:tc>
        <w:tc>
          <w:tcPr>
            <w:tcW w:w="800" w:type="dxa"/>
            <w:vAlign w:val="bottom"/>
          </w:tcPr>
          <w:p>
            <w:pPr>
              <w:jc w:val="center"/>
              <w:ind w:right="293"/>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9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8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6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920" w:type="dxa"/>
            <w:vAlign w:val="bottom"/>
            <w:gridSpan w:val="2"/>
          </w:tcPr>
          <w:p>
            <w:pPr>
              <w:jc w:val="right"/>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8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1040" w:type="dxa"/>
            <w:vAlign w:val="bottom"/>
            <w:gridSpan w:val="2"/>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Consolidation</w:t>
            </w:r>
          </w:p>
        </w:tc>
        <w:tc>
          <w:tcPr>
            <w:tcW w:w="26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r>
      <w:tr>
        <w:trPr>
          <w:trHeight w:val="165"/>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6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2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Parents</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Corporation</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revenues</w:t>
            </w:r>
          </w:p>
        </w:tc>
        <w:tc>
          <w:tcPr>
            <w:tcW w:w="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7,388</w:t>
            </w:r>
          </w:p>
        </w:tc>
        <w:tc>
          <w:tcPr>
            <w:tcW w:w="32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r>
      <w:tr>
        <w:trPr>
          <w:trHeight w:val="216"/>
        </w:trPr>
        <w:tc>
          <w:tcPr>
            <w:tcW w:w="20" w:type="dxa"/>
            <w:vAlign w:val="bottom"/>
          </w:tcPr>
          <w:p>
            <w:pPr>
              <w:spacing w:after="0"/>
              <w:rPr>
                <w:sz w:val="18"/>
                <w:szCs w:val="18"/>
                <w:color w:val="auto"/>
              </w:rPr>
            </w:pPr>
          </w:p>
        </w:tc>
        <w:tc>
          <w:tcPr>
            <w:tcW w:w="406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Management fee revenue</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7,388</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r>
      <w:tr>
        <w:trPr>
          <w:trHeight w:val="210"/>
        </w:trPr>
        <w:tc>
          <w:tcPr>
            <w:tcW w:w="20" w:type="dxa"/>
            <w:vAlign w:val="bottom"/>
          </w:tcPr>
          <w:p>
            <w:pPr>
              <w:spacing w:after="0"/>
              <w:rPr>
                <w:sz w:val="18"/>
                <w:szCs w:val="18"/>
                <w:color w:val="auto"/>
              </w:rPr>
            </w:pPr>
          </w:p>
        </w:tc>
        <w:tc>
          <w:tcPr>
            <w:tcW w:w="40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(excluding depreciation)</w:t>
            </w:r>
          </w:p>
        </w:tc>
        <w:tc>
          <w:tcPr>
            <w:tcW w:w="40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2,759</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1,940</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1,224</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16"/>
        </w:trPr>
        <w:tc>
          <w:tcPr>
            <w:tcW w:w="20" w:type="dxa"/>
            <w:vAlign w:val="bottom"/>
          </w:tcPr>
          <w:p>
            <w:pPr>
              <w:spacing w:after="0"/>
              <w:rPr>
                <w:sz w:val="18"/>
                <w:szCs w:val="18"/>
                <w:color w:val="auto"/>
              </w:rPr>
            </w:pPr>
          </w:p>
        </w:tc>
        <w:tc>
          <w:tcPr>
            <w:tcW w:w="406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6,200</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w:t>
            </w:r>
          </w:p>
        </w:tc>
      </w:tr>
      <w:tr>
        <w:trPr>
          <w:trHeight w:val="210"/>
        </w:trPr>
        <w:tc>
          <w:tcPr>
            <w:tcW w:w="20" w:type="dxa"/>
            <w:vAlign w:val="bottom"/>
          </w:tcPr>
          <w:p>
            <w:pPr>
              <w:spacing w:after="0"/>
              <w:rPr>
                <w:sz w:val="18"/>
                <w:szCs w:val="18"/>
                <w:color w:val="auto"/>
              </w:rPr>
            </w:pPr>
          </w:p>
        </w:tc>
        <w:tc>
          <w:tcPr>
            <w:tcW w:w="40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1,188</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40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183</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Equity in net (losses) income of affiliates, net</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949</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w w:val="96"/>
              </w:rPr>
              <w:t>799</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846</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(3,293)</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512</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10"/>
        </w:trPr>
        <w:tc>
          <w:tcPr>
            <w:tcW w:w="20" w:type="dxa"/>
            <w:vAlign w:val="bottom"/>
          </w:tcPr>
          <w:p>
            <w:pPr>
              <w:spacing w:after="0"/>
              <w:rPr>
                <w:sz w:val="18"/>
                <w:szCs w:val="18"/>
                <w:color w:val="auto"/>
              </w:rPr>
            </w:pPr>
          </w:p>
        </w:tc>
        <w:tc>
          <w:tcPr>
            <w:tcW w:w="4060" w:type="dxa"/>
            <w:vAlign w:val="bottom"/>
            <w:tcBorders>
              <w:bottom w:val="single" w:sz="8" w:color="E5E5E5"/>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w w:val="96"/>
              </w:rPr>
              <w:t>718</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778</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298</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615</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(3,293)</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195"/>
        </w:trPr>
        <w:tc>
          <w:tcPr>
            <w:tcW w:w="20" w:type="dxa"/>
            <w:vAlign w:val="bottom"/>
          </w:tcPr>
          <w:p>
            <w:pPr>
              <w:spacing w:after="0"/>
              <w:rPr>
                <w:sz w:val="16"/>
                <w:szCs w:val="16"/>
                <w:color w:val="auto"/>
              </w:rPr>
            </w:pPr>
          </w:p>
        </w:tc>
        <w:tc>
          <w:tcPr>
            <w:tcW w:w="4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w w:val="99"/>
              </w:rPr>
              <w:t>Income (loss) from continuing operations before income</w:t>
            </w: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and minority interest</w:t>
            </w:r>
          </w:p>
        </w:tc>
        <w:tc>
          <w:tcPr>
            <w:tcW w:w="40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776</w:t>
            </w:r>
          </w:p>
        </w:tc>
        <w:tc>
          <w:tcPr>
            <w:tcW w:w="240" w:type="dxa"/>
            <w:vAlign w:val="bottom"/>
          </w:tcPr>
          <w:p>
            <w:pPr>
              <w:spacing w:after="0"/>
              <w:rPr>
                <w:sz w:val="19"/>
                <w:szCs w:val="19"/>
                <w:color w:val="auto"/>
              </w:rPr>
            </w:pP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9"/>
                <w:szCs w:val="19"/>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6"/>
              </w:rPr>
              <w:t>718</w:t>
            </w:r>
          </w:p>
        </w:tc>
        <w:tc>
          <w:tcPr>
            <w:tcW w:w="3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778</w:t>
            </w:r>
          </w:p>
        </w:tc>
        <w:tc>
          <w:tcPr>
            <w:tcW w:w="32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1,803</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(3,293)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18"/>
        </w:trPr>
        <w:tc>
          <w:tcPr>
            <w:tcW w:w="20" w:type="dxa"/>
            <w:vAlign w:val="bottom"/>
          </w:tcPr>
          <w:p>
            <w:pPr>
              <w:spacing w:after="0"/>
              <w:rPr>
                <w:sz w:val="18"/>
                <w:szCs w:val="18"/>
                <w:color w:val="auto"/>
              </w:rPr>
            </w:pPr>
          </w:p>
        </w:tc>
        <w:tc>
          <w:tcPr>
            <w:tcW w:w="406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(685)</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195"/>
        </w:trPr>
        <w:tc>
          <w:tcPr>
            <w:tcW w:w="20" w:type="dxa"/>
            <w:vAlign w:val="bottom"/>
          </w:tcPr>
          <w:p>
            <w:pPr>
              <w:spacing w:after="0"/>
              <w:rPr>
                <w:sz w:val="16"/>
                <w:szCs w:val="16"/>
                <w:color w:val="auto"/>
              </w:rPr>
            </w:pPr>
          </w:p>
        </w:tc>
        <w:tc>
          <w:tcPr>
            <w:tcW w:w="4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w w:val="97"/>
              </w:rPr>
              <w:t>Income (loss) from continuing operations before minority</w:t>
            </w: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40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tcPr>
          <w:p>
            <w:pPr>
              <w:spacing w:after="0"/>
              <w:rPr>
                <w:sz w:val="19"/>
                <w:szCs w:val="19"/>
                <w:color w:val="auto"/>
              </w:rPr>
            </w:pP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Pr>
          <w:p>
            <w:pPr>
              <w:spacing w:after="0"/>
              <w:rPr>
                <w:sz w:val="19"/>
                <w:szCs w:val="19"/>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6"/>
              </w:rPr>
              <w:t>747</w:t>
            </w:r>
          </w:p>
        </w:tc>
        <w:tc>
          <w:tcPr>
            <w:tcW w:w="3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799</w:t>
            </w:r>
          </w:p>
        </w:tc>
        <w:tc>
          <w:tcPr>
            <w:tcW w:w="32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1,118</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(3,293)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18"/>
        </w:trPr>
        <w:tc>
          <w:tcPr>
            <w:tcW w:w="20" w:type="dxa"/>
            <w:vAlign w:val="bottom"/>
          </w:tcPr>
          <w:p>
            <w:pPr>
              <w:spacing w:after="0"/>
              <w:rPr>
                <w:sz w:val="18"/>
                <w:szCs w:val="18"/>
                <w:color w:val="auto"/>
              </w:rPr>
            </w:pPr>
          </w:p>
        </w:tc>
        <w:tc>
          <w:tcPr>
            <w:tcW w:w="406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837</w:t>
            </w:r>
          </w:p>
        </w:tc>
        <w:tc>
          <w:tcPr>
            <w:tcW w:w="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318</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6"/>
              </w:rPr>
              <w:t>747</w:t>
            </w: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799</w:t>
            </w: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307</w:t>
            </w:r>
          </w:p>
        </w:tc>
        <w:tc>
          <w:tcPr>
            <w:tcW w:w="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1,122</w:t>
            </w:r>
          </w:p>
        </w:tc>
        <w:tc>
          <w:tcPr>
            <w:tcW w:w="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(3,293)</w:t>
            </w:r>
          </w:p>
        </w:tc>
        <w:tc>
          <w:tcPr>
            <w:tcW w:w="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837</w:t>
            </w:r>
          </w:p>
        </w:tc>
      </w:tr>
      <w:tr>
        <w:trPr>
          <w:trHeight w:val="36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Three Months Ended March 31, 2006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320" w:type="dxa"/>
            <w:vAlign w:val="bottom"/>
          </w:tcPr>
          <w:p>
            <w:pPr>
              <w:spacing w:after="0"/>
              <w:rPr>
                <w:sz w:val="12"/>
                <w:szCs w:val="12"/>
                <w:color w:val="auto"/>
              </w:rPr>
            </w:pPr>
          </w:p>
        </w:tc>
        <w:tc>
          <w:tcPr>
            <w:tcW w:w="800" w:type="dxa"/>
            <w:vAlign w:val="bottom"/>
          </w:tcPr>
          <w:p>
            <w:pPr>
              <w:jc w:val="center"/>
              <w:ind w:right="293"/>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9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8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6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920" w:type="dxa"/>
            <w:vAlign w:val="bottom"/>
            <w:gridSpan w:val="2"/>
          </w:tcPr>
          <w:p>
            <w:pPr>
              <w:jc w:val="right"/>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8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1040" w:type="dxa"/>
            <w:vAlign w:val="bottom"/>
            <w:gridSpan w:val="2"/>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Consolidation</w:t>
            </w:r>
          </w:p>
        </w:tc>
        <w:tc>
          <w:tcPr>
            <w:tcW w:w="26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r>
      <w:tr>
        <w:trPr>
          <w:trHeight w:val="165"/>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6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2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Parents</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Corporation</w:t>
            </w:r>
          </w:p>
        </w:tc>
      </w:tr>
      <w:tr>
        <w:trPr>
          <w:trHeight w:val="210"/>
        </w:trPr>
        <w:tc>
          <w:tcPr>
            <w:tcW w:w="20" w:type="dxa"/>
            <w:vAlign w:val="bottom"/>
          </w:tcPr>
          <w:p>
            <w:pPr>
              <w:spacing w:after="0"/>
              <w:rPr>
                <w:sz w:val="18"/>
                <w:szCs w:val="18"/>
                <w:color w:val="auto"/>
              </w:rPr>
            </w:pPr>
          </w:p>
        </w:tc>
        <w:tc>
          <w:tcPr>
            <w:tcW w:w="404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revenues</w:t>
            </w:r>
          </w:p>
        </w:tc>
        <w:tc>
          <w:tcPr>
            <w:tcW w:w="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5,595</w:t>
            </w:r>
          </w:p>
        </w:tc>
        <w:tc>
          <w:tcPr>
            <w:tcW w:w="32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Management fee revenue</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5,595</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w:t>
            </w:r>
          </w:p>
        </w:tc>
      </w:tr>
      <w:tr>
        <w:trPr>
          <w:trHeight w:val="210"/>
        </w:trPr>
        <w:tc>
          <w:tcPr>
            <w:tcW w:w="20" w:type="dxa"/>
            <w:vAlign w:val="bottom"/>
          </w:tcPr>
          <w:p>
            <w:pPr>
              <w:spacing w:after="0"/>
              <w:rPr>
                <w:sz w:val="18"/>
                <w:szCs w:val="18"/>
                <w:color w:val="auto"/>
              </w:rPr>
            </w:pPr>
          </w:p>
        </w:tc>
        <w:tc>
          <w:tcPr>
            <w:tcW w:w="40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(excluding depreciation)</w:t>
            </w:r>
          </w:p>
        </w:tc>
        <w:tc>
          <w:tcPr>
            <w:tcW w:w="40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2,073</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16"/>
        </w:trPr>
        <w:tc>
          <w:tcPr>
            <w:tcW w:w="20" w:type="dxa"/>
            <w:vAlign w:val="bottom"/>
          </w:tcPr>
          <w:p>
            <w:pPr>
              <w:spacing w:after="0"/>
              <w:rPr>
                <w:sz w:val="18"/>
                <w:szCs w:val="18"/>
                <w:color w:val="auto"/>
              </w:rPr>
            </w:pPr>
          </w:p>
        </w:tc>
        <w:tc>
          <w:tcPr>
            <w:tcW w:w="40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1,477</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876</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4,639</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w:t>
            </w:r>
          </w:p>
        </w:tc>
      </w:tr>
      <w:tr>
        <w:trPr>
          <w:trHeight w:val="210"/>
        </w:trPr>
        <w:tc>
          <w:tcPr>
            <w:tcW w:w="20" w:type="dxa"/>
            <w:vAlign w:val="bottom"/>
          </w:tcPr>
          <w:p>
            <w:pPr>
              <w:spacing w:after="0"/>
              <w:rPr>
                <w:sz w:val="18"/>
                <w:szCs w:val="18"/>
                <w:color w:val="auto"/>
              </w:rPr>
            </w:pPr>
          </w:p>
        </w:tc>
        <w:tc>
          <w:tcPr>
            <w:tcW w:w="40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956</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w w:val="97"/>
              </w:rPr>
              <w:t>(104)</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40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 w:type="dxa"/>
            <w:vAlign w:val="bottom"/>
          </w:tcPr>
          <w:p>
            <w:pPr>
              <w:spacing w:after="0"/>
              <w:rPr>
                <w:sz w:val="18"/>
                <w:szCs w:val="18"/>
                <w:color w:val="auto"/>
              </w:rPr>
            </w:pPr>
          </w:p>
        </w:tc>
        <w:tc>
          <w:tcPr>
            <w:tcW w:w="40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Equity in net (losses) income of affiliates</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w w:val="96"/>
              </w:rPr>
              <w:t>154</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(1,175)</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20" w:type="dxa"/>
            <w:vAlign w:val="bottom"/>
          </w:tcPr>
          <w:p>
            <w:pPr>
              <w:spacing w:after="0"/>
              <w:rPr>
                <w:sz w:val="18"/>
                <w:szCs w:val="18"/>
                <w:color w:val="auto"/>
              </w:rPr>
            </w:pPr>
          </w:p>
        </w:tc>
        <w:tc>
          <w:tcPr>
            <w:tcW w:w="4040" w:type="dxa"/>
            <w:vAlign w:val="bottom"/>
            <w:tcBorders>
              <w:bottom w:val="single" w:sz="8" w:color="E5E5E5"/>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(1,175)</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195"/>
        </w:trPr>
        <w:tc>
          <w:tcPr>
            <w:tcW w:w="2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w w:val="98"/>
              </w:rPr>
              <w:t>Income (loss) from continuing operations before income</w:t>
            </w: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and minority interest</w:t>
            </w:r>
          </w:p>
        </w:tc>
        <w:tc>
          <w:tcPr>
            <w:tcW w:w="400" w:type="dxa"/>
            <w:vAlign w:val="bottom"/>
          </w:tcPr>
          <w:p>
            <w:pPr>
              <w:spacing w:after="0"/>
              <w:rPr>
                <w:sz w:val="19"/>
                <w:szCs w:val="19"/>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19"/>
                <w:szCs w:val="19"/>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9"/>
                <w:szCs w:val="19"/>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971</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18"/>
        </w:trPr>
        <w:tc>
          <w:tcPr>
            <w:tcW w:w="20" w:type="dxa"/>
            <w:vAlign w:val="bottom"/>
          </w:tcPr>
          <w:p>
            <w:pPr>
              <w:spacing w:after="0"/>
              <w:rPr>
                <w:sz w:val="18"/>
                <w:szCs w:val="18"/>
                <w:color w:val="auto"/>
              </w:rPr>
            </w:pPr>
          </w:p>
        </w:tc>
        <w:tc>
          <w:tcPr>
            <w:tcW w:w="404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(291)</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195"/>
        </w:trPr>
        <w:tc>
          <w:tcPr>
            <w:tcW w:w="2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minority interest</w:t>
            </w:r>
          </w:p>
        </w:tc>
        <w:tc>
          <w:tcPr>
            <w:tcW w:w="400" w:type="dxa"/>
            <w:vAlign w:val="bottom"/>
          </w:tcPr>
          <w:p>
            <w:pPr>
              <w:spacing w:after="0"/>
              <w:rPr>
                <w:sz w:val="19"/>
                <w:szCs w:val="19"/>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Pr>
          <w:p>
            <w:pPr>
              <w:spacing w:after="0"/>
              <w:rPr>
                <w:sz w:val="19"/>
                <w:szCs w:val="19"/>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9"/>
                <w:szCs w:val="19"/>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6"/>
              </w:rPr>
              <w:t>101</w:t>
            </w:r>
          </w:p>
        </w:tc>
        <w:tc>
          <w:tcPr>
            <w:tcW w:w="3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680</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8"/>
        </w:trPr>
        <w:tc>
          <w:tcPr>
            <w:tcW w:w="20" w:type="dxa"/>
            <w:vAlign w:val="bottom"/>
          </w:tcPr>
          <w:p>
            <w:pPr>
              <w:spacing w:after="0"/>
              <w:rPr>
                <w:sz w:val="18"/>
                <w:szCs w:val="18"/>
                <w:color w:val="auto"/>
              </w:rPr>
            </w:pPr>
          </w:p>
        </w:tc>
        <w:tc>
          <w:tcPr>
            <w:tcW w:w="404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40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6"/>
              </w:rPr>
              <w:t>101</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669</w:t>
            </w:r>
          </w:p>
        </w:tc>
        <w:tc>
          <w:tcPr>
            <w:tcW w:w="3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(1,175)</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7"/>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466</w:t>
            </w:r>
          </w:p>
        </w:tc>
        <w:tc>
          <w:tcPr>
            <w:tcW w:w="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113</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6"/>
              </w:rPr>
              <w:t>101</w:t>
            </w: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154</w:t>
            </w: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110</w:t>
            </w:r>
          </w:p>
        </w:tc>
        <w:tc>
          <w:tcPr>
            <w:tcW w:w="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697</w:t>
            </w:r>
          </w:p>
        </w:tc>
        <w:tc>
          <w:tcPr>
            <w:tcW w:w="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(1,175)</w:t>
            </w:r>
          </w:p>
        </w:tc>
        <w:tc>
          <w:tcPr>
            <w:tcW w:w="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r>
      <w:tr>
        <w:trPr>
          <w:trHeight w:val="367"/>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Cash Flows</w:t>
      </w:r>
    </w:p>
    <w:p>
      <w:pPr>
        <w:jc w:val="center"/>
        <w:spacing w:after="0"/>
        <w:rPr>
          <w:sz w:val="20"/>
          <w:szCs w:val="20"/>
          <w:color w:val="auto"/>
        </w:rPr>
      </w:pPr>
      <w:r>
        <w:rPr>
          <w:rFonts w:ascii="Arial" w:cs="Arial" w:eastAsia="Arial" w:hAnsi="Arial"/>
          <w:sz w:val="22"/>
          <w:szCs w:val="22"/>
          <w:b w:val="1"/>
          <w:bCs w:val="1"/>
          <w:color w:val="auto"/>
        </w:rPr>
        <w:t>For the Three Months Ended March 31, 2007</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320" w:type="dxa"/>
            <w:vAlign w:val="bottom"/>
          </w:tcPr>
          <w:p>
            <w:pPr>
              <w:spacing w:after="0"/>
              <w:rPr>
                <w:sz w:val="12"/>
                <w:szCs w:val="12"/>
                <w:color w:val="auto"/>
              </w:rPr>
            </w:pPr>
          </w:p>
        </w:tc>
        <w:tc>
          <w:tcPr>
            <w:tcW w:w="760" w:type="dxa"/>
            <w:vAlign w:val="bottom"/>
          </w:tcPr>
          <w:p>
            <w:pPr>
              <w:jc w:val="center"/>
              <w:ind w:right="233"/>
              <w:spacing w:after="0" w:line="149" w:lineRule="exact"/>
              <w:rPr>
                <w:sz w:val="20"/>
                <w:szCs w:val="20"/>
                <w:color w:val="auto"/>
              </w:rPr>
            </w:pPr>
            <w:r>
              <w:rPr>
                <w:rFonts w:ascii="Times New Roman" w:cs="Times New Roman" w:eastAsia="Times New Roman" w:hAnsi="Times New Roman"/>
                <w:sz w:val="14"/>
                <w:szCs w:val="14"/>
                <w:b w:val="1"/>
                <w:bCs w:val="1"/>
                <w:color w:val="auto"/>
                <w:w w:val="88"/>
              </w:rPr>
              <w:t>and</w:t>
            </w:r>
          </w:p>
        </w:tc>
        <w:tc>
          <w:tcPr>
            <w:tcW w:w="9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6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940" w:type="dxa"/>
            <w:vAlign w:val="bottom"/>
            <w:gridSpan w:val="2"/>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8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1040" w:type="dxa"/>
            <w:vAlign w:val="bottom"/>
            <w:gridSpan w:val="2"/>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080" w:type="dxa"/>
            <w:vAlign w:val="bottom"/>
            <w:gridSpan w:val="2"/>
          </w:tcPr>
          <w:p>
            <w:pPr>
              <w:jc w:val="right"/>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Consolidation</w:t>
            </w:r>
          </w:p>
        </w:tc>
        <w:tc>
          <w:tcPr>
            <w:tcW w:w="24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r>
      <w:tr>
        <w:trPr>
          <w:trHeight w:val="165"/>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6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4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Parents</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Corporation</w:t>
            </w:r>
          </w:p>
        </w:tc>
      </w:tr>
      <w:tr>
        <w:trPr>
          <w:trHeight w:val="210"/>
        </w:trPr>
        <w:tc>
          <w:tcPr>
            <w:tcW w:w="20" w:type="dxa"/>
            <w:vAlign w:val="bottom"/>
          </w:tcPr>
          <w:p>
            <w:pPr>
              <w:spacing w:after="0"/>
              <w:rPr>
                <w:sz w:val="18"/>
                <w:szCs w:val="18"/>
                <w:color w:val="auto"/>
              </w:rPr>
            </w:pPr>
          </w:p>
        </w:tc>
        <w:tc>
          <w:tcPr>
            <w:tcW w:w="414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99"/>
              </w:rPr>
              <w:t>(71)</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99"/>
              </w:rPr>
              <w:t>(78)</w:t>
            </w: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2,484</w:t>
            </w:r>
          </w:p>
        </w:tc>
        <w:tc>
          <w:tcPr>
            <w:tcW w:w="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10"/>
        </w:trPr>
        <w:tc>
          <w:tcPr>
            <w:tcW w:w="20" w:type="dxa"/>
            <w:vAlign w:val="bottom"/>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40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Retirements and repayments of debt</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40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20" w:type="dxa"/>
            <w:vAlign w:val="bottom"/>
          </w:tcPr>
          <w:p>
            <w:pPr>
              <w:spacing w:after="0"/>
              <w:rPr>
                <w:sz w:val="18"/>
                <w:szCs w:val="18"/>
                <w:color w:val="auto"/>
              </w:rPr>
            </w:pPr>
          </w:p>
        </w:tc>
        <w:tc>
          <w:tcPr>
            <w:tcW w:w="414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(466)</w:t>
            </w:r>
          </w:p>
        </w:tc>
        <w:tc>
          <w:tcPr>
            <w:tcW w:w="2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(287)</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Net transactions with affiliates</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373</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(1,144)</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(1,451)</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40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Proceeds from sales of investments</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392</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40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2"/>
        </w:trPr>
        <w:tc>
          <w:tcPr>
            <w:tcW w:w="20" w:type="dxa"/>
            <w:vAlign w:val="bottom"/>
          </w:tcPr>
          <w:p>
            <w:pPr>
              <w:spacing w:after="0"/>
              <w:rPr>
                <w:sz w:val="17"/>
                <w:szCs w:val="17"/>
                <w:color w:val="auto"/>
              </w:rPr>
            </w:pPr>
          </w:p>
        </w:tc>
        <w:tc>
          <w:tcPr>
            <w:tcW w:w="4140" w:type="dxa"/>
            <w:vAlign w:val="bottom"/>
            <w:shd w:val="clear" w:color="auto" w:fill="E5E5E5"/>
          </w:tcPr>
          <w:p>
            <w:pPr>
              <w:ind w:left="200"/>
              <w:spacing w:after="0" w:line="201" w:lineRule="exact"/>
              <w:rPr>
                <w:sz w:val="20"/>
                <w:szCs w:val="20"/>
                <w:color w:val="auto"/>
              </w:rPr>
            </w:pPr>
            <w:r>
              <w:rPr>
                <w:rFonts w:ascii="Times New Roman" w:cs="Times New Roman" w:eastAsia="Times New Roman" w:hAnsi="Times New Roman"/>
                <w:sz w:val="18"/>
                <w:szCs w:val="18"/>
                <w:color w:val="auto"/>
              </w:rPr>
              <w:t>Proceeds from sales (purchases) of short-term</w:t>
            </w:r>
          </w:p>
        </w:tc>
        <w:tc>
          <w:tcPr>
            <w:tcW w:w="4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investments, net</w:t>
            </w:r>
          </w:p>
        </w:tc>
        <w:tc>
          <w:tcPr>
            <w:tcW w:w="400" w:type="dxa"/>
            <w:vAlign w:val="bottom"/>
            <w:shd w:val="clear" w:color="auto" w:fill="E5E5E5"/>
          </w:tcPr>
          <w:p>
            <w:pPr>
              <w:spacing w:after="0"/>
              <w:rPr>
                <w:sz w:val="20"/>
                <w:szCs w:val="20"/>
                <w:color w:val="auto"/>
              </w:rPr>
            </w:pPr>
          </w:p>
        </w:tc>
        <w:tc>
          <w:tcPr>
            <w:tcW w:w="56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5E5E5"/>
          </w:tcPr>
          <w:p>
            <w:pPr>
              <w:spacing w:after="0"/>
              <w:rPr>
                <w:sz w:val="20"/>
                <w:szCs w:val="20"/>
                <w:color w:val="auto"/>
              </w:rPr>
            </w:pPr>
          </w:p>
        </w:tc>
        <w:tc>
          <w:tcPr>
            <w:tcW w:w="50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20"/>
                <w:szCs w:val="20"/>
                <w:color w:val="auto"/>
              </w:rPr>
            </w:pPr>
          </w:p>
        </w:tc>
        <w:tc>
          <w:tcPr>
            <w:tcW w:w="46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20"/>
                <w:szCs w:val="20"/>
                <w:color w:val="auto"/>
              </w:rPr>
            </w:pPr>
          </w:p>
        </w:tc>
        <w:tc>
          <w:tcPr>
            <w:tcW w:w="6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20"/>
                <w:szCs w:val="20"/>
                <w:color w:val="auto"/>
              </w:rPr>
            </w:pPr>
          </w:p>
        </w:tc>
        <w:tc>
          <w:tcPr>
            <w:tcW w:w="52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5E5E5"/>
          </w:tcPr>
          <w:p>
            <w:pPr>
              <w:spacing w:after="0"/>
              <w:rPr>
                <w:sz w:val="20"/>
                <w:szCs w:val="20"/>
                <w:color w:val="auto"/>
              </w:rPr>
            </w:pPr>
          </w:p>
        </w:tc>
        <w:tc>
          <w:tcPr>
            <w:tcW w:w="76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E5E5E5"/>
          </w:tcPr>
          <w:p>
            <w:pPr>
              <w:spacing w:after="0"/>
              <w:rPr>
                <w:sz w:val="20"/>
                <w:szCs w:val="20"/>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20" w:type="dxa"/>
            <w:vAlign w:val="bottom"/>
          </w:tcPr>
          <w:p>
            <w:pPr>
              <w:spacing w:after="0"/>
              <w:rPr>
                <w:sz w:val="18"/>
                <w:szCs w:val="18"/>
                <w:color w:val="auto"/>
              </w:rPr>
            </w:pPr>
          </w:p>
        </w:tc>
        <w:tc>
          <w:tcPr>
            <w:tcW w:w="414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598</w:t>
            </w:r>
          </w:p>
        </w:tc>
        <w:tc>
          <w:tcPr>
            <w:tcW w:w="2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373</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(2,329)</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40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1,162</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17"/>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4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1,030</w:t>
            </w:r>
          </w:p>
        </w:tc>
        <w:tc>
          <w:tcPr>
            <w:tcW w:w="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1,037</w:t>
            </w:r>
          </w:p>
        </w:tc>
      </w:tr>
      <w:tr>
        <w:trPr>
          <w:trHeight w:val="36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Cash Flows</w:t>
      </w:r>
    </w:p>
    <w:p>
      <w:pPr>
        <w:jc w:val="center"/>
        <w:spacing w:after="0"/>
        <w:rPr>
          <w:sz w:val="20"/>
          <w:szCs w:val="20"/>
          <w:color w:val="auto"/>
        </w:rPr>
      </w:pPr>
      <w:r>
        <w:rPr>
          <w:rFonts w:ascii="Arial" w:cs="Arial" w:eastAsia="Arial" w:hAnsi="Arial"/>
          <w:sz w:val="22"/>
          <w:szCs w:val="22"/>
          <w:b w:val="1"/>
          <w:bCs w:val="1"/>
          <w:color w:val="auto"/>
        </w:rPr>
        <w:t>For the Three Months Ended March 31, 2006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320" w:type="dxa"/>
            <w:vAlign w:val="bottom"/>
          </w:tcPr>
          <w:p>
            <w:pPr>
              <w:spacing w:after="0"/>
              <w:rPr>
                <w:sz w:val="12"/>
                <w:szCs w:val="12"/>
                <w:color w:val="auto"/>
              </w:rPr>
            </w:pPr>
          </w:p>
        </w:tc>
        <w:tc>
          <w:tcPr>
            <w:tcW w:w="760" w:type="dxa"/>
            <w:vAlign w:val="bottom"/>
          </w:tcPr>
          <w:p>
            <w:pPr>
              <w:jc w:val="center"/>
              <w:ind w:right="233"/>
              <w:spacing w:after="0" w:line="149" w:lineRule="exact"/>
              <w:rPr>
                <w:sz w:val="20"/>
                <w:szCs w:val="20"/>
                <w:color w:val="auto"/>
              </w:rPr>
            </w:pPr>
            <w:r>
              <w:rPr>
                <w:rFonts w:ascii="Times New Roman" w:cs="Times New Roman" w:eastAsia="Times New Roman" w:hAnsi="Times New Roman"/>
                <w:sz w:val="14"/>
                <w:szCs w:val="14"/>
                <w:b w:val="1"/>
                <w:bCs w:val="1"/>
                <w:color w:val="auto"/>
                <w:w w:val="88"/>
              </w:rPr>
              <w:t>and</w:t>
            </w:r>
          </w:p>
        </w:tc>
        <w:tc>
          <w:tcPr>
            <w:tcW w:w="9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80" w:type="dxa"/>
            <w:vAlign w:val="bottom"/>
            <w:gridSpan w:val="2"/>
          </w:tcPr>
          <w:p>
            <w:pPr>
              <w:jc w:val="right"/>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920" w:type="dxa"/>
            <w:vAlign w:val="bottom"/>
            <w:gridSpan w:val="2"/>
          </w:tcPr>
          <w:p>
            <w:pPr>
              <w:jc w:val="right"/>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8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1040" w:type="dxa"/>
            <w:vAlign w:val="bottom"/>
            <w:gridSpan w:val="2"/>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080" w:type="dxa"/>
            <w:vAlign w:val="bottom"/>
            <w:gridSpan w:val="2"/>
          </w:tcPr>
          <w:p>
            <w:pPr>
              <w:jc w:val="right"/>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Consolidation</w:t>
            </w:r>
          </w:p>
        </w:tc>
        <w:tc>
          <w:tcPr>
            <w:tcW w:w="24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r>
      <w:tr>
        <w:trPr>
          <w:trHeight w:val="165"/>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8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2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Parents</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Corporation</w:t>
            </w:r>
          </w:p>
        </w:tc>
      </w:tr>
      <w:tr>
        <w:trPr>
          <w:trHeight w:val="210"/>
        </w:trPr>
        <w:tc>
          <w:tcPr>
            <w:tcW w:w="20" w:type="dxa"/>
            <w:vAlign w:val="bottom"/>
          </w:tcPr>
          <w:p>
            <w:pPr>
              <w:spacing w:after="0"/>
              <w:rPr>
                <w:sz w:val="18"/>
                <w:szCs w:val="18"/>
                <w:color w:val="auto"/>
              </w:rPr>
            </w:pPr>
          </w:p>
        </w:tc>
        <w:tc>
          <w:tcPr>
            <w:tcW w:w="414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1,903</w:t>
            </w:r>
          </w:p>
        </w:tc>
        <w:tc>
          <w:tcPr>
            <w:tcW w:w="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10"/>
        </w:trPr>
        <w:tc>
          <w:tcPr>
            <w:tcW w:w="20" w:type="dxa"/>
            <w:vAlign w:val="bottom"/>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4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2,242</w:t>
            </w:r>
          </w:p>
        </w:tc>
        <w:tc>
          <w:tcPr>
            <w:tcW w:w="22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Retirements and repayments of debt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w w:val="92"/>
              </w:rPr>
              <w:t>(500)</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(388)</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20" w:type="dxa"/>
            <w:vAlign w:val="bottom"/>
          </w:tcPr>
          <w:p>
            <w:pPr>
              <w:spacing w:after="0"/>
              <w:rPr>
                <w:sz w:val="18"/>
                <w:szCs w:val="18"/>
                <w:color w:val="auto"/>
              </w:rPr>
            </w:pPr>
          </w:p>
        </w:tc>
        <w:tc>
          <w:tcPr>
            <w:tcW w:w="414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w w:val="92"/>
              </w:rPr>
              <w:t>(500)</w:t>
            </w:r>
          </w:p>
        </w:tc>
        <w:tc>
          <w:tcPr>
            <w:tcW w:w="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(388)</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Net transactions with affiliates</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w w:val="91"/>
              </w:rPr>
              <w:t>(1,123)</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470</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(877)</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investments</w:t>
            </w:r>
          </w:p>
        </w:tc>
        <w:tc>
          <w:tcPr>
            <w:tcW w:w="34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2"/>
        </w:trPr>
        <w:tc>
          <w:tcPr>
            <w:tcW w:w="20" w:type="dxa"/>
            <w:vAlign w:val="bottom"/>
          </w:tcPr>
          <w:p>
            <w:pPr>
              <w:spacing w:after="0"/>
              <w:rPr>
                <w:sz w:val="17"/>
                <w:szCs w:val="17"/>
                <w:color w:val="auto"/>
              </w:rPr>
            </w:pPr>
          </w:p>
        </w:tc>
        <w:tc>
          <w:tcPr>
            <w:tcW w:w="41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Proceeds from sales (purchases) of short-term</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investments, net</w:t>
            </w:r>
          </w:p>
        </w:tc>
        <w:tc>
          <w:tcPr>
            <w:tcW w:w="340" w:type="dxa"/>
            <w:vAlign w:val="bottom"/>
          </w:tcPr>
          <w:p>
            <w:pPr>
              <w:spacing w:after="0"/>
              <w:rPr>
                <w:sz w:val="19"/>
                <w:szCs w:val="19"/>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20" w:type="dxa"/>
            <w:vAlign w:val="bottom"/>
          </w:tcPr>
          <w:p>
            <w:pPr>
              <w:spacing w:after="0"/>
              <w:rPr>
                <w:sz w:val="18"/>
                <w:szCs w:val="18"/>
                <w:color w:val="auto"/>
              </w:rPr>
            </w:pPr>
          </w:p>
        </w:tc>
        <w:tc>
          <w:tcPr>
            <w:tcW w:w="414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91"/>
              </w:rPr>
              <w:t>(1,077)</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470</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(867)</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0"/>
        </w:trPr>
        <w:tc>
          <w:tcPr>
            <w:tcW w:w="20" w:type="dxa"/>
            <w:vAlign w:val="bottom"/>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color w:val="auto"/>
              </w:rPr>
              <w:t>1,016</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947</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17"/>
        </w:trPr>
        <w:tc>
          <w:tcPr>
            <w:tcW w:w="20" w:type="dxa"/>
            <w:vAlign w:val="bottom"/>
          </w:tcPr>
          <w:p>
            <w:pPr>
              <w:spacing w:after="0"/>
              <w:rPr>
                <w:sz w:val="18"/>
                <w:szCs w:val="18"/>
                <w:color w:val="auto"/>
              </w:rPr>
            </w:pPr>
          </w:p>
        </w:tc>
        <w:tc>
          <w:tcPr>
            <w:tcW w:w="414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E5E5E5"/>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1,963</w:t>
            </w:r>
          </w:p>
        </w:tc>
        <w:tc>
          <w:tcPr>
            <w:tcW w:w="320" w:type="dxa"/>
            <w:vAlign w:val="bottom"/>
            <w:tcBorders>
              <w:bottom w:val="single" w:sz="8" w:color="auto"/>
            </w:tcBorders>
            <w:shd w:val="clear" w:color="auto" w:fill="E5E5E5"/>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1,963</w:t>
            </w:r>
          </w:p>
        </w:tc>
      </w:tr>
      <w:tr>
        <w:trPr>
          <w:trHeight w:val="36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ind w:right="940"/>
        <w:spacing w:after="0" w:line="280"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the largest cable operator in the United States and offer a variety of consumer entertainment and communication products and services. As of March 31, 2007, our cable systems served approximately 24.2 million video subscribers, 12.1 million high-speed Internet subscribers and 3 million phone subscribers and passed approximately 47.7 million homes in 39 states and the District of Columbia. We classify our operations in two reportable segments: Cable and Programming. Our Cable segment manages and operates our cable systems, including video, high-speed Internet and phone services (“cable services”). The majority of our Cable segment revenue is earned from monthly subscriptions for these cable services. Other revenue sources include advertising and the operation of our regional sports and news networks. The Cable segment generates approximately 95% of our consolidated revenues. Our Programming segment consists of our six national programming networks: E!, Style, The Golf Channel, VERSUS, G4, and AZN Television; and other entertainment-related businesses. Revenue from our Programming segment is earned primarily from advertising revenues and from monthly per subscriber license fees paid by cable and satellite distributors.</w:t>
      </w:r>
    </w:p>
    <w:p>
      <w:pPr>
        <w:spacing w:after="0" w:line="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comparability of our results of operations for the three months ended March 31, 2007 is impacted by the dissolution of Texas and Kansas City Cable Partnership (“TKCCP”) in January 2007 and the Adelphia and Time Warner transactions in July 2006. The TKCCP dissolution resulted in the acquisition of cable systems serving approximately 700,000 video subscribers in Houston, Texas and a significant nonoperating gain recognized associated with the divestiture of our portion of the partnership’s investment in cable systems serving Kansas City, south and west Texas and New Mexico. The Adelphia and Time Warner transactions resulted in the acquisition of cable systems serving approximately 2.8 million video subscribers and the disposition of our previously owned cable systems located in Los Angeles, Cleveland and Dallas (“Comcast Exchange Systems”), which are presented as discontinued operations. Other highlights and business developments for the three months ended March 31, 2007 include the following:</w:t>
      </w:r>
    </w:p>
    <w:p>
      <w:pPr>
        <w:spacing w:after="0" w:line="47" w:lineRule="exact"/>
        <w:rPr>
          <w:sz w:val="20"/>
          <w:szCs w:val="20"/>
          <w:color w:val="auto"/>
        </w:rPr>
      </w:pPr>
    </w:p>
    <w:p>
      <w:pPr>
        <w:ind w:left="1020" w:right="1240" w:hanging="215"/>
        <w:spacing w:after="0" w:line="27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growth of 32.0% and consolidated operating income growth of 25.5%, both driven by results in our Cable segment</w:t>
      </w:r>
    </w:p>
    <w:p>
      <w:pPr>
        <w:spacing w:after="0" w:line="25" w:lineRule="exact"/>
        <w:rPr>
          <w:rFonts w:ascii="Times New Roman" w:cs="Times New Roman" w:eastAsia="Times New Roman" w:hAnsi="Times New Roman"/>
          <w:sz w:val="18"/>
          <w:szCs w:val="18"/>
          <w:color w:val="auto"/>
        </w:rPr>
      </w:pPr>
    </w:p>
    <w:p>
      <w:pPr>
        <w:jc w:val="both"/>
        <w:ind w:left="1020" w:right="1240" w:hanging="215"/>
        <w:spacing w:after="0" w:line="26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segment revenue growth of 32.8% and growth in operating income before depreciation and amortization of 32.7%, both driven by growth in revenue generating units (“RGUs”) and the success of our triple play offering, as well as growth from acquisitions</w:t>
      </w:r>
    </w:p>
    <w:p>
      <w:pPr>
        <w:spacing w:after="0" w:line="37"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approximately 19 million shares of our Class A Special common stock pursuant to our Board-authorized share repurchase program for approximately $500 million</w:t>
      </w:r>
    </w:p>
    <w:p>
      <w:pPr>
        <w:spacing w:after="0" w:line="25" w:lineRule="exact"/>
        <w:rPr>
          <w:rFonts w:ascii="Times New Roman" w:cs="Times New Roman" w:eastAsia="Times New Roman" w:hAnsi="Times New Roman"/>
          <w:sz w:val="18"/>
          <w:szCs w:val="18"/>
          <w:color w:val="auto"/>
        </w:rPr>
      </w:pPr>
    </w:p>
    <w:p>
      <w:pPr>
        <w:jc w:val="both"/>
        <w:ind w:left="1020" w:right="1240" w:hanging="215"/>
        <w:spacing w:after="0" w:line="25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to (i) divide the assets and liabilities of Insight Midwest partnership which, upon closing of the transaction, will result in our 100% ownership of cable systems serving subscribers in Illinois and Indiana, (ii) acquire the cable systems of Patriot Media and Communications servicing subscribers in the Central New Jersey area and (iii) acquire Fandango Inc., an online entertainment site and movie-ticket service; these transactions are subject to closing conditions, including government and other approvals and are all expected to close by the end of 2007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 to our consolidated financial statements for information about acquisitions and other significant events.</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discussion below provides further details of these highlights and insights into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120" w:type="dxa"/>
            <w:vAlign w:val="bottom"/>
            <w:gridSpan w:val="3"/>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Increase /</w:t>
            </w:r>
          </w:p>
        </w:tc>
      </w:tr>
      <w:tr>
        <w:trPr>
          <w:trHeight w:val="179"/>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8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37"/>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20"/>
                <w:szCs w:val="20"/>
                <w:color w:val="auto"/>
              </w:rPr>
            </w:pPr>
          </w:p>
        </w:tc>
        <w:tc>
          <w:tcPr>
            <w:tcW w:w="5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780" w:type="dxa"/>
            <w:vAlign w:val="bottom"/>
          </w:tcPr>
          <w:p>
            <w:pPr>
              <w:spacing w:after="0"/>
              <w:rPr>
                <w:sz w:val="20"/>
                <w:szCs w:val="20"/>
                <w:color w:val="auto"/>
              </w:rPr>
            </w:pPr>
          </w:p>
        </w:tc>
        <w:tc>
          <w:tcPr>
            <w:tcW w:w="8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1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4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78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E5E5E5"/>
          </w:tcPr>
          <w:p>
            <w:pPr>
              <w:jc w:val="right"/>
              <w:ind w:right="314"/>
              <w:spacing w:after="0"/>
              <w:rPr>
                <w:sz w:val="20"/>
                <w:szCs w:val="20"/>
                <w:color w:val="auto"/>
              </w:rPr>
            </w:pPr>
            <w:r>
              <w:rPr>
                <w:rFonts w:ascii="Times New Roman" w:cs="Times New Roman" w:eastAsia="Times New Roman" w:hAnsi="Times New Roman"/>
                <w:sz w:val="18"/>
                <w:szCs w:val="18"/>
                <w:color w:val="auto"/>
              </w:rPr>
              <w:t>5,595</w:t>
            </w:r>
          </w:p>
        </w:tc>
        <w:tc>
          <w:tcPr>
            <w:tcW w:w="112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selling, general and administrative (excluding depreciation)</w:t>
            </w:r>
          </w:p>
        </w:tc>
        <w:tc>
          <w:tcPr>
            <w:tcW w:w="8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7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4"/>
              <w:spacing w:after="0"/>
              <w:rPr>
                <w:sz w:val="20"/>
                <w:szCs w:val="20"/>
                <w:color w:val="auto"/>
              </w:rPr>
            </w:pPr>
            <w:r>
              <w:rPr>
                <w:rFonts w:ascii="Times New Roman" w:cs="Times New Roman" w:eastAsia="Times New Roman" w:hAnsi="Times New Roman"/>
                <w:sz w:val="18"/>
                <w:szCs w:val="18"/>
                <w:color w:val="auto"/>
              </w:rPr>
              <w:t>3,495</w:t>
            </w:r>
          </w:p>
        </w:tc>
        <w:tc>
          <w:tcPr>
            <w:tcW w:w="1120" w:type="dxa"/>
            <w:vAlign w:val="bottom"/>
            <w:shd w:val="clear" w:color="auto" w:fill="E5E5E5"/>
          </w:tcPr>
          <w:p>
            <w:pPr>
              <w:jc w:val="right"/>
              <w:ind w:right="95"/>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780" w:type="dxa"/>
            <w:vAlign w:val="bottom"/>
          </w:tcPr>
          <w:p>
            <w:pPr>
              <w:spacing w:after="0"/>
              <w:rPr>
                <w:sz w:val="18"/>
                <w:szCs w:val="18"/>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880</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20" w:type="dxa"/>
            <w:vAlign w:val="bottom"/>
          </w:tcPr>
          <w:p>
            <w:pPr>
              <w:spacing w:after="0"/>
              <w:rPr>
                <w:sz w:val="18"/>
                <w:szCs w:val="18"/>
                <w:color w:val="auto"/>
              </w:rPr>
            </w:pPr>
          </w:p>
        </w:tc>
        <w:tc>
          <w:tcPr>
            <w:tcW w:w="618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7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14"/>
              <w:spacing w:after="0"/>
              <w:rPr>
                <w:sz w:val="20"/>
                <w:szCs w:val="20"/>
                <w:color w:val="auto"/>
              </w:rPr>
            </w:pPr>
            <w:r>
              <w:rPr>
                <w:rFonts w:ascii="Times New Roman" w:cs="Times New Roman" w:eastAsia="Times New Roman" w:hAnsi="Times New Roman"/>
                <w:sz w:val="18"/>
                <w:szCs w:val="18"/>
                <w:color w:val="auto"/>
              </w:rPr>
              <w:t>216</w:t>
            </w:r>
          </w:p>
        </w:tc>
        <w:tc>
          <w:tcPr>
            <w:tcW w:w="1120" w:type="dxa"/>
            <w:vAlign w:val="bottom"/>
            <w:tcBorders>
              <w:bottom w:val="single" w:sz="8" w:color="auto"/>
            </w:tcBorders>
            <w:shd w:val="clear" w:color="auto" w:fill="E5E5E5"/>
          </w:tcPr>
          <w:p>
            <w:pPr>
              <w:jc w:val="right"/>
              <w:ind w:right="95"/>
              <w:spacing w:after="0"/>
              <w:rPr>
                <w:sz w:val="20"/>
                <w:szCs w:val="20"/>
                <w:color w:val="auto"/>
              </w:rPr>
            </w:pPr>
            <w:r>
              <w:rPr>
                <w:rFonts w:ascii="Times New Roman" w:cs="Times New Roman" w:eastAsia="Times New Roman" w:hAnsi="Times New Roman"/>
                <w:sz w:val="18"/>
                <w:szCs w:val="18"/>
                <w:color w:val="auto"/>
              </w:rPr>
              <w:t>28.2</w:t>
            </w:r>
          </w:p>
        </w:tc>
      </w:tr>
      <w:tr>
        <w:trPr>
          <w:trHeight w:val="210"/>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780" w:type="dxa"/>
            <w:vAlign w:val="bottom"/>
          </w:tcPr>
          <w:p>
            <w:pPr>
              <w:spacing w:after="0"/>
              <w:rPr>
                <w:sz w:val="18"/>
                <w:szCs w:val="18"/>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1,004</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20" w:type="dxa"/>
            <w:vAlign w:val="bottom"/>
          </w:tcPr>
          <w:p>
            <w:pPr>
              <w:spacing w:after="0"/>
              <w:rPr>
                <w:sz w:val="18"/>
                <w:szCs w:val="18"/>
                <w:color w:val="auto"/>
              </w:rPr>
            </w:pPr>
          </w:p>
        </w:tc>
        <w:tc>
          <w:tcPr>
            <w:tcW w:w="618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income (expense) items, net</w:t>
            </w:r>
          </w:p>
        </w:tc>
        <w:tc>
          <w:tcPr>
            <w:tcW w:w="8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7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54"/>
              <w:spacing w:after="0"/>
              <w:rPr>
                <w:sz w:val="20"/>
                <w:szCs w:val="20"/>
                <w:color w:val="auto"/>
              </w:rPr>
            </w:pPr>
            <w:r>
              <w:rPr>
                <w:rFonts w:ascii="Times New Roman" w:cs="Times New Roman" w:eastAsia="Times New Roman" w:hAnsi="Times New Roman"/>
                <w:sz w:val="18"/>
                <w:szCs w:val="18"/>
                <w:color w:val="auto"/>
              </w:rPr>
              <w:t>(408)</w:t>
            </w:r>
          </w:p>
        </w:tc>
        <w:tc>
          <w:tcPr>
            <w:tcW w:w="1120" w:type="dxa"/>
            <w:vAlign w:val="bottom"/>
            <w:tcBorders>
              <w:bottom w:val="single" w:sz="8" w:color="auto"/>
            </w:tcBorders>
            <w:shd w:val="clear" w:color="auto" w:fill="E5E5E5"/>
          </w:tcPr>
          <w:p>
            <w:pPr>
              <w:jc w:val="right"/>
              <w:ind w:right="95"/>
              <w:spacing w:after="0"/>
              <w:rPr>
                <w:sz w:val="20"/>
                <w:szCs w:val="20"/>
                <w:color w:val="auto"/>
              </w:rPr>
            </w:pPr>
            <w:r>
              <w:rPr>
                <w:rFonts w:ascii="Times New Roman" w:cs="Times New Roman" w:eastAsia="Times New Roman" w:hAnsi="Times New Roman"/>
                <w:sz w:val="18"/>
                <w:szCs w:val="18"/>
                <w:color w:val="auto"/>
              </w:rPr>
              <w:t>124.0</w:t>
            </w:r>
          </w:p>
        </w:tc>
      </w:tr>
      <w:tr>
        <w:trPr>
          <w:trHeight w:val="210"/>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 and minority interest</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780" w:type="dxa"/>
            <w:vAlign w:val="bottom"/>
          </w:tcPr>
          <w:p>
            <w:pPr>
              <w:spacing w:after="0"/>
              <w:rPr>
                <w:sz w:val="18"/>
                <w:szCs w:val="18"/>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596</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128.1</w:t>
            </w:r>
          </w:p>
        </w:tc>
      </w:tr>
      <w:tr>
        <w:trPr>
          <w:trHeight w:val="216"/>
        </w:trPr>
        <w:tc>
          <w:tcPr>
            <w:tcW w:w="20" w:type="dxa"/>
            <w:vAlign w:val="bottom"/>
          </w:tcPr>
          <w:p>
            <w:pPr>
              <w:spacing w:after="0"/>
              <w:rPr>
                <w:sz w:val="18"/>
                <w:szCs w:val="18"/>
                <w:color w:val="auto"/>
              </w:rPr>
            </w:pPr>
          </w:p>
        </w:tc>
        <w:tc>
          <w:tcPr>
            <w:tcW w:w="618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7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54"/>
              <w:spacing w:after="0"/>
              <w:rPr>
                <w:sz w:val="20"/>
                <w:szCs w:val="20"/>
                <w:color w:val="auto"/>
              </w:rPr>
            </w:pPr>
            <w:r>
              <w:rPr>
                <w:rFonts w:ascii="Times New Roman" w:cs="Times New Roman" w:eastAsia="Times New Roman" w:hAnsi="Times New Roman"/>
                <w:sz w:val="18"/>
                <w:szCs w:val="18"/>
                <w:color w:val="auto"/>
              </w:rPr>
              <w:t>(147)</w:t>
            </w:r>
          </w:p>
        </w:tc>
        <w:tc>
          <w:tcPr>
            <w:tcW w:w="1120" w:type="dxa"/>
            <w:vAlign w:val="bottom"/>
            <w:tcBorders>
              <w:bottom w:val="single" w:sz="8" w:color="auto"/>
            </w:tcBorders>
            <w:shd w:val="clear" w:color="auto" w:fill="E5E5E5"/>
          </w:tcPr>
          <w:p>
            <w:pPr>
              <w:jc w:val="right"/>
              <w:ind w:right="95"/>
              <w:spacing w:after="0"/>
              <w:rPr>
                <w:sz w:val="20"/>
                <w:szCs w:val="20"/>
                <w:color w:val="auto"/>
              </w:rPr>
            </w:pPr>
            <w:r>
              <w:rPr>
                <w:rFonts w:ascii="Times New Roman" w:cs="Times New Roman" w:eastAsia="Times New Roman" w:hAnsi="Times New Roman"/>
                <w:sz w:val="18"/>
                <w:szCs w:val="18"/>
                <w:color w:val="auto"/>
              </w:rPr>
              <w:t>257.2</w:t>
            </w:r>
          </w:p>
        </w:tc>
      </w:tr>
      <w:tr>
        <w:trPr>
          <w:trHeight w:val="210"/>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before minority interest</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780" w:type="dxa"/>
            <w:vAlign w:val="bottom"/>
          </w:tcPr>
          <w:p>
            <w:pPr>
              <w:spacing w:after="0"/>
              <w:rPr>
                <w:sz w:val="18"/>
                <w:szCs w:val="18"/>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449</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20" w:type="dxa"/>
            <w:vAlign w:val="bottom"/>
          </w:tcPr>
          <w:p>
            <w:pPr>
              <w:spacing w:after="0"/>
              <w:rPr>
                <w:sz w:val="18"/>
                <w:szCs w:val="18"/>
                <w:color w:val="auto"/>
              </w:rPr>
            </w:pPr>
          </w:p>
        </w:tc>
        <w:tc>
          <w:tcPr>
            <w:tcW w:w="618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8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54"/>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Borders>
              <w:bottom w:val="single" w:sz="8" w:color="auto"/>
            </w:tcBorders>
            <w:shd w:val="clear" w:color="auto" w:fill="E5E5E5"/>
          </w:tcPr>
          <w:p>
            <w:pPr>
              <w:jc w:val="right"/>
              <w:ind w:right="95"/>
              <w:spacing w:after="0"/>
              <w:rPr>
                <w:sz w:val="20"/>
                <w:szCs w:val="20"/>
                <w:color w:val="auto"/>
              </w:rPr>
            </w:pPr>
            <w:r>
              <w:rPr>
                <w:rFonts w:ascii="Times New Roman" w:cs="Times New Roman" w:eastAsia="Times New Roman" w:hAnsi="Times New Roman"/>
                <w:sz w:val="18"/>
                <w:szCs w:val="18"/>
                <w:color w:val="auto"/>
              </w:rPr>
              <w:t>137.6</w:t>
            </w:r>
          </w:p>
        </w:tc>
      </w:tr>
      <w:tr>
        <w:trPr>
          <w:trHeight w:val="210"/>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837</w:t>
            </w:r>
          </w:p>
        </w:tc>
        <w:tc>
          <w:tcPr>
            <w:tcW w:w="780" w:type="dxa"/>
            <w:vAlign w:val="bottom"/>
          </w:tcPr>
          <w:p>
            <w:pPr>
              <w:spacing w:after="0"/>
              <w:rPr>
                <w:sz w:val="18"/>
                <w:szCs w:val="18"/>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438</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91.0</w:t>
            </w:r>
          </w:p>
        </w:tc>
      </w:tr>
      <w:tr>
        <w:trPr>
          <w:trHeight w:val="216"/>
        </w:trPr>
        <w:tc>
          <w:tcPr>
            <w:tcW w:w="20" w:type="dxa"/>
            <w:vAlign w:val="bottom"/>
          </w:tcPr>
          <w:p>
            <w:pPr>
              <w:spacing w:after="0"/>
              <w:rPr>
                <w:sz w:val="18"/>
                <w:szCs w:val="18"/>
                <w:color w:val="auto"/>
              </w:rPr>
            </w:pPr>
          </w:p>
        </w:tc>
        <w:tc>
          <w:tcPr>
            <w:tcW w:w="618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8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14"/>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tcBorders>
              <w:bottom w:val="single" w:sz="8" w:color="auto"/>
            </w:tcBorders>
            <w:shd w:val="clear" w:color="auto" w:fill="E5E5E5"/>
          </w:tcPr>
          <w:p>
            <w:pPr>
              <w:jc w:val="right"/>
              <w:ind w:right="95"/>
              <w:spacing w:after="0"/>
              <w:rPr>
                <w:sz w:val="20"/>
                <w:szCs w:val="20"/>
                <w:color w:val="auto"/>
              </w:rPr>
            </w:pPr>
            <w:r>
              <w:rPr>
                <w:rFonts w:ascii="Times New Roman" w:cs="Times New Roman" w:eastAsia="Times New Roman" w:hAnsi="Times New Roman"/>
                <w:sz w:val="18"/>
                <w:szCs w:val="18"/>
                <w:color w:val="auto"/>
              </w:rPr>
              <w:t>n/m</w:t>
            </w:r>
          </w:p>
        </w:tc>
      </w:tr>
      <w:tr>
        <w:trPr>
          <w:trHeight w:val="217"/>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837</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466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w:t>
            </w: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percentages are calculated based on actual amounts. Minor differences may exist due to rounding.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Revenues</w:t>
      </w:r>
    </w:p>
    <w:p>
      <w:pPr>
        <w:spacing w:after="0" w:line="7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Our Cable and Programming segments accounted for substantially all of the increases in consolidated revenues for the three months ended March 31, 2007 compared to the same period in 2006. Cable segment and Programming segment revenues are discussed separately below in “Segment Operating Results.” The remaining changes relate to our other business activities, primarily Comcast Spectacor.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Cable and Programming segments accounted for substantially all of the increases in consolidated operating, selling, general and administrative expenses for the three months ended March 31, 2007 compared to the same period in 2006. Cable segment and Programming segment operating, selling, general and administrative expenses are discussed separately below in “Segment Operating Results.” The remaining changes relate to our other business activities, primarily Comcast Spectacor whose expenses were negatively affected for the three months ended March 31, 2007 by player contract termination costs.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increase in depreciation expense for the three months ended March 31, 2007 compared to the same period in 2006 is primarily a result of the effects of capital expenditures and the depreciation associated with our newly acquired cable systems.</w:t>
      </w:r>
    </w:p>
    <w:p>
      <w:pPr>
        <w:spacing w:after="0" w:line="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increase in amortization expense for the three months ended March 31, 2007 compared to the same period in 2006 is primarily a result of the increase in the amortization expense of our franchise-related customer relationship intangible assets associated with our newly acquired cable systems and the increase in amortization expense related to software-related intangibles.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Certain adjustments have been made to the 2006 segment presentation to conform to our 2007 management reporting presentation. See Note 12 to our consolidated financial statements for further discussion of these adjustments.</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component of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12). You should not consider this measure a substitute for operating income (loss), net income (loss), net cash provided by operating activities, or other measures of performance or liquidity we have reported in accordance with GAAP.</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Operating Results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comparability of the results of operations of our Cable segment is impacted by the acquisition of the cable systems serving Houston, Texas in January 2007, the Adelphia and Time Warner transactions in July 2006 and the acquisition of the cable systems of Susquehanna Communications in April 2006. We collectively refer to the cable systems acquired in these transactions as the “newly acquired cable systems.” The newly acquired cable systems accounted for approximately $1.0 billion of increased revenue for the three months ended March 31, 2007.</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Cable segment operating results:</w:t>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80" w:type="dxa"/>
            <w:vAlign w:val="bottom"/>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5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4100" w:type="dxa"/>
            <w:vAlign w:val="bottom"/>
            <w:gridSpan w:val="2"/>
            <w:vMerge w:val="continue"/>
          </w:tcPr>
          <w:p>
            <w:pPr>
              <w:spacing w:after="0"/>
              <w:rPr>
                <w:sz w:val="12"/>
                <w:szCs w:val="12"/>
                <w:color w:val="auto"/>
              </w:rPr>
            </w:pPr>
          </w:p>
        </w:tc>
        <w:tc>
          <w:tcPr>
            <w:tcW w:w="1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400" w:type="dxa"/>
            <w:vAlign w:val="bottom"/>
          </w:tcPr>
          <w:p>
            <w:pPr>
              <w:spacing w:after="0"/>
              <w:rPr>
                <w:sz w:val="12"/>
                <w:szCs w:val="12"/>
                <w:color w:val="auto"/>
              </w:rPr>
            </w:pPr>
          </w:p>
        </w:tc>
        <w:tc>
          <w:tcPr>
            <w:tcW w:w="76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400" w:type="dxa"/>
            <w:vAlign w:val="bottom"/>
          </w:tcPr>
          <w:p>
            <w:pPr>
              <w:spacing w:after="0"/>
              <w:rPr>
                <w:sz w:val="12"/>
                <w:szCs w:val="12"/>
                <w:color w:val="auto"/>
              </w:rPr>
            </w:pPr>
          </w:p>
        </w:tc>
        <w:tc>
          <w:tcPr>
            <w:tcW w:w="780" w:type="dxa"/>
            <w:vAlign w:val="bottom"/>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Video</w:t>
            </w:r>
          </w:p>
        </w:tc>
        <w:tc>
          <w:tcPr>
            <w:tcW w:w="2220" w:type="dxa"/>
            <w:vAlign w:val="bottom"/>
            <w:tcBorders>
              <w:top w:val="single" w:sz="8" w:color="auto"/>
            </w:tcBorders>
            <w:gridSpan w:val="2"/>
            <w:shd w:val="clear" w:color="auto" w:fill="E5E5E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4,362</w:t>
            </w:r>
          </w:p>
        </w:tc>
        <w:tc>
          <w:tcPr>
            <w:tcW w:w="4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E5E5E5"/>
          </w:tcPr>
          <w:p>
            <w:pPr>
              <w:jc w:val="right"/>
              <w:ind w:right="194"/>
              <w:spacing w:after="0"/>
              <w:rPr>
                <w:sz w:val="20"/>
                <w:szCs w:val="20"/>
                <w:color w:val="auto"/>
              </w:rPr>
            </w:pPr>
            <w:r>
              <w:rPr>
                <w:rFonts w:ascii="Times New Roman" w:cs="Times New Roman" w:eastAsia="Times New Roman" w:hAnsi="Times New Roman"/>
                <w:sz w:val="18"/>
                <w:szCs w:val="18"/>
                <w:color w:val="auto"/>
              </w:rPr>
              <w:t>3,381</w:t>
            </w:r>
          </w:p>
        </w:tc>
        <w:tc>
          <w:tcPr>
            <w:tcW w:w="4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E5E5E5"/>
          </w:tcPr>
          <w:p>
            <w:pPr>
              <w:jc w:val="right"/>
              <w:ind w:right="236"/>
              <w:spacing w:after="0"/>
              <w:rPr>
                <w:sz w:val="20"/>
                <w:szCs w:val="20"/>
                <w:color w:val="auto"/>
              </w:rPr>
            </w:pPr>
            <w:r>
              <w:rPr>
                <w:rFonts w:ascii="Times New Roman" w:cs="Times New Roman" w:eastAsia="Times New Roman" w:hAnsi="Times New Roman"/>
                <w:sz w:val="18"/>
                <w:szCs w:val="18"/>
                <w:color w:val="auto"/>
              </w:rPr>
              <w:t>981</w:t>
            </w:r>
          </w:p>
        </w:tc>
        <w:tc>
          <w:tcPr>
            <w:tcW w:w="900" w:type="dxa"/>
            <w:vAlign w:val="bottom"/>
            <w:tcBorders>
              <w:top w:val="single" w:sz="8" w:color="auto"/>
            </w:tcBorders>
            <w:shd w:val="clear" w:color="auto" w:fill="E5E5E5"/>
          </w:tcPr>
          <w:p>
            <w:pPr>
              <w:ind w:left="40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High-speed Internet</w:t>
            </w: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1,527</w:t>
            </w:r>
          </w:p>
        </w:tc>
        <w:tc>
          <w:tcPr>
            <w:tcW w:w="40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1,061</w:t>
            </w:r>
          </w:p>
        </w:tc>
        <w:tc>
          <w:tcPr>
            <w:tcW w:w="400" w:type="dxa"/>
            <w:vAlign w:val="bottom"/>
          </w:tcPr>
          <w:p>
            <w:pPr>
              <w:spacing w:after="0"/>
              <w:rPr>
                <w:sz w:val="18"/>
                <w:szCs w:val="18"/>
                <w:color w:val="auto"/>
              </w:rPr>
            </w:pPr>
          </w:p>
        </w:tc>
        <w:tc>
          <w:tcPr>
            <w:tcW w:w="7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466</w:t>
            </w:r>
          </w:p>
        </w:tc>
        <w:tc>
          <w:tcPr>
            <w:tcW w:w="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Phone</w:t>
            </w:r>
          </w:p>
        </w:tc>
        <w:tc>
          <w:tcPr>
            <w:tcW w:w="15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353</w:t>
            </w:r>
          </w:p>
        </w:tc>
        <w:tc>
          <w:tcPr>
            <w:tcW w:w="4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Times New Roman" w:cs="Times New Roman" w:eastAsia="Times New Roman" w:hAnsi="Times New Roman"/>
                <w:sz w:val="18"/>
                <w:szCs w:val="18"/>
                <w:color w:val="auto"/>
              </w:rPr>
              <w:t>170</w:t>
            </w:r>
          </w:p>
        </w:tc>
        <w:tc>
          <w:tcPr>
            <w:tcW w:w="4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6"/>
              <w:spacing w:after="0"/>
              <w:rPr>
                <w:sz w:val="20"/>
                <w:szCs w:val="20"/>
                <w:color w:val="auto"/>
              </w:rPr>
            </w:pPr>
            <w:r>
              <w:rPr>
                <w:rFonts w:ascii="Times New Roman" w:cs="Times New Roman" w:eastAsia="Times New Roman" w:hAnsi="Times New Roman"/>
                <w:sz w:val="18"/>
                <w:szCs w:val="18"/>
                <w:color w:val="auto"/>
              </w:rPr>
              <w:t>183</w:t>
            </w:r>
          </w:p>
        </w:tc>
        <w:tc>
          <w:tcPr>
            <w:tcW w:w="900" w:type="dxa"/>
            <w:vAlign w:val="bottom"/>
            <w:shd w:val="clear" w:color="auto" w:fill="E5E5E5"/>
          </w:tcPr>
          <w:p>
            <w:pPr>
              <w:ind w:left="32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313</w:t>
            </w:r>
          </w:p>
        </w:tc>
        <w:tc>
          <w:tcPr>
            <w:tcW w:w="40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276</w:t>
            </w:r>
          </w:p>
        </w:tc>
        <w:tc>
          <w:tcPr>
            <w:tcW w:w="400" w:type="dxa"/>
            <w:vAlign w:val="bottom"/>
          </w:tcPr>
          <w:p>
            <w:pPr>
              <w:spacing w:after="0"/>
              <w:rPr>
                <w:sz w:val="18"/>
                <w:szCs w:val="18"/>
                <w:color w:val="auto"/>
              </w:rPr>
            </w:pPr>
          </w:p>
        </w:tc>
        <w:tc>
          <w:tcPr>
            <w:tcW w:w="7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242</w:t>
            </w:r>
          </w:p>
        </w:tc>
        <w:tc>
          <w:tcPr>
            <w:tcW w:w="4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Times New Roman" w:cs="Times New Roman" w:eastAsia="Times New Roman" w:hAnsi="Times New Roman"/>
                <w:sz w:val="18"/>
                <w:szCs w:val="18"/>
                <w:color w:val="auto"/>
              </w:rPr>
              <w:t>217</w:t>
            </w:r>
          </w:p>
        </w:tc>
        <w:tc>
          <w:tcPr>
            <w:tcW w:w="4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6"/>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shd w:val="clear" w:color="auto" w:fill="E5E5E5"/>
          </w:tcPr>
          <w:p>
            <w:pPr>
              <w:ind w:left="4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Franchise fees</w:t>
            </w:r>
          </w:p>
        </w:tc>
        <w:tc>
          <w:tcPr>
            <w:tcW w:w="15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rPr>
              <w:t>201</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164</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Revenues</w:t>
            </w:r>
          </w:p>
        </w:tc>
        <w:tc>
          <w:tcPr>
            <w:tcW w:w="15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6,998</w:t>
            </w:r>
          </w:p>
        </w:tc>
        <w:tc>
          <w:tcPr>
            <w:tcW w:w="4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Times New Roman" w:cs="Times New Roman" w:eastAsia="Times New Roman" w:hAnsi="Times New Roman"/>
                <w:sz w:val="18"/>
                <w:szCs w:val="18"/>
                <w:color w:val="auto"/>
              </w:rPr>
              <w:t>5,269</w:t>
            </w:r>
          </w:p>
        </w:tc>
        <w:tc>
          <w:tcPr>
            <w:tcW w:w="4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6"/>
              <w:spacing w:after="0"/>
              <w:rPr>
                <w:sz w:val="20"/>
                <w:szCs w:val="20"/>
                <w:color w:val="auto"/>
              </w:rPr>
            </w:pPr>
            <w:r>
              <w:rPr>
                <w:rFonts w:ascii="Times New Roman" w:cs="Times New Roman" w:eastAsia="Times New Roman" w:hAnsi="Times New Roman"/>
                <w:sz w:val="18"/>
                <w:szCs w:val="18"/>
                <w:color w:val="auto"/>
              </w:rPr>
              <w:t>1,729</w:t>
            </w:r>
          </w:p>
        </w:tc>
        <w:tc>
          <w:tcPr>
            <w:tcW w:w="900" w:type="dxa"/>
            <w:vAlign w:val="bottom"/>
            <w:shd w:val="clear" w:color="auto" w:fill="E5E5E5"/>
          </w:tcPr>
          <w:p>
            <w:pPr>
              <w:ind w:left="40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2,550</w:t>
            </w:r>
          </w:p>
        </w:tc>
        <w:tc>
          <w:tcPr>
            <w:tcW w:w="40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1,903</w:t>
            </w:r>
          </w:p>
        </w:tc>
        <w:tc>
          <w:tcPr>
            <w:tcW w:w="400" w:type="dxa"/>
            <w:vAlign w:val="bottom"/>
          </w:tcPr>
          <w:p>
            <w:pPr>
              <w:spacing w:after="0"/>
              <w:rPr>
                <w:sz w:val="18"/>
                <w:szCs w:val="18"/>
                <w:color w:val="auto"/>
              </w:rPr>
            </w:pPr>
          </w:p>
        </w:tc>
        <w:tc>
          <w:tcPr>
            <w:tcW w:w="7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647</w:t>
            </w:r>
          </w:p>
        </w:tc>
        <w:tc>
          <w:tcPr>
            <w:tcW w:w="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60" w:type="dxa"/>
            <w:vAlign w:val="bottom"/>
            <w:tcBorders>
              <w:bottom w:val="single" w:sz="8" w:color="E5E5E5"/>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1,655</w:t>
            </w:r>
          </w:p>
        </w:tc>
        <w:tc>
          <w:tcPr>
            <w:tcW w:w="4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4"/>
              <w:spacing w:after="0"/>
              <w:rPr>
                <w:sz w:val="20"/>
                <w:szCs w:val="20"/>
                <w:color w:val="auto"/>
              </w:rPr>
            </w:pPr>
            <w:r>
              <w:rPr>
                <w:rFonts w:ascii="Times New Roman" w:cs="Times New Roman" w:eastAsia="Times New Roman" w:hAnsi="Times New Roman"/>
                <w:sz w:val="18"/>
                <w:szCs w:val="18"/>
                <w:color w:val="auto"/>
              </w:rPr>
              <w:t>1,261</w:t>
            </w:r>
          </w:p>
        </w:tc>
        <w:tc>
          <w:tcPr>
            <w:tcW w:w="4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36"/>
              <w:spacing w:after="0"/>
              <w:rPr>
                <w:sz w:val="20"/>
                <w:szCs w:val="20"/>
                <w:color w:val="auto"/>
              </w:rPr>
            </w:pPr>
            <w:r>
              <w:rPr>
                <w:rFonts w:ascii="Times New Roman" w:cs="Times New Roman" w:eastAsia="Times New Roman" w:hAnsi="Times New Roman"/>
                <w:sz w:val="18"/>
                <w:szCs w:val="18"/>
                <w:color w:val="auto"/>
              </w:rPr>
              <w:t>394</w:t>
            </w:r>
          </w:p>
        </w:tc>
        <w:tc>
          <w:tcPr>
            <w:tcW w:w="900" w:type="dxa"/>
            <w:vAlign w:val="bottom"/>
            <w:tcBorders>
              <w:bottom w:val="single" w:sz="8" w:color="auto"/>
            </w:tcBorders>
            <w:shd w:val="clear" w:color="auto" w:fill="E5E5E5"/>
          </w:tcPr>
          <w:p>
            <w:pPr>
              <w:ind w:left="40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income before depreciation and</w:t>
            </w:r>
          </w:p>
        </w:tc>
        <w:tc>
          <w:tcPr>
            <w:tcW w:w="2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tcPr>
          <w:p>
            <w:pPr>
              <w:jc w:val="right"/>
              <w:ind w:right="197"/>
              <w:spacing w:after="0"/>
              <w:rPr>
                <w:sz w:val="20"/>
                <w:szCs w:val="20"/>
                <w:color w:val="auto"/>
              </w:rPr>
            </w:pPr>
            <w:r>
              <w:rPr>
                <w:rFonts w:ascii="Times New Roman" w:cs="Times New Roman" w:eastAsia="Times New Roman" w:hAnsi="Times New Roman"/>
                <w:sz w:val="18"/>
                <w:szCs w:val="18"/>
                <w:b w:val="1"/>
                <w:bCs w:val="1"/>
                <w:color w:val="auto"/>
              </w:rPr>
              <w:t>2,793</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2,105</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vMerge w:val="restart"/>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688</w:t>
            </w:r>
          </w:p>
        </w:tc>
        <w:tc>
          <w:tcPr>
            <w:tcW w:w="9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w w:val="96"/>
              </w:rPr>
              <w:t>32.7%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20" w:type="dxa"/>
            <w:vAlign w:val="bottom"/>
            <w:gridSpan w:val="2"/>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560" w:type="dxa"/>
            <w:vAlign w:val="bottom"/>
          </w:tcPr>
          <w:p>
            <w:pPr>
              <w:jc w:val="right"/>
              <w:ind w:right="332"/>
              <w:spacing w:after="0"/>
              <w:rPr>
                <w:sz w:val="20"/>
                <w:szCs w:val="20"/>
                <w:color w:val="auto"/>
              </w:rPr>
            </w:pPr>
            <w:r>
              <w:rPr>
                <w:rFonts w:ascii="Arial" w:cs="Arial" w:eastAsia="Arial" w:hAnsi="Arial"/>
                <w:sz w:val="18"/>
                <w:szCs w:val="18"/>
                <w:color w:val="auto"/>
              </w:rPr>
              <w:t>23</w:t>
            </w:r>
          </w:p>
        </w:tc>
        <w:tc>
          <w:tcPr>
            <w:tcW w:w="6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Revenues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u w:val="single" w:color="auto"/>
          <w:color w:val="auto"/>
        </w:rPr>
        <w:t>Video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Our video revenues continue to grow due to the rate increases and subscriber growth in our digital cable services, including the demand for advanced</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services such as DVR and HDTV. In the three months ended March 31, 2007 we added approximately 644,000 digital cable subscribers. Our newly acquired cable systems contributed approximately $685 million to our video revenue growth for the three months ended March 31, 2007. As of March 31, 2007, approximately 55% of our 24.2 million video subscribers subscribed to at least one of our digital cable services. In addition, our average monthly video revenue per video subscriber increased to $60.08.</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u w:val="single" w:color="auto"/>
          <w:color w:val="auto"/>
        </w:rPr>
        <w:t>High-Speed Internet</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The increase in high-speed Internet revenue for the three months ended March 31, 2007 compared to the same period in 2006 is</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reflective of an increase in subscribers and the addition of our newly acquired cable systems. In the three months ended March 31, 2007 we added approximately 563,000 subscribers. Our newly acquired systems contributed approximately $220 million to our high-speed Internet revenue growth for the three months ended March 31, 2007. Average monthly revenue per subscriber has remained relatively stable. We expect that the rate of subscriber and revenue growth may slow as the market continues to mature and competition increases.</w:t>
      </w:r>
    </w:p>
    <w:p>
      <w:pPr>
        <w:spacing w:after="0" w:line="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u w:val="single" w:color="auto"/>
          <w:color w:val="auto"/>
        </w:rPr>
        <w:t>Phone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We offer two phone services, Comcast Digital Voice, our IP-enabled phone service, and our circuit-switched local phone service. Revenues increased as</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a result of subscriber growth in our Comcast Digital Voice services, partially offset by the loss of circuit-switched subscribers. In the three months ended March 31, 2007 we added approximately 571,000 Comcast Digital Voice subscribers. Our newly acquired systems contributed approximately $26 million to our phone revenue growth for the three months ended March 31, 2007. We expect the number of phone subscribers will grow as we continue to expand Comcast Digital Voice to new markets in 2007. We expect the number of subscribers to our circuit-switched local phone service to continue to decrease as our marketing efforts are now focused on Comcast Digital Voice.</w:t>
      </w:r>
    </w:p>
    <w:p>
      <w:pPr>
        <w:spacing w:after="0" w:line="3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u w:val="single" w:color="auto"/>
          <w:color w:val="auto"/>
        </w:rPr>
        <w:t>Advertising</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The increase in advertising revenue for the three months ended March 31, 2007 compared to the same period in 2006 is primarily due to the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addition of our newly acquired cable systems. We expect continued growth in our advertising revenues.</w:t>
      </w:r>
    </w:p>
    <w:p>
      <w:pPr>
        <w:spacing w:after="0" w:line="1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u w:val="single" w:color="auto"/>
          <w:color w:val="auto"/>
        </w:rPr>
        <w:t>Other</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We also generate revenues from our regional sports and news networks, video installation services, commissions from third-party electronic retailing,</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and fees for other services, such as providing businesses with data connectivity and networked applications.</w:t>
      </w:r>
    </w:p>
    <w:p>
      <w:pPr>
        <w:spacing w:after="0" w:line="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u w:val="single" w:color="auto"/>
          <w:color w:val="auto"/>
        </w:rPr>
        <w:t>Franchise Fees</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The increase in franchise fees collected from our cable subscribers for the three months ended March 31, 2007 compared to the same period</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 2006 is primarily a result of the increase in our revenues upon which the fees apply.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Operating Expenses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increased primarily as a result of growth in subscribers to our cable services and the addition of our newly acquired cable systems. For the three months ended March 31, 2007, our newly acquired cable systems contributed approximately $400 million to our increases in operating expenses. The remaining increase was primarily a result of costs associated with the delivery of these services and additional personnel to handle service calls and provide customer support.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Selling, General and Administrative Expenses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primarily as a result of growth in the number of subscribers to our cable services and the addition of our newly acquired systems. For the three months ended March 31, 2007, our newly acquired cable systems contributed approximately $230 million to our increases in selling, general and administrative expenses. The remaining increases were primarily a result of additional employees needed to provide customer and other administrative services, as well as additional marketing costs associated with attracting new subscribers.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Operating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Programming segment operating results: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180" w:type="dxa"/>
            <w:vAlign w:val="bottom"/>
            <w:gridSpan w:val="3"/>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820" w:type="dxa"/>
            <w:vAlign w:val="bottom"/>
          </w:tcPr>
          <w:p>
            <w:pPr>
              <w:spacing w:after="0"/>
              <w:rPr>
                <w:sz w:val="12"/>
                <w:szCs w:val="12"/>
                <w:color w:val="auto"/>
              </w:rPr>
            </w:pPr>
          </w:p>
        </w:tc>
        <w:tc>
          <w:tcPr>
            <w:tcW w:w="860" w:type="dxa"/>
            <w:vAlign w:val="bottom"/>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560" w:type="dxa"/>
            <w:vAlign w:val="bottom"/>
          </w:tcPr>
          <w:p>
            <w:pPr>
              <w:spacing w:after="0"/>
              <w:rPr>
                <w:sz w:val="12"/>
                <w:szCs w:val="12"/>
                <w:color w:val="auto"/>
              </w:rPr>
            </w:pPr>
          </w:p>
        </w:tc>
        <w:tc>
          <w:tcPr>
            <w:tcW w:w="1420" w:type="dxa"/>
            <w:vAlign w:val="bottom"/>
          </w:tcPr>
          <w:p>
            <w:pPr>
              <w:jc w:val="right"/>
              <w:ind w:right="1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2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E5E5E5"/>
          </w:tcPr>
          <w:p>
            <w:pPr>
              <w:jc w:val="right"/>
              <w:ind w:right="297"/>
              <w:spacing w:after="0"/>
              <w:rPr>
                <w:sz w:val="20"/>
                <w:szCs w:val="20"/>
                <w:color w:val="auto"/>
              </w:rPr>
            </w:pPr>
            <w:r>
              <w:rPr>
                <w:rFonts w:ascii="Times New Roman" w:cs="Times New Roman" w:eastAsia="Times New Roman" w:hAnsi="Times New Roman"/>
                <w:sz w:val="18"/>
                <w:szCs w:val="18"/>
                <w:color w:val="auto"/>
              </w:rPr>
              <w:t>239</w:t>
            </w:r>
          </w:p>
        </w:tc>
        <w:tc>
          <w:tcPr>
            <w:tcW w:w="560" w:type="dxa"/>
            <w:vAlign w:val="bottom"/>
            <w:tcBorders>
              <w:top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E5E5E5"/>
          </w:tcPr>
          <w:p>
            <w:pPr>
              <w:jc w:val="right"/>
              <w:ind w:right="920"/>
              <w:spacing w:after="0"/>
              <w:rPr>
                <w:sz w:val="20"/>
                <w:szCs w:val="20"/>
                <w:color w:val="auto"/>
              </w:rPr>
            </w:pPr>
            <w:r>
              <w:rPr>
                <w:rFonts w:ascii="Times New Roman" w:cs="Times New Roman" w:eastAsia="Times New Roman" w:hAnsi="Times New Roman"/>
                <w:sz w:val="18"/>
                <w:szCs w:val="18"/>
                <w:color w:val="auto"/>
              </w:rPr>
              <w:t>63</w:t>
            </w:r>
          </w:p>
        </w:tc>
        <w:tc>
          <w:tcPr>
            <w:tcW w:w="620" w:type="dxa"/>
            <w:vAlign w:val="bottom"/>
            <w:tcBorders>
              <w:top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selling, general and administrative expenses</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8"/>
                <w:szCs w:val="18"/>
                <w:color w:val="auto"/>
              </w:rPr>
              <w:t>189</w:t>
            </w:r>
          </w:p>
        </w:tc>
        <w:tc>
          <w:tcPr>
            <w:tcW w:w="5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8"/>
                <w:szCs w:val="18"/>
                <w:color w:val="auto"/>
              </w:rPr>
              <w:t>48</w:t>
            </w: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 before depreciation and amortization</w:t>
            </w:r>
          </w:p>
        </w:tc>
        <w:tc>
          <w:tcPr>
            <w:tcW w:w="8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8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E5E5E5"/>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50</w:t>
            </w:r>
          </w:p>
        </w:tc>
        <w:tc>
          <w:tcPr>
            <w:tcW w:w="5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E5E5E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15</w:t>
            </w:r>
          </w:p>
        </w:tc>
        <w:tc>
          <w:tcPr>
            <w:tcW w:w="62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29.6%</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Programming Segment Revenues</w:t>
      </w:r>
    </w:p>
    <w:p>
      <w:pPr>
        <w:spacing w:after="0" w:line="68"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The increase in revenues for the three months ended March 31, 2007 compared to the same period in 2006 is primarily the result of increases in advertising and license fee revenues. For the three months ended March 31, 2007 and 2006, approximately 14% and 12%, respectively, of our Programming segment revenues were generated from our Cable segment. These amounts are eliminated in our consolidated financial statements but are included in the amounts presented above.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Programming Segment Operating, Selling, General and Administrative Expenses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increase in operating, selling, general and administrative expenses for the three months ended March 31, 2007 compared to the same period in 2006 is primarily as a result of an increase in the production of and programming rights costs for new and live-event programming for our cable networks, including The PGA TOUR on The Golf Channel.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Other Income (Expense) Items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4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780" w:type="dxa"/>
            <w:vAlign w:val="bottom"/>
          </w:tcPr>
          <w:p>
            <w:pPr>
              <w:spacing w:after="0"/>
              <w:rPr>
                <w:sz w:val="12"/>
                <w:szCs w:val="12"/>
                <w:color w:val="auto"/>
              </w:rPr>
            </w:pPr>
          </w:p>
        </w:tc>
        <w:tc>
          <w:tcPr>
            <w:tcW w:w="54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78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Equity in net (losses) income of affiliates, net</w:t>
            </w: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7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6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increase in interest expense for the three months ended March 31, 2007 compared to the same period in 2006 is primarily the result of an increase in our average debt outstanding.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 (Loss), Net</w:t>
      </w:r>
    </w:p>
    <w:p>
      <w:pPr>
        <w:spacing w:after="0" w:line="6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components of investment income (loss), net for the three months ended March 31, 2007 and 2006 are presented in a table in Note 5 to our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6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Other income for the three months ended March 31, 2007 consists principally of a pretax gain of approximately $500 million on the sale of our 50% interest in the Kansas City Asset Pool in connection with the TKCCP transaction.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Income tax expense for the three months ended March 31, 2007 reflects an income tax rate higher than the federal statutory rate primarily as a result of state income taxes and interest on uncertain tax positions. We expect our 2007 annual effective tax rate to be in the range of 40% to 45%. Income tax expense for the three months ended March 31, 2006 reflects an income tax rate lower than the federal statutory rate primarily due to the reduction of interest accrued on uncertain tax positions as a result of the favorable resolution of certain tax matters.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businesses generate significant cash flow from operating activities. The proceeds from monetizing our nonstrategic investments have also provided us with a significant source of cash flow. We believe that we will be able to meet our current and long-term liquidity and capital requirements, including fixed charges, through our cash flows from operating activities, existing cash, cash equivalents and investments; through available borrowings under our existing credit facilities; and through our ability to obtain future external financing. We anticipate continuing to use a substantial portion of our cash flow to fund our capital expenditures, invest in business opportunities and repurchase our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Net cash provided by operating activities was $2.0 billion for the three months ended March 31, 2007, as a result of our operating income before depreciation and amortization, the timing of interest and income tax payments, and changes in other operating assets and liabilities.</w:t>
      </w:r>
    </w:p>
    <w:p>
      <w:pPr>
        <w:spacing w:after="0" w:line="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three months ended March 31, 2007, the net change in our operating assets and liabilities was an increase of $106 million. The increase was the result of a decrease in our accounts receivable of $212 million, an increase in our accounts payable and accrued expenses related to trade creditors of $51 million, partially offset by a decrease in other operating assets and liabilities of $157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Net cash used in financing activities was $1.0 billion for the three months ended March 31, 2007 and consisted principally of our debt repayments of $704 million and repurchases of approximately 19 million shares of our Class A Special common stock for $500 million (recognized on a settlement date or cash basis). These cash outflows were partially offset by cash proceeds received from the issuance of shares primarily under our share-based compensation plans of $218 million.</w:t>
      </w:r>
    </w:p>
    <w:p>
      <w:pPr>
        <w:spacing w:after="0" w:line="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have in the past made and may from time to time in the future make optional repayments on our debt obligations depending on various factors, such as market conditions. These repayments may include repurchases of our outstanding public notes and debentures.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traditionally maintain significant availability under our lines of credit and commercial paper program to meet our short-term liquidity requirements. As of March 31, 2007, amounts available under these facilities totaled approximately $4.7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March 31, 2007, the maximum dollar value of shares that may be repurchased under our Board-authorized share repurchase program is approximately $2.5 billion. We expect such repurchases to continue from time to time in the open market or in private transactions, subject to market conditions.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Note 7 to our consolidated financial statements for further discussion of our financing activities.</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6"/>
          <w:szCs w:val="16"/>
          <w:color w:val="auto"/>
        </w:rPr>
        <w:t>Net cash used in investing activities was $1.2 billion for the three months ended March 31, 2007 and consisted principally of capital expenditures of $1.5 billion and cash paid for intangible assets of $118 million. These cash outflows were partially offset by proceeds received from the sale of investments of $392 million.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most significant recurring investing activity has been for capital expenditures, and we expect that this will continue in the future.</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that affect the reported amounts of assets, liabilities, revenues and expenses, and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4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a discussion of the accounting judgments and estimates that we have identified as critical in the preparation of our consolidated financial statements, please refer to our 2006 Form 10-K.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the information required under this item from what was disclosed in our 2006 Form 10-K.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Conclusions regarding disclosure controls and procedures</w:t>
      </w:r>
    </w:p>
    <w:p>
      <w:pPr>
        <w:spacing w:after="0" w:line="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Refer to Note 11 to our consolidated financial statements of this Quarterly Report on Form 10-Q for a discussion of recent developments related to our legal proceedings.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from the risk factors previously disclosed in Item 1A of our 2006 Form 10-K.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 summary of our repurchases during the three months ended March 31, 2007, under our Board-authorized share repurchase program, on a trade-date basis, is as follows: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Purchases of Equity Securities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360" w:type="dxa"/>
            <w:vAlign w:val="bottom"/>
          </w:tcPr>
          <w:p>
            <w:pPr>
              <w:spacing w:after="0"/>
              <w:rPr>
                <w:sz w:val="13"/>
                <w:szCs w:val="13"/>
                <w:color w:val="auto"/>
              </w:rPr>
            </w:pPr>
          </w:p>
        </w:tc>
        <w:tc>
          <w:tcPr>
            <w:tcW w:w="1180" w:type="dxa"/>
            <w:vAlign w:val="bottom"/>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40" w:type="dxa"/>
            <w:vAlign w:val="bottom"/>
          </w:tcPr>
          <w:p>
            <w:pPr>
              <w:jc w:val="center"/>
              <w:ind w:left="182"/>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Purchased as</w:t>
            </w:r>
          </w:p>
        </w:tc>
        <w:tc>
          <w:tcPr>
            <w:tcW w:w="360" w:type="dxa"/>
            <w:vAlign w:val="bottom"/>
          </w:tcPr>
          <w:p>
            <w:pPr>
              <w:spacing w:after="0"/>
              <w:rPr>
                <w:sz w:val="12"/>
                <w:szCs w:val="12"/>
                <w:color w:val="auto"/>
              </w:rPr>
            </w:pPr>
          </w:p>
        </w:tc>
        <w:tc>
          <w:tcPr>
            <w:tcW w:w="1180" w:type="dxa"/>
            <w:vAlign w:val="bottom"/>
          </w:tcPr>
          <w:p>
            <w:pPr>
              <w:jc w:val="center"/>
              <w:ind w:right="283"/>
              <w:spacing w:after="0" w:line="149" w:lineRule="exact"/>
              <w:rPr>
                <w:sz w:val="20"/>
                <w:szCs w:val="20"/>
                <w:color w:val="auto"/>
              </w:rPr>
            </w:pPr>
            <w:r>
              <w:rPr>
                <w:rFonts w:ascii="Times New Roman" w:cs="Times New Roman" w:eastAsia="Times New Roman" w:hAnsi="Times New Roman"/>
                <w:sz w:val="14"/>
                <w:szCs w:val="14"/>
                <w:b w:val="1"/>
                <w:bCs w:val="1"/>
                <w:color w:val="auto"/>
                <w:w w:val="96"/>
              </w:rPr>
              <w:t>Dollars</w:t>
            </w:r>
          </w:p>
        </w:tc>
        <w:tc>
          <w:tcPr>
            <w:tcW w:w="1660" w:type="dxa"/>
            <w:vAlign w:val="bottom"/>
            <w:gridSpan w:val="3"/>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Maximum Dollar Value</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40" w:type="dxa"/>
            <w:vAlign w:val="bottom"/>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Part of Publicly</w:t>
            </w:r>
          </w:p>
        </w:tc>
        <w:tc>
          <w:tcPr>
            <w:tcW w:w="360" w:type="dxa"/>
            <w:vAlign w:val="bottom"/>
          </w:tcPr>
          <w:p>
            <w:pPr>
              <w:spacing w:after="0"/>
              <w:rPr>
                <w:sz w:val="12"/>
                <w:szCs w:val="12"/>
                <w:color w:val="auto"/>
              </w:rPr>
            </w:pPr>
          </w:p>
        </w:tc>
        <w:tc>
          <w:tcPr>
            <w:tcW w:w="1180" w:type="dxa"/>
            <w:vAlign w:val="bottom"/>
          </w:tcPr>
          <w:p>
            <w:pPr>
              <w:jc w:val="center"/>
              <w:ind w:right="303"/>
              <w:spacing w:after="0" w:line="149" w:lineRule="exact"/>
              <w:rPr>
                <w:sz w:val="20"/>
                <w:szCs w:val="20"/>
                <w:color w:val="auto"/>
              </w:rPr>
            </w:pPr>
            <w:r>
              <w:rPr>
                <w:rFonts w:ascii="Times New Roman" w:cs="Times New Roman" w:eastAsia="Times New Roman" w:hAnsi="Times New Roman"/>
                <w:sz w:val="14"/>
                <w:szCs w:val="14"/>
                <w:b w:val="1"/>
                <w:bCs w:val="1"/>
                <w:color w:val="auto"/>
                <w:w w:val="95"/>
              </w:rPr>
              <w:t>Purchased</w:t>
            </w:r>
          </w:p>
        </w:tc>
        <w:tc>
          <w:tcPr>
            <w:tcW w:w="3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Shares that May</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40" w:type="dxa"/>
            <w:vAlign w:val="bottom"/>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Shares</w:t>
            </w:r>
          </w:p>
        </w:tc>
        <w:tc>
          <w:tcPr>
            <w:tcW w:w="13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Announced</w:t>
            </w:r>
          </w:p>
        </w:tc>
        <w:tc>
          <w:tcPr>
            <w:tcW w:w="360" w:type="dxa"/>
            <w:vAlign w:val="bottom"/>
          </w:tcPr>
          <w:p>
            <w:pPr>
              <w:spacing w:after="0"/>
              <w:rPr>
                <w:sz w:val="12"/>
                <w:szCs w:val="12"/>
                <w:color w:val="auto"/>
              </w:rPr>
            </w:pPr>
          </w:p>
        </w:tc>
        <w:tc>
          <w:tcPr>
            <w:tcW w:w="1180" w:type="dxa"/>
            <w:vAlign w:val="bottom"/>
          </w:tcPr>
          <w:p>
            <w:pPr>
              <w:jc w:val="center"/>
              <w:ind w:right="303"/>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w:t>
            </w:r>
          </w:p>
        </w:tc>
        <w:tc>
          <w:tcPr>
            <w:tcW w:w="3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Yet Be Purchased</w:t>
            </w:r>
          </w:p>
        </w:tc>
      </w:tr>
      <w:tr>
        <w:trPr>
          <w:trHeight w:val="165"/>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4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w w:val="95"/>
              </w:rPr>
              <w:t>Purchased</w:t>
            </w:r>
          </w:p>
        </w:tc>
        <w:tc>
          <w:tcPr>
            <w:tcW w:w="380" w:type="dxa"/>
            <w:vAlign w:val="bottom"/>
          </w:tcPr>
          <w:p>
            <w:pPr>
              <w:spacing w:after="0"/>
              <w:rPr>
                <w:sz w:val="14"/>
                <w:szCs w:val="14"/>
                <w:color w:val="auto"/>
              </w:rPr>
            </w:pPr>
          </w:p>
        </w:tc>
        <w:tc>
          <w:tcPr>
            <w:tcW w:w="10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Program</w:t>
            </w:r>
          </w:p>
        </w:tc>
        <w:tc>
          <w:tcPr>
            <w:tcW w:w="360" w:type="dxa"/>
            <w:vAlign w:val="bottom"/>
          </w:tcPr>
          <w:p>
            <w:pPr>
              <w:spacing w:after="0"/>
              <w:rPr>
                <w:sz w:val="14"/>
                <w:szCs w:val="14"/>
                <w:color w:val="auto"/>
              </w:rPr>
            </w:pPr>
          </w:p>
        </w:tc>
        <w:tc>
          <w:tcPr>
            <w:tcW w:w="1180" w:type="dxa"/>
            <w:vAlign w:val="bottom"/>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w w:val="94"/>
              </w:rPr>
              <w:t>the Program</w:t>
            </w:r>
          </w:p>
        </w:tc>
        <w:tc>
          <w:tcPr>
            <w:tcW w:w="38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Under the Program</w:t>
            </w:r>
          </w:p>
        </w:tc>
      </w:tr>
      <w:tr>
        <w:trPr>
          <w:trHeight w:val="210"/>
        </w:trPr>
        <w:tc>
          <w:tcPr>
            <w:tcW w:w="20" w:type="dxa"/>
            <w:vAlign w:val="bottom"/>
          </w:tcPr>
          <w:p>
            <w:pPr>
              <w:spacing w:after="0"/>
              <w:rPr>
                <w:sz w:val="18"/>
                <w:szCs w:val="18"/>
                <w:color w:val="auto"/>
              </w:rPr>
            </w:pPr>
          </w:p>
        </w:tc>
        <w:tc>
          <w:tcPr>
            <w:tcW w:w="344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January 1-31, 2007</w:t>
            </w:r>
          </w:p>
        </w:tc>
        <w:tc>
          <w:tcPr>
            <w:tcW w:w="1640" w:type="dxa"/>
            <w:vAlign w:val="bottom"/>
            <w:tcBorders>
              <w:top w:val="single" w:sz="8" w:color="auto"/>
            </w:tcBorders>
            <w:shd w:val="clear" w:color="auto" w:fill="E5E5E5"/>
          </w:tcPr>
          <w:p>
            <w:pPr>
              <w:jc w:val="right"/>
              <w:ind w:right="202"/>
              <w:spacing w:after="0"/>
              <w:rPr>
                <w:sz w:val="20"/>
                <w:szCs w:val="20"/>
                <w:color w:val="auto"/>
              </w:rPr>
            </w:pPr>
            <w:r>
              <w:rPr>
                <w:rFonts w:ascii="Times New Roman" w:cs="Times New Roman" w:eastAsia="Times New Roman" w:hAnsi="Times New Roman"/>
                <w:sz w:val="18"/>
                <w:szCs w:val="18"/>
                <w:color w:val="auto"/>
              </w:rPr>
              <w:t>1,228,150</w:t>
            </w:r>
          </w:p>
        </w:tc>
        <w:tc>
          <w:tcPr>
            <w:tcW w:w="380" w:type="dxa"/>
            <w:vAlign w:val="bottom"/>
            <w:tcBorders>
              <w:top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E5E5E5"/>
          </w:tcPr>
          <w:p>
            <w:pPr>
              <w:jc w:val="right"/>
              <w:ind w:right="196"/>
              <w:spacing w:after="0"/>
              <w:rPr>
                <w:sz w:val="20"/>
                <w:szCs w:val="20"/>
                <w:color w:val="auto"/>
              </w:rPr>
            </w:pPr>
            <w:r>
              <w:rPr>
                <w:rFonts w:ascii="Times New Roman" w:cs="Times New Roman" w:eastAsia="Times New Roman" w:hAnsi="Times New Roman"/>
                <w:sz w:val="18"/>
                <w:szCs w:val="18"/>
                <w:color w:val="auto"/>
              </w:rPr>
              <w:t>28.10</w:t>
            </w:r>
          </w:p>
        </w:tc>
        <w:tc>
          <w:tcPr>
            <w:tcW w:w="1760" w:type="dxa"/>
            <w:vAlign w:val="bottom"/>
            <w:tcBorders>
              <w:top w:val="single" w:sz="8" w:color="auto"/>
            </w:tcBorders>
            <w:shd w:val="clear" w:color="auto" w:fill="E5E5E5"/>
          </w:tcPr>
          <w:p>
            <w:pPr>
              <w:jc w:val="right"/>
              <w:ind w:right="223"/>
              <w:spacing w:after="0"/>
              <w:rPr>
                <w:sz w:val="20"/>
                <w:szCs w:val="20"/>
                <w:color w:val="auto"/>
              </w:rPr>
            </w:pPr>
            <w:r>
              <w:rPr>
                <w:rFonts w:ascii="Times New Roman" w:cs="Times New Roman" w:eastAsia="Times New Roman" w:hAnsi="Times New Roman"/>
                <w:sz w:val="18"/>
                <w:szCs w:val="18"/>
                <w:color w:val="auto"/>
              </w:rPr>
              <w:t>1,050,000</w:t>
            </w:r>
          </w:p>
        </w:tc>
        <w:tc>
          <w:tcPr>
            <w:tcW w:w="3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E5E5E5"/>
          </w:tcPr>
          <w:p>
            <w:pPr>
              <w:jc w:val="right"/>
              <w:ind w:right="223"/>
              <w:spacing w:after="0"/>
              <w:rPr>
                <w:sz w:val="20"/>
                <w:szCs w:val="20"/>
                <w:color w:val="auto"/>
              </w:rPr>
            </w:pPr>
            <w:r>
              <w:rPr>
                <w:rFonts w:ascii="Times New Roman" w:cs="Times New Roman" w:eastAsia="Times New Roman" w:hAnsi="Times New Roman"/>
                <w:sz w:val="18"/>
                <w:szCs w:val="18"/>
                <w:color w:val="auto"/>
              </w:rPr>
              <w:t>29,483,363</w:t>
            </w:r>
          </w:p>
        </w:tc>
        <w:tc>
          <w:tcPr>
            <w:tcW w:w="380" w:type="dxa"/>
            <w:vAlign w:val="bottom"/>
            <w:tcBorders>
              <w:top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2,978,976,465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February 1-28, 2007</w:t>
            </w:r>
          </w:p>
        </w:tc>
        <w:tc>
          <w:tcPr>
            <w:tcW w:w="164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5,277,493</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28.57</w:t>
            </w:r>
          </w:p>
        </w:tc>
        <w:tc>
          <w:tcPr>
            <w:tcW w:w="1760" w:type="dxa"/>
            <w:vAlign w:val="bottom"/>
          </w:tcPr>
          <w:p>
            <w:pPr>
              <w:jc w:val="right"/>
              <w:ind w:right="223"/>
              <w:spacing w:after="0"/>
              <w:rPr>
                <w:sz w:val="20"/>
                <w:szCs w:val="20"/>
                <w:color w:val="auto"/>
              </w:rPr>
            </w:pPr>
            <w:r>
              <w:rPr>
                <w:rFonts w:ascii="Times New Roman" w:cs="Times New Roman" w:eastAsia="Times New Roman" w:hAnsi="Times New Roman"/>
                <w:sz w:val="18"/>
                <w:szCs w:val="18"/>
                <w:color w:val="auto"/>
              </w:rPr>
              <w:t>5,250,096</w:t>
            </w:r>
          </w:p>
        </w:tc>
        <w:tc>
          <w:tcPr>
            <w:tcW w:w="360" w:type="dxa"/>
            <w:vAlign w:val="bottom"/>
          </w:tcPr>
          <w:p>
            <w:pPr>
              <w:spacing w:after="0"/>
              <w:rPr>
                <w:sz w:val="18"/>
                <w:szCs w:val="18"/>
                <w:color w:val="auto"/>
              </w:rPr>
            </w:pPr>
          </w:p>
        </w:tc>
        <w:tc>
          <w:tcPr>
            <w:tcW w:w="1180" w:type="dxa"/>
            <w:vAlign w:val="bottom"/>
          </w:tcPr>
          <w:p>
            <w:pPr>
              <w:jc w:val="right"/>
              <w:ind w:right="223"/>
              <w:spacing w:after="0"/>
              <w:rPr>
                <w:sz w:val="20"/>
                <w:szCs w:val="20"/>
                <w:color w:val="auto"/>
              </w:rPr>
            </w:pPr>
            <w:r>
              <w:rPr>
                <w:rFonts w:ascii="Times New Roman" w:cs="Times New Roman" w:eastAsia="Times New Roman" w:hAnsi="Times New Roman"/>
                <w:sz w:val="18"/>
                <w:szCs w:val="18"/>
                <w:color w:val="auto"/>
                <w:w w:val="95"/>
              </w:rPr>
              <w:t>150,000,000</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2,828,976,465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March 1-31, 2007</w:t>
            </w:r>
          </w:p>
        </w:tc>
        <w:tc>
          <w:tcPr>
            <w:tcW w:w="1640" w:type="dxa"/>
            <w:vAlign w:val="bottom"/>
            <w:tcBorders>
              <w:bottom w:val="single" w:sz="8" w:color="auto"/>
            </w:tcBorders>
            <w:shd w:val="clear" w:color="auto" w:fill="E5E5E5"/>
          </w:tcPr>
          <w:p>
            <w:pPr>
              <w:jc w:val="right"/>
              <w:ind w:right="202"/>
              <w:spacing w:after="0"/>
              <w:rPr>
                <w:sz w:val="20"/>
                <w:szCs w:val="20"/>
                <w:color w:val="auto"/>
              </w:rPr>
            </w:pPr>
            <w:r>
              <w:rPr>
                <w:rFonts w:ascii="Times New Roman" w:cs="Times New Roman" w:eastAsia="Times New Roman" w:hAnsi="Times New Roman"/>
                <w:sz w:val="18"/>
                <w:szCs w:val="18"/>
                <w:color w:val="auto"/>
              </w:rPr>
              <w:t>12,878,104</w:t>
            </w:r>
          </w:p>
        </w:tc>
        <w:tc>
          <w:tcPr>
            <w:tcW w:w="38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E5E5E5"/>
          </w:tcPr>
          <w:p>
            <w:pPr>
              <w:jc w:val="right"/>
              <w:ind w:right="196"/>
              <w:spacing w:after="0"/>
              <w:rPr>
                <w:sz w:val="20"/>
                <w:szCs w:val="20"/>
                <w:color w:val="auto"/>
              </w:rPr>
            </w:pPr>
            <w:r>
              <w:rPr>
                <w:rFonts w:ascii="Times New Roman" w:cs="Times New Roman" w:eastAsia="Times New Roman" w:hAnsi="Times New Roman"/>
                <w:sz w:val="18"/>
                <w:szCs w:val="18"/>
                <w:color w:val="auto"/>
              </w:rPr>
              <w:t>25.91</w:t>
            </w:r>
          </w:p>
        </w:tc>
        <w:tc>
          <w:tcPr>
            <w:tcW w:w="1760" w:type="dxa"/>
            <w:vAlign w:val="bottom"/>
            <w:tcBorders>
              <w:bottom w:val="single" w:sz="8" w:color="auto"/>
            </w:tcBorders>
            <w:shd w:val="clear" w:color="auto" w:fill="E5E5E5"/>
          </w:tcPr>
          <w:p>
            <w:pPr>
              <w:jc w:val="right"/>
              <w:ind w:right="223"/>
              <w:spacing w:after="0"/>
              <w:rPr>
                <w:sz w:val="20"/>
                <w:szCs w:val="20"/>
                <w:color w:val="auto"/>
              </w:rPr>
            </w:pPr>
            <w:r>
              <w:rPr>
                <w:rFonts w:ascii="Times New Roman" w:cs="Times New Roman" w:eastAsia="Times New Roman" w:hAnsi="Times New Roman"/>
                <w:sz w:val="18"/>
                <w:szCs w:val="18"/>
                <w:color w:val="auto"/>
              </w:rPr>
              <w:t>12,390,638</w:t>
            </w:r>
          </w:p>
        </w:tc>
        <w:tc>
          <w:tcPr>
            <w:tcW w:w="360" w:type="dxa"/>
            <w:vAlign w:val="bottom"/>
            <w:tcBorders>
              <w:bottom w:val="single" w:sz="8" w:color="auto"/>
            </w:tcBorders>
            <w:shd w:val="clear" w:color="auto" w:fill="E5E5E5"/>
          </w:tcPr>
          <w:p>
            <w:pPr>
              <w:spacing w:after="0"/>
              <w:rPr>
                <w:sz w:val="18"/>
                <w:szCs w:val="18"/>
                <w:color w:val="auto"/>
              </w:rPr>
            </w:pPr>
          </w:p>
        </w:tc>
        <w:tc>
          <w:tcPr>
            <w:tcW w:w="1180" w:type="dxa"/>
            <w:vAlign w:val="bottom"/>
            <w:tcBorders>
              <w:bottom w:val="single" w:sz="8" w:color="auto"/>
            </w:tcBorders>
            <w:shd w:val="clear" w:color="auto" w:fill="E5E5E5"/>
          </w:tcPr>
          <w:p>
            <w:pPr>
              <w:jc w:val="right"/>
              <w:ind w:right="223"/>
              <w:spacing w:after="0"/>
              <w:rPr>
                <w:sz w:val="20"/>
                <w:szCs w:val="20"/>
                <w:color w:val="auto"/>
              </w:rPr>
            </w:pPr>
            <w:r>
              <w:rPr>
                <w:rFonts w:ascii="Times New Roman" w:cs="Times New Roman" w:eastAsia="Times New Roman" w:hAnsi="Times New Roman"/>
                <w:sz w:val="18"/>
                <w:szCs w:val="18"/>
                <w:color w:val="auto"/>
                <w:w w:val="95"/>
              </w:rPr>
              <w:t>321,000,000</w:t>
            </w:r>
          </w:p>
        </w:tc>
        <w:tc>
          <w:tcPr>
            <w:tcW w:w="38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2,507,976,465</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19,383,747</w:t>
            </w:r>
          </w:p>
        </w:tc>
        <w:tc>
          <w:tcPr>
            <w:tcW w:w="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26.77</w:t>
            </w:r>
          </w:p>
        </w:tc>
        <w:tc>
          <w:tcPr>
            <w:tcW w:w="17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8"/>
                <w:szCs w:val="18"/>
                <w:b w:val="1"/>
                <w:bCs w:val="1"/>
                <w:color w:val="auto"/>
              </w:rPr>
              <w:t>18,690,734</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8"/>
                <w:szCs w:val="18"/>
                <w:b w:val="1"/>
                <w:bCs w:val="1"/>
                <w:color w:val="auto"/>
                <w:w w:val="95"/>
              </w:rPr>
              <w:t>500,483,363</w:t>
            </w:r>
          </w:p>
        </w:tc>
        <w:tc>
          <w:tcPr>
            <w:tcW w:w="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2,507,976,465</w:t>
            </w:r>
          </w:p>
        </w:tc>
        <w:tc>
          <w:tcPr>
            <w:tcW w:w="20" w:type="dxa"/>
            <w:vAlign w:val="bottom"/>
            <w:tcBorders>
              <w:bottom w:val="single" w:sz="8" w:color="auto"/>
            </w:tcBorders>
          </w:tcPr>
          <w:p>
            <w:pPr>
              <w:spacing w:after="0"/>
              <w:rPr>
                <w:sz w:val="18"/>
                <w:szCs w:val="18"/>
                <w:color w:val="auto"/>
              </w:rPr>
            </w:pP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number of shares purchased includes 693,013 shares received in the administration of employee share-based compensation plans.</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 required to be filed by Item 601 of Regulation S-K:</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 *</w:t>
            </w:r>
          </w:p>
        </w:tc>
        <w:tc>
          <w:tcPr>
            <w:tcW w:w="24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Comcast Corporation 2002</w:t>
            </w:r>
          </w:p>
        </w:tc>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Plan, as amended and restated effective February 28, 2007.</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 *</w:t>
            </w:r>
          </w:p>
        </w:tc>
        <w:tc>
          <w:tcPr>
            <w:tcW w:w="24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Comcast Corporation 2003</w:t>
            </w:r>
          </w:p>
        </w:tc>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Plan, as amended and restated effective February 28, 2007.</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 *</w:t>
            </w:r>
          </w:p>
        </w:tc>
        <w:tc>
          <w:tcPr>
            <w:tcW w:w="24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Comcast Corporation 2002</w:t>
            </w:r>
          </w:p>
        </w:tc>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Plan, as amended and restated effective February 28, 2007.</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 *</w:t>
            </w:r>
          </w:p>
        </w:tc>
        <w:tc>
          <w:tcPr>
            <w:tcW w:w="24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Comcast Corporation 2006</w:t>
            </w:r>
          </w:p>
        </w:tc>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Bonus Plan, as amended and restated effective February 28, 2007.</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7"/>
              </w:rPr>
              <w:t>Certifications of Chief Executive Officer and Co-Chief Financial Officers pursuant to Section 302 of the Sarbanes-Oxley Act of 2002.</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7"/>
              </w:rPr>
              <w:t>Certifications of Chief Executive Officer and Co-Chief Financial Officers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Constitutes a management contract or compensatory plan or arrangement.</w:t>
      </w:r>
    </w:p>
    <w:p>
      <w:pPr>
        <w:spacing w:after="0" w:line="15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240" w:top="455" w:right="7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 AND SUBSIDIARIES — FORM 10-Q</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QUARTER ENDED MARCH 31, 2007</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LAWRENCE J. SALVA</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2007</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5" w:right="239" w:bottom="1440" w:gutter="0" w:footer="0" w:header="0"/>
        </w:sectPr>
      </w:pPr>
    </w:p>
    <w:bookmarkStart w:id="31" w:name="page32"/>
    <w:bookmarkEnd w:id="31"/>
    <w:p>
      <w:pPr>
        <w:jc w:val="center"/>
        <w:ind w:right="274"/>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72" w:lineRule="exact"/>
        <w:rPr>
          <w:sz w:val="20"/>
          <w:szCs w:val="20"/>
          <w:color w:val="auto"/>
        </w:rPr>
      </w:pPr>
    </w:p>
    <w:p>
      <w:pPr>
        <w:jc w:val="center"/>
        <w:ind w:right="274"/>
        <w:spacing w:after="0"/>
        <w:rPr>
          <w:sz w:val="20"/>
          <w:szCs w:val="20"/>
          <w:color w:val="auto"/>
        </w:rPr>
      </w:pPr>
      <w:r>
        <w:rPr>
          <w:rFonts w:ascii="Times New Roman" w:cs="Times New Roman" w:eastAsia="Times New Roman" w:hAnsi="Times New Roman"/>
          <w:sz w:val="22"/>
          <w:szCs w:val="22"/>
          <w:b w:val="1"/>
          <w:bCs w:val="1"/>
          <w:color w:val="auto"/>
        </w:rPr>
        <w:t>2002 STOCK OPTION PLAN</w:t>
      </w:r>
    </w:p>
    <w:p>
      <w:pPr>
        <w:spacing w:after="0" w:line="71" w:lineRule="exact"/>
        <w:rPr>
          <w:sz w:val="20"/>
          <w:szCs w:val="20"/>
          <w:color w:val="auto"/>
        </w:rPr>
      </w:pPr>
    </w:p>
    <w:p>
      <w:pPr>
        <w:jc w:val="center"/>
        <w:ind w:right="274"/>
        <w:spacing w:after="0"/>
        <w:rPr>
          <w:sz w:val="20"/>
          <w:szCs w:val="20"/>
          <w:color w:val="auto"/>
        </w:rPr>
      </w:pPr>
      <w:r>
        <w:rPr>
          <w:rFonts w:ascii="Times New Roman" w:cs="Times New Roman" w:eastAsia="Times New Roman" w:hAnsi="Times New Roman"/>
          <w:sz w:val="22"/>
          <w:szCs w:val="22"/>
          <w:b w:val="1"/>
          <w:bCs w:val="1"/>
          <w:color w:val="auto"/>
        </w:rPr>
        <w:t>(AS AMENDED AND RESTATED EFFECTIVE FEBRUARY 28, 2007)</w:t>
      </w:r>
    </w:p>
    <w:p>
      <w:pPr>
        <w:spacing w:after="0" w:line="208" w:lineRule="exact"/>
        <w:rPr>
          <w:sz w:val="20"/>
          <w:szCs w:val="20"/>
          <w:color w:val="auto"/>
        </w:rPr>
      </w:pPr>
    </w:p>
    <w:p>
      <w:pPr>
        <w:ind w:left="446" w:hanging="446"/>
        <w:spacing w:after="0"/>
        <w:tabs>
          <w:tab w:leader="none" w:pos="44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and Purpose of Plan</w:t>
      </w:r>
    </w:p>
    <w:p>
      <w:pPr>
        <w:spacing w:after="0" w:line="92" w:lineRule="exact"/>
        <w:rPr>
          <w:rFonts w:ascii="Times New Roman" w:cs="Times New Roman" w:eastAsia="Times New Roman" w:hAnsi="Times New Roman"/>
          <w:sz w:val="18"/>
          <w:szCs w:val="18"/>
          <w:b w:val="1"/>
          <w:bCs w:val="1"/>
          <w:color w:val="auto"/>
        </w:rPr>
      </w:pPr>
    </w:p>
    <w:p>
      <w:pPr>
        <w:ind w:left="1026" w:right="60" w:hanging="567"/>
        <w:spacing w:after="0" w:line="275" w:lineRule="auto"/>
        <w:tabs>
          <w:tab w:leader="none" w:pos="102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Background</w:t>
      </w:r>
      <w:r>
        <w:rPr>
          <w:rFonts w:ascii="Times New Roman" w:cs="Times New Roman" w:eastAsia="Times New Roman" w:hAnsi="Times New Roman"/>
          <w:sz w:val="18"/>
          <w:szCs w:val="18"/>
          <w:color w:val="auto"/>
        </w:rPr>
        <w:t>. COMCAST CORPORATION, a Pennsylvania corporation, hereby amends and restates the Comcast Corporation 2002 Stock Option Plan (the “Plan”), effective February 28, 2007.</w:t>
      </w:r>
    </w:p>
    <w:p>
      <w:pPr>
        <w:spacing w:after="0" w:line="38" w:lineRule="exact"/>
        <w:rPr>
          <w:rFonts w:ascii="Times New Roman" w:cs="Times New Roman" w:eastAsia="Times New Roman" w:hAnsi="Times New Roman"/>
          <w:sz w:val="18"/>
          <w:szCs w:val="18"/>
          <w:color w:val="auto"/>
        </w:rPr>
      </w:pPr>
    </w:p>
    <w:p>
      <w:pPr>
        <w:ind w:left="1026" w:right="40" w:hanging="567"/>
        <w:spacing w:after="0" w:line="262" w:lineRule="auto"/>
        <w:tabs>
          <w:tab w:leader="none" w:pos="102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170"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92" w:lineRule="exact"/>
        <w:rPr>
          <w:rFonts w:ascii="Times New Roman" w:cs="Times New Roman" w:eastAsia="Times New Roman" w:hAnsi="Times New Roman"/>
          <w:sz w:val="18"/>
          <w:szCs w:val="18"/>
          <w:b w:val="1"/>
          <w:bCs w:val="1"/>
          <w:color w:val="auto"/>
        </w:rPr>
      </w:pPr>
    </w:p>
    <w:p>
      <w:pPr>
        <w:ind w:left="1026" w:right="140" w:hanging="567"/>
        <w:spacing w:after="0" w:line="301" w:lineRule="auto"/>
        <w:tabs>
          <w:tab w:leader="none" w:pos="1026"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2" w:lineRule="exact"/>
        <w:rPr>
          <w:rFonts w:ascii="Times New Roman" w:cs="Times New Roman" w:eastAsia="Times New Roman" w:hAnsi="Times New Roman"/>
          <w:sz w:val="16"/>
          <w:szCs w:val="16"/>
          <w:color w:val="auto"/>
        </w:rPr>
      </w:pPr>
    </w:p>
    <w:p>
      <w:pPr>
        <w:ind w:left="1026" w:right="500" w:hanging="567"/>
        <w:spacing w:after="0" w:line="275" w:lineRule="auto"/>
        <w:tabs>
          <w:tab w:leader="none" w:pos="102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AT&amp;T Broadband Transaction</w:t>
      </w:r>
      <w:r>
        <w:rPr>
          <w:rFonts w:ascii="Times New Roman" w:cs="Times New Roman" w:eastAsia="Times New Roman" w:hAnsi="Times New Roman"/>
          <w:sz w:val="18"/>
          <w:szCs w:val="18"/>
          <w:color w:val="auto"/>
        </w:rPr>
        <w:t>” means the acquisition of AT&amp;T Broadband Corp. (now known as Comcast Cable Communications Holdings, Inc.) by the Sponsor.</w:t>
      </w:r>
    </w:p>
    <w:p>
      <w:pPr>
        <w:spacing w:after="0" w:line="38"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Sponsor.</w:t>
      </w:r>
    </w:p>
    <w:p>
      <w:pPr>
        <w:spacing w:after="0" w:line="90"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Right</w:t>
      </w:r>
      <w:r>
        <w:rPr>
          <w:rFonts w:ascii="Times New Roman" w:cs="Times New Roman" w:eastAsia="Times New Roman" w:hAnsi="Times New Roman"/>
          <w:sz w:val="18"/>
          <w:szCs w:val="18"/>
          <w:color w:val="auto"/>
        </w:rPr>
        <w:t>” means any right to receive cash in lieu of Shares granted under the Plan and described in Paragraph 3(a)(iii).</w:t>
      </w:r>
    </w:p>
    <w:p>
      <w:pPr>
        <w:spacing w:after="0" w:line="90" w:lineRule="exact"/>
        <w:rPr>
          <w:rFonts w:ascii="Times New Roman" w:cs="Times New Roman" w:eastAsia="Times New Roman" w:hAnsi="Times New Roman"/>
          <w:sz w:val="18"/>
          <w:szCs w:val="18"/>
          <w:color w:val="auto"/>
        </w:rPr>
      </w:pPr>
    </w:p>
    <w:p>
      <w:pPr>
        <w:ind w:left="1026" w:hanging="567"/>
        <w:spacing w:after="0" w:line="256" w:lineRule="auto"/>
        <w:tabs>
          <w:tab w:leader="none" w:pos="102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(i) fraud; (ii) misappropriation; (iii) embezzlement; (iv) gross negligence in the performance of duties; (v) 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as to items (ix), (x) and (xi), if capable of being cured, such event or condition remains uncured following 30 days written notice thereof.</w:t>
      </w:r>
    </w:p>
    <w:p>
      <w:pPr>
        <w:spacing w:after="0" w:line="57" w:lineRule="exact"/>
        <w:rPr>
          <w:rFonts w:ascii="Times New Roman" w:cs="Times New Roman" w:eastAsia="Times New Roman" w:hAnsi="Times New Roman"/>
          <w:sz w:val="18"/>
          <w:szCs w:val="18"/>
          <w:color w:val="auto"/>
        </w:rPr>
      </w:pPr>
    </w:p>
    <w:p>
      <w:pPr>
        <w:ind w:left="1026" w:right="220" w:hanging="567"/>
        <w:spacing w:after="0" w:line="275" w:lineRule="auto"/>
        <w:tabs>
          <w:tab w:leader="none" w:pos="102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any transaction or series of transactions as a result of which any Person who was a Third Party immediately before such</w:t>
      </w:r>
    </w:p>
    <w:p>
      <w:pPr>
        <w:sectPr>
          <w:pgSz w:w="11900" w:h="16838" w:orient="portrait"/>
          <w:cols w:equalWidth="0" w:num="1">
            <w:col w:w="10806"/>
          </w:cols>
          <w:pgMar w:left="694" w:top="108" w:right="399" w:bottom="1440" w:gutter="0" w:footer="0" w:header="0"/>
        </w:sectPr>
      </w:pPr>
    </w:p>
    <w:bookmarkStart w:id="32" w:name="page33"/>
    <w:bookmarkEnd w:id="32"/>
    <w:p>
      <w:pPr>
        <w:ind w:left="587" w:right="420"/>
        <w:spacing w:after="0" w:line="31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16" w:lineRule="exact"/>
        <w:rPr>
          <w:sz w:val="20"/>
          <w:szCs w:val="20"/>
          <w:color w:val="auto"/>
        </w:rPr>
      </w:pPr>
    </w:p>
    <w:p>
      <w:pPr>
        <w:ind w:left="567" w:hanging="567"/>
        <w:spacing w:after="0"/>
        <w:tabs>
          <w:tab w:leader="none" w:pos="5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90" w:lineRule="exact"/>
        <w:rPr>
          <w:rFonts w:ascii="Times New Roman" w:cs="Times New Roman" w:eastAsia="Times New Roman" w:hAnsi="Times New Roman"/>
          <w:sz w:val="18"/>
          <w:szCs w:val="18"/>
          <w:color w:val="auto"/>
        </w:rPr>
      </w:pPr>
    </w:p>
    <w:p>
      <w:pPr>
        <w:ind w:left="567" w:right="40" w:hanging="567"/>
        <w:spacing w:after="0" w:line="258" w:lineRule="auto"/>
        <w:tabs>
          <w:tab w:leader="none" w:pos="5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Comcast Plan</w:t>
      </w:r>
      <w:r>
        <w:rPr>
          <w:rFonts w:ascii="Times New Roman" w:cs="Times New Roman" w:eastAsia="Times New Roman" w:hAnsi="Times New Roman"/>
          <w:sz w:val="18"/>
          <w:szCs w:val="18"/>
          <w:color w:val="auto"/>
        </w:rPr>
        <w:t>” means any restricted stock, stock bonus, stock option or other compensation plan, program or arrangement established or maintained by the Sponsor or an Affiliate of the Sponsor, including, but not limited to this Plan, the Comcast Corporation 2003 Stock Option Plan, the Comcast Corporation 2002 Restricted Stock Plan, the Comcast Corporation 1987 Stock Option Plan and the AT&amp;T Broadband Corp. Adjustment Plan.</w:t>
      </w:r>
    </w:p>
    <w:p>
      <w:pPr>
        <w:spacing w:after="0" w:line="55"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committee described in Paragraph 5, provided that for purposes of Paragraph 7:</w:t>
      </w:r>
    </w:p>
    <w:p>
      <w:pPr>
        <w:spacing w:after="0" w:line="90" w:lineRule="exact"/>
        <w:rPr>
          <w:rFonts w:ascii="Times New Roman" w:cs="Times New Roman" w:eastAsia="Times New Roman" w:hAnsi="Times New Roman"/>
          <w:sz w:val="18"/>
          <w:szCs w:val="18"/>
          <w:color w:val="auto"/>
        </w:rPr>
      </w:pPr>
    </w:p>
    <w:p>
      <w:pPr>
        <w:ind w:left="1007" w:right="380" w:hanging="440"/>
        <w:spacing w:after="0" w:line="275" w:lineRule="auto"/>
        <w:tabs>
          <w:tab w:leader="none" w:pos="100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the Committee shall be treated as references to the Board with respect to any Option granted to or held by a Non-Employee Director; and</w:t>
      </w:r>
    </w:p>
    <w:p>
      <w:pPr>
        <w:spacing w:after="0" w:line="38" w:lineRule="exact"/>
        <w:rPr>
          <w:rFonts w:ascii="Times New Roman" w:cs="Times New Roman" w:eastAsia="Times New Roman" w:hAnsi="Times New Roman"/>
          <w:sz w:val="18"/>
          <w:szCs w:val="18"/>
          <w:color w:val="auto"/>
        </w:rPr>
      </w:pPr>
    </w:p>
    <w:p>
      <w:pPr>
        <w:ind w:left="1007" w:right="260" w:hanging="440"/>
        <w:spacing w:after="0" w:line="275" w:lineRule="auto"/>
        <w:tabs>
          <w:tab w:leader="none" w:pos="100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the Committee shall be treated as references to the Committee’s delegate with respect to any Option granted within the scope of the delegate’s authority pursuant to Paragraph 5(b).</w:t>
      </w:r>
    </w:p>
    <w:p>
      <w:pPr>
        <w:spacing w:after="0" w:line="38"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Sponsor’s Class A Common Stock, par value, $.01.</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the Sponsor and the Subsidiary Companies.</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means the date as of which an Option is granted.</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disability within the meaning of section 22(e)(3) of the Code.</w:t>
      </w:r>
    </w:p>
    <w:p>
      <w:pPr>
        <w:spacing w:after="0" w:line="90" w:lineRule="exact"/>
        <w:rPr>
          <w:rFonts w:ascii="Times New Roman" w:cs="Times New Roman" w:eastAsia="Times New Roman" w:hAnsi="Times New Roman"/>
          <w:sz w:val="18"/>
          <w:szCs w:val="18"/>
          <w:color w:val="auto"/>
        </w:rPr>
      </w:pPr>
    </w:p>
    <w:p>
      <w:pPr>
        <w:ind w:left="567" w:hanging="567"/>
        <w:spacing w:after="0" w:line="255" w:lineRule="auto"/>
        <w:tabs>
          <w:tab w:leader="none" w:pos="5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58" w:lineRule="exact"/>
        <w:rPr>
          <w:rFonts w:ascii="Times New Roman" w:cs="Times New Roman" w:eastAsia="Times New Roman" w:hAnsi="Times New Roman"/>
          <w:sz w:val="18"/>
          <w:szCs w:val="18"/>
          <w:color w:val="auto"/>
        </w:rPr>
      </w:pPr>
    </w:p>
    <w:p>
      <w:pPr>
        <w:ind w:left="567" w:right="40" w:hanging="567"/>
        <w:spacing w:after="0" w:line="275" w:lineRule="auto"/>
        <w:tabs>
          <w:tab w:leader="none" w:pos="5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w:t>
      </w:r>
      <w:r>
        <w:rPr>
          <w:rFonts w:ascii="Times New Roman" w:cs="Times New Roman" w:eastAsia="Times New Roman" w:hAnsi="Times New Roman"/>
          <w:sz w:val="18"/>
          <w:szCs w:val="18"/>
          <w:color w:val="auto"/>
        </w:rPr>
        <w:t>” means an Optionee’s spouse and lineal descendants, any trust all beneficiaries of which are any of such persons and any partnership all partners of which are any of such persons.</w:t>
      </w:r>
    </w:p>
    <w:p>
      <w:pPr>
        <w:spacing w:after="0" w:line="106" w:lineRule="exact"/>
        <w:rPr>
          <w:sz w:val="20"/>
          <w:szCs w:val="20"/>
          <w:color w:val="auto"/>
        </w:rPr>
      </w:pPr>
    </w:p>
    <w:p>
      <w:pPr>
        <w:ind w:left="4707"/>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07"/>
          </w:cols>
          <w:pgMar w:left="1153" w:top="274" w:right="239" w:bottom="1440" w:gutter="0" w:footer="0" w:header="0"/>
        </w:sectPr>
      </w:pPr>
    </w:p>
    <w:bookmarkStart w:id="33" w:name="page34"/>
    <w:bookmarkEnd w:id="33"/>
    <w:p>
      <w:pPr>
        <w:ind w:left="567" w:right="20" w:hanging="567"/>
        <w:spacing w:after="0" w:line="256" w:lineRule="auto"/>
        <w:tabs>
          <w:tab w:leader="none" w:pos="5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57" w:lineRule="exact"/>
        <w:rPr>
          <w:rFonts w:ascii="Times New Roman" w:cs="Times New Roman" w:eastAsia="Times New Roman" w:hAnsi="Times New Roman"/>
          <w:sz w:val="18"/>
          <w:szCs w:val="18"/>
          <w:color w:val="auto"/>
        </w:rPr>
      </w:pPr>
    </w:p>
    <w:p>
      <w:pPr>
        <w:ind w:left="567" w:right="420" w:hanging="567"/>
        <w:spacing w:after="0" w:line="334" w:lineRule="auto"/>
        <w:tabs>
          <w:tab w:leader="none" w:pos="56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Non-Employee Director</w:t>
      </w:r>
      <w:r>
        <w:rPr>
          <w:rFonts w:ascii="Times New Roman" w:cs="Times New Roman" w:eastAsia="Times New Roman" w:hAnsi="Times New Roman"/>
          <w:sz w:val="16"/>
          <w:szCs w:val="16"/>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1" w:lineRule="exact"/>
        <w:rPr>
          <w:rFonts w:ascii="Times New Roman" w:cs="Times New Roman" w:eastAsia="Times New Roman" w:hAnsi="Times New Roman"/>
          <w:sz w:val="16"/>
          <w:szCs w:val="16"/>
          <w:color w:val="auto"/>
        </w:rPr>
      </w:pPr>
    </w:p>
    <w:p>
      <w:pPr>
        <w:ind w:left="567" w:hanging="567"/>
        <w:spacing w:after="0"/>
        <w:tabs>
          <w:tab w:leader="none" w:pos="5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Option</w:t>
      </w:r>
      <w:r>
        <w:rPr>
          <w:rFonts w:ascii="Times New Roman" w:cs="Times New Roman" w:eastAsia="Times New Roman" w:hAnsi="Times New Roman"/>
          <w:sz w:val="18"/>
          <w:szCs w:val="18"/>
          <w:color w:val="auto"/>
        </w:rPr>
        <w:t>” means:</w:t>
      </w:r>
    </w:p>
    <w:p>
      <w:pPr>
        <w:spacing w:after="0" w:line="90" w:lineRule="exact"/>
        <w:rPr>
          <w:rFonts w:ascii="Times New Roman" w:cs="Times New Roman" w:eastAsia="Times New Roman" w:hAnsi="Times New Roman"/>
          <w:sz w:val="18"/>
          <w:szCs w:val="18"/>
          <w:color w:val="auto"/>
        </w:rPr>
      </w:pPr>
    </w:p>
    <w:p>
      <w:pPr>
        <w:ind w:left="1007" w:right="20" w:hanging="440"/>
        <w:spacing w:after="0" w:line="275" w:lineRule="auto"/>
        <w:tabs>
          <w:tab w:leader="none" w:pos="10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granted under the Plan, designated by the Committee at the time of such grant as a Non-Qualified Option and containing the terms specified herein for Non-Qualified Options; and</w:t>
      </w:r>
    </w:p>
    <w:p>
      <w:pPr>
        <w:spacing w:after="0" w:line="38" w:lineRule="exact"/>
        <w:rPr>
          <w:rFonts w:ascii="Times New Roman" w:cs="Times New Roman" w:eastAsia="Times New Roman" w:hAnsi="Times New Roman"/>
          <w:sz w:val="18"/>
          <w:szCs w:val="18"/>
          <w:color w:val="auto"/>
        </w:rPr>
      </w:pPr>
    </w:p>
    <w:p>
      <w:pPr>
        <w:ind w:left="1007" w:hanging="440"/>
        <w:spacing w:after="0" w:line="275" w:lineRule="auto"/>
        <w:tabs>
          <w:tab w:leader="none" w:pos="10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38"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 officer of the Sponsor (as defined in section 16 of the 1934 Act).</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any stock option granted under the Plan and described in Paragraph 3(a)(i) or Paragraph 3(a)(ii).</w:t>
      </w:r>
    </w:p>
    <w:p>
      <w:pPr>
        <w:spacing w:after="0" w:line="90" w:lineRule="exact"/>
        <w:rPr>
          <w:rFonts w:ascii="Times New Roman" w:cs="Times New Roman" w:eastAsia="Times New Roman" w:hAnsi="Times New Roman"/>
          <w:sz w:val="18"/>
          <w:szCs w:val="18"/>
          <w:color w:val="auto"/>
        </w:rPr>
      </w:pPr>
    </w:p>
    <w:p>
      <w:pPr>
        <w:ind w:left="567" w:right="340" w:hanging="567"/>
        <w:spacing w:after="0" w:line="275" w:lineRule="auto"/>
        <w:tabs>
          <w:tab w:leader="none" w:pos="5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Optionee</w:t>
      </w:r>
      <w:r>
        <w:rPr>
          <w:rFonts w:ascii="Times New Roman" w:cs="Times New Roman" w:eastAsia="Times New Roman" w:hAnsi="Times New Roman"/>
          <w:sz w:val="18"/>
          <w:szCs w:val="18"/>
          <w:color w:val="auto"/>
        </w:rPr>
        <w:t>” means a person to whom an Option has been granted under the Plan, which Option has not been exercised in full and has not expired or terminated.</w:t>
      </w:r>
    </w:p>
    <w:p>
      <w:pPr>
        <w:spacing w:after="0" w:line="38"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Available Shares</w:t>
      </w:r>
      <w:r>
        <w:rPr>
          <w:rFonts w:ascii="Times New Roman" w:cs="Times New Roman" w:eastAsia="Times New Roman" w:hAnsi="Times New Roman"/>
          <w:sz w:val="18"/>
          <w:szCs w:val="18"/>
          <w:color w:val="auto"/>
        </w:rPr>
        <w:t>” means, as of any date, the sum of:</w:t>
      </w:r>
    </w:p>
    <w:p>
      <w:pPr>
        <w:spacing w:after="0" w:line="90" w:lineRule="exact"/>
        <w:rPr>
          <w:rFonts w:ascii="Times New Roman" w:cs="Times New Roman" w:eastAsia="Times New Roman" w:hAnsi="Times New Roman"/>
          <w:sz w:val="18"/>
          <w:szCs w:val="18"/>
          <w:color w:val="auto"/>
        </w:rPr>
      </w:pPr>
    </w:p>
    <w:p>
      <w:pPr>
        <w:ind w:left="1007" w:right="60" w:hanging="440"/>
        <w:spacing w:after="0" w:line="275" w:lineRule="auto"/>
        <w:tabs>
          <w:tab w:leader="none" w:pos="10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owned by an Optionee that were not acquired by such Optionee pursuant to a Comcast Plan or otherwise in connection with the performance of services to the Sponsor or an Affiliate; plus</w:t>
      </w:r>
    </w:p>
    <w:p>
      <w:pPr>
        <w:spacing w:after="0" w:line="38" w:lineRule="exact"/>
        <w:rPr>
          <w:rFonts w:ascii="Times New Roman" w:cs="Times New Roman" w:eastAsia="Times New Roman" w:hAnsi="Times New Roman"/>
          <w:sz w:val="18"/>
          <w:szCs w:val="18"/>
          <w:color w:val="auto"/>
        </w:rPr>
      </w:pPr>
    </w:p>
    <w:p>
      <w:pPr>
        <w:ind w:left="1007" w:hanging="440"/>
        <w:spacing w:after="0"/>
        <w:tabs>
          <w:tab w:leader="none" w:pos="10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w:t>
      </w:r>
    </w:p>
    <w:p>
      <w:pPr>
        <w:spacing w:after="0" w:line="90" w:lineRule="exact"/>
        <w:rPr>
          <w:rFonts w:ascii="Times New Roman" w:cs="Times New Roman" w:eastAsia="Times New Roman" w:hAnsi="Times New Roman"/>
          <w:sz w:val="18"/>
          <w:szCs w:val="18"/>
          <w:color w:val="auto"/>
        </w:rPr>
      </w:pPr>
    </w:p>
    <w:p>
      <w:pPr>
        <w:ind w:left="1467" w:hanging="441"/>
        <w:spacing w:after="0"/>
        <w:tabs>
          <w:tab w:leader="none" w:pos="1467"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owned by an Optionee other than the Shares described in Paragraph 2(v)(i); over</w:t>
      </w:r>
    </w:p>
    <w:p>
      <w:pPr>
        <w:spacing w:after="0" w:line="90" w:lineRule="exact"/>
        <w:rPr>
          <w:rFonts w:ascii="Times New Roman" w:cs="Times New Roman" w:eastAsia="Times New Roman" w:hAnsi="Times New Roman"/>
          <w:sz w:val="18"/>
          <w:szCs w:val="18"/>
          <w:color w:val="auto"/>
        </w:rPr>
      </w:pPr>
    </w:p>
    <w:p>
      <w:pPr>
        <w:ind w:left="1467" w:hanging="441"/>
        <w:spacing w:after="0"/>
        <w:tabs>
          <w:tab w:leader="none" w:pos="1467"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58" w:lineRule="exact"/>
        <w:rPr>
          <w:sz w:val="20"/>
          <w:szCs w:val="20"/>
          <w:color w:val="auto"/>
        </w:rPr>
      </w:pPr>
    </w:p>
    <w:p>
      <w:pPr>
        <w:ind w:left="4707"/>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07"/>
          </w:cols>
          <w:pgMar w:left="1153" w:top="274" w:right="239" w:bottom="1440" w:gutter="0" w:footer="0" w:header="0"/>
        </w:sectPr>
      </w:pPr>
    </w:p>
    <w:bookmarkStart w:id="34" w:name="page35"/>
    <w:bookmarkEnd w:id="34"/>
    <w:p>
      <w:pPr>
        <w:ind w:left="2047" w:hanging="562"/>
        <w:spacing w:after="0"/>
        <w:tabs>
          <w:tab w:leader="none" w:pos="2047"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number of such Shares owned by such Optionee for less than six months; plus</w:t>
      </w:r>
    </w:p>
    <w:p>
      <w:pPr>
        <w:spacing w:after="0" w:line="90" w:lineRule="exact"/>
        <w:rPr>
          <w:rFonts w:ascii="Times New Roman" w:cs="Times New Roman" w:eastAsia="Times New Roman" w:hAnsi="Times New Roman"/>
          <w:sz w:val="18"/>
          <w:szCs w:val="18"/>
          <w:color w:val="auto"/>
        </w:rPr>
      </w:pPr>
    </w:p>
    <w:p>
      <w:pPr>
        <w:ind w:left="2047" w:right="100" w:hanging="562"/>
        <w:spacing w:after="0" w:line="262" w:lineRule="auto"/>
        <w:tabs>
          <w:tab w:leader="none" w:pos="2047"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Shares owned by such Optionee that has, within the preceding six months, been the subject of a withholding certification pursuant to Paragraph 15(b) or any similar withholding certification under any other Comcast Plan; plus</w:t>
      </w:r>
    </w:p>
    <w:p>
      <w:pPr>
        <w:spacing w:after="0" w:line="51" w:lineRule="exact"/>
        <w:rPr>
          <w:rFonts w:ascii="Times New Roman" w:cs="Times New Roman" w:eastAsia="Times New Roman" w:hAnsi="Times New Roman"/>
          <w:sz w:val="18"/>
          <w:szCs w:val="18"/>
          <w:color w:val="auto"/>
        </w:rPr>
      </w:pPr>
    </w:p>
    <w:p>
      <w:pPr>
        <w:ind w:left="2047" w:hanging="562"/>
        <w:spacing w:after="0" w:line="258" w:lineRule="auto"/>
        <w:tabs>
          <w:tab w:leader="none" w:pos="2047"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Shares owned by such Optionee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55" w:lineRule="exact"/>
        <w:rPr>
          <w:rFonts w:ascii="Times New Roman" w:cs="Times New Roman" w:eastAsia="Times New Roman" w:hAnsi="Times New Roman"/>
          <w:sz w:val="18"/>
          <w:szCs w:val="18"/>
          <w:color w:val="auto"/>
        </w:rPr>
      </w:pPr>
    </w:p>
    <w:p>
      <w:pPr>
        <w:jc w:val="both"/>
        <w:ind w:left="2047" w:right="280" w:hanging="562"/>
        <w:spacing w:after="0" w:line="310" w:lineRule="auto"/>
        <w:tabs>
          <w:tab w:leader="none" w:pos="2047" w:val="left"/>
        </w:tabs>
        <w:numPr>
          <w:ilvl w:val="2"/>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such Shares owned by such Optionee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16" w:lineRule="exact"/>
        <w:rPr>
          <w:rFonts w:ascii="Times New Roman" w:cs="Times New Roman" w:eastAsia="Times New Roman" w:hAnsi="Times New Roman"/>
          <w:sz w:val="16"/>
          <w:szCs w:val="16"/>
          <w:color w:val="auto"/>
        </w:rPr>
      </w:pPr>
    </w:p>
    <w:p>
      <w:pPr>
        <w:ind w:left="2067"/>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 purposes of this Paragraph 2(v),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For purposes of determining the number of Other Available Shares, the term “Shares” shall also include the securities held by a Participant immediately before the consummation of the AT&amp;T Broadband Transaction that became Common Stock or Special Common Stock as a result of the AT&amp;T Broadband Transaction.</w:t>
      </w:r>
    </w:p>
    <w:p>
      <w:pPr>
        <w:spacing w:after="0" w:line="58" w:lineRule="exact"/>
        <w:rPr>
          <w:rFonts w:ascii="Times New Roman" w:cs="Times New Roman" w:eastAsia="Times New Roman" w:hAnsi="Times New Roman"/>
          <w:sz w:val="16"/>
          <w:szCs w:val="16"/>
          <w:color w:val="auto"/>
        </w:rPr>
      </w:pPr>
    </w:p>
    <w:p>
      <w:pPr>
        <w:ind w:left="567" w:right="140" w:hanging="567"/>
        <w:spacing w:after="0" w:line="275" w:lineRule="auto"/>
        <w:tabs>
          <w:tab w:leader="none" w:pos="5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member of the Board who is an “outside director” within the meaning of section 162(m)(4)(C) of the Code and applicable Treasury Regulations issued thereunder.</w:t>
      </w:r>
    </w:p>
    <w:p>
      <w:pPr>
        <w:spacing w:after="0" w:line="38"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an association, a trust or any other entity or organization.</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the Comcast Corporation 2002 Stock Option Plan.</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07" w:hanging="440"/>
        <w:spacing w:after="0"/>
        <w:tabs>
          <w:tab w:leader="none" w:pos="100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Paragraph 2(z), the term “Share” or “Shares” means a share or shares of Common Stock.</w:t>
      </w:r>
    </w:p>
    <w:p>
      <w:pPr>
        <w:spacing w:after="0" w:line="90" w:lineRule="exact"/>
        <w:rPr>
          <w:rFonts w:ascii="Times New Roman" w:cs="Times New Roman" w:eastAsia="Times New Roman" w:hAnsi="Times New Roman"/>
          <w:sz w:val="18"/>
          <w:szCs w:val="18"/>
          <w:color w:val="auto"/>
        </w:rPr>
      </w:pPr>
    </w:p>
    <w:p>
      <w:pPr>
        <w:ind w:left="1007" w:right="60" w:hanging="440"/>
        <w:spacing w:after="0" w:line="275" w:lineRule="auto"/>
        <w:tabs>
          <w:tab w:leader="none" w:pos="100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granted before the consummation of the AT&amp;T Broadband Transaction, the term “Share” or “Shares” means a share or shares of Special Common Stock.</w:t>
      </w:r>
    </w:p>
    <w:p>
      <w:pPr>
        <w:spacing w:after="0" w:line="106" w:lineRule="exact"/>
        <w:rPr>
          <w:sz w:val="20"/>
          <w:szCs w:val="20"/>
          <w:color w:val="auto"/>
        </w:rPr>
      </w:pPr>
    </w:p>
    <w:p>
      <w:pPr>
        <w:ind w:left="4707"/>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07"/>
          </w:cols>
          <w:pgMar w:left="1153" w:top="274" w:right="239" w:bottom="1440" w:gutter="0" w:footer="0" w:header="0"/>
        </w:sectPr>
      </w:pPr>
    </w:p>
    <w:bookmarkStart w:id="35" w:name="page36"/>
    <w:bookmarkEnd w:id="35"/>
    <w:p>
      <w:pPr>
        <w:ind w:left="1466" w:hanging="440"/>
        <w:spacing w:after="0"/>
        <w:tabs>
          <w:tab w:leader="none" w:pos="1466" w:val="left"/>
        </w:tabs>
        <w:numPr>
          <w:ilvl w:val="2"/>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Paragraphs 2(v), 7(d) and 15, the term “Share” or “Shares” also means a share or shares of Special Common Stock.</w:t>
      </w:r>
    </w:p>
    <w:p>
      <w:pPr>
        <w:spacing w:after="0" w:line="113" w:lineRule="exact"/>
        <w:rPr>
          <w:rFonts w:ascii="Times New Roman" w:cs="Times New Roman" w:eastAsia="Times New Roman" w:hAnsi="Times New Roman"/>
          <w:sz w:val="16"/>
          <w:szCs w:val="16"/>
          <w:color w:val="auto"/>
        </w:rPr>
      </w:pPr>
    </w:p>
    <w:p>
      <w:pPr>
        <w:ind w:left="1466" w:right="40" w:hanging="440"/>
        <w:spacing w:after="0" w:line="310" w:lineRule="auto"/>
        <w:tabs>
          <w:tab w:leader="none" w:pos="1466" w:val="left"/>
        </w:tabs>
        <w:numPr>
          <w:ilvl w:val="2"/>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“Share” or “Shares” also means such other securities issued by the Sponsor as may be the subject of an adjustment under Paragraph 10, or for purposes of Paragraph 2(u) and Paragraph 15, as may have been the subject of a similar adjustment under similar provisions of a Comcast Plan as now in effect or as may have been in effect before the AT&amp;T Broadband Transaction.</w:t>
      </w:r>
    </w:p>
    <w:p>
      <w:pPr>
        <w:spacing w:after="0" w:line="16" w:lineRule="exact"/>
        <w:rPr>
          <w:rFonts w:ascii="Times New Roman" w:cs="Times New Roman" w:eastAsia="Times New Roman" w:hAnsi="Times New Roman"/>
          <w:sz w:val="16"/>
          <w:szCs w:val="16"/>
          <w:color w:val="auto"/>
        </w:rPr>
      </w:pPr>
    </w:p>
    <w:p>
      <w:pPr>
        <w:ind w:left="1026" w:hanging="567"/>
        <w:spacing w:after="0"/>
        <w:tabs>
          <w:tab w:leader="none" w:pos="102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Common Stock</w:t>
      </w:r>
      <w:r>
        <w:rPr>
          <w:rFonts w:ascii="Times New Roman" w:cs="Times New Roman" w:eastAsia="Times New Roman" w:hAnsi="Times New Roman"/>
          <w:sz w:val="18"/>
          <w:szCs w:val="18"/>
          <w:color w:val="auto"/>
        </w:rPr>
        <w:t>” means the Sponsor’s Class A Special Common Stock, par value $0.01.</w:t>
      </w:r>
    </w:p>
    <w:p>
      <w:pPr>
        <w:spacing w:after="0" w:line="90" w:lineRule="exact"/>
        <w:rPr>
          <w:rFonts w:ascii="Times New Roman" w:cs="Times New Roman" w:eastAsia="Times New Roman" w:hAnsi="Times New Roman"/>
          <w:sz w:val="18"/>
          <w:szCs w:val="18"/>
          <w:color w:val="auto"/>
        </w:rPr>
      </w:pPr>
    </w:p>
    <w:p>
      <w:pPr>
        <w:ind w:left="1026" w:right="140" w:hanging="567"/>
        <w:spacing w:after="0" w:line="262" w:lineRule="auto"/>
        <w:tabs>
          <w:tab w:leader="none" w:pos="102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51" w:lineRule="exact"/>
        <w:rPr>
          <w:rFonts w:ascii="Times New Roman" w:cs="Times New Roman" w:eastAsia="Times New Roman" w:hAnsi="Times New Roman"/>
          <w:sz w:val="18"/>
          <w:szCs w:val="18"/>
          <w:color w:val="auto"/>
        </w:rPr>
      </w:pPr>
    </w:p>
    <w:p>
      <w:pPr>
        <w:ind w:left="1026" w:right="440" w:hanging="567"/>
        <w:spacing w:after="0" w:line="275" w:lineRule="auto"/>
        <w:tabs>
          <w:tab w:leader="none" w:pos="102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Companies</w:t>
      </w:r>
      <w:r>
        <w:rPr>
          <w:rFonts w:ascii="Times New Roman" w:cs="Times New Roman" w:eastAsia="Times New Roman" w:hAnsi="Times New Roman"/>
          <w:sz w:val="18"/>
          <w:szCs w:val="18"/>
          <w:color w:val="auto"/>
        </w:rPr>
        <w:t>” means all business entities that, at the time in question, are subsidiaries of the Sponsor within the meaning of section 424(f) of the Code.</w:t>
      </w:r>
    </w:p>
    <w:p>
      <w:pPr>
        <w:spacing w:after="0" w:line="38" w:lineRule="exact"/>
        <w:rPr>
          <w:rFonts w:ascii="Times New Roman" w:cs="Times New Roman" w:eastAsia="Times New Roman" w:hAnsi="Times New Roman"/>
          <w:sz w:val="18"/>
          <w:szCs w:val="18"/>
          <w:color w:val="auto"/>
        </w:rPr>
      </w:pPr>
    </w:p>
    <w:p>
      <w:pPr>
        <w:ind w:left="1026" w:right="20" w:hanging="567"/>
        <w:spacing w:after="0" w:line="258" w:lineRule="auto"/>
        <w:tabs>
          <w:tab w:leader="none" w:pos="102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Shareholder</w:t>
      </w:r>
      <w:r>
        <w:rPr>
          <w:rFonts w:ascii="Times New Roman" w:cs="Times New Roman" w:eastAsia="Times New Roman" w:hAnsi="Times New Roman"/>
          <w:sz w:val="18"/>
          <w:szCs w:val="18"/>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55"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Terminating Event</w:t>
      </w:r>
      <w:r>
        <w:rPr>
          <w:rFonts w:ascii="Times New Roman" w:cs="Times New Roman" w:eastAsia="Times New Roman" w:hAnsi="Times New Roman"/>
          <w:sz w:val="18"/>
          <w:szCs w:val="18"/>
          <w:color w:val="auto"/>
        </w:rPr>
        <w:t>” means any of the following events:</w:t>
      </w:r>
    </w:p>
    <w:p>
      <w:pPr>
        <w:spacing w:after="0" w:line="90" w:lineRule="exact"/>
        <w:rPr>
          <w:rFonts w:ascii="Times New Roman" w:cs="Times New Roman" w:eastAsia="Times New Roman" w:hAnsi="Times New Roman"/>
          <w:sz w:val="18"/>
          <w:szCs w:val="18"/>
          <w:color w:val="auto"/>
        </w:rPr>
      </w:pPr>
    </w:p>
    <w:p>
      <w:pPr>
        <w:ind w:left="1466" w:hanging="440"/>
        <w:spacing w:after="0"/>
        <w:tabs>
          <w:tab w:leader="none" w:pos="1466"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Sponsor; or</w:t>
      </w:r>
    </w:p>
    <w:p>
      <w:pPr>
        <w:spacing w:after="0" w:line="90" w:lineRule="exact"/>
        <w:rPr>
          <w:rFonts w:ascii="Times New Roman" w:cs="Times New Roman" w:eastAsia="Times New Roman" w:hAnsi="Times New Roman"/>
          <w:sz w:val="18"/>
          <w:szCs w:val="18"/>
          <w:color w:val="auto"/>
        </w:rPr>
      </w:pPr>
    </w:p>
    <w:p>
      <w:pPr>
        <w:ind w:left="1466" w:hanging="440"/>
        <w:spacing w:after="0"/>
        <w:tabs>
          <w:tab w:leader="none" w:pos="1466"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w:t>
      </w:r>
    </w:p>
    <w:p>
      <w:pPr>
        <w:spacing w:after="0" w:line="90" w:lineRule="exact"/>
        <w:rPr>
          <w:rFonts w:ascii="Times New Roman" w:cs="Times New Roman" w:eastAsia="Times New Roman" w:hAnsi="Times New Roman"/>
          <w:sz w:val="18"/>
          <w:szCs w:val="18"/>
          <w:color w:val="auto"/>
        </w:rPr>
      </w:pPr>
    </w:p>
    <w:p>
      <w:pPr>
        <w:ind w:left="1026" w:hanging="567"/>
        <w:spacing w:after="0" w:line="275" w:lineRule="auto"/>
        <w:tabs>
          <w:tab w:leader="none" w:pos="102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a Company, together with such Person’s Affiliates, provided that the term “Third Party” shall not include the Sponsor or an Affiliate of the Sponsor.</w:t>
      </w:r>
    </w:p>
    <w:p>
      <w:pPr>
        <w:spacing w:after="0" w:line="38"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Securities Act of 1933, as amended.</w:t>
      </w:r>
    </w:p>
    <w:p>
      <w:pPr>
        <w:spacing w:after="0" w:line="90"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209"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To Be Granted</w:t>
      </w:r>
    </w:p>
    <w:p>
      <w:pPr>
        <w:spacing w:after="0" w:line="92" w:lineRule="exact"/>
        <w:rPr>
          <w:rFonts w:ascii="Times New Roman" w:cs="Times New Roman" w:eastAsia="Times New Roman" w:hAnsi="Times New Roman"/>
          <w:sz w:val="18"/>
          <w:szCs w:val="18"/>
          <w:b w:val="1"/>
          <w:bCs w:val="1"/>
          <w:color w:val="auto"/>
        </w:rPr>
      </w:pPr>
    </w:p>
    <w:p>
      <w:pPr>
        <w:ind w:left="1026" w:hanging="567"/>
        <w:spacing w:after="0"/>
        <w:tabs>
          <w:tab w:leader="none" w:pos="102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of Options and Other Rights Available for Grant</w:t>
      </w:r>
      <w:r>
        <w:rPr>
          <w:rFonts w:ascii="Times New Roman" w:cs="Times New Roman" w:eastAsia="Times New Roman" w:hAnsi="Times New Roman"/>
          <w:sz w:val="18"/>
          <w:szCs w:val="18"/>
          <w:color w:val="auto"/>
        </w:rPr>
        <w:t>. Rights that may be granted under the Plan are:</w:t>
      </w:r>
    </w:p>
    <w:p>
      <w:pPr>
        <w:spacing w:after="0" w:line="158"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6"/>
          </w:cols>
          <w:pgMar w:left="694" w:top="274" w:right="299" w:bottom="1440" w:gutter="0" w:footer="0" w:header="0"/>
        </w:sectPr>
      </w:pPr>
    </w:p>
    <w:bookmarkStart w:id="36" w:name="page37"/>
    <w:bookmarkEnd w:id="36"/>
    <w:p>
      <w:pPr>
        <w:ind w:left="1920" w:right="40" w:hanging="440"/>
        <w:spacing w:after="0" w:line="275" w:lineRule="auto"/>
        <w:tabs>
          <w:tab w:leader="none" w:pos="1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Incentive Stock Options, which give an Optionee who is an employee of a Company the right for a specified time period to purchase a specified number of Shares for a price not less than the Fair Market Value on the Date of Grant;</w:t>
      </w:r>
    </w:p>
    <w:p>
      <w:pPr>
        <w:spacing w:after="0" w:line="38" w:lineRule="exact"/>
        <w:rPr>
          <w:rFonts w:ascii="Times New Roman" w:cs="Times New Roman" w:eastAsia="Times New Roman" w:hAnsi="Times New Roman"/>
          <w:sz w:val="18"/>
          <w:szCs w:val="18"/>
          <w:color w:val="auto"/>
        </w:rPr>
      </w:pPr>
    </w:p>
    <w:p>
      <w:pPr>
        <w:ind w:left="1920" w:right="200" w:hanging="440"/>
        <w:spacing w:after="0" w:line="275" w:lineRule="auto"/>
        <w:tabs>
          <w:tab w:leader="none" w:pos="1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Options, which give the Optionee the right for a specified time period to purchase a specified number of Shares for a price determined by the Committee; and</w:t>
      </w:r>
    </w:p>
    <w:p>
      <w:pPr>
        <w:spacing w:after="0" w:line="38" w:lineRule="exact"/>
        <w:rPr>
          <w:rFonts w:ascii="Times New Roman" w:cs="Times New Roman" w:eastAsia="Times New Roman" w:hAnsi="Times New Roman"/>
          <w:sz w:val="18"/>
          <w:szCs w:val="18"/>
          <w:color w:val="auto"/>
        </w:rPr>
      </w:pPr>
    </w:p>
    <w:p>
      <w:pPr>
        <w:ind w:left="1920" w:hanging="440"/>
        <w:spacing w:after="0" w:line="262" w:lineRule="auto"/>
        <w:tabs>
          <w:tab w:leader="none" w:pos="1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51" w:lineRule="exact"/>
        <w:rPr>
          <w:rFonts w:ascii="Times New Roman" w:cs="Times New Roman" w:eastAsia="Times New Roman" w:hAnsi="Times New Roman"/>
          <w:sz w:val="18"/>
          <w:szCs w:val="18"/>
          <w:color w:val="auto"/>
        </w:rPr>
      </w:pPr>
    </w:p>
    <w:p>
      <w:pPr>
        <w:ind w:left="1480" w:right="40" w:hanging="567"/>
        <w:spacing w:after="0" w:line="275" w:lineRule="auto"/>
        <w:tabs>
          <w:tab w:leader="none" w:pos="1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Grant of Options</w:t>
      </w:r>
      <w:r>
        <w:rPr>
          <w:rFonts w:ascii="Times New Roman" w:cs="Times New Roman" w:eastAsia="Times New Roman" w:hAnsi="Times New Roman"/>
          <w:sz w:val="18"/>
          <w:szCs w:val="18"/>
          <w:color w:val="auto"/>
        </w:rPr>
        <w:t>. The maximum number of Shares for which Options may be granted to any single individual in any calendar year, adjusted as provided in Paragraph 10, shall be 10,000,000 Shares.</w:t>
      </w:r>
    </w:p>
    <w:p>
      <w:pPr>
        <w:spacing w:after="0" w:line="158"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Plan</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Subject to adjustment as provided in Paragraph 10, not more than 112,500,000 Shares in the aggregate (including Shares granted pursuant to the Plan as in effect immediately before the closing of the AT&amp;T Broadband Transaction, and as adjusted to reflect the three-for-two stock split in the form of a 50% stock dividend payable on February 21, 2007 to shareholders of record on February 14, 2007)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78"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Plan</w:t>
      </w:r>
    </w:p>
    <w:p>
      <w:pPr>
        <w:spacing w:after="0" w:line="92" w:lineRule="exact"/>
        <w:rPr>
          <w:rFonts w:ascii="Times New Roman" w:cs="Times New Roman" w:eastAsia="Times New Roman" w:hAnsi="Times New Roman"/>
          <w:sz w:val="18"/>
          <w:szCs w:val="18"/>
          <w:b w:val="1"/>
          <w:bCs w:val="1"/>
          <w:color w:val="auto"/>
        </w:rPr>
      </w:pPr>
    </w:p>
    <w:p>
      <w:pPr>
        <w:ind w:left="1480" w:right="340" w:hanging="567"/>
        <w:spacing w:after="0" w:line="262" w:lineRule="auto"/>
        <w:tabs>
          <w:tab w:leader="none" w:pos="14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51"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920" w:right="100" w:hanging="440"/>
        <w:spacing w:after="0" w:line="258" w:lineRule="auto"/>
        <w:tabs>
          <w:tab w:leader="none" w:pos="19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Named Executive Officers and Section 16(b) Officers</w:t>
      </w:r>
      <w:r>
        <w:rPr>
          <w:rFonts w:ascii="Times New Roman" w:cs="Times New Roman" w:eastAsia="Times New Roman" w:hAnsi="Times New Roman"/>
          <w:sz w:val="18"/>
          <w:szCs w:val="18"/>
          <w:color w:val="auto"/>
        </w:rPr>
        <w:t>. All authority with respect to the grant, amendment, interpretation and administration of Options with respect to any employee or officer of a Company who is either (x) a Named Executive Officer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55" w:lineRule="exact"/>
        <w:rPr>
          <w:rFonts w:ascii="Times New Roman" w:cs="Times New Roman" w:eastAsia="Times New Roman" w:hAnsi="Times New Roman"/>
          <w:sz w:val="18"/>
          <w:szCs w:val="18"/>
          <w:color w:val="auto"/>
        </w:rPr>
      </w:pPr>
    </w:p>
    <w:p>
      <w:pPr>
        <w:ind w:left="1920" w:right="120" w:hanging="440"/>
        <w:spacing w:after="0" w:line="275" w:lineRule="auto"/>
        <w:tabs>
          <w:tab w:leader="none" w:pos="19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Senior Officers and Highly Compensated Employees</w:t>
      </w:r>
      <w:r>
        <w:rPr>
          <w:rFonts w:ascii="Times New Roman" w:cs="Times New Roman" w:eastAsia="Times New Roman" w:hAnsi="Times New Roman"/>
          <w:sz w:val="18"/>
          <w:szCs w:val="18"/>
          <w:color w:val="auto"/>
        </w:rPr>
        <w:t>. The Committee may delegate to a committee consisting of the Chairman of the Committee and one 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4" w:right="259" w:bottom="1440" w:gutter="0" w:footer="0" w:header="0"/>
        </w:sectPr>
      </w:pPr>
    </w:p>
    <w:bookmarkStart w:id="37" w:name="page38"/>
    <w:bookmarkEnd w:id="37"/>
    <w:p>
      <w:pPr>
        <w:ind w:left="1027" w:right="3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more officers of the Company designated by the Committee, discretion under the Plan to grant, amend, interpret and administer Options with respect to any employee or officer of a Company who (x) holds a position with Comcast Corporation of Senior Vice President or a position of higher rank than Senior Vice President or (y) has a base salary of $500,000 or more.</w:t>
      </w:r>
    </w:p>
    <w:p>
      <w:pPr>
        <w:spacing w:after="0" w:line="51" w:lineRule="exact"/>
        <w:rPr>
          <w:sz w:val="20"/>
          <w:szCs w:val="20"/>
          <w:color w:val="auto"/>
        </w:rPr>
      </w:pPr>
    </w:p>
    <w:p>
      <w:pPr>
        <w:ind w:left="1007" w:right="20" w:hanging="440"/>
        <w:spacing w:after="0" w:line="262" w:lineRule="auto"/>
        <w:tabs>
          <w:tab w:leader="none" w:pos="100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Employees</w:t>
      </w:r>
      <w:r>
        <w:rPr>
          <w:rFonts w:ascii="Times New Roman" w:cs="Times New Roman" w:eastAsia="Times New Roman" w:hAnsi="Times New Roman"/>
          <w:sz w:val="18"/>
          <w:szCs w:val="18"/>
          <w:color w:val="auto"/>
        </w:rPr>
        <w:t>. The Committee may delegate to an officer of the Company, or a committee of two or more officers of the Company, discretion under the Plan to grant, amend, interpret and administer Options with respect to any employee or officer of a Company other than an employee or officer described in Paragraph 5(b)(i) or Paragraph 5(b)(ii).</w:t>
      </w:r>
    </w:p>
    <w:p>
      <w:pPr>
        <w:spacing w:after="0" w:line="51" w:lineRule="exact"/>
        <w:rPr>
          <w:rFonts w:ascii="Times New Roman" w:cs="Times New Roman" w:eastAsia="Times New Roman" w:hAnsi="Times New Roman"/>
          <w:sz w:val="18"/>
          <w:szCs w:val="18"/>
          <w:color w:val="auto"/>
        </w:rPr>
      </w:pPr>
    </w:p>
    <w:p>
      <w:pPr>
        <w:ind w:left="1007" w:right="20" w:hanging="440"/>
        <w:spacing w:after="0" w:line="275" w:lineRule="auto"/>
        <w:tabs>
          <w:tab w:leader="none" w:pos="100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Delegation of Authority</w:t>
      </w:r>
      <w:r>
        <w:rPr>
          <w:rFonts w:ascii="Times New Roman" w:cs="Times New Roman" w:eastAsia="Times New Roman" w:hAnsi="Times New Roman"/>
          <w:sz w:val="18"/>
          <w:szCs w:val="18"/>
          <w:color w:val="auto"/>
        </w:rPr>
        <w:t>. Delegation of authority as provided under this Paragraph 5(b) shall continue in effect until the earliest of:</w:t>
      </w:r>
    </w:p>
    <w:p>
      <w:pPr>
        <w:spacing w:after="0" w:line="38" w:lineRule="exact"/>
        <w:rPr>
          <w:rFonts w:ascii="Times New Roman" w:cs="Times New Roman" w:eastAsia="Times New Roman" w:hAnsi="Times New Roman"/>
          <w:sz w:val="18"/>
          <w:szCs w:val="18"/>
          <w:color w:val="auto"/>
        </w:rPr>
      </w:pPr>
    </w:p>
    <w:p>
      <w:pPr>
        <w:ind w:left="1467" w:hanging="441"/>
        <w:spacing w:after="0"/>
        <w:tabs>
          <w:tab w:leader="none" w:pos="1467"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as the Committee shall, in its discretion, revoke such delegation of authority;</w:t>
      </w:r>
    </w:p>
    <w:p>
      <w:pPr>
        <w:spacing w:after="0" w:line="90" w:lineRule="exact"/>
        <w:rPr>
          <w:rFonts w:ascii="Times New Roman" w:cs="Times New Roman" w:eastAsia="Times New Roman" w:hAnsi="Times New Roman"/>
          <w:sz w:val="18"/>
          <w:szCs w:val="18"/>
          <w:color w:val="auto"/>
        </w:rPr>
      </w:pPr>
    </w:p>
    <w:p>
      <w:pPr>
        <w:ind w:left="1467" w:right="20" w:hanging="441"/>
        <w:spacing w:after="0" w:line="262" w:lineRule="auto"/>
        <w:tabs>
          <w:tab w:leader="none" w:pos="1467"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delegation under Paragraph 5(b)(ii), the delegate shall cease to serve as Chairman of the Committee or serve as an employee of the Company for any reason, as the case may be and in the case of delegation under Paragraph 5(b)(iii), the delegate shall cease to serve as an employee of the Company for any reason; or</w:t>
      </w:r>
    </w:p>
    <w:p>
      <w:pPr>
        <w:spacing w:after="0" w:line="51" w:lineRule="exact"/>
        <w:rPr>
          <w:rFonts w:ascii="Times New Roman" w:cs="Times New Roman" w:eastAsia="Times New Roman" w:hAnsi="Times New Roman"/>
          <w:sz w:val="18"/>
          <w:szCs w:val="18"/>
          <w:color w:val="auto"/>
        </w:rPr>
      </w:pPr>
    </w:p>
    <w:p>
      <w:pPr>
        <w:ind w:left="1467" w:hanging="441"/>
        <w:spacing w:after="0"/>
        <w:tabs>
          <w:tab w:leader="none" w:pos="1467"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delegate shall notify the Committee that he declines to continue to exercise such authority.</w:t>
      </w:r>
    </w:p>
    <w:p>
      <w:pPr>
        <w:spacing w:after="0" w:line="90" w:lineRule="exact"/>
        <w:rPr>
          <w:rFonts w:ascii="Times New Roman" w:cs="Times New Roman" w:eastAsia="Times New Roman" w:hAnsi="Times New Roman"/>
          <w:sz w:val="18"/>
          <w:szCs w:val="18"/>
          <w:color w:val="auto"/>
        </w:rPr>
      </w:pPr>
    </w:p>
    <w:p>
      <w:pPr>
        <w:ind w:left="567" w:right="60" w:hanging="567"/>
        <w:spacing w:after="0" w:line="262" w:lineRule="auto"/>
        <w:tabs>
          <w:tab w:leader="none" w:pos="5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51" w:lineRule="exact"/>
        <w:rPr>
          <w:rFonts w:ascii="Times New Roman" w:cs="Times New Roman" w:eastAsia="Times New Roman" w:hAnsi="Times New Roman"/>
          <w:sz w:val="18"/>
          <w:szCs w:val="18"/>
          <w:color w:val="auto"/>
        </w:rPr>
      </w:pPr>
    </w:p>
    <w:p>
      <w:pPr>
        <w:ind w:left="567" w:hanging="567"/>
        <w:spacing w:after="0" w:line="256" w:lineRule="auto"/>
        <w:tabs>
          <w:tab w:leader="none" w:pos="5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provisions of this Paragraph 5(d) shall not apply to the responsibility or liability of a member of the Committee pursuant to any criminal statute.</w:t>
      </w:r>
    </w:p>
    <w:p>
      <w:pPr>
        <w:spacing w:after="0" w:line="57" w:lineRule="exact"/>
        <w:rPr>
          <w:rFonts w:ascii="Times New Roman" w:cs="Times New Roman" w:eastAsia="Times New Roman" w:hAnsi="Times New Roman"/>
          <w:sz w:val="18"/>
          <w:szCs w:val="18"/>
          <w:color w:val="auto"/>
        </w:rPr>
      </w:pPr>
    </w:p>
    <w:p>
      <w:pPr>
        <w:ind w:left="567" w:right="100" w:hanging="567"/>
        <w:spacing w:after="0" w:line="256" w:lineRule="auto"/>
        <w:tabs>
          <w:tab w:leader="none" w:pos="5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25" w:lineRule="exact"/>
        <w:rPr>
          <w:sz w:val="20"/>
          <w:szCs w:val="20"/>
          <w:color w:val="auto"/>
        </w:rPr>
      </w:pPr>
    </w:p>
    <w:p>
      <w:pPr>
        <w:ind w:left="4707"/>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87"/>
          </w:cols>
          <w:pgMar w:left="1153" w:top="274" w:right="259" w:bottom="1440" w:gutter="0" w:footer="0" w:header="0"/>
        </w:sectPr>
      </w:pPr>
    </w:p>
    <w:bookmarkStart w:id="38" w:name="page39"/>
    <w:bookmarkEnd w:id="38"/>
    <w:p>
      <w:pPr>
        <w:ind w:left="900" w:hanging="446"/>
        <w:spacing w:after="0"/>
        <w:tabs>
          <w:tab w:leader="none" w:pos="9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Eligibility</w:t>
      </w:r>
    </w:p>
    <w:p>
      <w:pPr>
        <w:spacing w:after="0" w:line="92" w:lineRule="exact"/>
        <w:rPr>
          <w:rFonts w:ascii="Times New Roman" w:cs="Times New Roman" w:eastAsia="Times New Roman" w:hAnsi="Times New Roman"/>
          <w:sz w:val="18"/>
          <w:szCs w:val="18"/>
          <w:b w:val="1"/>
          <w:bCs w:val="1"/>
          <w:color w:val="auto"/>
        </w:rPr>
      </w:pPr>
    </w:p>
    <w:p>
      <w:pPr>
        <w:ind w:left="1480" w:right="20" w:hanging="567"/>
        <w:spacing w:after="0" w:line="255" w:lineRule="auto"/>
        <w:tabs>
          <w:tab w:leader="none" w:pos="14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58" w:lineRule="exact"/>
        <w:rPr>
          <w:rFonts w:ascii="Times New Roman" w:cs="Times New Roman" w:eastAsia="Times New Roman" w:hAnsi="Times New Roman"/>
          <w:sz w:val="18"/>
          <w:szCs w:val="18"/>
          <w:color w:val="auto"/>
        </w:rPr>
      </w:pPr>
    </w:p>
    <w:p>
      <w:pPr>
        <w:ind w:left="1480" w:right="100" w:hanging="567"/>
        <w:spacing w:after="0" w:line="256" w:lineRule="auto"/>
        <w:tabs>
          <w:tab w:leader="none" w:pos="14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7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Documents and Terms—In General</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51" w:lineRule="exact"/>
        <w:rPr>
          <w:sz w:val="20"/>
          <w:szCs w:val="20"/>
          <w:color w:val="auto"/>
        </w:rPr>
      </w:pPr>
    </w:p>
    <w:p>
      <w:pPr>
        <w:ind w:left="1480" w:hanging="567"/>
        <w:spacing w:after="0"/>
        <w:tabs>
          <w:tab w:leader="none" w:pos="1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Grant</w:t>
      </w:r>
      <w:r>
        <w:rPr>
          <w:rFonts w:ascii="Times New Roman" w:cs="Times New Roman" w:eastAsia="Times New Roman" w:hAnsi="Times New Roman"/>
          <w:sz w:val="18"/>
          <w:szCs w:val="18"/>
          <w:color w:val="auto"/>
        </w:rPr>
        <w:t>. All Options shall be granted on or before March 13, 2006.</w:t>
      </w:r>
    </w:p>
    <w:p>
      <w:pPr>
        <w:spacing w:after="0" w:line="90" w:lineRule="exact"/>
        <w:rPr>
          <w:rFonts w:ascii="Times New Roman" w:cs="Times New Roman" w:eastAsia="Times New Roman" w:hAnsi="Times New Roman"/>
          <w:sz w:val="18"/>
          <w:szCs w:val="18"/>
          <w:color w:val="auto"/>
        </w:rPr>
      </w:pPr>
    </w:p>
    <w:p>
      <w:pPr>
        <w:jc w:val="both"/>
        <w:ind w:left="1480" w:hanging="567"/>
        <w:spacing w:after="0" w:line="301" w:lineRule="auto"/>
        <w:tabs>
          <w:tab w:leader="none" w:pos="14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Price</w:t>
      </w:r>
      <w:r>
        <w:rPr>
          <w:rFonts w:ascii="Times New Roman" w:cs="Times New Roman" w:eastAsia="Times New Roman" w:hAnsi="Times New Roman"/>
          <w:sz w:val="16"/>
          <w:szCs w:val="16"/>
          <w:color w:val="auto"/>
        </w:rPr>
        <w:t xml:space="preserve">. Except as otherwise provided in Section 13(b), the option price per Share with respect to any Option shall be determined by the Committee,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xml:space="preserve">, that with respect to any Incentive Stock Options, the option price per share shall not be less than 100% of the Fair Market Value of such Share on the Date of Grant, and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22" w:lineRule="exact"/>
        <w:rPr>
          <w:rFonts w:ascii="Times New Roman" w:cs="Times New Roman" w:eastAsia="Times New Roman" w:hAnsi="Times New Roman"/>
          <w:sz w:val="16"/>
          <w:szCs w:val="16"/>
          <w:color w:val="auto"/>
        </w:rPr>
      </w:pPr>
    </w:p>
    <w:p>
      <w:pPr>
        <w:ind w:left="1480" w:right="100" w:hanging="567"/>
        <w:spacing w:after="0" w:line="293" w:lineRule="auto"/>
        <w:tabs>
          <w:tab w:leader="none" w:pos="14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Transferability</w:t>
      </w:r>
      <w:r>
        <w:rPr>
          <w:rFonts w:ascii="Times New Roman" w:cs="Times New Roman" w:eastAsia="Times New Roman" w:hAnsi="Times New Roman"/>
          <w:sz w:val="16"/>
          <w:szCs w:val="16"/>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Times New Roman" w:cs="Times New Roman" w:eastAsia="Times New Roman" w:hAnsi="Times New Roman"/>
          <w:sz w:val="16"/>
          <w:szCs w:val="16"/>
          <w:u w:val="single" w:color="auto"/>
          <w:color w:val="auto"/>
        </w:rPr>
        <w:t>provided further that</w:t>
      </w:r>
      <w:r>
        <w:rPr>
          <w:rFonts w:ascii="Times New Roman" w:cs="Times New Roman" w:eastAsia="Times New Roman" w:hAnsi="Times New Roman"/>
          <w:sz w:val="16"/>
          <w:szCs w:val="16"/>
          <w:color w:val="auto"/>
        </w:rPr>
        <w:t xml:space="preserve"> (i) any such transfer is without consideration and (ii) each transferee is a member of such Optionee’s Immediate Family; and </w:t>
      </w:r>
      <w:r>
        <w:rPr>
          <w:rFonts w:ascii="Times New Roman" w:cs="Times New Roman" w:eastAsia="Times New Roman" w:hAnsi="Times New Roman"/>
          <w:sz w:val="16"/>
          <w:szCs w:val="16"/>
          <w:u w:val="single" w:color="auto"/>
          <w:color w:val="auto"/>
        </w:rPr>
        <w:t>provided further that</w:t>
      </w:r>
      <w:r>
        <w:rPr>
          <w:rFonts w:ascii="Times New Roman" w:cs="Times New Roman" w:eastAsia="Times New Roman" w:hAnsi="Times New Roman"/>
          <w:sz w:val="16"/>
          <w:szCs w:val="16"/>
          <w:color w:val="auto"/>
        </w:rPr>
        <w:t xml:space="preserve"> any</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2" w:right="239" w:bottom="1440" w:gutter="0" w:footer="0" w:header="0"/>
        </w:sectPr>
      </w:pPr>
    </w:p>
    <w:bookmarkStart w:id="39" w:name="page40"/>
    <w:bookmarkEnd w:id="39"/>
    <w:p>
      <w:pPr>
        <w:ind w:left="587"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58" w:lineRule="exact"/>
        <w:rPr>
          <w:sz w:val="20"/>
          <w:szCs w:val="20"/>
          <w:color w:val="auto"/>
        </w:rPr>
      </w:pPr>
    </w:p>
    <w:p>
      <w:pPr>
        <w:ind w:left="567" w:hanging="567"/>
        <w:spacing w:after="0"/>
        <w:tabs>
          <w:tab w:leader="none" w:pos="5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Exercise of Options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07" w:hanging="440"/>
        <w:spacing w:after="0" w:line="285" w:lineRule="auto"/>
        <w:tabs>
          <w:tab w:leader="none" w:pos="1007"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 General</w:t>
      </w:r>
      <w:r>
        <w:rPr>
          <w:rFonts w:ascii="Times New Roman" w:cs="Times New Roman" w:eastAsia="Times New Roman" w:hAnsi="Times New Roman"/>
          <w:sz w:val="16"/>
          <w:szCs w:val="16"/>
          <w:color w:val="auto"/>
        </w:rPr>
        <w:t xml:space="preserve">. Full payment for Shares purchased upon the exercise of an Option shall be made in cash, by certified check payable to the order of the Sponsor, or, at the election of the Optionee and as the Committee may, in its sole discretion, approve, by surrendering or attesting to ownership of Shares with an aggregate Fair Market Value equal to the aggregate option price, or by attesting to ownership and delivering such combination of Shares and cash as the Committee may, in its sole discretion, approve;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xml:space="preserve">,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attestation or ownership of Shares and the use of Shares to exercise an Option as it deems appropriate.</w:t>
      </w:r>
    </w:p>
    <w:p>
      <w:pPr>
        <w:spacing w:after="0" w:line="200" w:lineRule="exact"/>
        <w:rPr>
          <w:rFonts w:ascii="Times New Roman" w:cs="Times New Roman" w:eastAsia="Times New Roman" w:hAnsi="Times New Roman"/>
          <w:sz w:val="16"/>
          <w:szCs w:val="16"/>
          <w:color w:val="auto"/>
        </w:rPr>
      </w:pPr>
    </w:p>
    <w:p>
      <w:pPr>
        <w:spacing w:after="0" w:line="267" w:lineRule="exact"/>
        <w:rPr>
          <w:rFonts w:ascii="Times New Roman" w:cs="Times New Roman" w:eastAsia="Times New Roman" w:hAnsi="Times New Roman"/>
          <w:sz w:val="16"/>
          <w:szCs w:val="16"/>
          <w:color w:val="auto"/>
        </w:rPr>
      </w:pPr>
    </w:p>
    <w:p>
      <w:pPr>
        <w:ind w:left="1007" w:right="20" w:hanging="440"/>
        <w:spacing w:after="0" w:line="258" w:lineRule="auto"/>
        <w:tabs>
          <w:tab w:leader="none" w:pos="100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Except as authorized by the Committee and agreed to by an Optionee, the payment methods described in Paragraph 7(d)(i) shall, to the extent so provided in an Option document, be the exclusive payment methods, provided that the Committee may, in its sole discretion, and subject to the Optionee’s written consent on a form provided by the Committee, authorize Option documents covering Options to be amended to</w:t>
      </w:r>
    </w:p>
    <w:p>
      <w:pPr>
        <w:spacing w:after="0" w:line="123" w:lineRule="exact"/>
        <w:rPr>
          <w:sz w:val="20"/>
          <w:szCs w:val="20"/>
          <w:color w:val="auto"/>
        </w:rPr>
      </w:pPr>
    </w:p>
    <w:p>
      <w:pPr>
        <w:ind w:left="4707"/>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07"/>
          </w:cols>
          <w:pgMar w:left="1153" w:top="274" w:right="239" w:bottom="1440" w:gutter="0" w:footer="0" w:header="0"/>
        </w:sectPr>
      </w:pPr>
    </w:p>
    <w:bookmarkStart w:id="40" w:name="page41"/>
    <w:bookmarkEnd w:id="40"/>
    <w:p>
      <w:pPr>
        <w:ind w:left="1027"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 that the “cashless exercise” payment method described in this Paragraph 7(d)(ii) shall be an additional or the exclusive payment method. Accordingly, to the extent authorized by the Committee and agreed to by an Optionee, full payment for Shares purchased upon the exercise of an Option shall or may be made via cashless exercise, such that subject to the other terms and conditions of the Plan, following the date of exercise, the Company shall deliver to the Optionee Shares having a Fair Market Value, as of the date of exercise, equal to the excess, if any, of (A) the Fair Market Value of such Shares on the date of exercise of the Option over (B) the sum of (I) the aggregate Option Price for such Shares, plus (II)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58" w:lineRule="exact"/>
        <w:rPr>
          <w:sz w:val="20"/>
          <w:szCs w:val="20"/>
          <w:color w:val="auto"/>
        </w:rPr>
      </w:pPr>
    </w:p>
    <w:p>
      <w:pPr>
        <w:ind w:left="567" w:right="60" w:hanging="567"/>
        <w:spacing w:after="0" w:line="254" w:lineRule="auto"/>
        <w:tabs>
          <w:tab w:leader="none" w:pos="5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Certificate Upon Exercise of Options; Payment of Cash</w:t>
      </w:r>
      <w:r>
        <w:rPr>
          <w:rFonts w:ascii="Times New Roman" w:cs="Times New Roman" w:eastAsia="Times New Roman" w:hAnsi="Times New Roman"/>
          <w:sz w:val="18"/>
          <w:szCs w:val="18"/>
          <w:color w:val="auto"/>
        </w:rPr>
        <w:t>. For purposes of the Plan, the Sponsor may satisfy its obligation to deliver Shares following the exercise of Options either by (i) delivery of a physical certificate for Shares issuable on the exercise of Options or (ii) arranging for the recording of Optionee’s ownership of Shares issuable on the exercise of Options on a book entry recordkeeping system maintained on behalf of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60" w:lineRule="exact"/>
        <w:rPr>
          <w:rFonts w:ascii="Times New Roman" w:cs="Times New Roman" w:eastAsia="Times New Roman" w:hAnsi="Times New Roman"/>
          <w:sz w:val="18"/>
          <w:szCs w:val="18"/>
          <w:color w:val="auto"/>
        </w:rPr>
      </w:pPr>
    </w:p>
    <w:p>
      <w:pPr>
        <w:ind w:left="567" w:right="40" w:hanging="567"/>
        <w:spacing w:after="0" w:line="253" w:lineRule="auto"/>
        <w:tabs>
          <w:tab w:leader="none" w:pos="5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For an Optionee who is a Non-Employee Director, all references to any termination of employment shall be treated as a termination of service to the Sponsor as a Non-Employee Director.</w:t>
      </w:r>
    </w:p>
    <w:p>
      <w:pPr>
        <w:spacing w:after="0" w:line="59" w:lineRule="exact"/>
        <w:rPr>
          <w:rFonts w:ascii="Times New Roman" w:cs="Times New Roman" w:eastAsia="Times New Roman" w:hAnsi="Times New Roman"/>
          <w:sz w:val="18"/>
          <w:szCs w:val="18"/>
          <w:color w:val="auto"/>
        </w:rPr>
      </w:pPr>
    </w:p>
    <w:p>
      <w:pPr>
        <w:ind w:left="567" w:hanging="567"/>
        <w:spacing w:after="0" w:line="262" w:lineRule="auto"/>
        <w:tabs>
          <w:tab w:leader="none" w:pos="5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Periods of Exercise of Options</w:t>
      </w:r>
      <w:r>
        <w:rPr>
          <w:rFonts w:ascii="Times New Roman" w:cs="Times New Roman" w:eastAsia="Times New Roman" w:hAnsi="Times New Roman"/>
          <w:sz w:val="18"/>
          <w:szCs w:val="18"/>
          <w:color w:val="auto"/>
        </w:rPr>
        <w:t>.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w:t>
      </w:r>
    </w:p>
    <w:p>
      <w:pPr>
        <w:spacing w:after="0" w:line="119" w:lineRule="exact"/>
        <w:rPr>
          <w:sz w:val="20"/>
          <w:szCs w:val="20"/>
          <w:color w:val="auto"/>
        </w:rPr>
      </w:pPr>
    </w:p>
    <w:p>
      <w:pPr>
        <w:ind w:left="4647"/>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87"/>
          </w:cols>
          <w:pgMar w:left="1153" w:top="274" w:right="259" w:bottom="1440" w:gutter="0" w:footer="0" w:header="0"/>
        </w:sectPr>
      </w:pPr>
    </w:p>
    <w:bookmarkStart w:id="41" w:name="page42"/>
    <w:bookmarkEnd w:id="41"/>
    <w:p>
      <w:pPr>
        <w:ind w:left="587" w:right="180"/>
        <w:spacing w:after="0" w:line="31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38" w:lineRule="exact"/>
        <w:rPr>
          <w:sz w:val="20"/>
          <w:szCs w:val="20"/>
          <w:color w:val="auto"/>
        </w:rPr>
      </w:pPr>
    </w:p>
    <w:p>
      <w:pPr>
        <w:ind w:left="1007" w:hanging="440"/>
        <w:spacing w:after="0" w:line="254" w:lineRule="auto"/>
        <w:tabs>
          <w:tab w:leader="none" w:pos="10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78" w:lineRule="exact"/>
        <w:rPr>
          <w:rFonts w:ascii="Times New Roman" w:cs="Times New Roman" w:eastAsia="Times New Roman" w:hAnsi="Times New Roman"/>
          <w:sz w:val="18"/>
          <w:szCs w:val="18"/>
          <w:color w:val="auto"/>
        </w:rPr>
      </w:pPr>
    </w:p>
    <w:p>
      <w:pPr>
        <w:ind w:left="1007" w:right="180" w:hanging="440"/>
        <w:spacing w:after="0" w:line="255" w:lineRule="auto"/>
        <w:tabs>
          <w:tab w:leader="none" w:pos="10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179" w:lineRule="exact"/>
        <w:rPr>
          <w:rFonts w:ascii="Times New Roman" w:cs="Times New Roman" w:eastAsia="Times New Roman" w:hAnsi="Times New Roman"/>
          <w:sz w:val="18"/>
          <w:szCs w:val="18"/>
          <w:color w:val="auto"/>
        </w:rPr>
      </w:pPr>
    </w:p>
    <w:p>
      <w:pPr>
        <w:ind w:left="1007" w:right="60" w:hanging="440"/>
        <w:spacing w:after="0" w:line="256" w:lineRule="auto"/>
        <w:tabs>
          <w:tab w:leader="none" w:pos="10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Optionee’s employment with the Company is terminated for Cause, each unexercised Option held by such Optionee shall terminate and cease to be exercisable;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79" w:lineRule="exact"/>
        <w:rPr>
          <w:rFonts w:ascii="Times New Roman" w:cs="Times New Roman" w:eastAsia="Times New Roman" w:hAnsi="Times New Roman"/>
          <w:sz w:val="18"/>
          <w:szCs w:val="18"/>
          <w:color w:val="auto"/>
        </w:rPr>
      </w:pPr>
    </w:p>
    <w:p>
      <w:pPr>
        <w:ind w:left="567" w:hanging="567"/>
        <w:spacing w:after="0" w:line="254" w:lineRule="auto"/>
        <w:tabs>
          <w:tab w:leader="none" w:pos="5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Exercise</w:t>
      </w:r>
      <w:r>
        <w:rPr>
          <w:rFonts w:ascii="Times New Roman" w:cs="Times New Roman" w:eastAsia="Times New Roman" w:hAnsi="Times New Roman"/>
          <w:sz w:val="18"/>
          <w:szCs w:val="18"/>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binding on and irrevocable by the Optionee but shall not be binding on the Committee) as to the manner in which payment to the Sponsor shall be made. Each notice of exercise shall also comply with the requirements of Paragraph 15.</w:t>
      </w:r>
    </w:p>
    <w:p>
      <w:pPr>
        <w:spacing w:after="0" w:line="128" w:lineRule="exact"/>
        <w:rPr>
          <w:sz w:val="20"/>
          <w:szCs w:val="20"/>
          <w:color w:val="auto"/>
        </w:rPr>
      </w:pPr>
    </w:p>
    <w:p>
      <w:pPr>
        <w:ind w:left="4667"/>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87"/>
          </w:cols>
          <w:pgMar w:left="1153" w:top="274" w:right="259" w:bottom="1440" w:gutter="0" w:footer="0" w:header="0"/>
        </w:sectPr>
      </w:pPr>
    </w:p>
    <w:bookmarkStart w:id="42" w:name="page43"/>
    <w:bookmarkEnd w:id="42"/>
    <w:p>
      <w:pPr>
        <w:ind w:left="1920" w:right="40" w:hanging="440"/>
        <w:spacing w:after="0" w:line="262" w:lineRule="auto"/>
        <w:tabs>
          <w:tab w:leader="none" w:pos="1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Rights</w:t>
      </w:r>
      <w:r>
        <w:rPr>
          <w:rFonts w:ascii="Times New Roman" w:cs="Times New Roman" w:eastAsia="Times New Roman" w:hAnsi="Times New Roman"/>
          <w:sz w:val="18"/>
          <w:szCs w:val="18"/>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51" w:lineRule="exact"/>
        <w:rPr>
          <w:rFonts w:ascii="Times New Roman" w:cs="Times New Roman" w:eastAsia="Times New Roman" w:hAnsi="Times New Roman"/>
          <w:sz w:val="18"/>
          <w:szCs w:val="18"/>
          <w:color w:val="auto"/>
        </w:rPr>
      </w:pPr>
    </w:p>
    <w:p>
      <w:pPr>
        <w:ind w:left="2380" w:hanging="441"/>
        <w:spacing w:after="0"/>
        <w:tabs>
          <w:tab w:leader="none" w:pos="23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Cash Right shall expire no later than the Non-Qualified Option to which it is attached.</w:t>
      </w:r>
    </w:p>
    <w:p>
      <w:pPr>
        <w:spacing w:after="0" w:line="90" w:lineRule="exact"/>
        <w:rPr>
          <w:rFonts w:ascii="Times New Roman" w:cs="Times New Roman" w:eastAsia="Times New Roman" w:hAnsi="Times New Roman"/>
          <w:sz w:val="18"/>
          <w:szCs w:val="18"/>
          <w:color w:val="auto"/>
        </w:rPr>
      </w:pPr>
    </w:p>
    <w:p>
      <w:pPr>
        <w:ind w:left="2380" w:right="300" w:hanging="441"/>
        <w:spacing w:after="0" w:line="275" w:lineRule="auto"/>
        <w:tabs>
          <w:tab w:leader="none" w:pos="23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Cash Right shall provide for the cash payment of such amount per Share as shall be determined by the Committee and stated in the option document.</w:t>
      </w:r>
    </w:p>
    <w:p>
      <w:pPr>
        <w:spacing w:after="0" w:line="38" w:lineRule="exact"/>
        <w:rPr>
          <w:rFonts w:ascii="Times New Roman" w:cs="Times New Roman" w:eastAsia="Times New Roman" w:hAnsi="Times New Roman"/>
          <w:sz w:val="18"/>
          <w:szCs w:val="18"/>
          <w:color w:val="auto"/>
        </w:rPr>
      </w:pPr>
    </w:p>
    <w:p>
      <w:pPr>
        <w:ind w:left="2380" w:hanging="441"/>
        <w:spacing w:after="0"/>
        <w:tabs>
          <w:tab w:leader="none" w:pos="2380" w:val="left"/>
        </w:tabs>
        <w:numPr>
          <w:ilvl w:val="2"/>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Cash Right shall be subject to the same restrictions on transferability as the Non-Qualified Option to which it is attached.</w:t>
      </w:r>
    </w:p>
    <w:p>
      <w:pPr>
        <w:spacing w:after="0" w:line="113" w:lineRule="exact"/>
        <w:rPr>
          <w:rFonts w:ascii="Times New Roman" w:cs="Times New Roman" w:eastAsia="Times New Roman" w:hAnsi="Times New Roman"/>
          <w:sz w:val="16"/>
          <w:szCs w:val="16"/>
          <w:color w:val="auto"/>
        </w:rPr>
      </w:pPr>
    </w:p>
    <w:p>
      <w:pPr>
        <w:ind w:left="2380" w:right="20" w:hanging="441"/>
        <w:spacing w:after="0" w:line="275" w:lineRule="auto"/>
        <w:tabs>
          <w:tab w:leader="none" w:pos="23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Cash Right shall be exercisable only when such conditions to exercise as shall be determined by the Committee and stated in the option document, if any, have been satisfied.</w:t>
      </w:r>
    </w:p>
    <w:p>
      <w:pPr>
        <w:spacing w:after="0" w:line="38" w:lineRule="exact"/>
        <w:rPr>
          <w:rFonts w:ascii="Times New Roman" w:cs="Times New Roman" w:eastAsia="Times New Roman" w:hAnsi="Times New Roman"/>
          <w:sz w:val="18"/>
          <w:szCs w:val="18"/>
          <w:color w:val="auto"/>
        </w:rPr>
      </w:pPr>
    </w:p>
    <w:p>
      <w:pPr>
        <w:ind w:left="2380" w:hanging="441"/>
        <w:spacing w:after="0"/>
        <w:tabs>
          <w:tab w:leader="none" w:pos="23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Cash Right shall expire upon the exercise of the Non-Qualified Option to which it is attached.</w:t>
      </w:r>
    </w:p>
    <w:p>
      <w:pPr>
        <w:spacing w:after="0" w:line="90" w:lineRule="exact"/>
        <w:rPr>
          <w:rFonts w:ascii="Times New Roman" w:cs="Times New Roman" w:eastAsia="Times New Roman" w:hAnsi="Times New Roman"/>
          <w:sz w:val="18"/>
          <w:szCs w:val="18"/>
          <w:color w:val="auto"/>
        </w:rPr>
      </w:pPr>
    </w:p>
    <w:p>
      <w:pPr>
        <w:ind w:left="2380" w:right="100" w:hanging="441"/>
        <w:spacing w:after="0" w:line="275" w:lineRule="auto"/>
        <w:tabs>
          <w:tab w:leader="none" w:pos="23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a Cash Right that is attached to a Non-Qualified Option, the Option to which the Cash Right is attached shall expire.</w:t>
      </w:r>
    </w:p>
    <w:p>
      <w:pPr>
        <w:spacing w:after="0" w:line="15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on Exercise of Incentive Stock Options</w:t>
      </w:r>
    </w:p>
    <w:p>
      <w:pPr>
        <w:spacing w:after="0" w:line="9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52" w:lineRule="exact"/>
        <w:rPr>
          <w:sz w:val="20"/>
          <w:szCs w:val="20"/>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as Shareholders</w:t>
      </w:r>
    </w:p>
    <w:p>
      <w:pPr>
        <w:spacing w:after="0" w:line="92"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74" w:right="279" w:bottom="1440" w:gutter="0" w:footer="0" w:header="0"/>
        </w:sectPr>
      </w:pPr>
    </w:p>
    <w:bookmarkStart w:id="43" w:name="page44"/>
    <w:bookmarkEnd w:id="43"/>
    <w:p>
      <w:pPr>
        <w:ind w:left="900" w:hanging="446"/>
        <w:spacing w:after="0"/>
        <w:tabs>
          <w:tab w:leader="none" w:pos="9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in Capitalization</w:t>
      </w:r>
    </w:p>
    <w:p>
      <w:pPr>
        <w:spacing w:after="0" w:line="9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180" w:lineRule="exact"/>
        <w:rPr>
          <w:sz w:val="20"/>
          <w:szCs w:val="20"/>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Terminating Events</w:t>
      </w:r>
    </w:p>
    <w:p>
      <w:pPr>
        <w:spacing w:after="0" w:line="92" w:lineRule="exact"/>
        <w:rPr>
          <w:rFonts w:ascii="Times New Roman" w:cs="Times New Roman" w:eastAsia="Times New Roman" w:hAnsi="Times New Roman"/>
          <w:sz w:val="18"/>
          <w:szCs w:val="18"/>
          <w:b w:val="1"/>
          <w:bCs w:val="1"/>
          <w:color w:val="auto"/>
        </w:rPr>
      </w:pPr>
    </w:p>
    <w:p>
      <w:pPr>
        <w:ind w:left="1480" w:hanging="567"/>
        <w:spacing w:after="0" w:line="254" w:lineRule="auto"/>
        <w:tabs>
          <w:tab w:leader="none" w:pos="14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60" w:lineRule="exact"/>
        <w:rPr>
          <w:rFonts w:ascii="Times New Roman" w:cs="Times New Roman" w:eastAsia="Times New Roman" w:hAnsi="Times New Roman"/>
          <w:sz w:val="18"/>
          <w:szCs w:val="18"/>
          <w:color w:val="auto"/>
        </w:rPr>
      </w:pPr>
    </w:p>
    <w:p>
      <w:pPr>
        <w:ind w:left="1480" w:right="420" w:hanging="567"/>
        <w:spacing w:after="0" w:line="275" w:lineRule="auto"/>
        <w:tabs>
          <w:tab w:leader="none" w:pos="14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15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92"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75" w:lineRule="exact"/>
        <w:rPr>
          <w:sz w:val="20"/>
          <w:szCs w:val="20"/>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w:t>
      </w:r>
    </w:p>
    <w:p>
      <w:pPr>
        <w:spacing w:after="0" w:line="92" w:lineRule="exact"/>
        <w:rPr>
          <w:rFonts w:ascii="Times New Roman" w:cs="Times New Roman" w:eastAsia="Times New Roman" w:hAnsi="Times New Roman"/>
          <w:sz w:val="18"/>
          <w:szCs w:val="18"/>
          <w:b w:val="1"/>
          <w:bCs w:val="1"/>
          <w:color w:val="auto"/>
        </w:rPr>
      </w:pPr>
    </w:p>
    <w:p>
      <w:pPr>
        <w:ind w:left="1480" w:right="360" w:hanging="567"/>
        <w:spacing w:after="0" w:line="339" w:lineRule="auto"/>
        <w:tabs>
          <w:tab w:leader="none" w:pos="148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 General</w:t>
      </w:r>
      <w:r>
        <w:rPr>
          <w:rFonts w:ascii="Times New Roman" w:cs="Times New Roman" w:eastAsia="Times New Roman" w:hAnsi="Times New Roman"/>
          <w:sz w:val="16"/>
          <w:szCs w:val="16"/>
          <w:color w:val="auto"/>
        </w:rPr>
        <w:t>. The Board or the Committee may amend the Plan from time to time in such manner as it may deem advisable. Nevertheless, neither the Board nor the Committee may, without obtaining approval within twelve months before or after such action</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72" w:right="259" w:bottom="1440" w:gutter="0" w:footer="0" w:header="0"/>
        </w:sectPr>
      </w:pPr>
    </w:p>
    <w:bookmarkStart w:id="44" w:name="page45"/>
    <w:bookmarkEnd w:id="44"/>
    <w:p>
      <w:pPr>
        <w:ind w:left="1046"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58" w:lineRule="exact"/>
        <w:rPr>
          <w:sz w:val="20"/>
          <w:szCs w:val="20"/>
          <w:color w:val="auto"/>
        </w:rPr>
      </w:pPr>
    </w:p>
    <w:p>
      <w:pPr>
        <w:ind w:left="1026" w:right="20" w:hanging="567"/>
        <w:spacing w:after="0" w:line="301" w:lineRule="auto"/>
        <w:tabs>
          <w:tab w:leader="none" w:pos="1026"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Repricing of Options</w:t>
      </w:r>
      <w:r>
        <w:rPr>
          <w:rFonts w:ascii="Times New Roman" w:cs="Times New Roman" w:eastAsia="Times New Roman" w:hAnsi="Times New Roman"/>
          <w:sz w:val="16"/>
          <w:szCs w:val="16"/>
          <w:color w:val="auto"/>
        </w:rPr>
        <w:t>. 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141" w:lineRule="exact"/>
        <w:rPr>
          <w:rFonts w:ascii="Times New Roman" w:cs="Times New Roman" w:eastAsia="Times New Roman" w:hAnsi="Times New Roman"/>
          <w:sz w:val="16"/>
          <w:szCs w:val="16"/>
          <w:color w:val="auto"/>
        </w:rPr>
      </w:pPr>
    </w:p>
    <w:p>
      <w:pPr>
        <w:ind w:left="446" w:hanging="446"/>
        <w:spacing w:after="0"/>
        <w:tabs>
          <w:tab w:leader="none" w:pos="44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w:t>
      </w:r>
    </w:p>
    <w:p>
      <w:pPr>
        <w:spacing w:after="0" w:line="92" w:lineRule="exact"/>
        <w:rPr>
          <w:rFonts w:ascii="Times New Roman" w:cs="Times New Roman" w:eastAsia="Times New Roman" w:hAnsi="Times New Roman"/>
          <w:sz w:val="18"/>
          <w:szCs w:val="18"/>
          <w:b w:val="1"/>
          <w:bCs w:val="1"/>
          <w:color w:val="auto"/>
        </w:rPr>
      </w:pPr>
    </w:p>
    <w:p>
      <w:pPr>
        <w:ind w:left="1026" w:right="80" w:hanging="567"/>
        <w:spacing w:after="0" w:line="262" w:lineRule="auto"/>
        <w:tabs>
          <w:tab w:leader="none" w:pos="102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51" w:lineRule="exact"/>
        <w:rPr>
          <w:rFonts w:ascii="Times New Roman" w:cs="Times New Roman" w:eastAsia="Times New Roman" w:hAnsi="Times New Roman"/>
          <w:sz w:val="18"/>
          <w:szCs w:val="18"/>
          <w:color w:val="auto"/>
        </w:rPr>
      </w:pPr>
    </w:p>
    <w:p>
      <w:pPr>
        <w:ind w:left="1026" w:right="80" w:hanging="567"/>
        <w:spacing w:after="0" w:line="262" w:lineRule="auto"/>
        <w:tabs>
          <w:tab w:leader="none" w:pos="102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Securities Law Restrictions on Exercise</w:t>
      </w:r>
      <w:r>
        <w:rPr>
          <w:rFonts w:ascii="Times New Roman" w:cs="Times New Roman" w:eastAsia="Times New Roman" w:hAnsi="Times New Roman"/>
          <w:sz w:val="18"/>
          <w:szCs w:val="18"/>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51" w:lineRule="exact"/>
        <w:rPr>
          <w:rFonts w:ascii="Times New Roman" w:cs="Times New Roman" w:eastAsia="Times New Roman" w:hAnsi="Times New Roman"/>
          <w:sz w:val="18"/>
          <w:szCs w:val="18"/>
          <w:color w:val="auto"/>
        </w:rPr>
      </w:pPr>
    </w:p>
    <w:p>
      <w:pPr>
        <w:ind w:left="1466" w:hanging="440"/>
        <w:spacing w:after="0" w:line="334" w:lineRule="auto"/>
        <w:tabs>
          <w:tab w:leader="none" w:pos="1466"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1" w:lineRule="exact"/>
        <w:rPr>
          <w:rFonts w:ascii="Times New Roman" w:cs="Times New Roman" w:eastAsia="Times New Roman" w:hAnsi="Times New Roman"/>
          <w:sz w:val="16"/>
          <w:szCs w:val="16"/>
          <w:color w:val="auto"/>
        </w:rPr>
      </w:pPr>
    </w:p>
    <w:p>
      <w:pPr>
        <w:ind w:left="1466" w:right="20" w:hanging="440"/>
        <w:spacing w:after="0" w:line="258" w:lineRule="auto"/>
        <w:tabs>
          <w:tab w:leader="none" w:pos="1466"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55" w:lineRule="exact"/>
        <w:rPr>
          <w:rFonts w:ascii="Times New Roman" w:cs="Times New Roman" w:eastAsia="Times New Roman" w:hAnsi="Times New Roman"/>
          <w:sz w:val="18"/>
          <w:szCs w:val="18"/>
          <w:color w:val="auto"/>
        </w:rPr>
      </w:pPr>
    </w:p>
    <w:p>
      <w:pPr>
        <w:ind w:left="1466" w:hanging="440"/>
        <w:spacing w:after="0"/>
        <w:tabs>
          <w:tab w:leader="none" w:pos="1466"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evidencing the Shares may bear a restrictive legend; and</w:t>
      </w:r>
    </w:p>
    <w:p>
      <w:pPr>
        <w:spacing w:after="0" w:line="90" w:lineRule="exact"/>
        <w:rPr>
          <w:rFonts w:ascii="Times New Roman" w:cs="Times New Roman" w:eastAsia="Times New Roman" w:hAnsi="Times New Roman"/>
          <w:sz w:val="18"/>
          <w:szCs w:val="18"/>
          <w:color w:val="auto"/>
        </w:rPr>
      </w:pPr>
    </w:p>
    <w:p>
      <w:pPr>
        <w:ind w:left="1466" w:hanging="440"/>
        <w:spacing w:after="0"/>
        <w:tabs>
          <w:tab w:leader="none" w:pos="1466"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Option may not be transferred without compliance with all applicable federal and state securities laws.</w:t>
      </w:r>
    </w:p>
    <w:p>
      <w:pPr>
        <w:spacing w:after="0" w:line="158"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6"/>
          </w:cols>
          <w:pgMar w:left="694" w:top="274" w:right="239" w:bottom="1440" w:gutter="0" w:footer="0" w:header="0"/>
        </w:sectPr>
      </w:pPr>
    </w:p>
    <w:bookmarkStart w:id="45" w:name="page46"/>
    <w:bookmarkEnd w:id="45"/>
    <w:p>
      <w:pPr>
        <w:ind w:left="1026" w:right="20" w:hanging="567"/>
        <w:spacing w:after="0" w:line="256" w:lineRule="auto"/>
        <w:tabs>
          <w:tab w:leader="none" w:pos="102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Delay of Exercise Pending Registration of Securities</w:t>
      </w:r>
      <w:r>
        <w:rPr>
          <w:rFonts w:ascii="Times New Roman" w:cs="Times New Roman" w:eastAsia="Times New Roman" w:hAnsi="Times New Roman"/>
          <w:sz w:val="18"/>
          <w:szCs w:val="18"/>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77"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of Taxes on Exercise of Option</w:t>
      </w:r>
    </w:p>
    <w:p>
      <w:pPr>
        <w:spacing w:after="0" w:line="92" w:lineRule="exact"/>
        <w:rPr>
          <w:rFonts w:ascii="Times New Roman" w:cs="Times New Roman" w:eastAsia="Times New Roman" w:hAnsi="Times New Roman"/>
          <w:sz w:val="18"/>
          <w:szCs w:val="18"/>
          <w:b w:val="1"/>
          <w:bCs w:val="1"/>
          <w:color w:val="auto"/>
        </w:rPr>
      </w:pPr>
    </w:p>
    <w:p>
      <w:pPr>
        <w:ind w:left="1026" w:hanging="567"/>
        <w:spacing w:after="0" w:line="290" w:lineRule="auto"/>
        <w:tabs>
          <w:tab w:leader="none" w:pos="1026"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31" w:lineRule="exact"/>
        <w:rPr>
          <w:rFonts w:ascii="Times New Roman" w:cs="Times New Roman" w:eastAsia="Times New Roman" w:hAnsi="Times New Roman"/>
          <w:sz w:val="16"/>
          <w:szCs w:val="16"/>
          <w:color w:val="auto"/>
        </w:rPr>
      </w:pPr>
    </w:p>
    <w:p>
      <w:pPr>
        <w:ind w:left="1026" w:hanging="567"/>
        <w:spacing w:after="0" w:line="252" w:lineRule="auto"/>
        <w:tabs>
          <w:tab w:leader="none" w:pos="102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No Shares withheld pursuant to this Paragraph 15(b) shall be available for subsequent grants under the Plan. The Committee may add such other requirements and limitations regarding elections pursuant to this Paragraph 15(b) as it deems appropriate.</w:t>
      </w:r>
    </w:p>
    <w:p>
      <w:pPr>
        <w:spacing w:after="0" w:line="130"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6"/>
          </w:cols>
          <w:pgMar w:left="694" w:top="274" w:right="259" w:bottom="1440" w:gutter="0" w:footer="0" w:header="0"/>
        </w:sectPr>
      </w:pPr>
    </w:p>
    <w:bookmarkStart w:id="46" w:name="page47"/>
    <w:bookmarkEnd w:id="46"/>
    <w:p>
      <w:pPr>
        <w:ind w:left="1480" w:right="20" w:hanging="567"/>
        <w:spacing w:after="0" w:line="253" w:lineRule="auto"/>
        <w:tabs>
          <w:tab w:leader="none" w:pos="14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otherwise provided in this Paragraph 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No Shares withheld pursuant to this Paragraph 15(c) shall be available for subsequent grants under the Plan. The Committee may add such other requirements and limitations regarding elections pursuant to this Paragraph 15(c) as it deems appropriate.</w:t>
      </w:r>
    </w:p>
    <w:p>
      <w:pPr>
        <w:spacing w:after="0" w:line="17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and Term of Plan</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This amendment and restatement of the Plan shall be effective August 4, 2005. The Plan shall expire no later than March 13, 2006, the tenth anniversary of the date the Plan was initially adopted by the board of directors of the Sponsor, unless sooner terminated by the Board.</w:t>
      </w:r>
    </w:p>
    <w:p>
      <w:pPr>
        <w:spacing w:after="0" w:line="158" w:lineRule="exact"/>
        <w:rPr>
          <w:sz w:val="20"/>
          <w:szCs w:val="20"/>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w:t>
      </w: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[THIS SPACE INTENTIONALLY LEFT BLANK]</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274" w:right="299" w:bottom="1440" w:gutter="0" w:footer="0" w:header="0"/>
        </w:sectPr>
      </w:pPr>
    </w:p>
    <w:bookmarkStart w:id="47" w:name="page48"/>
    <w:bookmarkEnd w:id="47"/>
    <w:p>
      <w:pPr>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or state securities laws, and all Shares issued under the Plan shall be subject to the terms and restrictions contained in the Articles of Incorporation and By-Laws of the Sponsor, as amended from time to time.</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Executed as of the 28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February, 2007.</w:t>
      </w:r>
    </w:p>
    <w:p>
      <w:pPr>
        <w:spacing w:after="0" w:line="19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43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L. COHEN</w:t>
            </w:r>
          </w:p>
        </w:tc>
      </w:tr>
      <w:tr>
        <w:trPr>
          <w:trHeight w:val="223"/>
        </w:trPr>
        <w:tc>
          <w:tcPr>
            <w:tcW w:w="820" w:type="dxa"/>
            <w:vAlign w:val="bottom"/>
          </w:tcPr>
          <w:p>
            <w:pPr>
              <w:spacing w:after="0"/>
              <w:rPr>
                <w:sz w:val="19"/>
                <w:szCs w:val="19"/>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 David L. Cohen</w:t>
            </w:r>
          </w:p>
        </w:tc>
      </w:tr>
      <w:tr>
        <w:trPr>
          <w:trHeight w:val="4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ATTEST:</w:t>
            </w:r>
          </w:p>
        </w:tc>
        <w:tc>
          <w:tcPr>
            <w:tcW w:w="3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ARTHUR R. BLOCK</w:t>
            </w:r>
          </w:p>
        </w:tc>
      </w:tr>
      <w:tr>
        <w:trPr>
          <w:trHeight w:val="223"/>
        </w:trPr>
        <w:tc>
          <w:tcPr>
            <w:tcW w:w="820" w:type="dxa"/>
            <w:vAlign w:val="bottom"/>
          </w:tcPr>
          <w:p>
            <w:pPr>
              <w:spacing w:after="0"/>
              <w:rPr>
                <w:sz w:val="19"/>
                <w:szCs w:val="19"/>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 Arthur R. Block</w:t>
            </w:r>
          </w:p>
        </w:tc>
      </w:tr>
    </w:tbl>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4"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2003 STOCK OPTION PLAN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EFFECTIVE FEBRUARY 28, 2007)</w:t>
      </w:r>
    </w:p>
    <w:p>
      <w:pPr>
        <w:spacing w:after="0" w:line="289" w:lineRule="exact"/>
        <w:rPr>
          <w:sz w:val="20"/>
          <w:szCs w:val="20"/>
          <w:color w:val="auto"/>
        </w:rPr>
      </w:pPr>
    </w:p>
    <w:p>
      <w:pPr>
        <w:ind w:left="1480" w:hanging="567"/>
        <w:spacing w:after="0"/>
        <w:tabs>
          <w:tab w:leader="none" w:pos="148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and Purpose of Plan</w:t>
      </w:r>
    </w:p>
    <w:p>
      <w:pPr>
        <w:spacing w:after="0" w:line="173" w:lineRule="exact"/>
        <w:rPr>
          <w:rFonts w:ascii="Times New Roman" w:cs="Times New Roman" w:eastAsia="Times New Roman" w:hAnsi="Times New Roman"/>
          <w:sz w:val="18"/>
          <w:szCs w:val="18"/>
          <w:b w:val="1"/>
          <w:bCs w:val="1"/>
          <w:color w:val="auto"/>
        </w:rPr>
      </w:pPr>
    </w:p>
    <w:p>
      <w:pPr>
        <w:ind w:right="320" w:firstLine="1492"/>
        <w:spacing w:after="0" w:line="275" w:lineRule="auto"/>
        <w:tabs>
          <w:tab w:leader="none" w:pos="185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Background</w:t>
      </w:r>
      <w:r>
        <w:rPr>
          <w:rFonts w:ascii="Times New Roman" w:cs="Times New Roman" w:eastAsia="Times New Roman" w:hAnsi="Times New Roman"/>
          <w:sz w:val="18"/>
          <w:szCs w:val="18"/>
          <w:color w:val="auto"/>
        </w:rPr>
        <w:t>. COMCAST CORPORATION, a Pennsylvania corporation hereby amends and restates the Comcast Corporation 2003 Stock Option Plan, (the “Plan”), effective February 28, 2007.</w:t>
      </w:r>
    </w:p>
    <w:p>
      <w:pPr>
        <w:spacing w:after="0" w:line="119" w:lineRule="exact"/>
        <w:rPr>
          <w:rFonts w:ascii="Times New Roman" w:cs="Times New Roman" w:eastAsia="Times New Roman" w:hAnsi="Times New Roman"/>
          <w:sz w:val="18"/>
          <w:szCs w:val="18"/>
          <w:color w:val="auto"/>
        </w:rPr>
      </w:pPr>
    </w:p>
    <w:p>
      <w:pPr>
        <w:jc w:val="both"/>
        <w:ind w:right="420" w:firstLine="1492"/>
        <w:spacing w:after="0" w:line="262" w:lineRule="auto"/>
        <w:tabs>
          <w:tab w:leader="none" w:pos="186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251"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73" w:lineRule="exact"/>
        <w:rPr>
          <w:rFonts w:ascii="Times New Roman" w:cs="Times New Roman" w:eastAsia="Times New Roman" w:hAnsi="Times New Roman"/>
          <w:sz w:val="18"/>
          <w:szCs w:val="18"/>
          <w:b w:val="1"/>
          <w:bCs w:val="1"/>
          <w:color w:val="auto"/>
        </w:rPr>
      </w:pPr>
    </w:p>
    <w:p>
      <w:pPr>
        <w:ind w:right="20" w:firstLine="1492"/>
        <w:spacing w:after="0" w:line="258" w:lineRule="auto"/>
        <w:tabs>
          <w:tab w:leader="none" w:pos="185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36" w:lineRule="exact"/>
        <w:rPr>
          <w:rFonts w:ascii="Times New Roman" w:cs="Times New Roman" w:eastAsia="Times New Roman" w:hAnsi="Times New Roman"/>
          <w:sz w:val="18"/>
          <w:szCs w:val="18"/>
          <w:color w:val="auto"/>
        </w:rPr>
      </w:pPr>
    </w:p>
    <w:p>
      <w:pPr>
        <w:ind w:right="280" w:firstLine="1492"/>
        <w:spacing w:after="0" w:line="275" w:lineRule="auto"/>
        <w:tabs>
          <w:tab w:leader="none" w:pos="186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AT&amp;T Broadband Transaction</w:t>
      </w:r>
      <w:r>
        <w:rPr>
          <w:rFonts w:ascii="Times New Roman" w:cs="Times New Roman" w:eastAsia="Times New Roman" w:hAnsi="Times New Roman"/>
          <w:sz w:val="18"/>
          <w:szCs w:val="18"/>
          <w:color w:val="auto"/>
        </w:rPr>
        <w:t>” means the acquisition of AT&amp;T Broadband Corp. (now known as Comcast Cable Communications Holdings, Inc.) by the Sponsor.</w:t>
      </w:r>
    </w:p>
    <w:p>
      <w:pPr>
        <w:spacing w:after="0" w:line="119" w:lineRule="exact"/>
        <w:rPr>
          <w:rFonts w:ascii="Times New Roman" w:cs="Times New Roman" w:eastAsia="Times New Roman" w:hAnsi="Times New Roman"/>
          <w:sz w:val="18"/>
          <w:szCs w:val="18"/>
          <w:color w:val="auto"/>
        </w:rPr>
      </w:pPr>
    </w:p>
    <w:p>
      <w:pPr>
        <w:ind w:left="1860" w:hanging="368"/>
        <w:spacing w:after="0"/>
        <w:tabs>
          <w:tab w:leader="none" w:pos="18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Sponsor.</w:t>
      </w:r>
    </w:p>
    <w:p>
      <w:pPr>
        <w:spacing w:after="0" w:line="171"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Right</w:t>
      </w:r>
      <w:r>
        <w:rPr>
          <w:rFonts w:ascii="Times New Roman" w:cs="Times New Roman" w:eastAsia="Times New Roman" w:hAnsi="Times New Roman"/>
          <w:sz w:val="18"/>
          <w:szCs w:val="18"/>
          <w:color w:val="auto"/>
        </w:rPr>
        <w:t>” means any right to receive cash in lieu of Shares granted under the Plan and described in Paragraph 3(a)(iii).</w:t>
      </w:r>
    </w:p>
    <w:p>
      <w:pPr>
        <w:spacing w:after="0" w:line="171" w:lineRule="exact"/>
        <w:rPr>
          <w:rFonts w:ascii="Times New Roman" w:cs="Times New Roman" w:eastAsia="Times New Roman" w:hAnsi="Times New Roman"/>
          <w:sz w:val="18"/>
          <w:szCs w:val="18"/>
          <w:color w:val="auto"/>
        </w:rPr>
      </w:pPr>
    </w:p>
    <w:p>
      <w:pPr>
        <w:ind w:left="1860" w:hanging="368"/>
        <w:spacing w:after="0"/>
        <w:tabs>
          <w:tab w:leader="none" w:pos="1860" w:val="left"/>
        </w:tabs>
        <w:numPr>
          <w:ilvl w:val="2"/>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means (i) fraud; (ii) misappropriation; (iii) embezzlement; (iv) gross negligence in the performance of duties; (v) self-dealing;</w:t>
      </w:r>
    </w:p>
    <w:p>
      <w:pPr>
        <w:spacing w:after="0" w:line="44" w:lineRule="exact"/>
        <w:rPr>
          <w:rFonts w:ascii="Times New Roman" w:cs="Times New Roman" w:eastAsia="Times New Roman" w:hAnsi="Times New Roman"/>
          <w:sz w:val="16"/>
          <w:szCs w:val="16"/>
          <w:color w:val="auto"/>
        </w:rPr>
      </w:pPr>
    </w:p>
    <w:p>
      <w:pPr>
        <w:ind w:right="80" w:firstLine="8"/>
        <w:spacing w:after="0" w:line="254" w:lineRule="auto"/>
        <w:tabs>
          <w:tab w:leader="none" w:pos="29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as to items (ix), (x) and (xi), if capable of being cured, such event or condition remains uncured following 30 days written notice thereof.</w:t>
      </w:r>
    </w:p>
    <w:p>
      <w:pPr>
        <w:sectPr>
          <w:pgSz w:w="11900" w:h="16838" w:orient="portrait"/>
          <w:cols w:equalWidth="0" w:num="1">
            <w:col w:w="11420"/>
          </w:cols>
          <w:pgMar w:left="240" w:top="123" w:right="239" w:bottom="1440" w:gutter="0" w:footer="0" w:header="0"/>
        </w:sectPr>
      </w:pPr>
    </w:p>
    <w:bookmarkStart w:id="49" w:name="page50"/>
    <w:bookmarkEnd w:id="49"/>
    <w:p>
      <w:pPr>
        <w:jc w:val="both"/>
        <w:ind w:right="20" w:firstLine="1492"/>
        <w:spacing w:after="0" w:line="258" w:lineRule="auto"/>
        <w:tabs>
          <w:tab w:leader="none" w:pos="183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136"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71" w:lineRule="exact"/>
        <w:rPr>
          <w:rFonts w:ascii="Times New Roman" w:cs="Times New Roman" w:eastAsia="Times New Roman" w:hAnsi="Times New Roman"/>
          <w:sz w:val="18"/>
          <w:szCs w:val="18"/>
          <w:color w:val="auto"/>
        </w:rPr>
      </w:pPr>
    </w:p>
    <w:p>
      <w:pPr>
        <w:ind w:firstLine="1492"/>
        <w:spacing w:after="0" w:line="310" w:lineRule="auto"/>
        <w:tabs>
          <w:tab w:leader="none" w:pos="186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Comcast Plan</w:t>
      </w:r>
      <w:r>
        <w:rPr>
          <w:rFonts w:ascii="Times New Roman" w:cs="Times New Roman" w:eastAsia="Times New Roman" w:hAnsi="Times New Roman"/>
          <w:sz w:val="16"/>
          <w:szCs w:val="16"/>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97" w:lineRule="exact"/>
        <w:rPr>
          <w:rFonts w:ascii="Times New Roman" w:cs="Times New Roman" w:eastAsia="Times New Roman" w:hAnsi="Times New Roman"/>
          <w:sz w:val="16"/>
          <w:szCs w:val="16"/>
          <w:color w:val="auto"/>
        </w:rPr>
      </w:pPr>
    </w:p>
    <w:p>
      <w:pPr>
        <w:ind w:left="1840" w:hanging="348"/>
        <w:spacing w:after="0"/>
        <w:tabs>
          <w:tab w:leader="none" w:pos="1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committee described in Paragraph 5, provided that for purposes of Paragraph 7:</w:t>
      </w:r>
    </w:p>
    <w:p>
      <w:pPr>
        <w:spacing w:after="0" w:line="171" w:lineRule="exact"/>
        <w:rPr>
          <w:rFonts w:ascii="Times New Roman" w:cs="Times New Roman" w:eastAsia="Times New Roman" w:hAnsi="Times New Roman"/>
          <w:sz w:val="18"/>
          <w:szCs w:val="18"/>
          <w:color w:val="auto"/>
        </w:rPr>
      </w:pPr>
    </w:p>
    <w:p>
      <w:pPr>
        <w:ind w:left="2280" w:hanging="332"/>
        <w:spacing w:after="0"/>
        <w:tabs>
          <w:tab w:leader="none" w:pos="228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references to the Committee shall be treated as references to the Board with respect to any Option granted to or held by a Non-</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Employee Director; and</w:t>
      </w:r>
    </w:p>
    <w:p>
      <w:pPr>
        <w:spacing w:after="0" w:line="158" w:lineRule="exact"/>
        <w:rPr>
          <w:rFonts w:ascii="Times New Roman" w:cs="Times New Roman" w:eastAsia="Times New Roman" w:hAnsi="Times New Roman"/>
          <w:sz w:val="16"/>
          <w:szCs w:val="16"/>
          <w:color w:val="auto"/>
        </w:rPr>
      </w:pPr>
    </w:p>
    <w:p>
      <w:pPr>
        <w:ind w:right="340" w:firstLine="1948"/>
        <w:spacing w:after="0" w:line="275" w:lineRule="auto"/>
        <w:tabs>
          <w:tab w:leader="none" w:pos="233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the Committee shall be treated as references to the Committee’s delegate with respect to any Option granted within the scope of the delegate’s authority pursuant to Paragraph 5(b).</w:t>
      </w:r>
    </w:p>
    <w:p>
      <w:pPr>
        <w:spacing w:after="0" w:line="119" w:lineRule="exact"/>
        <w:rPr>
          <w:rFonts w:ascii="Times New Roman" w:cs="Times New Roman" w:eastAsia="Times New Roman" w:hAnsi="Times New Roman"/>
          <w:sz w:val="18"/>
          <w:szCs w:val="18"/>
          <w:color w:val="auto"/>
        </w:rPr>
      </w:pPr>
    </w:p>
    <w:p>
      <w:pPr>
        <w:ind w:left="1840" w:hanging="348"/>
        <w:spacing w:after="0"/>
        <w:tabs>
          <w:tab w:leader="none" w:pos="1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Sponsor’s Class A Common Stock, par value, $.01.</w:t>
      </w:r>
    </w:p>
    <w:p>
      <w:pPr>
        <w:spacing w:after="0" w:line="171"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the Sponsor and the Subsidiary Companies.</w:t>
      </w:r>
    </w:p>
    <w:p>
      <w:pPr>
        <w:spacing w:after="0" w:line="171" w:lineRule="exact"/>
        <w:rPr>
          <w:rFonts w:ascii="Times New Roman" w:cs="Times New Roman" w:eastAsia="Times New Roman" w:hAnsi="Times New Roman"/>
          <w:sz w:val="18"/>
          <w:szCs w:val="18"/>
          <w:color w:val="auto"/>
        </w:rPr>
      </w:pPr>
    </w:p>
    <w:p>
      <w:pPr>
        <w:ind w:left="1840" w:hanging="348"/>
        <w:spacing w:after="0"/>
        <w:tabs>
          <w:tab w:leader="none" w:pos="1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means the date as of which an Option is granted.</w:t>
      </w:r>
    </w:p>
    <w:p>
      <w:pPr>
        <w:spacing w:after="0" w:line="171" w:lineRule="exact"/>
        <w:rPr>
          <w:rFonts w:ascii="Times New Roman" w:cs="Times New Roman" w:eastAsia="Times New Roman" w:hAnsi="Times New Roman"/>
          <w:sz w:val="18"/>
          <w:szCs w:val="18"/>
          <w:color w:val="auto"/>
        </w:rPr>
      </w:pPr>
    </w:p>
    <w:p>
      <w:pPr>
        <w:ind w:left="1920" w:hanging="428"/>
        <w:spacing w:after="0"/>
        <w:tabs>
          <w:tab w:leader="none" w:pos="1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disability within the meaning of section 22(e)(3) of the Code.</w:t>
      </w:r>
    </w:p>
    <w:p>
      <w:pPr>
        <w:spacing w:after="0" w:line="171" w:lineRule="exact"/>
        <w:rPr>
          <w:rFonts w:ascii="Times New Roman" w:cs="Times New Roman" w:eastAsia="Times New Roman" w:hAnsi="Times New Roman"/>
          <w:sz w:val="18"/>
          <w:szCs w:val="18"/>
          <w:color w:val="auto"/>
        </w:rPr>
      </w:pPr>
    </w:p>
    <w:p>
      <w:pPr>
        <w:ind w:right="180" w:firstLine="1492"/>
        <w:spacing w:after="0" w:line="256" w:lineRule="auto"/>
        <w:tabs>
          <w:tab w:leader="none" w:pos="18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50" w:name="page51"/>
    <w:bookmarkEnd w:id="50"/>
    <w:p>
      <w:pPr>
        <w:ind w:right="220" w:firstLine="1492"/>
        <w:spacing w:after="0" w:line="275" w:lineRule="auto"/>
        <w:tabs>
          <w:tab w:leader="none" w:pos="18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Immediate Family</w:t>
      </w:r>
      <w:r>
        <w:rPr>
          <w:rFonts w:ascii="Times New Roman" w:cs="Times New Roman" w:eastAsia="Times New Roman" w:hAnsi="Times New Roman"/>
          <w:sz w:val="18"/>
          <w:szCs w:val="18"/>
          <w:color w:val="auto"/>
        </w:rPr>
        <w:t>” means an Optionee’s spouse and lineal descendants, any trust all beneficiaries of which are any of such persons and any partnership all partners of which are any of such persons.</w:t>
      </w:r>
    </w:p>
    <w:p>
      <w:pPr>
        <w:spacing w:after="0" w:line="119" w:lineRule="exact"/>
        <w:rPr>
          <w:rFonts w:ascii="Times New Roman" w:cs="Times New Roman" w:eastAsia="Times New Roman" w:hAnsi="Times New Roman"/>
          <w:sz w:val="18"/>
          <w:szCs w:val="18"/>
          <w:color w:val="auto"/>
        </w:rPr>
      </w:pPr>
    </w:p>
    <w:p>
      <w:pPr>
        <w:ind w:right="80" w:firstLine="1492"/>
        <w:spacing w:after="0" w:line="258" w:lineRule="auto"/>
        <w:tabs>
          <w:tab w:leader="none" w:pos="18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36" w:lineRule="exact"/>
        <w:rPr>
          <w:rFonts w:ascii="Times New Roman" w:cs="Times New Roman" w:eastAsia="Times New Roman" w:hAnsi="Times New Roman"/>
          <w:sz w:val="18"/>
          <w:szCs w:val="18"/>
          <w:color w:val="auto"/>
        </w:rPr>
      </w:pPr>
    </w:p>
    <w:p>
      <w:pPr>
        <w:ind w:firstLine="1492"/>
        <w:spacing w:after="0" w:line="275" w:lineRule="auto"/>
        <w:tabs>
          <w:tab w:leader="none" w:pos="18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119" w:lineRule="exact"/>
        <w:rPr>
          <w:rFonts w:ascii="Times New Roman" w:cs="Times New Roman" w:eastAsia="Times New Roman" w:hAnsi="Times New Roman"/>
          <w:sz w:val="18"/>
          <w:szCs w:val="18"/>
          <w:color w:val="auto"/>
        </w:rPr>
      </w:pPr>
    </w:p>
    <w:p>
      <w:pPr>
        <w:ind w:left="1840" w:hanging="348"/>
        <w:spacing w:after="0"/>
        <w:tabs>
          <w:tab w:leader="none" w:pos="1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Option</w:t>
      </w:r>
      <w:r>
        <w:rPr>
          <w:rFonts w:ascii="Times New Roman" w:cs="Times New Roman" w:eastAsia="Times New Roman" w:hAnsi="Times New Roman"/>
          <w:sz w:val="18"/>
          <w:szCs w:val="18"/>
          <w:color w:val="auto"/>
        </w:rPr>
        <w:t>” means:</w:t>
      </w:r>
    </w:p>
    <w:p>
      <w:pPr>
        <w:spacing w:after="0" w:line="171" w:lineRule="exact"/>
        <w:rPr>
          <w:rFonts w:ascii="Times New Roman" w:cs="Times New Roman" w:eastAsia="Times New Roman" w:hAnsi="Times New Roman"/>
          <w:sz w:val="18"/>
          <w:szCs w:val="18"/>
          <w:color w:val="auto"/>
        </w:rPr>
      </w:pPr>
    </w:p>
    <w:p>
      <w:pPr>
        <w:ind w:right="680" w:firstLine="1948"/>
        <w:spacing w:after="0" w:line="275" w:lineRule="auto"/>
        <w:tabs>
          <w:tab w:leader="none" w:pos="228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granted under the Plan, designated by the Committee at the time of such grant as a Non-Qualified Option and containing the terms specified herein for Non-Qualified Options; and</w:t>
      </w:r>
    </w:p>
    <w:p>
      <w:pPr>
        <w:spacing w:after="0" w:line="119" w:lineRule="exact"/>
        <w:rPr>
          <w:rFonts w:ascii="Times New Roman" w:cs="Times New Roman" w:eastAsia="Times New Roman" w:hAnsi="Times New Roman"/>
          <w:sz w:val="18"/>
          <w:szCs w:val="18"/>
          <w:color w:val="auto"/>
        </w:rPr>
      </w:pPr>
    </w:p>
    <w:p>
      <w:pPr>
        <w:ind w:right="400" w:firstLine="1948"/>
        <w:spacing w:after="0" w:line="275" w:lineRule="auto"/>
        <w:tabs>
          <w:tab w:leader="none" w:pos="233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19" w:lineRule="exact"/>
        <w:rPr>
          <w:rFonts w:ascii="Times New Roman" w:cs="Times New Roman" w:eastAsia="Times New Roman" w:hAnsi="Times New Roman"/>
          <w:sz w:val="18"/>
          <w:szCs w:val="18"/>
          <w:color w:val="auto"/>
        </w:rPr>
      </w:pPr>
    </w:p>
    <w:p>
      <w:pPr>
        <w:ind w:left="1860" w:hanging="368"/>
        <w:spacing w:after="0"/>
        <w:tabs>
          <w:tab w:leader="none" w:pos="1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 officer of the Sponsor (as defined in section 16 of the 1934 Act).</w:t>
      </w:r>
    </w:p>
    <w:p>
      <w:pPr>
        <w:spacing w:after="0" w:line="171" w:lineRule="exact"/>
        <w:rPr>
          <w:rFonts w:ascii="Times New Roman" w:cs="Times New Roman" w:eastAsia="Times New Roman" w:hAnsi="Times New Roman"/>
          <w:sz w:val="18"/>
          <w:szCs w:val="18"/>
          <w:color w:val="auto"/>
        </w:rPr>
      </w:pPr>
    </w:p>
    <w:p>
      <w:pPr>
        <w:ind w:left="1840" w:hanging="348"/>
        <w:spacing w:after="0"/>
        <w:tabs>
          <w:tab w:leader="none" w:pos="1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any stock option granted under the Plan and described in Paragraph 3(a)(i) or Paragraph 3(a)(ii).</w:t>
      </w:r>
    </w:p>
    <w:p>
      <w:pPr>
        <w:spacing w:after="0" w:line="171"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Optionee</w:t>
      </w:r>
      <w:r>
        <w:rPr>
          <w:rFonts w:ascii="Times New Roman" w:cs="Times New Roman" w:eastAsia="Times New Roman" w:hAnsi="Times New Roman"/>
          <w:sz w:val="16"/>
          <w:szCs w:val="16"/>
          <w:color w:val="auto"/>
        </w:rPr>
        <w:t>” means a person to whom an Option has been granted under the Plan, which Option has not been exercised in full and has</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not expired or terminated.</w:t>
      </w:r>
    </w:p>
    <w:p>
      <w:pPr>
        <w:spacing w:after="0" w:line="158" w:lineRule="exact"/>
        <w:rPr>
          <w:rFonts w:ascii="Times New Roman" w:cs="Times New Roman" w:eastAsia="Times New Roman" w:hAnsi="Times New Roman"/>
          <w:sz w:val="16"/>
          <w:szCs w:val="16"/>
          <w:color w:val="auto"/>
        </w:rPr>
      </w:pPr>
    </w:p>
    <w:p>
      <w:pPr>
        <w:ind w:left="1880" w:hanging="388"/>
        <w:spacing w:after="0"/>
        <w:tabs>
          <w:tab w:leader="none" w:pos="1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Available Shares</w:t>
      </w:r>
      <w:r>
        <w:rPr>
          <w:rFonts w:ascii="Times New Roman" w:cs="Times New Roman" w:eastAsia="Times New Roman" w:hAnsi="Times New Roman"/>
          <w:sz w:val="18"/>
          <w:szCs w:val="18"/>
          <w:color w:val="auto"/>
        </w:rPr>
        <w:t>” means, as of any date, the sum of:</w:t>
      </w:r>
    </w:p>
    <w:p>
      <w:pPr>
        <w:spacing w:after="0" w:line="171" w:lineRule="exact"/>
        <w:rPr>
          <w:rFonts w:ascii="Times New Roman" w:cs="Times New Roman" w:eastAsia="Times New Roman" w:hAnsi="Times New Roman"/>
          <w:sz w:val="18"/>
          <w:szCs w:val="18"/>
          <w:color w:val="auto"/>
        </w:rPr>
      </w:pPr>
    </w:p>
    <w:p>
      <w:pPr>
        <w:ind w:right="600" w:firstLine="1948"/>
        <w:spacing w:after="0" w:line="275" w:lineRule="auto"/>
        <w:tabs>
          <w:tab w:leader="none" w:pos="228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owned by an Optionee that were not acquired by such Optionee pursuant to a Comcast Plan or otherwise in connection with the performance of services to the Sponsor or an Affiliate; plus</w:t>
      </w:r>
    </w:p>
    <w:p>
      <w:pPr>
        <w:spacing w:after="0" w:line="119" w:lineRule="exact"/>
        <w:rPr>
          <w:rFonts w:ascii="Times New Roman" w:cs="Times New Roman" w:eastAsia="Times New Roman" w:hAnsi="Times New Roman"/>
          <w:sz w:val="18"/>
          <w:szCs w:val="18"/>
          <w:color w:val="auto"/>
        </w:rPr>
      </w:pPr>
    </w:p>
    <w:p>
      <w:pPr>
        <w:ind w:left="2340" w:hanging="392"/>
        <w:spacing w:after="0"/>
        <w:tabs>
          <w:tab w:leader="none" w:pos="23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w:t>
      </w:r>
    </w:p>
    <w:p>
      <w:pPr>
        <w:spacing w:after="0" w:line="90" w:lineRule="exact"/>
        <w:rPr>
          <w:rFonts w:ascii="Times New Roman" w:cs="Times New Roman" w:eastAsia="Times New Roman" w:hAnsi="Times New Roman"/>
          <w:sz w:val="18"/>
          <w:szCs w:val="18"/>
          <w:color w:val="auto"/>
        </w:rPr>
      </w:pPr>
    </w:p>
    <w:p>
      <w:pPr>
        <w:ind w:left="2820" w:hanging="416"/>
        <w:spacing w:after="0"/>
        <w:tabs>
          <w:tab w:leader="none" w:pos="28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owned by an Optionee other than the Shares described in Paragraph 2(v)(i); over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4" w:right="259" w:bottom="1440" w:gutter="0" w:footer="0" w:header="0"/>
        </w:sectPr>
      </w:pPr>
    </w:p>
    <w:bookmarkStart w:id="51" w:name="page52"/>
    <w:bookmarkEnd w:id="51"/>
    <w:p>
      <w:pPr>
        <w:ind w:left="2820" w:hanging="416"/>
        <w:spacing w:after="0"/>
        <w:tabs>
          <w:tab w:leader="none" w:pos="2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sum of:</w:t>
      </w:r>
    </w:p>
    <w:p>
      <w:pPr>
        <w:spacing w:after="0" w:line="171" w:lineRule="exact"/>
        <w:rPr>
          <w:rFonts w:ascii="Times New Roman" w:cs="Times New Roman" w:eastAsia="Times New Roman" w:hAnsi="Times New Roman"/>
          <w:sz w:val="18"/>
          <w:szCs w:val="18"/>
          <w:color w:val="auto"/>
        </w:rPr>
      </w:pPr>
    </w:p>
    <w:p>
      <w:pPr>
        <w:ind w:left="3360" w:hanging="385"/>
        <w:spacing w:after="0"/>
        <w:tabs>
          <w:tab w:leader="none" w:pos="33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Shares owned by such Optionee for less than six months; plus</w:t>
      </w:r>
    </w:p>
    <w:p>
      <w:pPr>
        <w:spacing w:after="0" w:line="171" w:lineRule="exact"/>
        <w:rPr>
          <w:rFonts w:ascii="Times New Roman" w:cs="Times New Roman" w:eastAsia="Times New Roman" w:hAnsi="Times New Roman"/>
          <w:sz w:val="18"/>
          <w:szCs w:val="18"/>
          <w:color w:val="auto"/>
        </w:rPr>
      </w:pPr>
    </w:p>
    <w:p>
      <w:pPr>
        <w:ind w:left="3360" w:hanging="385"/>
        <w:spacing w:after="0"/>
        <w:tabs>
          <w:tab w:leader="none" w:pos="336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such Shares owned by such Optionee that has, within the preceding six months, been the subject of</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withholding certification pursuant to Paragraph 15(b) or any similar withholding certification under any other Comcast Plan; plus</w:t>
      </w:r>
    </w:p>
    <w:p>
      <w:pPr>
        <w:spacing w:after="0" w:line="158" w:lineRule="exact"/>
        <w:rPr>
          <w:rFonts w:ascii="Times New Roman" w:cs="Times New Roman" w:eastAsia="Times New Roman" w:hAnsi="Times New Roman"/>
          <w:sz w:val="16"/>
          <w:szCs w:val="16"/>
          <w:color w:val="auto"/>
        </w:rPr>
      </w:pPr>
    </w:p>
    <w:p>
      <w:pPr>
        <w:ind w:right="120" w:firstLine="2975"/>
        <w:spacing w:after="0" w:line="258" w:lineRule="auto"/>
        <w:tabs>
          <w:tab w:leader="none" w:pos="334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Shares owned by such Optionee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136" w:lineRule="exact"/>
        <w:rPr>
          <w:rFonts w:ascii="Times New Roman" w:cs="Times New Roman" w:eastAsia="Times New Roman" w:hAnsi="Times New Roman"/>
          <w:sz w:val="18"/>
          <w:szCs w:val="18"/>
          <w:color w:val="auto"/>
        </w:rPr>
      </w:pPr>
    </w:p>
    <w:p>
      <w:pPr>
        <w:jc w:val="both"/>
        <w:ind w:right="80" w:firstLine="2975"/>
        <w:spacing w:after="0" w:line="262" w:lineRule="auto"/>
        <w:tabs>
          <w:tab w:leader="none" w:pos="334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Shares owned by such Optionee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13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For purposes of this Paragraph 2(v),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For purposes of determining the number of Other Available Shares, the term “Shares” shall also include the securities held by a Participant immediately before the consummation of the AT&amp;T Broadband Transaction that became Common Stock or Special Common Stock as a result of the AT&amp;T Broadband Transaction.</w:t>
      </w:r>
    </w:p>
    <w:p>
      <w:pPr>
        <w:spacing w:after="0" w:line="139" w:lineRule="exact"/>
        <w:rPr>
          <w:sz w:val="20"/>
          <w:szCs w:val="20"/>
          <w:color w:val="auto"/>
        </w:rPr>
      </w:pPr>
    </w:p>
    <w:p>
      <w:pPr>
        <w:ind w:firstLine="1492"/>
        <w:spacing w:after="0" w:line="275" w:lineRule="auto"/>
        <w:tabs>
          <w:tab w:leader="none" w:pos="19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member of the Board who is an “outside director” within the meaning of section 162(m)(4)(C) of the Code and applicable Treasury Regulations issued thereunder.</w:t>
      </w:r>
    </w:p>
    <w:p>
      <w:pPr>
        <w:spacing w:after="0" w:line="119"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an association, a trust or any other entity or organization.</w:t>
      </w:r>
    </w:p>
    <w:p>
      <w:pPr>
        <w:spacing w:after="0" w:line="171"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the Comcast Corporation 2002 Stock Option Plan.</w:t>
      </w:r>
    </w:p>
    <w:p>
      <w:pPr>
        <w:spacing w:after="0" w:line="171" w:lineRule="exact"/>
        <w:rPr>
          <w:rFonts w:ascii="Times New Roman" w:cs="Times New Roman" w:eastAsia="Times New Roman" w:hAnsi="Times New Roman"/>
          <w:sz w:val="18"/>
          <w:szCs w:val="18"/>
          <w:color w:val="auto"/>
        </w:rPr>
      </w:pPr>
    </w:p>
    <w:p>
      <w:pPr>
        <w:ind w:left="1860" w:hanging="368"/>
        <w:spacing w:after="0"/>
        <w:tabs>
          <w:tab w:leader="none" w:pos="1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2280" w:hanging="332"/>
        <w:spacing w:after="0"/>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Paragraph 2(z), a share or shares Common Stock;</w:t>
      </w:r>
    </w:p>
    <w:p>
      <w:pPr>
        <w:spacing w:after="0" w:line="171" w:lineRule="exact"/>
        <w:rPr>
          <w:rFonts w:ascii="Times New Roman" w:cs="Times New Roman" w:eastAsia="Times New Roman" w:hAnsi="Times New Roman"/>
          <w:sz w:val="18"/>
          <w:szCs w:val="18"/>
          <w:color w:val="auto"/>
        </w:rPr>
      </w:pPr>
    </w:p>
    <w:p>
      <w:pPr>
        <w:ind w:left="2340" w:hanging="392"/>
        <w:spacing w:after="0"/>
        <w:tabs>
          <w:tab w:leader="none" w:pos="23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Paragraphs 2(v), 7(d) and Paragraph 15, the term “Share” or “Shares” also means a share or shares of Special</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4" w:right="259" w:bottom="1440" w:gutter="0" w:footer="0" w:header="0"/>
        </w:sectPr>
      </w:pPr>
    </w:p>
    <w:bookmarkStart w:id="52" w:name="page53"/>
    <w:bookmarkEnd w:id="52"/>
    <w:p>
      <w:pPr>
        <w:ind w:right="260" w:firstLine="1948"/>
        <w:spacing w:after="0" w:line="262" w:lineRule="auto"/>
        <w:tabs>
          <w:tab w:leader="none" w:pos="237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“Share” or “Shares” also means such other securities issued by the Sponsor as may be the subject of an adjustment under Paragraph 10, or for purposes of Paragraph 2(v) and Paragraph 15, as may have been the subject of a similar adjustment under similar provisions of a Comcast Plan as now in effect or as may have been in effect before the AT&amp;T Broadband Transaction.</w:t>
      </w:r>
    </w:p>
    <w:p>
      <w:pPr>
        <w:spacing w:after="0" w:line="132" w:lineRule="exact"/>
        <w:rPr>
          <w:rFonts w:ascii="Times New Roman" w:cs="Times New Roman" w:eastAsia="Times New Roman" w:hAnsi="Times New Roman"/>
          <w:sz w:val="18"/>
          <w:szCs w:val="18"/>
          <w:color w:val="auto"/>
        </w:rPr>
      </w:pPr>
    </w:p>
    <w:p>
      <w:pPr>
        <w:ind w:left="1940" w:hanging="448"/>
        <w:spacing w:after="0"/>
        <w:tabs>
          <w:tab w:leader="none" w:pos="1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Common Stock</w:t>
      </w:r>
      <w:r>
        <w:rPr>
          <w:rFonts w:ascii="Times New Roman" w:cs="Times New Roman" w:eastAsia="Times New Roman" w:hAnsi="Times New Roman"/>
          <w:sz w:val="18"/>
          <w:szCs w:val="18"/>
          <w:color w:val="auto"/>
        </w:rPr>
        <w:t>” means the Sponsor’s Class A Special Common Stock, par value $0.01.</w:t>
      </w:r>
    </w:p>
    <w:p>
      <w:pPr>
        <w:spacing w:after="0" w:line="171" w:lineRule="exact"/>
        <w:rPr>
          <w:rFonts w:ascii="Times New Roman" w:cs="Times New Roman" w:eastAsia="Times New Roman" w:hAnsi="Times New Roman"/>
          <w:sz w:val="18"/>
          <w:szCs w:val="18"/>
          <w:color w:val="auto"/>
        </w:rPr>
      </w:pPr>
    </w:p>
    <w:p>
      <w:pPr>
        <w:ind w:right="40" w:firstLine="1492"/>
        <w:spacing w:after="0" w:line="339" w:lineRule="auto"/>
        <w:tabs>
          <w:tab w:leader="none" w:pos="195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Sponsor</w:t>
      </w:r>
      <w:r>
        <w:rPr>
          <w:rFonts w:ascii="Times New Roman" w:cs="Times New Roman" w:eastAsia="Times New Roman" w:hAnsi="Times New Roman"/>
          <w:sz w:val="16"/>
          <w:szCs w:val="16"/>
          <w:color w:val="auto"/>
        </w:rPr>
        <w:t>”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74" w:lineRule="exact"/>
        <w:rPr>
          <w:rFonts w:ascii="Times New Roman" w:cs="Times New Roman" w:eastAsia="Times New Roman" w:hAnsi="Times New Roman"/>
          <w:sz w:val="16"/>
          <w:szCs w:val="16"/>
          <w:color w:val="auto"/>
        </w:rPr>
      </w:pPr>
    </w:p>
    <w:p>
      <w:pPr>
        <w:ind w:left="1940" w:hanging="448"/>
        <w:spacing w:after="0"/>
        <w:tabs>
          <w:tab w:leader="none" w:pos="19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 Companies</w:t>
      </w:r>
      <w:r>
        <w:rPr>
          <w:rFonts w:ascii="Times New Roman" w:cs="Times New Roman" w:eastAsia="Times New Roman" w:hAnsi="Times New Roman"/>
          <w:sz w:val="16"/>
          <w:szCs w:val="16"/>
          <w:color w:val="auto"/>
        </w:rPr>
        <w:t>” means all business entities that, at the time in question, are subsidiaries of the Sponsor within the meaning of</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section 424(f) of the Code.</w:t>
      </w:r>
    </w:p>
    <w:p>
      <w:pPr>
        <w:spacing w:after="0" w:line="158" w:lineRule="exact"/>
        <w:rPr>
          <w:rFonts w:ascii="Times New Roman" w:cs="Times New Roman" w:eastAsia="Times New Roman" w:hAnsi="Times New Roman"/>
          <w:sz w:val="16"/>
          <w:szCs w:val="16"/>
          <w:color w:val="auto"/>
        </w:rPr>
      </w:pPr>
    </w:p>
    <w:p>
      <w:pPr>
        <w:ind w:right="120" w:firstLine="1492"/>
        <w:spacing w:after="0" w:line="258" w:lineRule="auto"/>
        <w:tabs>
          <w:tab w:leader="none" w:pos="19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Shareholder</w:t>
      </w:r>
      <w:r>
        <w:rPr>
          <w:rFonts w:ascii="Times New Roman" w:cs="Times New Roman" w:eastAsia="Times New Roman" w:hAnsi="Times New Roman"/>
          <w:sz w:val="18"/>
          <w:szCs w:val="18"/>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36" w:lineRule="exact"/>
        <w:rPr>
          <w:rFonts w:ascii="Times New Roman" w:cs="Times New Roman" w:eastAsia="Times New Roman" w:hAnsi="Times New Roman"/>
          <w:sz w:val="18"/>
          <w:szCs w:val="18"/>
          <w:color w:val="auto"/>
        </w:rPr>
      </w:pPr>
    </w:p>
    <w:p>
      <w:pPr>
        <w:ind w:left="1940" w:hanging="448"/>
        <w:spacing w:after="0"/>
        <w:tabs>
          <w:tab w:leader="none" w:pos="1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Terminating Event</w:t>
      </w:r>
      <w:r>
        <w:rPr>
          <w:rFonts w:ascii="Times New Roman" w:cs="Times New Roman" w:eastAsia="Times New Roman" w:hAnsi="Times New Roman"/>
          <w:sz w:val="18"/>
          <w:szCs w:val="18"/>
          <w:color w:val="auto"/>
        </w:rPr>
        <w:t>” means any of the following events:</w:t>
      </w:r>
    </w:p>
    <w:p>
      <w:pPr>
        <w:spacing w:after="0" w:line="171" w:lineRule="exact"/>
        <w:rPr>
          <w:rFonts w:ascii="Times New Roman" w:cs="Times New Roman" w:eastAsia="Times New Roman" w:hAnsi="Times New Roman"/>
          <w:sz w:val="18"/>
          <w:szCs w:val="18"/>
          <w:color w:val="auto"/>
        </w:rPr>
      </w:pPr>
    </w:p>
    <w:p>
      <w:pPr>
        <w:ind w:left="2280" w:hanging="33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Sponsor; or</w:t>
      </w:r>
    </w:p>
    <w:p>
      <w:pPr>
        <w:spacing w:after="0" w:line="171" w:lineRule="exact"/>
        <w:rPr>
          <w:sz w:val="20"/>
          <w:szCs w:val="20"/>
          <w:color w:val="auto"/>
        </w:rPr>
      </w:pPr>
    </w:p>
    <w:p>
      <w:pPr>
        <w:ind w:left="2340" w:hanging="392"/>
        <w:spacing w:after="0"/>
        <w:tabs>
          <w:tab w:leader="none" w:pos="23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w:t>
      </w:r>
    </w:p>
    <w:p>
      <w:pPr>
        <w:spacing w:after="0" w:line="171" w:lineRule="exact"/>
        <w:rPr>
          <w:rFonts w:ascii="Times New Roman" w:cs="Times New Roman" w:eastAsia="Times New Roman" w:hAnsi="Times New Roman"/>
          <w:sz w:val="18"/>
          <w:szCs w:val="18"/>
          <w:color w:val="auto"/>
        </w:rPr>
      </w:pPr>
    </w:p>
    <w:p>
      <w:pPr>
        <w:ind w:right="240" w:firstLine="1492"/>
        <w:spacing w:after="0" w:line="275" w:lineRule="auto"/>
        <w:tabs>
          <w:tab w:leader="none" w:pos="189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a Company, together with such Person’s Affiliates, provided that the term “Third Party” shall not include the Sponsor or an Affiliate of the Sponsor.</w:t>
      </w:r>
    </w:p>
    <w:p>
      <w:pPr>
        <w:spacing w:after="0" w:line="119" w:lineRule="exact"/>
        <w:rPr>
          <w:rFonts w:ascii="Times New Roman" w:cs="Times New Roman" w:eastAsia="Times New Roman" w:hAnsi="Times New Roman"/>
          <w:sz w:val="18"/>
          <w:szCs w:val="18"/>
          <w:color w:val="auto"/>
        </w:rPr>
      </w:pPr>
    </w:p>
    <w:p>
      <w:pPr>
        <w:ind w:left="1960" w:hanging="468"/>
        <w:spacing w:after="0"/>
        <w:tabs>
          <w:tab w:leader="none" w:pos="19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Securities Act of 1933, as amended.</w:t>
      </w:r>
    </w:p>
    <w:p>
      <w:pPr>
        <w:spacing w:after="0" w:line="171" w:lineRule="exact"/>
        <w:rPr>
          <w:rFonts w:ascii="Times New Roman" w:cs="Times New Roman" w:eastAsia="Times New Roman" w:hAnsi="Times New Roman"/>
          <w:sz w:val="18"/>
          <w:szCs w:val="18"/>
          <w:color w:val="auto"/>
        </w:rPr>
      </w:pPr>
    </w:p>
    <w:p>
      <w:pPr>
        <w:ind w:left="1960" w:hanging="468"/>
        <w:spacing w:after="0"/>
        <w:tabs>
          <w:tab w:leader="none" w:pos="19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2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To Be Granted</w:t>
      </w:r>
    </w:p>
    <w:p>
      <w:pPr>
        <w:spacing w:after="0" w:line="92" w:lineRule="exact"/>
        <w:rPr>
          <w:rFonts w:ascii="Times New Roman" w:cs="Times New Roman" w:eastAsia="Times New Roman" w:hAnsi="Times New Roman"/>
          <w:sz w:val="18"/>
          <w:szCs w:val="18"/>
          <w:b w:val="1"/>
          <w:bCs w:val="1"/>
          <w:color w:val="auto"/>
        </w:rPr>
      </w:pPr>
    </w:p>
    <w:p>
      <w:pPr>
        <w:ind w:left="1860" w:hanging="368"/>
        <w:spacing w:after="0"/>
        <w:tabs>
          <w:tab w:leader="none" w:pos="18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Types of Options and Other Rights Available for Grant. Rights that may be granted under the Plan are:</w:t>
      </w:r>
    </w:p>
    <w:p>
      <w:pPr>
        <w:spacing w:after="0" w:line="171" w:lineRule="exact"/>
        <w:rPr>
          <w:rFonts w:ascii="Times New Roman" w:cs="Times New Roman" w:eastAsia="Times New Roman" w:hAnsi="Times New Roman"/>
          <w:sz w:val="18"/>
          <w:szCs w:val="18"/>
          <w:color w:val="auto"/>
        </w:rPr>
      </w:pPr>
    </w:p>
    <w:p>
      <w:pPr>
        <w:ind w:right="440" w:firstLine="1948"/>
        <w:spacing w:after="0" w:line="275" w:lineRule="auto"/>
        <w:tabs>
          <w:tab w:leader="none" w:pos="2281"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274" w:right="279" w:bottom="1440" w:gutter="0" w:footer="0" w:header="0"/>
        </w:sectPr>
      </w:pPr>
    </w:p>
    <w:bookmarkStart w:id="53" w:name="page54"/>
    <w:bookmarkEnd w:id="53"/>
    <w:p>
      <w:pPr>
        <w:ind w:right="140" w:firstLine="1948"/>
        <w:spacing w:after="0" w:line="275" w:lineRule="auto"/>
        <w:tabs>
          <w:tab w:leader="none" w:pos="233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Non-Qualified Options, which give the Optionee the right for a specified time period to purchase a specified number of Shares for a price determined by the Committee; and</w:t>
      </w:r>
    </w:p>
    <w:p>
      <w:pPr>
        <w:spacing w:after="0" w:line="119" w:lineRule="exact"/>
        <w:rPr>
          <w:rFonts w:ascii="Times New Roman" w:cs="Times New Roman" w:eastAsia="Times New Roman" w:hAnsi="Times New Roman"/>
          <w:sz w:val="18"/>
          <w:szCs w:val="18"/>
          <w:color w:val="auto"/>
        </w:rPr>
      </w:pPr>
    </w:p>
    <w:p>
      <w:pPr>
        <w:ind w:right="220" w:firstLine="1948"/>
        <w:spacing w:after="0" w:line="262" w:lineRule="auto"/>
        <w:tabs>
          <w:tab w:leader="none" w:pos="237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32" w:lineRule="exact"/>
        <w:rPr>
          <w:rFonts w:ascii="Times New Roman" w:cs="Times New Roman" w:eastAsia="Times New Roman" w:hAnsi="Times New Roman"/>
          <w:sz w:val="18"/>
          <w:szCs w:val="18"/>
          <w:color w:val="auto"/>
        </w:rPr>
      </w:pPr>
    </w:p>
    <w:p>
      <w:pPr>
        <w:ind w:firstLine="1492"/>
        <w:spacing w:after="0" w:line="275" w:lineRule="auto"/>
        <w:tabs>
          <w:tab w:leader="none" w:pos="18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Grant of Options</w:t>
      </w:r>
      <w:r>
        <w:rPr>
          <w:rFonts w:ascii="Times New Roman" w:cs="Times New Roman" w:eastAsia="Times New Roman" w:hAnsi="Times New Roman"/>
          <w:sz w:val="18"/>
          <w:szCs w:val="18"/>
          <w:color w:val="auto"/>
        </w:rPr>
        <w:t>. The maximum number of Shares for which Options may be granted to any single individual in any calendar year, adjusted as provided in Paragraph 10, shall be 10,000,000 Shares.</w:t>
      </w:r>
    </w:p>
    <w:p>
      <w:pPr>
        <w:spacing w:after="0" w:line="239" w:lineRule="exact"/>
        <w:rPr>
          <w:sz w:val="20"/>
          <w:szCs w:val="20"/>
          <w:color w:val="auto"/>
        </w:rPr>
      </w:pPr>
    </w:p>
    <w:p>
      <w:pPr>
        <w:ind w:left="1480" w:hanging="567"/>
        <w:spacing w:after="0"/>
        <w:tabs>
          <w:tab w:leader="none" w:pos="14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Plan</w:t>
      </w:r>
    </w:p>
    <w:p>
      <w:pPr>
        <w:spacing w:after="0" w:line="92"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Subject to adjustment as provided in Paragraph 10, not more than 105 million Shares in the aggregate (including Shares granted pursuant to the Plan as in effect immediately before the closing of the AT&amp;T Broadband Transaction, and as adjusted to reflect the three-for-two stock split in the form of a 50% stock dividend payable on February 21, 2007 to shareholders of record on February 14, 2007) may be issued pursuant to the Plan upon exercise of Options. Shares delivered pursuant to the exercise of an Option may, at the Sponsor’s option, be either treasury Shares or Shares originally issued for such purpose. If (a) an Option covering Shares terminates or expires without having been exercised in full, (b) the Sponsor withholds Shares to satisfy its minimum tax withholding requirements as provided in Paragraph 15(b) and Paragraph 15(c) or (c) effective February 28, 2007, an Option covering Shares is exercised pursuant to the cashless exercise provisions of Paragraph 7(d)(iv), other Options may be granted covering the Shares as to which the Option terminated or expired, covering the Shares so withheld to satisfy the Sponsor’s minimum tax withholding requirements or covering the Shares that were subject to such Option but not delivered because of the application of such cashless exercise provisions, as applicable.</w:t>
      </w:r>
    </w:p>
    <w:p>
      <w:pPr>
        <w:spacing w:after="0" w:line="263" w:lineRule="exact"/>
        <w:rPr>
          <w:sz w:val="20"/>
          <w:szCs w:val="20"/>
          <w:color w:val="auto"/>
        </w:rPr>
      </w:pPr>
    </w:p>
    <w:p>
      <w:pPr>
        <w:ind w:left="1480" w:hanging="567"/>
        <w:spacing w:after="0"/>
        <w:tabs>
          <w:tab w:leader="none" w:pos="14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Plan</w:t>
      </w:r>
    </w:p>
    <w:p>
      <w:pPr>
        <w:spacing w:after="0" w:line="92" w:lineRule="exact"/>
        <w:rPr>
          <w:rFonts w:ascii="Times New Roman" w:cs="Times New Roman" w:eastAsia="Times New Roman" w:hAnsi="Times New Roman"/>
          <w:sz w:val="18"/>
          <w:szCs w:val="18"/>
          <w:b w:val="1"/>
          <w:bCs w:val="1"/>
          <w:color w:val="auto"/>
        </w:rPr>
      </w:pPr>
    </w:p>
    <w:p>
      <w:pPr>
        <w:ind w:right="80" w:firstLine="1492"/>
        <w:spacing w:after="0" w:line="262" w:lineRule="auto"/>
        <w:tabs>
          <w:tab w:leader="none" w:pos="18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132"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right="160" w:firstLine="1948"/>
        <w:spacing w:after="0" w:line="258" w:lineRule="auto"/>
        <w:tabs>
          <w:tab w:leader="none" w:pos="2281"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Named Executive Officers and Section 16(b) Officers</w:t>
      </w:r>
      <w:r>
        <w:rPr>
          <w:rFonts w:ascii="Times New Roman" w:cs="Times New Roman" w:eastAsia="Times New Roman" w:hAnsi="Times New Roman"/>
          <w:sz w:val="18"/>
          <w:szCs w:val="18"/>
          <w:color w:val="auto"/>
        </w:rPr>
        <w:t>. All authority with respect to the grant, amendment, interpretation and administration of Options with respect to any employee or officer of a Company who is either (x) a Named Executive Officer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4" w:right="279" w:bottom="1440" w:gutter="0" w:footer="0" w:header="0"/>
        </w:sectPr>
      </w:pPr>
    </w:p>
    <w:bookmarkStart w:id="54" w:name="page55"/>
    <w:bookmarkEnd w:id="54"/>
    <w:p>
      <w:pPr>
        <w:ind w:firstLine="1948"/>
        <w:spacing w:after="0" w:line="256" w:lineRule="auto"/>
        <w:tabs>
          <w:tab w:leader="none" w:pos="233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Officers and Highly Compensated Employees</w:t>
      </w:r>
      <w:r>
        <w:rPr>
          <w:rFonts w:ascii="Times New Roman" w:cs="Times New Roman" w:eastAsia="Times New Roman" w:hAnsi="Times New Roman"/>
          <w:sz w:val="18"/>
          <w:szCs w:val="18"/>
          <w:color w:val="auto"/>
        </w:rPr>
        <w:t>. The Committee may delegate to a committee consisting of the Chairman of the Committee and one or more officers of the Company designated by the Committee, discretion under the Plan to grant, amend, interpret and administer Options with respect to any employee or officer of a Company who (x) holds a position with Comcast Corporation of Senior Vice President or a position of higher rank than Senior Vice President or (y) has a base salary of $500,000 or more, provided that an Option granted pursuant to this delegated authority may not have an exercise price per Share that is less than the Fair Market Value on the Date of Grant.</w:t>
      </w:r>
    </w:p>
    <w:p>
      <w:pPr>
        <w:spacing w:after="0" w:line="138" w:lineRule="exact"/>
        <w:rPr>
          <w:rFonts w:ascii="Times New Roman" w:cs="Times New Roman" w:eastAsia="Times New Roman" w:hAnsi="Times New Roman"/>
          <w:sz w:val="18"/>
          <w:szCs w:val="18"/>
          <w:color w:val="auto"/>
        </w:rPr>
      </w:pPr>
    </w:p>
    <w:p>
      <w:pPr>
        <w:ind w:right="320" w:firstLine="1948"/>
        <w:spacing w:after="0" w:line="258" w:lineRule="auto"/>
        <w:tabs>
          <w:tab w:leader="none" w:pos="237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Employees</w:t>
      </w:r>
      <w:r>
        <w:rPr>
          <w:rFonts w:ascii="Times New Roman" w:cs="Times New Roman" w:eastAsia="Times New Roman" w:hAnsi="Times New Roman"/>
          <w:sz w:val="18"/>
          <w:szCs w:val="18"/>
          <w:color w:val="auto"/>
        </w:rPr>
        <w:t>. The Committee may delegate to an officer of the Company, or a committee of two or more officers of the Company, discretion under the Plan to grant, amend, interpret and administer Options with respect to any employee or officer of a Company other than an employee or officer described in Paragraph 5(b)(i) or Paragraph 5(b)(ii), provided that an Option granted pursuant to this delegated authority may not have an exercise price per Share that is less than the Fair Market Value on the Date of Grant.</w:t>
      </w:r>
    </w:p>
    <w:p>
      <w:pPr>
        <w:spacing w:after="0" w:line="136" w:lineRule="exact"/>
        <w:rPr>
          <w:rFonts w:ascii="Times New Roman" w:cs="Times New Roman" w:eastAsia="Times New Roman" w:hAnsi="Times New Roman"/>
          <w:sz w:val="18"/>
          <w:szCs w:val="18"/>
          <w:color w:val="auto"/>
        </w:rPr>
      </w:pPr>
    </w:p>
    <w:p>
      <w:pPr>
        <w:ind w:left="2380" w:hanging="432"/>
        <w:spacing w:after="0"/>
        <w:tabs>
          <w:tab w:leader="none" w:pos="238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Delegation of Authority</w:t>
      </w:r>
      <w:r>
        <w:rPr>
          <w:rFonts w:ascii="Times New Roman" w:cs="Times New Roman" w:eastAsia="Times New Roman" w:hAnsi="Times New Roman"/>
          <w:sz w:val="16"/>
          <w:szCs w:val="16"/>
          <w:color w:val="auto"/>
        </w:rPr>
        <w:t>. Delegation of authority as provided under this Paragraph 5(b) shall continue in effect</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until the earliest of:</w:t>
      </w:r>
    </w:p>
    <w:p>
      <w:pPr>
        <w:spacing w:after="0" w:line="158" w:lineRule="exact"/>
        <w:rPr>
          <w:rFonts w:ascii="Times New Roman" w:cs="Times New Roman" w:eastAsia="Times New Roman" w:hAnsi="Times New Roman"/>
          <w:sz w:val="16"/>
          <w:szCs w:val="16"/>
          <w:color w:val="auto"/>
        </w:rPr>
      </w:pPr>
    </w:p>
    <w:p>
      <w:pPr>
        <w:ind w:left="2780" w:hanging="376"/>
        <w:spacing w:after="0"/>
        <w:tabs>
          <w:tab w:leader="none" w:pos="27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as the Committee shall, in its discretion, revoke such delegation of authority;</w:t>
      </w:r>
    </w:p>
    <w:p>
      <w:pPr>
        <w:spacing w:after="0" w:line="171" w:lineRule="exact"/>
        <w:rPr>
          <w:rFonts w:ascii="Times New Roman" w:cs="Times New Roman" w:eastAsia="Times New Roman" w:hAnsi="Times New Roman"/>
          <w:sz w:val="18"/>
          <w:szCs w:val="18"/>
          <w:color w:val="auto"/>
        </w:rPr>
      </w:pPr>
    </w:p>
    <w:p>
      <w:pPr>
        <w:ind w:right="40" w:firstLine="2404"/>
        <w:spacing w:after="0" w:line="262" w:lineRule="auto"/>
        <w:tabs>
          <w:tab w:leader="none" w:pos="2777"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delegation under Paragraph 5(b)(ii), the delegate shall cease to serve as Chairman of the Committee or serve as an employee of the Company for any reason, as the case may be and in the case of delegation under Paragraph 5(b)(iii), the delegate shall cease to serve as an employee of the Company for any reason; or</w:t>
      </w:r>
    </w:p>
    <w:p>
      <w:pPr>
        <w:spacing w:after="0" w:line="132" w:lineRule="exact"/>
        <w:rPr>
          <w:rFonts w:ascii="Times New Roman" w:cs="Times New Roman" w:eastAsia="Times New Roman" w:hAnsi="Times New Roman"/>
          <w:sz w:val="18"/>
          <w:szCs w:val="18"/>
          <w:color w:val="auto"/>
        </w:rPr>
      </w:pPr>
    </w:p>
    <w:p>
      <w:pPr>
        <w:ind w:left="2780" w:hanging="376"/>
        <w:spacing w:after="0"/>
        <w:tabs>
          <w:tab w:leader="none" w:pos="27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delegate shall notify the Committee that he declines to continue to exercise such authority.</w:t>
      </w:r>
    </w:p>
    <w:p>
      <w:pPr>
        <w:spacing w:after="0" w:line="171" w:lineRule="exact"/>
        <w:rPr>
          <w:rFonts w:ascii="Times New Roman" w:cs="Times New Roman" w:eastAsia="Times New Roman" w:hAnsi="Times New Roman"/>
          <w:sz w:val="18"/>
          <w:szCs w:val="18"/>
          <w:color w:val="auto"/>
        </w:rPr>
      </w:pPr>
    </w:p>
    <w:p>
      <w:pPr>
        <w:ind w:right="160" w:firstLine="1492"/>
        <w:spacing w:after="0" w:line="339" w:lineRule="auto"/>
        <w:tabs>
          <w:tab w:leader="none" w:pos="185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Meetings</w:t>
      </w:r>
      <w:r>
        <w:rPr>
          <w:rFonts w:ascii="Times New Roman" w:cs="Times New Roman" w:eastAsia="Times New Roman" w:hAnsi="Times New Roman"/>
          <w:sz w:val="16"/>
          <w:szCs w:val="16"/>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74" w:lineRule="exact"/>
        <w:rPr>
          <w:rFonts w:ascii="Times New Roman" w:cs="Times New Roman" w:eastAsia="Times New Roman" w:hAnsi="Times New Roman"/>
          <w:sz w:val="16"/>
          <w:szCs w:val="16"/>
          <w:color w:val="auto"/>
        </w:rPr>
      </w:pPr>
    </w:p>
    <w:p>
      <w:pPr>
        <w:jc w:val="both"/>
        <w:ind w:firstLine="1492"/>
        <w:spacing w:after="0" w:line="301" w:lineRule="auto"/>
        <w:tabs>
          <w:tab w:leader="none" w:pos="186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Exculpation</w:t>
      </w:r>
      <w:r>
        <w:rPr>
          <w:rFonts w:ascii="Times New Roman" w:cs="Times New Roman" w:eastAsia="Times New Roman" w:hAnsi="Times New Roman"/>
          <w:sz w:val="16"/>
          <w:szCs w:val="16"/>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that the provisions of this Paragraph 5(d) shall not apply to the responsibility or liability of a member of the Committee pursuant to any criminal statute.</w:t>
      </w:r>
    </w:p>
    <w:p>
      <w:pPr>
        <w:spacing w:after="0" w:line="103" w:lineRule="exact"/>
        <w:rPr>
          <w:rFonts w:ascii="Times New Roman" w:cs="Times New Roman" w:eastAsia="Times New Roman" w:hAnsi="Times New Roman"/>
          <w:sz w:val="16"/>
          <w:szCs w:val="16"/>
          <w:color w:val="auto"/>
        </w:rPr>
      </w:pPr>
    </w:p>
    <w:p>
      <w:pPr>
        <w:ind w:right="100" w:firstLine="1492"/>
        <w:spacing w:after="0" w:line="262" w:lineRule="auto"/>
        <w:tabs>
          <w:tab w:leader="none" w:pos="18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4" w:right="239" w:bottom="1440" w:gutter="0" w:footer="0" w:header="0"/>
        </w:sectPr>
      </w:pPr>
    </w:p>
    <w:bookmarkStart w:id="55" w:name="page56"/>
    <w:bookmarkEnd w:id="55"/>
    <w:p>
      <w:pPr>
        <w:ind w:right="2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239" w:lineRule="exact"/>
        <w:rPr>
          <w:sz w:val="20"/>
          <w:szCs w:val="20"/>
          <w:color w:val="auto"/>
        </w:rPr>
      </w:pPr>
    </w:p>
    <w:p>
      <w:pPr>
        <w:ind w:left="1480" w:hanging="567"/>
        <w:spacing w:after="0"/>
        <w:tabs>
          <w:tab w:leader="none" w:pos="14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92" w:lineRule="exact"/>
        <w:rPr>
          <w:rFonts w:ascii="Times New Roman" w:cs="Times New Roman" w:eastAsia="Times New Roman" w:hAnsi="Times New Roman"/>
          <w:sz w:val="18"/>
          <w:szCs w:val="18"/>
          <w:b w:val="1"/>
          <w:bCs w:val="1"/>
          <w:color w:val="auto"/>
        </w:rPr>
      </w:pPr>
    </w:p>
    <w:p>
      <w:pPr>
        <w:ind w:right="80" w:firstLine="1492"/>
        <w:spacing w:after="0" w:line="256" w:lineRule="auto"/>
        <w:tabs>
          <w:tab w:leader="none" w:pos="185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38" w:lineRule="exact"/>
        <w:rPr>
          <w:rFonts w:ascii="Times New Roman" w:cs="Times New Roman" w:eastAsia="Times New Roman" w:hAnsi="Times New Roman"/>
          <w:sz w:val="18"/>
          <w:szCs w:val="18"/>
          <w:color w:val="auto"/>
        </w:rPr>
      </w:pPr>
    </w:p>
    <w:p>
      <w:pPr>
        <w:ind w:right="20" w:firstLine="1492"/>
        <w:spacing w:after="0" w:line="258" w:lineRule="auto"/>
        <w:tabs>
          <w:tab w:leader="none" w:pos="185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255"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Documents and Terms—In General</w:t>
      </w:r>
    </w:p>
    <w:p>
      <w:pPr>
        <w:spacing w:after="0" w:line="92" w:lineRule="exact"/>
        <w:rPr>
          <w:sz w:val="20"/>
          <w:szCs w:val="20"/>
          <w:color w:val="auto"/>
        </w:rPr>
      </w:pPr>
    </w:p>
    <w:p>
      <w:pPr>
        <w:ind w:right="240" w:firstLine="913"/>
        <w:spacing w:after="0" w:line="262" w:lineRule="auto"/>
        <w:rPr>
          <w:sz w:val="20"/>
          <w:szCs w:val="20"/>
          <w:color w:val="auto"/>
        </w:rPr>
      </w:pPr>
      <w:r>
        <w:rPr>
          <w:rFonts w:ascii="Times New Roman" w:cs="Times New Roman" w:eastAsia="Times New Roman" w:hAnsi="Times New Roman"/>
          <w:sz w:val="18"/>
          <w:szCs w:val="18"/>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132" w:lineRule="exact"/>
        <w:rPr>
          <w:sz w:val="20"/>
          <w:szCs w:val="20"/>
          <w:color w:val="auto"/>
        </w:rPr>
      </w:pPr>
    </w:p>
    <w:p>
      <w:pPr>
        <w:ind w:left="1860" w:hanging="368"/>
        <w:spacing w:after="0"/>
        <w:tabs>
          <w:tab w:leader="none" w:pos="1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Grant</w:t>
      </w:r>
      <w:r>
        <w:rPr>
          <w:rFonts w:ascii="Times New Roman" w:cs="Times New Roman" w:eastAsia="Times New Roman" w:hAnsi="Times New Roman"/>
          <w:sz w:val="18"/>
          <w:szCs w:val="18"/>
          <w:color w:val="auto"/>
        </w:rPr>
        <w:t>. All Options shall be granted on or before February 25, 2013.</w:t>
      </w:r>
    </w:p>
    <w:p>
      <w:pPr>
        <w:spacing w:after="0" w:line="171" w:lineRule="exact"/>
        <w:rPr>
          <w:rFonts w:ascii="Times New Roman" w:cs="Times New Roman" w:eastAsia="Times New Roman" w:hAnsi="Times New Roman"/>
          <w:sz w:val="18"/>
          <w:szCs w:val="18"/>
          <w:color w:val="auto"/>
        </w:rPr>
      </w:pPr>
    </w:p>
    <w:p>
      <w:pPr>
        <w:jc w:val="both"/>
        <w:ind w:right="100" w:firstLine="1492"/>
        <w:spacing w:after="0" w:line="258" w:lineRule="auto"/>
        <w:tabs>
          <w:tab w:leader="none" w:pos="18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xml:space="preserve">. Except as otherwise provided in Section 13(b), the option price per Share with respect to any Option shall be determined by the Committee,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with respect to any Incentive Stock Options, the option price per share shall not be less than 100% of the Fair Market Value of such Share on the Date of Grant,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36" w:lineRule="exact"/>
        <w:rPr>
          <w:rFonts w:ascii="Times New Roman" w:cs="Times New Roman" w:eastAsia="Times New Roman" w:hAnsi="Times New Roman"/>
          <w:sz w:val="18"/>
          <w:szCs w:val="18"/>
          <w:color w:val="auto"/>
        </w:rPr>
      </w:pPr>
    </w:p>
    <w:p>
      <w:pPr>
        <w:ind w:firstLine="1492"/>
        <w:spacing w:after="0" w:line="258" w:lineRule="auto"/>
        <w:tabs>
          <w:tab w:leader="none" w:pos="185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Transferability</w:t>
      </w:r>
      <w:r>
        <w:rPr>
          <w:rFonts w:ascii="Times New Roman" w:cs="Times New Roman" w:eastAsia="Times New Roman" w:hAnsi="Times New Roman"/>
          <w:sz w:val="18"/>
          <w:szCs w:val="18"/>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Committee may, in its discretion, at the time of grant of a Non-Qualified Option or by amendment of an option document for an Incentive Stock Option or a Non-Qualified Option, provide that Options granted to or held by an Optionee may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4" w:right="239" w:bottom="1440" w:gutter="0" w:footer="0" w:header="0"/>
        </w:sectPr>
      </w:pPr>
    </w:p>
    <w:bookmarkStart w:id="56" w:name="page57"/>
    <w:bookmarkEnd w:id="56"/>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 transferred, in whole or in part, to one or more transferees and exercised by any such transferee; </w:t>
      </w:r>
      <w:r>
        <w:rPr>
          <w:rFonts w:ascii="Times New Roman" w:cs="Times New Roman" w:eastAsia="Times New Roman" w:hAnsi="Times New Roman"/>
          <w:sz w:val="18"/>
          <w:szCs w:val="18"/>
          <w:u w:val="single" w:color="auto"/>
          <w:color w:val="auto"/>
        </w:rPr>
        <w:t>provided further that</w:t>
      </w:r>
      <w:r>
        <w:rPr>
          <w:rFonts w:ascii="Times New Roman" w:cs="Times New Roman" w:eastAsia="Times New Roman" w:hAnsi="Times New Roman"/>
          <w:sz w:val="18"/>
          <w:szCs w:val="18"/>
          <w:color w:val="auto"/>
        </w:rPr>
        <w:t xml:space="preserve"> (i) any such transfer is without consideration and (ii) each transferee is a member of such Optionee’s Immediate Family; and </w:t>
      </w:r>
      <w:r>
        <w:rPr>
          <w:rFonts w:ascii="Times New Roman" w:cs="Times New Roman" w:eastAsia="Times New Roman" w:hAnsi="Times New Roman"/>
          <w:sz w:val="18"/>
          <w:szCs w:val="18"/>
          <w:u w:val="single" w:color="auto"/>
          <w:color w:val="auto"/>
        </w:rPr>
        <w:t>provided further that</w:t>
      </w:r>
      <w:r>
        <w:rPr>
          <w:rFonts w:ascii="Times New Roman" w:cs="Times New Roman" w:eastAsia="Times New Roman" w:hAnsi="Times New Roman"/>
          <w:sz w:val="18"/>
          <w:szCs w:val="18"/>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39" w:lineRule="exact"/>
        <w:rPr>
          <w:sz w:val="20"/>
          <w:szCs w:val="20"/>
          <w:color w:val="auto"/>
        </w:rPr>
      </w:pPr>
    </w:p>
    <w:p>
      <w:pPr>
        <w:ind w:firstLine="1492"/>
        <w:spacing w:after="0" w:line="262" w:lineRule="auto"/>
        <w:tabs>
          <w:tab w:leader="none" w:pos="18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Exercise of Options</w:t>
      </w:r>
      <w:r>
        <w:rPr>
          <w:rFonts w:ascii="Times New Roman" w:cs="Times New Roman" w:eastAsia="Times New Roman" w:hAnsi="Times New Roman"/>
          <w:sz w:val="18"/>
          <w:szCs w:val="18"/>
          <w:color w:val="auto"/>
        </w:rPr>
        <w:t>. With respect to Options granted on and after February 28, 2007, full payment for Shares purchased upon the exercise of an Option shall be made pursuant to one or more of the following methods as determined by the Committee and set forth in the Option document:</w:t>
      </w:r>
    </w:p>
    <w:p>
      <w:pPr>
        <w:spacing w:after="0" w:line="132" w:lineRule="exact"/>
        <w:rPr>
          <w:rFonts w:ascii="Times New Roman" w:cs="Times New Roman" w:eastAsia="Times New Roman" w:hAnsi="Times New Roman"/>
          <w:sz w:val="18"/>
          <w:szCs w:val="18"/>
          <w:color w:val="auto"/>
        </w:rPr>
      </w:pPr>
    </w:p>
    <w:p>
      <w:pPr>
        <w:ind w:left="2280" w:hanging="332"/>
        <w:spacing w:after="0"/>
        <w:tabs>
          <w:tab w:leader="none" w:pos="22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w:t>
      </w:r>
    </w:p>
    <w:p>
      <w:pPr>
        <w:spacing w:after="0" w:line="171" w:lineRule="exact"/>
        <w:rPr>
          <w:rFonts w:ascii="Times New Roman" w:cs="Times New Roman" w:eastAsia="Times New Roman" w:hAnsi="Times New Roman"/>
          <w:sz w:val="18"/>
          <w:szCs w:val="18"/>
          <w:color w:val="auto"/>
        </w:rPr>
      </w:pPr>
    </w:p>
    <w:p>
      <w:pPr>
        <w:ind w:left="2340" w:hanging="392"/>
        <w:spacing w:after="0"/>
        <w:tabs>
          <w:tab w:leader="none" w:pos="23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certified check payable to the order of the Sponsor;</w:t>
      </w:r>
    </w:p>
    <w:p>
      <w:pPr>
        <w:spacing w:after="0" w:line="171" w:lineRule="exact"/>
        <w:rPr>
          <w:rFonts w:ascii="Times New Roman" w:cs="Times New Roman" w:eastAsia="Times New Roman" w:hAnsi="Times New Roman"/>
          <w:sz w:val="18"/>
          <w:szCs w:val="18"/>
          <w:color w:val="auto"/>
        </w:rPr>
      </w:pPr>
    </w:p>
    <w:p>
      <w:pPr>
        <w:ind w:right="80" w:firstLine="1948"/>
        <w:spacing w:after="0" w:line="252" w:lineRule="auto"/>
        <w:tabs>
          <w:tab w:leader="none" w:pos="237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surrendering or attesting to ownership of Shares with an aggregate Fair Market Value equal to the aggregate option price,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with respect to Options granted before February 28, 2007,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144" w:lineRule="exact"/>
        <w:rPr>
          <w:rFonts w:ascii="Times New Roman" w:cs="Times New Roman" w:eastAsia="Times New Roman" w:hAnsi="Times New Roman"/>
          <w:sz w:val="18"/>
          <w:szCs w:val="18"/>
          <w:color w:val="auto"/>
        </w:rPr>
      </w:pPr>
    </w:p>
    <w:p>
      <w:pPr>
        <w:ind w:left="2380" w:hanging="432"/>
        <w:spacing w:after="0"/>
        <w:tabs>
          <w:tab w:leader="none" w:pos="23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cashless exercise, such that subject to the other terms and conditions of the Plan, following the date of exercise, the</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deliver to the</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4" w:right="259" w:bottom="1440" w:gutter="0" w:footer="0" w:header="0"/>
        </w:sectPr>
      </w:pPr>
    </w:p>
    <w:bookmarkStart w:id="57" w:name="page58"/>
    <w:bookmarkEnd w:id="5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Optionee Shares having a Fair Market Value, as of the date of exercise, equal to the excess, if any, of (A) the Fair Market Value of such Shares on the date of exercise of the Option over (B) the sum of (I) the aggregate Option Price for such Shares, plus (II)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13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Except as authorized by the Committee and agreed to by an Optionee, with respect to Options granted before February 28, 2007, the payment methods described in Paragraph 7(d)(i), (ii) and (iii) shall, to the extent so provided in an Option document, be the exclusive payment methods, provided that the Committee may, in its sole discretion, and subject to the Optionee’s written consent on a form provided by the Committee, authorize Option documents covering Options granted before February 28, 2007 to be amended to provide that the payment method described in Paragraph 7(d)(iv) shall be an additional or the exclusive payment method.</w:t>
      </w:r>
    </w:p>
    <w:p>
      <w:pPr>
        <w:spacing w:after="0" w:line="139" w:lineRule="exact"/>
        <w:rPr>
          <w:sz w:val="20"/>
          <w:szCs w:val="20"/>
          <w:color w:val="auto"/>
        </w:rPr>
      </w:pPr>
    </w:p>
    <w:p>
      <w:pPr>
        <w:ind w:right="80" w:firstLine="1492"/>
        <w:spacing w:after="0" w:line="285" w:lineRule="auto"/>
        <w:tabs>
          <w:tab w:leader="none" w:pos="1854"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 of Certificate Upon Exercise of Options; Payment of Cash</w:t>
      </w:r>
      <w:r>
        <w:rPr>
          <w:rFonts w:ascii="Times New Roman" w:cs="Times New Roman" w:eastAsia="Times New Roman" w:hAnsi="Times New Roman"/>
          <w:sz w:val="16"/>
          <w:szCs w:val="16"/>
          <w:color w:val="auto"/>
        </w:rPr>
        <w:t>. For purposes of the Plan, the Sponsor may satisfy its obligation to deliver Shares following the exercise of Options either by (i) delivery of a physical certificate for Shares issuable on the exercise of Options or (ii) arranging for the recording of Optionee’s ownership of Shares issuable on the exercise of Options on a book entry recordkeeping system maintained on behalf of the Sponsor. Only whole Shares shall be issuable upon exercise of Options. No fractional Shares shall be issued. Any right to a fractional Share shall be satisfied in cash.</w:t>
      </w:r>
    </w:p>
    <w:p>
      <w:pPr>
        <w:spacing w:after="0" w:line="2" w:lineRule="exact"/>
        <w:rPr>
          <w:rFonts w:ascii="Times New Roman" w:cs="Times New Roman" w:eastAsia="Times New Roman" w:hAnsi="Times New Roman"/>
          <w:sz w:val="16"/>
          <w:szCs w:val="16"/>
          <w:color w:val="auto"/>
        </w:rPr>
      </w:pPr>
    </w:p>
    <w:p>
      <w:pPr>
        <w:ind w:right="200"/>
        <w:spacing w:after="0" w:line="32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86" w:lineRule="exact"/>
        <w:rPr>
          <w:rFonts w:ascii="Times New Roman" w:cs="Times New Roman" w:eastAsia="Times New Roman" w:hAnsi="Times New Roman"/>
          <w:sz w:val="16"/>
          <w:szCs w:val="16"/>
          <w:color w:val="auto"/>
        </w:rPr>
      </w:pPr>
    </w:p>
    <w:p>
      <w:pPr>
        <w:ind w:firstLine="1492"/>
        <w:spacing w:after="0" w:line="253" w:lineRule="auto"/>
        <w:tabs>
          <w:tab w:leader="none" w:pos="183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For an Optionee who is a Non-Employee Director, all references to any termination of employment shall be treated as a termination of service to the Sponsor as a Non-Employee Director.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4" w:right="259" w:bottom="1440" w:gutter="0" w:footer="0" w:header="0"/>
        </w:sectPr>
      </w:pPr>
    </w:p>
    <w:bookmarkStart w:id="58" w:name="page59"/>
    <w:bookmarkEnd w:id="58"/>
    <w:p>
      <w:pPr>
        <w:ind w:left="-40" w:right="40" w:firstLine="1492"/>
        <w:spacing w:after="0" w:line="296" w:lineRule="auto"/>
        <w:tabs>
          <w:tab w:leader="none" w:pos="1824"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Periods of Exercise of Options</w:t>
      </w:r>
      <w:r>
        <w:rPr>
          <w:rFonts w:ascii="Times New Roman" w:cs="Times New Roman" w:eastAsia="Times New Roman" w:hAnsi="Times New Roman"/>
          <w:sz w:val="16"/>
          <w:szCs w:val="16"/>
          <w:color w:val="auto"/>
        </w:rPr>
        <w:t>.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07" w:lineRule="exact"/>
        <w:rPr>
          <w:rFonts w:ascii="Times New Roman" w:cs="Times New Roman" w:eastAsia="Times New Roman" w:hAnsi="Times New Roman"/>
          <w:sz w:val="16"/>
          <w:szCs w:val="16"/>
          <w:color w:val="auto"/>
        </w:rPr>
      </w:pPr>
    </w:p>
    <w:p>
      <w:pPr>
        <w:ind w:left="-40" w:right="60" w:firstLine="1948"/>
        <w:spacing w:after="0" w:line="254" w:lineRule="auto"/>
        <w:tabs>
          <w:tab w:leader="none" w:pos="224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41" w:lineRule="exact"/>
        <w:rPr>
          <w:rFonts w:ascii="Times New Roman" w:cs="Times New Roman" w:eastAsia="Times New Roman" w:hAnsi="Times New Roman"/>
          <w:sz w:val="18"/>
          <w:szCs w:val="18"/>
          <w:color w:val="auto"/>
        </w:rPr>
      </w:pPr>
    </w:p>
    <w:p>
      <w:pPr>
        <w:jc w:val="both"/>
        <w:ind w:left="-40" w:firstLine="1948"/>
        <w:spacing w:after="0" w:line="256" w:lineRule="auto"/>
        <w:tabs>
          <w:tab w:leader="none" w:pos="229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138" w:lineRule="exact"/>
        <w:rPr>
          <w:rFonts w:ascii="Times New Roman" w:cs="Times New Roman" w:eastAsia="Times New Roman" w:hAnsi="Times New Roman"/>
          <w:sz w:val="18"/>
          <w:szCs w:val="18"/>
          <w:color w:val="auto"/>
        </w:rPr>
      </w:pPr>
    </w:p>
    <w:p>
      <w:pPr>
        <w:ind w:left="-40" w:right="80" w:firstLine="1948"/>
        <w:spacing w:after="0" w:line="258" w:lineRule="auto"/>
        <w:tabs>
          <w:tab w:leader="none" w:pos="233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Optionee’s employment with the Company is terminated for Cause, each unexercised Option held by such Optionee shall terminate and cease to be exercisable;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36" w:lineRule="exact"/>
        <w:rPr>
          <w:rFonts w:ascii="Times New Roman" w:cs="Times New Roman" w:eastAsia="Times New Roman" w:hAnsi="Times New Roman"/>
          <w:sz w:val="18"/>
          <w:szCs w:val="18"/>
          <w:color w:val="auto"/>
        </w:rPr>
      </w:pPr>
    </w:p>
    <w:p>
      <w:pPr>
        <w:ind w:left="-40" w:firstLine="1492"/>
        <w:spacing w:after="0" w:line="256" w:lineRule="auto"/>
        <w:tabs>
          <w:tab w:leader="none" w:pos="18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Exercise</w:t>
      </w:r>
      <w:r>
        <w:rPr>
          <w:rFonts w:ascii="Times New Roman" w:cs="Times New Roman" w:eastAsia="Times New Roman" w:hAnsi="Times New Roman"/>
          <w:sz w:val="18"/>
          <w:szCs w:val="18"/>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80" w:top="274" w:right="259" w:bottom="1440" w:gutter="0" w:footer="0" w:header="0"/>
        </w:sectPr>
      </w:pPr>
    </w:p>
    <w:bookmarkStart w:id="59" w:name="page60"/>
    <w:bookmarkEnd w:id="59"/>
    <w:p>
      <w:pPr>
        <w:ind w:right="2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binding on and irrevocable by the Optionee but shall not be binding on the Committee) as to the manner in which payment to the Sponsor shall be made. Each notice of exercise shall also comply with the requirements of Paragraph 15.</w:t>
      </w:r>
    </w:p>
    <w:p>
      <w:pPr>
        <w:spacing w:after="0" w:line="120" w:lineRule="exact"/>
        <w:rPr>
          <w:sz w:val="20"/>
          <w:szCs w:val="20"/>
          <w:color w:val="auto"/>
        </w:rPr>
      </w:pPr>
    </w:p>
    <w:p>
      <w:pPr>
        <w:ind w:right="80" w:firstLine="1492"/>
        <w:spacing w:after="0" w:line="339" w:lineRule="auto"/>
        <w:tabs>
          <w:tab w:leader="none" w:pos="1825"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Cash Rights</w:t>
      </w:r>
      <w:r>
        <w:rPr>
          <w:rFonts w:ascii="Times New Roman" w:cs="Times New Roman" w:eastAsia="Times New Roman" w:hAnsi="Times New Roman"/>
          <w:sz w:val="16"/>
          <w:szCs w:val="16"/>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74" w:lineRule="exact"/>
        <w:rPr>
          <w:rFonts w:ascii="Times New Roman" w:cs="Times New Roman" w:eastAsia="Times New Roman" w:hAnsi="Times New Roman"/>
          <w:sz w:val="16"/>
          <w:szCs w:val="16"/>
          <w:color w:val="auto"/>
        </w:rPr>
      </w:pPr>
    </w:p>
    <w:p>
      <w:pPr>
        <w:ind w:left="2280" w:hanging="332"/>
        <w:spacing w:after="0"/>
        <w:tabs>
          <w:tab w:leader="none" w:pos="228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Cash Right shall expire no later than the Non-Qualified Option to which it is attached.</w:t>
      </w:r>
    </w:p>
    <w:p>
      <w:pPr>
        <w:spacing w:after="0" w:line="171" w:lineRule="exact"/>
        <w:rPr>
          <w:rFonts w:ascii="Times New Roman" w:cs="Times New Roman" w:eastAsia="Times New Roman" w:hAnsi="Times New Roman"/>
          <w:sz w:val="18"/>
          <w:szCs w:val="18"/>
          <w:color w:val="auto"/>
        </w:rPr>
      </w:pPr>
    </w:p>
    <w:p>
      <w:pPr>
        <w:ind w:left="2340" w:hanging="392"/>
        <w:spacing w:after="0"/>
        <w:tabs>
          <w:tab w:leader="none" w:pos="234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Cash Right shall provide for the cash payment of such amount per Share as shall be determined by the Committee and</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stated in the option document.</w:t>
      </w:r>
    </w:p>
    <w:p>
      <w:pPr>
        <w:spacing w:after="0" w:line="158" w:lineRule="exact"/>
        <w:rPr>
          <w:rFonts w:ascii="Times New Roman" w:cs="Times New Roman" w:eastAsia="Times New Roman" w:hAnsi="Times New Roman"/>
          <w:sz w:val="18"/>
          <w:szCs w:val="18"/>
          <w:color w:val="auto"/>
        </w:rPr>
      </w:pPr>
    </w:p>
    <w:p>
      <w:pPr>
        <w:ind w:left="2380" w:hanging="432"/>
        <w:spacing w:after="0"/>
        <w:tabs>
          <w:tab w:leader="none" w:pos="2380" w:val="left"/>
        </w:tabs>
        <w:numPr>
          <w:ilvl w:val="2"/>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Cash Right shall be subject to the same restrictions on transferability as the Non-Qualified Option to which it is attached.</w:t>
      </w:r>
    </w:p>
    <w:p>
      <w:pPr>
        <w:spacing w:after="0" w:line="194" w:lineRule="exact"/>
        <w:rPr>
          <w:rFonts w:ascii="Times New Roman" w:cs="Times New Roman" w:eastAsia="Times New Roman" w:hAnsi="Times New Roman"/>
          <w:sz w:val="16"/>
          <w:szCs w:val="16"/>
          <w:color w:val="auto"/>
        </w:rPr>
      </w:pPr>
    </w:p>
    <w:p>
      <w:pPr>
        <w:ind w:right="20" w:firstLine="1948"/>
        <w:spacing w:after="0" w:line="275" w:lineRule="auto"/>
        <w:tabs>
          <w:tab w:leader="none" w:pos="2369"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Cash Right shall be exercisable only when such conditions to exercise as shall be determined by the Committee and stated in the option document, if any, have been satisfied.</w:t>
      </w:r>
    </w:p>
    <w:p>
      <w:pPr>
        <w:spacing w:after="0" w:line="119" w:lineRule="exact"/>
        <w:rPr>
          <w:rFonts w:ascii="Times New Roman" w:cs="Times New Roman" w:eastAsia="Times New Roman" w:hAnsi="Times New Roman"/>
          <w:sz w:val="18"/>
          <w:szCs w:val="18"/>
          <w:color w:val="auto"/>
        </w:rPr>
      </w:pPr>
    </w:p>
    <w:p>
      <w:pPr>
        <w:ind w:left="2320" w:hanging="372"/>
        <w:spacing w:after="0"/>
        <w:tabs>
          <w:tab w:leader="none" w:pos="232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Cash Right shall expire upon the exercise of the Non-Qualified Option to which it is attached.</w:t>
      </w:r>
    </w:p>
    <w:p>
      <w:pPr>
        <w:spacing w:after="0" w:line="171" w:lineRule="exact"/>
        <w:rPr>
          <w:rFonts w:ascii="Times New Roman" w:cs="Times New Roman" w:eastAsia="Times New Roman" w:hAnsi="Times New Roman"/>
          <w:sz w:val="18"/>
          <w:szCs w:val="18"/>
          <w:color w:val="auto"/>
        </w:rPr>
      </w:pPr>
    </w:p>
    <w:p>
      <w:pPr>
        <w:ind w:left="2380" w:hanging="432"/>
        <w:spacing w:after="0"/>
        <w:tabs>
          <w:tab w:leader="none" w:pos="2380" w:val="left"/>
        </w:tabs>
        <w:numPr>
          <w:ilvl w:val="2"/>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exercise of a Cash Right that is attached to a Non-Qualified Option, the Option to which the Cash Right is attached shall</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expire.</w:t>
      </w:r>
    </w:p>
    <w:p>
      <w:pPr>
        <w:spacing w:after="0" w:line="278" w:lineRule="exact"/>
        <w:rPr>
          <w:rFonts w:ascii="Times New Roman" w:cs="Times New Roman" w:eastAsia="Times New Roman" w:hAnsi="Times New Roman"/>
          <w:sz w:val="16"/>
          <w:szCs w:val="16"/>
          <w:color w:val="auto"/>
        </w:rPr>
      </w:pPr>
    </w:p>
    <w:p>
      <w:pPr>
        <w:ind w:left="1480" w:hanging="567"/>
        <w:spacing w:after="0"/>
        <w:tabs>
          <w:tab w:leader="none" w:pos="14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on Exercise of Incentive Stock Options</w:t>
      </w:r>
    </w:p>
    <w:p>
      <w:pPr>
        <w:spacing w:after="0" w:line="92" w:lineRule="exact"/>
        <w:rPr>
          <w:sz w:val="20"/>
          <w:szCs w:val="20"/>
          <w:color w:val="auto"/>
        </w:rPr>
      </w:pPr>
    </w:p>
    <w:p>
      <w:pPr>
        <w:ind w:firstLine="913"/>
        <w:spacing w:after="0" w:line="291" w:lineRule="auto"/>
        <w:rPr>
          <w:sz w:val="20"/>
          <w:szCs w:val="20"/>
          <w:color w:val="auto"/>
        </w:rPr>
      </w:pPr>
      <w:r>
        <w:rPr>
          <w:rFonts w:ascii="Times New Roman" w:cs="Times New Roman" w:eastAsia="Times New Roman" w:hAnsi="Times New Roman"/>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233" w:lineRule="exact"/>
        <w:rPr>
          <w:sz w:val="20"/>
          <w:szCs w:val="20"/>
          <w:color w:val="auto"/>
        </w:rPr>
      </w:pPr>
    </w:p>
    <w:p>
      <w:pPr>
        <w:ind w:left="1480" w:hanging="567"/>
        <w:spacing w:after="0"/>
        <w:tabs>
          <w:tab w:leader="none" w:pos="14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as Shareholders</w:t>
      </w:r>
    </w:p>
    <w:p>
      <w:pPr>
        <w:spacing w:after="0" w:line="92" w:lineRule="exact"/>
        <w:rPr>
          <w:sz w:val="20"/>
          <w:szCs w:val="20"/>
          <w:color w:val="auto"/>
        </w:rPr>
      </w:pPr>
    </w:p>
    <w:p>
      <w:pPr>
        <w:ind w:right="60" w:firstLine="913"/>
        <w:spacing w:after="0" w:line="275" w:lineRule="auto"/>
        <w:rPr>
          <w:sz w:val="20"/>
          <w:szCs w:val="20"/>
          <w:color w:val="auto"/>
        </w:rPr>
      </w:pPr>
      <w:r>
        <w:rPr>
          <w:rFonts w:ascii="Times New Roman" w:cs="Times New Roman" w:eastAsia="Times New Roman" w:hAnsi="Times New Roman"/>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74" w:right="279" w:bottom="1440" w:gutter="0" w:footer="0" w:header="0"/>
        </w:sectPr>
      </w:pPr>
    </w:p>
    <w:bookmarkStart w:id="60" w:name="page61"/>
    <w:bookmarkEnd w:id="60"/>
    <w:p>
      <w:pPr>
        <w:ind w:right="3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number of Shares in respect of which the Option was exercised and the Optionee shall have made arrangements acceptable to the Sponsor for the payment of applicable taxes consistent with Paragraph 15.</w:t>
      </w:r>
    </w:p>
    <w:p>
      <w:pPr>
        <w:spacing w:after="0" w:line="239" w:lineRule="exact"/>
        <w:rPr>
          <w:sz w:val="20"/>
          <w:szCs w:val="20"/>
          <w:color w:val="auto"/>
        </w:rPr>
      </w:pPr>
    </w:p>
    <w:p>
      <w:pPr>
        <w:ind w:left="1480" w:hanging="567"/>
        <w:spacing w:after="0"/>
        <w:tabs>
          <w:tab w:leader="none" w:pos="14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Capitalization</w:t>
      </w:r>
    </w:p>
    <w:p>
      <w:pPr>
        <w:spacing w:after="0" w:line="92" w:lineRule="exact"/>
        <w:rPr>
          <w:sz w:val="20"/>
          <w:szCs w:val="20"/>
          <w:color w:val="auto"/>
        </w:rPr>
      </w:pPr>
    </w:p>
    <w:p>
      <w:pPr>
        <w:ind w:right="120" w:firstLine="913"/>
        <w:spacing w:after="0" w:line="254" w:lineRule="auto"/>
        <w:rPr>
          <w:sz w:val="20"/>
          <w:szCs w:val="20"/>
          <w:color w:val="auto"/>
        </w:rPr>
      </w:pPr>
      <w:r>
        <w:rPr>
          <w:rFonts w:ascii="Times New Roman" w:cs="Times New Roman" w:eastAsia="Times New Roman" w:hAnsi="Times New Roman"/>
          <w:sz w:val="18"/>
          <w:szCs w:val="18"/>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261" w:lineRule="exact"/>
        <w:rPr>
          <w:sz w:val="20"/>
          <w:szCs w:val="20"/>
          <w:color w:val="auto"/>
        </w:rPr>
      </w:pPr>
    </w:p>
    <w:p>
      <w:pPr>
        <w:ind w:left="1480" w:hanging="567"/>
        <w:spacing w:after="0"/>
        <w:tabs>
          <w:tab w:leader="none" w:pos="14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Terminating Events</w:t>
      </w:r>
    </w:p>
    <w:p>
      <w:pPr>
        <w:spacing w:after="0" w:line="92" w:lineRule="exact"/>
        <w:rPr>
          <w:rFonts w:ascii="Times New Roman" w:cs="Times New Roman" w:eastAsia="Times New Roman" w:hAnsi="Times New Roman"/>
          <w:sz w:val="18"/>
          <w:szCs w:val="18"/>
          <w:b w:val="1"/>
          <w:bCs w:val="1"/>
          <w:color w:val="auto"/>
        </w:rPr>
      </w:pPr>
    </w:p>
    <w:p>
      <w:pPr>
        <w:ind w:firstLine="1492"/>
        <w:spacing w:after="0" w:line="255" w:lineRule="auto"/>
        <w:tabs>
          <w:tab w:leader="none" w:pos="185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139" w:lineRule="exact"/>
        <w:rPr>
          <w:rFonts w:ascii="Times New Roman" w:cs="Times New Roman" w:eastAsia="Times New Roman" w:hAnsi="Times New Roman"/>
          <w:sz w:val="18"/>
          <w:szCs w:val="18"/>
          <w:color w:val="auto"/>
        </w:rPr>
      </w:pPr>
    </w:p>
    <w:p>
      <w:pPr>
        <w:ind w:right="20" w:firstLine="1492"/>
        <w:spacing w:after="0" w:line="275" w:lineRule="auto"/>
        <w:tabs>
          <w:tab w:leader="none" w:pos="18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239"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92"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74" w:right="259" w:bottom="1440" w:gutter="0" w:footer="0" w:header="0"/>
        </w:sectPr>
      </w:pPr>
    </w:p>
    <w:bookmarkStart w:id="61" w:name="page62"/>
    <w:bookmarkEnd w:id="61"/>
    <w:p>
      <w:pPr>
        <w:ind w:left="1440" w:hanging="567"/>
        <w:spacing w:after="0"/>
        <w:tabs>
          <w:tab w:leader="none" w:pos="14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w:t>
      </w:r>
    </w:p>
    <w:p>
      <w:pPr>
        <w:spacing w:after="0" w:line="92" w:lineRule="exact"/>
        <w:rPr>
          <w:rFonts w:ascii="Times New Roman" w:cs="Times New Roman" w:eastAsia="Times New Roman" w:hAnsi="Times New Roman"/>
          <w:sz w:val="18"/>
          <w:szCs w:val="18"/>
          <w:b w:val="1"/>
          <w:bCs w:val="1"/>
          <w:color w:val="auto"/>
        </w:rPr>
      </w:pPr>
    </w:p>
    <w:p>
      <w:pPr>
        <w:ind w:left="-40" w:firstLine="1492"/>
        <w:spacing w:after="0" w:line="254" w:lineRule="auto"/>
        <w:tabs>
          <w:tab w:leader="none" w:pos="181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141" w:lineRule="exact"/>
        <w:rPr>
          <w:rFonts w:ascii="Times New Roman" w:cs="Times New Roman" w:eastAsia="Times New Roman" w:hAnsi="Times New Roman"/>
          <w:sz w:val="18"/>
          <w:szCs w:val="18"/>
          <w:color w:val="auto"/>
        </w:rPr>
      </w:pPr>
    </w:p>
    <w:p>
      <w:pPr>
        <w:ind w:left="-40" w:right="220" w:firstLine="1492"/>
        <w:spacing w:after="0" w:line="258" w:lineRule="auto"/>
        <w:tabs>
          <w:tab w:leader="none" w:pos="18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Repricing of Options</w:t>
      </w:r>
      <w:r>
        <w:rPr>
          <w:rFonts w:ascii="Times New Roman" w:cs="Times New Roman" w:eastAsia="Times New Roman" w:hAnsi="Times New Roman"/>
          <w:sz w:val="18"/>
          <w:szCs w:val="18"/>
          <w:color w:val="auto"/>
        </w:rPr>
        <w:t>. 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255" w:lineRule="exact"/>
        <w:rPr>
          <w:rFonts w:ascii="Times New Roman" w:cs="Times New Roman" w:eastAsia="Times New Roman" w:hAnsi="Times New Roman"/>
          <w:sz w:val="18"/>
          <w:szCs w:val="18"/>
          <w:color w:val="auto"/>
        </w:rPr>
      </w:pPr>
    </w:p>
    <w:p>
      <w:pPr>
        <w:ind w:left="1440" w:hanging="567"/>
        <w:spacing w:after="0"/>
        <w:tabs>
          <w:tab w:leader="none" w:pos="14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w:t>
      </w:r>
    </w:p>
    <w:p>
      <w:pPr>
        <w:spacing w:after="0" w:line="92" w:lineRule="exact"/>
        <w:rPr>
          <w:rFonts w:ascii="Times New Roman" w:cs="Times New Roman" w:eastAsia="Times New Roman" w:hAnsi="Times New Roman"/>
          <w:sz w:val="18"/>
          <w:szCs w:val="18"/>
          <w:b w:val="1"/>
          <w:bCs w:val="1"/>
          <w:color w:val="auto"/>
        </w:rPr>
      </w:pPr>
    </w:p>
    <w:p>
      <w:pPr>
        <w:ind w:left="-40" w:right="80" w:firstLine="1492"/>
        <w:spacing w:after="0" w:line="262" w:lineRule="auto"/>
        <w:tabs>
          <w:tab w:leader="none" w:pos="181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32" w:lineRule="exact"/>
        <w:rPr>
          <w:rFonts w:ascii="Times New Roman" w:cs="Times New Roman" w:eastAsia="Times New Roman" w:hAnsi="Times New Roman"/>
          <w:sz w:val="18"/>
          <w:szCs w:val="18"/>
          <w:color w:val="auto"/>
        </w:rPr>
      </w:pPr>
    </w:p>
    <w:p>
      <w:pPr>
        <w:ind w:left="-40" w:right="40" w:firstLine="1492"/>
        <w:spacing w:after="0" w:line="262" w:lineRule="auto"/>
        <w:tabs>
          <w:tab w:leader="none" w:pos="18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Securities Law Restrictions on Exercise</w:t>
      </w:r>
      <w:r>
        <w:rPr>
          <w:rFonts w:ascii="Times New Roman" w:cs="Times New Roman" w:eastAsia="Times New Roman" w:hAnsi="Times New Roman"/>
          <w:sz w:val="18"/>
          <w:szCs w:val="18"/>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32" w:lineRule="exact"/>
        <w:rPr>
          <w:rFonts w:ascii="Times New Roman" w:cs="Times New Roman" w:eastAsia="Times New Roman" w:hAnsi="Times New Roman"/>
          <w:sz w:val="18"/>
          <w:szCs w:val="18"/>
          <w:color w:val="auto"/>
        </w:rPr>
      </w:pPr>
    </w:p>
    <w:p>
      <w:pPr>
        <w:ind w:left="-40" w:right="80" w:firstLine="1948"/>
        <w:spacing w:after="0" w:line="275" w:lineRule="auto"/>
        <w:tabs>
          <w:tab w:leader="none" w:pos="2241"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119" w:lineRule="exact"/>
        <w:rPr>
          <w:rFonts w:ascii="Times New Roman" w:cs="Times New Roman" w:eastAsia="Times New Roman" w:hAnsi="Times New Roman"/>
          <w:sz w:val="18"/>
          <w:szCs w:val="18"/>
          <w:color w:val="auto"/>
        </w:rPr>
      </w:pPr>
    </w:p>
    <w:p>
      <w:pPr>
        <w:ind w:left="-40" w:right="20" w:firstLine="1948"/>
        <w:spacing w:after="0" w:line="258" w:lineRule="auto"/>
        <w:tabs>
          <w:tab w:leader="none" w:pos="229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36" w:lineRule="exact"/>
        <w:rPr>
          <w:rFonts w:ascii="Times New Roman" w:cs="Times New Roman" w:eastAsia="Times New Roman" w:hAnsi="Times New Roman"/>
          <w:sz w:val="18"/>
          <w:szCs w:val="18"/>
          <w:color w:val="auto"/>
        </w:rPr>
      </w:pPr>
    </w:p>
    <w:p>
      <w:pPr>
        <w:ind w:left="2340" w:hanging="432"/>
        <w:spacing w:after="0"/>
        <w:tabs>
          <w:tab w:leader="none" w:pos="234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evidencing the Shares may bear a restrictive legend;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60"/>
          </w:cols>
          <w:pgMar w:left="280" w:top="272" w:right="259" w:bottom="1440" w:gutter="0" w:footer="0" w:header="0"/>
        </w:sectPr>
      </w:pPr>
    </w:p>
    <w:bookmarkStart w:id="62" w:name="page63"/>
    <w:bookmarkEnd w:id="62"/>
    <w:p>
      <w:pPr>
        <w:ind w:left="880" w:hanging="436"/>
        <w:spacing w:after="0"/>
        <w:tabs>
          <w:tab w:leader="none" w:pos="8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Shares subject to the Option may not be transferred without compliance with all applicable federal and state securities laws.</w:t>
      </w:r>
    </w:p>
    <w:p>
      <w:pPr>
        <w:spacing w:after="0" w:line="171" w:lineRule="exact"/>
        <w:rPr>
          <w:sz w:val="20"/>
          <w:szCs w:val="20"/>
          <w:color w:val="auto"/>
        </w:rPr>
      </w:pPr>
    </w:p>
    <w:p>
      <w:pPr>
        <w:ind w:left="-20" w:right="80" w:firstLine="464"/>
        <w:spacing w:after="0" w:line="256" w:lineRule="auto"/>
        <w:tabs>
          <w:tab w:leader="none" w:pos="80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of Exercise Pending Registration of Securities</w:t>
      </w:r>
      <w:r>
        <w:rPr>
          <w:rFonts w:ascii="Times New Roman" w:cs="Times New Roman" w:eastAsia="Times New Roman" w:hAnsi="Times New Roman"/>
          <w:sz w:val="18"/>
          <w:szCs w:val="18"/>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258" w:lineRule="exact"/>
        <w:rPr>
          <w:rFonts w:ascii="Times New Roman" w:cs="Times New Roman" w:eastAsia="Times New Roman" w:hAnsi="Times New Roman"/>
          <w:sz w:val="18"/>
          <w:szCs w:val="18"/>
          <w:color w:val="auto"/>
        </w:rPr>
      </w:pPr>
    </w:p>
    <w:p>
      <w:pPr>
        <w:ind w:left="1460" w:hanging="567"/>
        <w:spacing w:after="0"/>
        <w:tabs>
          <w:tab w:leader="none" w:pos="1460"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of Taxes on Exercise of Option</w:t>
      </w:r>
    </w:p>
    <w:p>
      <w:pPr>
        <w:spacing w:after="0" w:line="92" w:lineRule="exact"/>
        <w:rPr>
          <w:rFonts w:ascii="Times New Roman" w:cs="Times New Roman" w:eastAsia="Times New Roman" w:hAnsi="Times New Roman"/>
          <w:sz w:val="18"/>
          <w:szCs w:val="18"/>
          <w:b w:val="1"/>
          <w:bCs w:val="1"/>
          <w:color w:val="auto"/>
        </w:rPr>
      </w:pPr>
    </w:p>
    <w:p>
      <w:pPr>
        <w:ind w:left="-20" w:firstLine="1492"/>
        <w:spacing w:after="0" w:line="291" w:lineRule="auto"/>
        <w:tabs>
          <w:tab w:leader="none" w:pos="1831" w:val="left"/>
        </w:tabs>
        <w:numPr>
          <w:ilvl w:val="2"/>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13" w:lineRule="exact"/>
        <w:rPr>
          <w:rFonts w:ascii="Times New Roman" w:cs="Times New Roman" w:eastAsia="Times New Roman" w:hAnsi="Times New Roman"/>
          <w:sz w:val="16"/>
          <w:szCs w:val="16"/>
          <w:color w:val="auto"/>
        </w:rPr>
      </w:pPr>
    </w:p>
    <w:p>
      <w:pPr>
        <w:ind w:left="-20" w:firstLine="1492"/>
        <w:spacing w:after="0" w:line="252" w:lineRule="auto"/>
        <w:tabs>
          <w:tab w:leader="none" w:pos="184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pursuant to this Paragraph 15(b) up to the minimum amount of taxes required to</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60" w:top="274" w:right="259" w:bottom="1440" w:gutter="0" w:footer="0" w:header="0"/>
        </w:sectPr>
      </w:pPr>
    </w:p>
    <w:bookmarkStart w:id="63" w:name="page64"/>
    <w:bookmarkEnd w:id="6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withheld by the Sponsor under applicable law shall not be treated as having been issued under the Plan and shall continue to be available for subsequent grants under the Plan. Shares withheld pursuant to this Paragraph 15(b) in excess of the number of Shares described in the immediately preceding sentence shall not be available for subsequent grants under the Plan. The Committee may add such other requirements and limitations regarding elections pursuant to this Paragraph 15(b) as it deems appropriate.</w:t>
      </w:r>
    </w:p>
    <w:p>
      <w:pPr>
        <w:spacing w:after="0" w:line="136" w:lineRule="exact"/>
        <w:rPr>
          <w:sz w:val="20"/>
          <w:szCs w:val="20"/>
          <w:color w:val="auto"/>
        </w:rPr>
      </w:pPr>
    </w:p>
    <w:p>
      <w:pPr>
        <w:ind w:right="40" w:firstLine="1492"/>
        <w:spacing w:after="0" w:line="253" w:lineRule="auto"/>
        <w:tabs>
          <w:tab w:leader="none" w:pos="172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Paragraph 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up to the minimum amount of taxes required to be withheld by the Sponsor under applicable law shall not be treated as having been issued under the Plan and shall continue to be available for subsequent grants under the Plan. Shares withheld pursuant to this Paragraph 15(c) in excess of the number of Shares described in the immediately preceding sentence shall not be available for subsequent grants under the Plan. The Committee may add such other requirements and limitations regarding elections pursuant to this Paragraph 15(c) as it deems appropriate.</w:t>
      </w:r>
    </w:p>
    <w:p>
      <w:pPr>
        <w:spacing w:after="0" w:line="25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and Term of Plan</w:t>
      </w:r>
    </w:p>
    <w:p>
      <w:pPr>
        <w:spacing w:after="0" w:line="92" w:lineRule="exact"/>
        <w:rPr>
          <w:sz w:val="20"/>
          <w:szCs w:val="20"/>
          <w:color w:val="auto"/>
        </w:rPr>
      </w:pPr>
    </w:p>
    <w:p>
      <w:pPr>
        <w:ind w:right="580" w:firstLine="913"/>
        <w:spacing w:after="0" w:line="275" w:lineRule="auto"/>
        <w:rPr>
          <w:sz w:val="20"/>
          <w:szCs w:val="20"/>
          <w:color w:val="auto"/>
        </w:rPr>
      </w:pPr>
      <w:r>
        <w:rPr>
          <w:rFonts w:ascii="Times New Roman" w:cs="Times New Roman" w:eastAsia="Times New Roman" w:hAnsi="Times New Roman"/>
          <w:sz w:val="18"/>
          <w:szCs w:val="18"/>
          <w:color w:val="auto"/>
        </w:rPr>
        <w:t>This amendment and restatement of the Plan shall be effective February 28, 2007. The Plan shall expire on February 25, 2013, unless sooner terminated by the Board.</w:t>
      </w:r>
    </w:p>
    <w:p>
      <w:pPr>
        <w:spacing w:after="0" w:line="239" w:lineRule="exact"/>
        <w:rPr>
          <w:sz w:val="20"/>
          <w:szCs w:val="20"/>
          <w:color w:val="auto"/>
        </w:rPr>
      </w:pPr>
    </w:p>
    <w:p>
      <w:pPr>
        <w:ind w:left="1480" w:hanging="567"/>
        <w:spacing w:after="0"/>
        <w:tabs>
          <w:tab w:leader="none" w:pos="14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jc w:val="both"/>
        <w:ind w:right="80" w:firstLine="913"/>
        <w:spacing w:after="0" w:line="310" w:lineRule="auto"/>
        <w:rPr>
          <w:sz w:val="20"/>
          <w:szCs w:val="20"/>
          <w:color w:val="auto"/>
        </w:rPr>
      </w:pPr>
      <w:r>
        <w:rPr>
          <w:rFonts w:ascii="Times New Roman" w:cs="Times New Roman" w:eastAsia="Times New Roman" w:hAnsi="Times New Roman"/>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274" w:right="2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restrictions contained in the Articles of Incorporation and By-Laws of the Sponsor, as amended from time to time.</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Executed as of the 28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February, 2007.</w:t>
      </w:r>
    </w:p>
    <w:p>
      <w:pPr>
        <w:spacing w:after="0" w:line="191"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19" w:lineRule="exact"/>
        <w:rPr>
          <w:sz w:val="20"/>
          <w:szCs w:val="20"/>
          <w:color w:val="auto"/>
        </w:rPr>
      </w:pPr>
    </w:p>
    <w:p>
      <w:pPr>
        <w:ind w:left="7400"/>
        <w:spacing w:after="0"/>
        <w:tabs>
          <w:tab w:leader="none" w:pos="7880" w:val="left"/>
        </w:tabs>
        <w:rPr>
          <w:sz w:val="20"/>
          <w:szCs w:val="20"/>
          <w:color w:val="auto"/>
        </w:rPr>
      </w:pPr>
      <w:r>
        <w:rPr>
          <w:rFonts w:ascii="Times New Roman" w:cs="Times New Roman" w:eastAsia="Times New Roman" w:hAnsi="Times New Roman"/>
          <w:sz w:val="18"/>
          <w:szCs w:val="18"/>
          <w:color w:val="auto"/>
        </w:rPr>
        <w:t>BY:</w:t>
        <w:tab/>
        <w:t>/s/ 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L. C</w:t>
      </w:r>
      <w:r>
        <w:rPr>
          <w:rFonts w:ascii="Times New Roman" w:cs="Times New Roman" w:eastAsia="Times New Roman" w:hAnsi="Times New Roman"/>
          <w:sz w:val="14"/>
          <w:szCs w:val="14"/>
          <w:color w:val="auto"/>
        </w:rPr>
        <w:t>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14605</wp:posOffset>
            </wp:positionV>
            <wp:extent cx="22294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Name: David L. Cohen</w:t>
      </w:r>
    </w:p>
    <w:p>
      <w:pPr>
        <w:spacing w:after="0" w:line="21" w:lineRule="exact"/>
        <w:rPr>
          <w:sz w:val="20"/>
          <w:szCs w:val="20"/>
          <w:color w:val="auto"/>
        </w:rPr>
      </w:pPr>
    </w:p>
    <w:p>
      <w:pPr>
        <w:ind w:left="7000"/>
        <w:spacing w:after="0"/>
        <w:tabs>
          <w:tab w:leader="none" w:pos="7880" w:val="left"/>
        </w:tabs>
        <w:rPr>
          <w:sz w:val="20"/>
          <w:szCs w:val="20"/>
          <w:color w:val="auto"/>
        </w:rPr>
      </w:pPr>
      <w:r>
        <w:rPr>
          <w:rFonts w:ascii="Times New Roman" w:cs="Times New Roman" w:eastAsia="Times New Roman" w:hAnsi="Times New Roman"/>
          <w:sz w:val="18"/>
          <w:szCs w:val="18"/>
          <w:color w:val="auto"/>
        </w:rPr>
        <w:t>ATTEST:</w:t>
        <w:tab/>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R. B</w:t>
      </w:r>
      <w:r>
        <w:rPr>
          <w:rFonts w:ascii="Times New Roman" w:cs="Times New Roman" w:eastAsia="Times New Roman" w:hAnsi="Times New Roman"/>
          <w:sz w:val="14"/>
          <w:szCs w:val="14"/>
          <w:color w:val="auto"/>
        </w:rPr>
        <w:t>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6985</wp:posOffset>
            </wp:positionV>
            <wp:extent cx="22294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4"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15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219"/>
          </w:cols>
          <w:pgMar w:left="240" w:top="274" w:right="1440" w:bottom="1440" w:gutter="0" w:footer="0" w:header="0"/>
        </w:sectPr>
      </w:pPr>
    </w:p>
    <w:bookmarkStart w:id="65" w:name="page66"/>
    <w:bookmarkEnd w:id="65"/>
    <w:p>
      <w:pPr>
        <w:ind w:left="10106"/>
        <w:spacing w:after="0"/>
        <w:rPr>
          <w:sz w:val="20"/>
          <w:szCs w:val="20"/>
          <w:color w:val="auto"/>
        </w:rPr>
      </w:pPr>
      <w:r>
        <w:rPr>
          <w:rFonts w:ascii="Times New Roman" w:cs="Times New Roman" w:eastAsia="Times New Roman" w:hAnsi="Times New Roman"/>
          <w:sz w:val="16"/>
          <w:szCs w:val="16"/>
          <w:color w:val="auto"/>
        </w:rPr>
        <w:t>Exhibit 10.3</w:t>
      </w:r>
    </w:p>
    <w:p>
      <w:pPr>
        <w:spacing w:after="0" w:line="177"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71"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22"/>
          <w:szCs w:val="22"/>
          <w:b w:val="1"/>
          <w:bCs w:val="1"/>
          <w:color w:val="auto"/>
        </w:rPr>
        <w:t>2002 RESTRICTED STOCK PLAN</w:t>
      </w:r>
    </w:p>
    <w:p>
      <w:pPr>
        <w:spacing w:after="0" w:line="71"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22"/>
          <w:szCs w:val="22"/>
          <w:b w:val="1"/>
          <w:bCs w:val="1"/>
          <w:color w:val="auto"/>
        </w:rPr>
        <w:t>(As Amended And Restated, Effective February 28, 2007)</w:t>
      </w:r>
    </w:p>
    <w:p>
      <w:pPr>
        <w:spacing w:after="0" w:line="208" w:lineRule="exact"/>
        <w:rPr>
          <w:sz w:val="20"/>
          <w:szCs w:val="20"/>
          <w:color w:val="auto"/>
        </w:rPr>
      </w:pPr>
    </w:p>
    <w:p>
      <w:pPr>
        <w:ind w:left="446" w:hanging="446"/>
        <w:spacing w:after="0"/>
        <w:tabs>
          <w:tab w:leader="none" w:pos="446"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and Purpose</w:t>
      </w:r>
    </w:p>
    <w:p>
      <w:pPr>
        <w:spacing w:after="0" w:line="92" w:lineRule="exact"/>
        <w:rPr>
          <w:rFonts w:ascii="Times New Roman" w:cs="Times New Roman" w:eastAsia="Times New Roman" w:hAnsi="Times New Roman"/>
          <w:sz w:val="18"/>
          <w:szCs w:val="18"/>
          <w:b w:val="1"/>
          <w:bCs w:val="1"/>
          <w:color w:val="auto"/>
        </w:rPr>
      </w:pPr>
    </w:p>
    <w:p>
      <w:pPr>
        <w:ind w:left="1026" w:right="180" w:hanging="567"/>
        <w:spacing w:after="0" w:line="258" w:lineRule="auto"/>
        <w:tabs>
          <w:tab w:leader="none" w:pos="102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Restatement of Plan</w:t>
      </w:r>
      <w:r>
        <w:rPr>
          <w:rFonts w:ascii="Times New Roman" w:cs="Times New Roman" w:eastAsia="Times New Roman" w:hAnsi="Times New Roman"/>
          <w:sz w:val="18"/>
          <w:szCs w:val="18"/>
          <w:color w:val="auto"/>
        </w:rPr>
        <w:t>. COMCAST CORPORATION, a Pennsylvania corporation, hereby amends and restates the Comcast Corporation 2002 Restricted Stock Plan (the “Plan”), effective February 28, 2007.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55" w:lineRule="exact"/>
        <w:rPr>
          <w:rFonts w:ascii="Times New Roman" w:cs="Times New Roman" w:eastAsia="Times New Roman" w:hAnsi="Times New Roman"/>
          <w:sz w:val="18"/>
          <w:szCs w:val="18"/>
          <w:color w:val="auto"/>
        </w:rPr>
      </w:pPr>
    </w:p>
    <w:p>
      <w:pPr>
        <w:ind w:left="1026" w:right="180" w:hanging="567"/>
        <w:spacing w:after="0" w:line="289" w:lineRule="auto"/>
        <w:tabs>
          <w:tab w:leader="none" w:pos="1026"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Purpose of the Amendment; Credits Affected</w:t>
      </w:r>
      <w:r>
        <w:rPr>
          <w:rFonts w:ascii="Times New Roman" w:cs="Times New Roman" w:eastAsia="Times New Roman" w:hAnsi="Times New Roman"/>
          <w:sz w:val="16"/>
          <w:szCs w:val="16"/>
          <w:color w:val="auto"/>
        </w:rPr>
        <w:t>. The Plan has been amended and restated, effective December 14, 2005, to revise the rules relating to the delegation of authority by the Committee. The Plan was previously amended and restated, effective January 1, 2005 in order</w:t>
      </w:r>
    </w:p>
    <w:p>
      <w:pPr>
        <w:spacing w:after="0" w:line="1" w:lineRule="exact"/>
        <w:rPr>
          <w:rFonts w:ascii="Times New Roman" w:cs="Times New Roman" w:eastAsia="Times New Roman" w:hAnsi="Times New Roman"/>
          <w:sz w:val="16"/>
          <w:szCs w:val="16"/>
          <w:color w:val="auto"/>
        </w:rPr>
      </w:pPr>
    </w:p>
    <w:p>
      <w:pPr>
        <w:ind w:left="1026"/>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to preserve the favorable tax treatment available to amounts deferred pursuant to the Plan before January 1, 2005 and the earnings credited in respect of such amounts (each a “</w:t>
      </w:r>
      <w:r>
        <w:rPr>
          <w:rFonts w:ascii="Times New Roman" w:cs="Times New Roman" w:eastAsia="Times New Roman" w:hAnsi="Times New Roman"/>
          <w:sz w:val="18"/>
          <w:szCs w:val="18"/>
          <w:u w:val="single" w:color="auto"/>
          <w:color w:val="auto"/>
        </w:rPr>
        <w:t>Grandfathered Amount</w:t>
      </w:r>
      <w:r>
        <w:rPr>
          <w:rFonts w:ascii="Times New Roman" w:cs="Times New Roman" w:eastAsia="Times New Roman" w:hAnsi="Times New Roman"/>
          <w:sz w:val="18"/>
          <w:szCs w:val="18"/>
          <w:color w:val="auto"/>
        </w:rPr>
        <w:t xml:space="preserve">”) in light of the American Jobs Creation Act of 2004, </w:t>
      </w:r>
      <w:r>
        <w:rPr>
          <w:rFonts w:ascii="Times New Roman" w:cs="Times New Roman" w:eastAsia="Times New Roman" w:hAnsi="Times New Roman"/>
          <w:sz w:val="18"/>
          <w:szCs w:val="18"/>
          <w:i w:val="1"/>
          <w:iCs w:val="1"/>
          <w:color w:val="auto"/>
        </w:rPr>
        <w:t>IRS Notice 2005-1</w:t>
      </w:r>
      <w:r>
        <w:rPr>
          <w:rFonts w:ascii="Times New Roman" w:cs="Times New Roman" w:eastAsia="Times New Roman" w:hAnsi="Times New Roman"/>
          <w:sz w:val="18"/>
          <w:szCs w:val="18"/>
          <w:color w:val="auto"/>
        </w:rPr>
        <w:t>, and the regulations issued by the Department of the Treasury thereunder (collectively, the “</w:t>
      </w:r>
      <w:r>
        <w:rPr>
          <w:rFonts w:ascii="Times New Roman" w:cs="Times New Roman" w:eastAsia="Times New Roman" w:hAnsi="Times New Roman"/>
          <w:sz w:val="18"/>
          <w:szCs w:val="18"/>
          <w:u w:val="single" w:color="auto"/>
          <w:color w:val="auto"/>
        </w:rPr>
        <w:t>AJCA</w:t>
      </w:r>
      <w:r>
        <w:rPr>
          <w:rFonts w:ascii="Times New Roman" w:cs="Times New Roman" w:eastAsia="Times New Roman" w:hAnsi="Times New Roman"/>
          <w:sz w:val="18"/>
          <w:szCs w:val="18"/>
          <w:color w:val="auto"/>
        </w:rPr>
        <w:t>”), and (ii) with respect to all other amounts eligible to be deferred under the Plan, to comply with the requirements of the AJCA. Except as provided in Paragraph 8(f)(iii) of the Plan, Grandfathered Amounts will continue to be subject to the terms and conditions of the Plan as in effect prior to the Amendment Date. All amounts eligible to be deferred under the Plan other than Grandfathered Amounts will be subject to the terms of this amendment and restatement of the Plan and the AJCA.</w:t>
      </w:r>
    </w:p>
    <w:p>
      <w:pPr>
        <w:spacing w:after="0" w:line="59" w:lineRule="exact"/>
        <w:rPr>
          <w:rFonts w:ascii="Times New Roman" w:cs="Times New Roman" w:eastAsia="Times New Roman" w:hAnsi="Times New Roman"/>
          <w:sz w:val="16"/>
          <w:szCs w:val="16"/>
          <w:color w:val="auto"/>
        </w:rPr>
      </w:pPr>
    </w:p>
    <w:p>
      <w:pPr>
        <w:ind w:left="1026" w:right="520" w:hanging="567"/>
        <w:spacing w:after="0" w:line="334" w:lineRule="auto"/>
        <w:tabs>
          <w:tab w:leader="none" w:pos="1026"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Reservation of Right to Amend to Comply with AJCA</w:t>
      </w:r>
      <w:r>
        <w:rPr>
          <w:rFonts w:ascii="Times New Roman" w:cs="Times New Roman" w:eastAsia="Times New Roman" w:hAnsi="Times New Roman"/>
          <w:sz w:val="16"/>
          <w:szCs w:val="16"/>
          <w:color w:val="auto"/>
        </w:rPr>
        <w:t>. The Board and the Committee reserve the right to amend the Plan, either retroactively or prospectively, in whatever respect is required to achieve and maintain compliance with the requirements of the AJCA.</w:t>
      </w:r>
    </w:p>
    <w:p>
      <w:pPr>
        <w:spacing w:after="0" w:line="1" w:lineRule="exact"/>
        <w:rPr>
          <w:rFonts w:ascii="Times New Roman" w:cs="Times New Roman" w:eastAsia="Times New Roman" w:hAnsi="Times New Roman"/>
          <w:sz w:val="16"/>
          <w:szCs w:val="16"/>
          <w:color w:val="auto"/>
        </w:rPr>
      </w:pPr>
    </w:p>
    <w:p>
      <w:pPr>
        <w:ind w:left="1026" w:right="20" w:hanging="567"/>
        <w:spacing w:after="0" w:line="255" w:lineRule="auto"/>
        <w:tabs>
          <w:tab w:leader="none" w:pos="102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Provisions of Plan Unfunded and Limited to Select Group of Management or Highly Compensated Employees.</w:t>
      </w:r>
      <w:r>
        <w:rPr>
          <w:rFonts w:ascii="Times New Roman" w:cs="Times New Roman" w:eastAsia="Times New Roman" w:hAnsi="Times New Roman"/>
          <w:sz w:val="18"/>
          <w:szCs w:val="18"/>
          <w:color w:val="auto"/>
        </w:rPr>
        <w:t xml:space="preserve"> Deferral Eligible Grantees and Non-Employee Directors may elect to defer the receipt of Restricted Stock and Restricted Stock Units as provided in Article VIII. The deferral provisions of Article VIII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ectPr>
          <w:pgSz w:w="11900" w:h="16838" w:orient="portrait"/>
          <w:cols w:equalWidth="0" w:num="1">
            <w:col w:w="10966"/>
          </w:cols>
          <w:pgMar w:left="694" w:top="125" w:right="239" w:bottom="1440" w:gutter="0" w:footer="0" w:header="0"/>
        </w:sectPr>
      </w:pPr>
    </w:p>
    <w:bookmarkStart w:id="66" w:name="page67"/>
    <w:bookmarkEnd w:id="66"/>
    <w:p>
      <w:pPr>
        <w:ind w:left="446" w:hanging="446"/>
        <w:spacing w:after="0"/>
        <w:tabs>
          <w:tab w:leader="none" w:pos="446"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w:t>
      </w:r>
    </w:p>
    <w:p>
      <w:pPr>
        <w:spacing w:after="0" w:line="92" w:lineRule="exact"/>
        <w:rPr>
          <w:rFonts w:ascii="Times New Roman" w:cs="Times New Roman" w:eastAsia="Times New Roman" w:hAnsi="Times New Roman"/>
          <w:sz w:val="18"/>
          <w:szCs w:val="18"/>
          <w:b w:val="1"/>
          <w:bCs w:val="1"/>
          <w:color w:val="auto"/>
        </w:rPr>
      </w:pPr>
    </w:p>
    <w:p>
      <w:pPr>
        <w:ind w:left="1026" w:right="20" w:hanging="567"/>
        <w:spacing w:after="0" w:line="262" w:lineRule="auto"/>
        <w:tabs>
          <w:tab w:leader="none" w:pos="102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Acceleration Election</w:t>
      </w:r>
      <w:r>
        <w:rPr>
          <w:rFonts w:ascii="Times New Roman" w:cs="Times New Roman" w:eastAsia="Times New Roman" w:hAnsi="Times New Roman"/>
          <w:sz w:val="18"/>
          <w:szCs w:val="18"/>
          <w:color w:val="auto"/>
        </w:rPr>
        <w:t>” means a written election on a form provided by the Committee, pursuant to which a Deceased Grantee’s Successor-in-Interest or a Disabled Grantee elects to accelerate the distribution date of Shares issuable with respect to Restricted Stock and/or Restricted Stock Units.</w:t>
      </w:r>
    </w:p>
    <w:p>
      <w:pPr>
        <w:spacing w:after="0" w:line="51" w:lineRule="exact"/>
        <w:rPr>
          <w:rFonts w:ascii="Times New Roman" w:cs="Times New Roman" w:eastAsia="Times New Roman" w:hAnsi="Times New Roman"/>
          <w:sz w:val="18"/>
          <w:szCs w:val="18"/>
          <w:color w:val="auto"/>
        </w:rPr>
      </w:pPr>
    </w:p>
    <w:p>
      <w:pPr>
        <w:ind w:left="1026" w:hanging="567"/>
        <w:spacing w:after="0" w:line="258" w:lineRule="auto"/>
        <w:tabs>
          <w:tab w:leader="none" w:pos="102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means unfunded bookkeeping accounts established pursuant to Paragraph 8(e) and maintained by the Committee in the names of the respective Grantees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Plan.</w:t>
      </w:r>
    </w:p>
    <w:p>
      <w:pPr>
        <w:spacing w:after="0" w:line="55"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Active Grantee</w:t>
      </w:r>
      <w:r>
        <w:rPr>
          <w:rFonts w:ascii="Times New Roman" w:cs="Times New Roman" w:eastAsia="Times New Roman" w:hAnsi="Times New Roman"/>
          <w:sz w:val="18"/>
          <w:szCs w:val="18"/>
          <w:color w:val="auto"/>
        </w:rPr>
        <w:t>” means each Grantee who is actively employed by a Participating Company.</w:t>
      </w:r>
    </w:p>
    <w:p>
      <w:pPr>
        <w:spacing w:after="0" w:line="90" w:lineRule="exact"/>
        <w:rPr>
          <w:rFonts w:ascii="Times New Roman" w:cs="Times New Roman" w:eastAsia="Times New Roman" w:hAnsi="Times New Roman"/>
          <w:sz w:val="18"/>
          <w:szCs w:val="18"/>
          <w:color w:val="auto"/>
        </w:rPr>
      </w:pPr>
    </w:p>
    <w:p>
      <w:pPr>
        <w:ind w:left="1026" w:right="220" w:hanging="567"/>
        <w:spacing w:after="0" w:line="301" w:lineRule="auto"/>
        <w:tabs>
          <w:tab w:leader="none" w:pos="1026"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0" w:lineRule="exact"/>
        <w:rPr>
          <w:rFonts w:ascii="Times New Roman" w:cs="Times New Roman" w:eastAsia="Times New Roman" w:hAnsi="Times New Roman"/>
          <w:sz w:val="16"/>
          <w:szCs w:val="16"/>
          <w:color w:val="auto"/>
        </w:rPr>
      </w:pPr>
    </w:p>
    <w:p>
      <w:pPr>
        <w:ind w:left="1026" w:right="180" w:hanging="567"/>
        <w:spacing w:after="0" w:line="277" w:lineRule="auto"/>
        <w:tabs>
          <w:tab w:leader="none" w:pos="102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AJCA</w:t>
      </w:r>
      <w:r>
        <w:rPr>
          <w:rFonts w:ascii="Times New Roman" w:cs="Times New Roman" w:eastAsia="Times New Roman" w:hAnsi="Times New Roman"/>
          <w:sz w:val="18"/>
          <w:szCs w:val="18"/>
          <w:color w:val="auto"/>
        </w:rPr>
        <w:t xml:space="preserve">” means the American Jobs Creation Act of 2004, IRS </w:t>
      </w:r>
      <w:r>
        <w:rPr>
          <w:rFonts w:ascii="Times New Roman" w:cs="Times New Roman" w:eastAsia="Times New Roman" w:hAnsi="Times New Roman"/>
          <w:sz w:val="18"/>
          <w:szCs w:val="18"/>
          <w:i w:val="1"/>
          <w:iCs w:val="1"/>
          <w:color w:val="auto"/>
        </w:rPr>
        <w:t>Notice 2005-1</w:t>
      </w:r>
      <w:r>
        <w:rPr>
          <w:rFonts w:ascii="Times New Roman" w:cs="Times New Roman" w:eastAsia="Times New Roman" w:hAnsi="Times New Roman"/>
          <w:sz w:val="18"/>
          <w:szCs w:val="18"/>
          <w:color w:val="auto"/>
        </w:rPr>
        <w:t xml:space="preserve"> and announcements, notices, revenue rulings and regulations issued under the American Jobs Creation Act of 2004.</w:t>
      </w:r>
    </w:p>
    <w:p>
      <w:pPr>
        <w:spacing w:after="0" w:line="37" w:lineRule="exact"/>
        <w:rPr>
          <w:rFonts w:ascii="Times New Roman" w:cs="Times New Roman" w:eastAsia="Times New Roman" w:hAnsi="Times New Roman"/>
          <w:sz w:val="18"/>
          <w:szCs w:val="18"/>
          <w:color w:val="auto"/>
        </w:rPr>
      </w:pPr>
    </w:p>
    <w:p>
      <w:pPr>
        <w:ind w:left="1026" w:right="140" w:hanging="567"/>
        <w:spacing w:after="0" w:line="275" w:lineRule="auto"/>
        <w:tabs>
          <w:tab w:leader="none" w:pos="102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Rate of Pay</w:t>
      </w:r>
      <w:r>
        <w:rPr>
          <w:rFonts w:ascii="Times New Roman" w:cs="Times New Roman" w:eastAsia="Times New Roman" w:hAnsi="Times New Roman"/>
          <w:sz w:val="18"/>
          <w:szCs w:val="18"/>
          <w:color w:val="auto"/>
        </w:rPr>
        <w:t>” means, as of any date, an employee’s annualized base pay rate. An employee’s Annual Rate of Pay shall not include sales commissions or other similar payments or awards.</w:t>
      </w:r>
    </w:p>
    <w:p>
      <w:pPr>
        <w:spacing w:after="0" w:line="38"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Interest Rate</w:t>
      </w:r>
      <w:r>
        <w:rPr>
          <w:rFonts w:ascii="Times New Roman" w:cs="Times New Roman" w:eastAsia="Times New Roman" w:hAnsi="Times New Roman"/>
          <w:sz w:val="18"/>
          <w:szCs w:val="18"/>
          <w:color w:val="auto"/>
        </w:rPr>
        <w:t>” means:</w:t>
      </w:r>
    </w:p>
    <w:p>
      <w:pPr>
        <w:spacing w:after="0" w:line="63" w:lineRule="exact"/>
        <w:rPr>
          <w:rFonts w:ascii="Times New Roman" w:cs="Times New Roman" w:eastAsia="Times New Roman" w:hAnsi="Times New Roman"/>
          <w:sz w:val="18"/>
          <w:szCs w:val="18"/>
          <w:color w:val="auto"/>
        </w:rPr>
      </w:pPr>
    </w:p>
    <w:p>
      <w:pPr>
        <w:ind w:left="1466" w:hanging="440"/>
        <w:spacing w:after="0" w:line="236" w:lineRule="auto"/>
        <w:tabs>
          <w:tab w:leader="none" w:pos="1466"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Paragraph 2(g)(ii),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 (A) the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following the date of the Committee’s action to establish a reduced rate; or (B) the lapse of 24 full calendar months from the date of the most recent adjustment of the Applicable Interest Rate by the Committee.</w:t>
      </w:r>
    </w:p>
    <w:p>
      <w:pPr>
        <w:spacing w:after="0" w:line="125" w:lineRule="exact"/>
        <w:rPr>
          <w:sz w:val="20"/>
          <w:szCs w:val="20"/>
          <w:color w:val="auto"/>
        </w:rPr>
      </w:pPr>
    </w:p>
    <w:p>
      <w:pPr>
        <w:jc w:val="center"/>
        <w:ind w:right="35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6"/>
          </w:cols>
          <w:pgMar w:left="694" w:top="272" w:right="319" w:bottom="1440" w:gutter="0" w:footer="0" w:header="0"/>
        </w:sectPr>
      </w:pPr>
    </w:p>
    <w:bookmarkStart w:id="67" w:name="page68"/>
    <w:bookmarkEnd w:id="67"/>
    <w:p>
      <w:pPr>
        <w:ind w:left="1007" w:hanging="440"/>
        <w:spacing w:after="0" w:line="254" w:lineRule="auto"/>
        <w:tabs>
          <w:tab w:leader="none" w:pos="100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2(g)(i)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2(g)(ii) to an officer of the Company or committee of two or more officers of the Company.</w:t>
      </w:r>
    </w:p>
    <w:p>
      <w:pPr>
        <w:spacing w:after="0" w:line="60" w:lineRule="exact"/>
        <w:rPr>
          <w:rFonts w:ascii="Times New Roman" w:cs="Times New Roman" w:eastAsia="Times New Roman" w:hAnsi="Times New Roman"/>
          <w:sz w:val="18"/>
          <w:szCs w:val="18"/>
          <w:color w:val="auto"/>
        </w:rPr>
      </w:pPr>
    </w:p>
    <w:p>
      <w:pPr>
        <w:ind w:left="567" w:right="640" w:hanging="567"/>
        <w:spacing w:after="0" w:line="275" w:lineRule="auto"/>
        <w:tabs>
          <w:tab w:leader="none" w:pos="56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AT&amp;T Broadband Transaction</w:t>
      </w:r>
      <w:r>
        <w:rPr>
          <w:rFonts w:ascii="Times New Roman" w:cs="Times New Roman" w:eastAsia="Times New Roman" w:hAnsi="Times New Roman"/>
          <w:sz w:val="18"/>
          <w:szCs w:val="18"/>
          <w:color w:val="auto"/>
        </w:rPr>
        <w:t>” means the acquisition of AT&amp;T Broadband Corp. (now known as Comcast Cable Communications Holdings, Inc.) by the Company.</w:t>
      </w:r>
    </w:p>
    <w:p>
      <w:pPr>
        <w:spacing w:after="0" w:line="38"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award of Restricted Stock or Restricted Stock Units granted under the Plan.</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w:t>
      </w:r>
    </w:p>
    <w:p>
      <w:pPr>
        <w:spacing w:after="0" w:line="90" w:lineRule="exact"/>
        <w:rPr>
          <w:rFonts w:ascii="Times New Roman" w:cs="Times New Roman" w:eastAsia="Times New Roman" w:hAnsi="Times New Roman"/>
          <w:sz w:val="18"/>
          <w:szCs w:val="18"/>
          <w:color w:val="auto"/>
        </w:rPr>
      </w:pPr>
    </w:p>
    <w:p>
      <w:pPr>
        <w:ind w:left="1007" w:right="40" w:hanging="440"/>
        <w:spacing w:after="0" w:line="256" w:lineRule="auto"/>
        <w:tabs>
          <w:tab w:leader="none" w:pos="100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the Plan other than Article VIII,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58" w:lineRule="exact"/>
        <w:rPr>
          <w:sz w:val="20"/>
          <w:szCs w:val="20"/>
          <w:color w:val="auto"/>
        </w:rPr>
      </w:pPr>
    </w:p>
    <w:p>
      <w:pPr>
        <w:ind w:left="1007" w:hanging="440"/>
        <w:spacing w:after="0"/>
        <w:tabs>
          <w:tab w:leader="none" w:pos="100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Article VIII, any transaction or series of transactions that constitutes:</w:t>
      </w:r>
    </w:p>
    <w:p>
      <w:pPr>
        <w:spacing w:after="0" w:line="88" w:lineRule="exact"/>
        <w:rPr>
          <w:rFonts w:ascii="Times New Roman" w:cs="Times New Roman" w:eastAsia="Times New Roman" w:hAnsi="Times New Roman"/>
          <w:sz w:val="18"/>
          <w:szCs w:val="18"/>
          <w:color w:val="auto"/>
        </w:rPr>
      </w:pPr>
    </w:p>
    <w:p>
      <w:pPr>
        <w:ind w:left="1467" w:hanging="441"/>
        <w:spacing w:after="0"/>
        <w:tabs>
          <w:tab w:leader="none" w:pos="146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change in the ownership of the Company, within the meaning of Q&amp;A 12 of </w:t>
      </w:r>
      <w:r>
        <w:rPr>
          <w:rFonts w:ascii="Times New Roman" w:cs="Times New Roman" w:eastAsia="Times New Roman" w:hAnsi="Times New Roman"/>
          <w:sz w:val="18"/>
          <w:szCs w:val="18"/>
          <w:i w:val="1"/>
          <w:iCs w:val="1"/>
          <w:color w:val="auto"/>
        </w:rPr>
        <w:t>IRS Notice 2005-1</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467" w:hanging="441"/>
        <w:spacing w:after="0"/>
        <w:tabs>
          <w:tab w:leader="none" w:pos="146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change in effective control of the Company, within the meaning of Q&amp;A 13 of </w:t>
      </w:r>
      <w:r>
        <w:rPr>
          <w:rFonts w:ascii="Times New Roman" w:cs="Times New Roman" w:eastAsia="Times New Roman" w:hAnsi="Times New Roman"/>
          <w:sz w:val="18"/>
          <w:szCs w:val="18"/>
          <w:i w:val="1"/>
          <w:iCs w:val="1"/>
          <w:color w:val="auto"/>
        </w:rPr>
        <w:t>IRS Notice 2005-1</w:t>
      </w:r>
      <w:r>
        <w:rPr>
          <w:rFonts w:ascii="Times New Roman" w:cs="Times New Roman" w:eastAsia="Times New Roman" w:hAnsi="Times New Roman"/>
          <w:sz w:val="18"/>
          <w:szCs w:val="18"/>
          <w:color w:val="auto"/>
        </w:rPr>
        <w:t>; or</w:t>
      </w:r>
    </w:p>
    <w:p>
      <w:pPr>
        <w:spacing w:after="0" w:line="90" w:lineRule="exact"/>
        <w:rPr>
          <w:rFonts w:ascii="Times New Roman" w:cs="Times New Roman" w:eastAsia="Times New Roman" w:hAnsi="Times New Roman"/>
          <w:sz w:val="18"/>
          <w:szCs w:val="18"/>
          <w:color w:val="auto"/>
        </w:rPr>
      </w:pPr>
    </w:p>
    <w:p>
      <w:pPr>
        <w:ind w:left="1467" w:right="180" w:hanging="441"/>
        <w:spacing w:after="0" w:line="277" w:lineRule="auto"/>
        <w:tabs>
          <w:tab w:leader="none" w:pos="146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change in the ownership of a substantial portion of the assets of the Company, within the meaning of Q&amp;A 14 of </w:t>
      </w:r>
      <w:r>
        <w:rPr>
          <w:rFonts w:ascii="Times New Roman" w:cs="Times New Roman" w:eastAsia="Times New Roman" w:hAnsi="Times New Roman"/>
          <w:sz w:val="18"/>
          <w:szCs w:val="18"/>
          <w:i w:val="1"/>
          <w:iCs w:val="1"/>
          <w:color w:val="auto"/>
        </w:rPr>
        <w:t>IRS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2005-1</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ind w:left="4707"/>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87"/>
          </w:cols>
          <w:pgMar w:left="1153" w:top="274" w:right="259" w:bottom="1440" w:gutter="0" w:footer="0" w:header="0"/>
        </w:sectPr>
      </w:pPr>
    </w:p>
    <w:bookmarkStart w:id="68" w:name="page69"/>
    <w:bookmarkEnd w:id="68"/>
    <w:p>
      <w:pPr>
        <w:ind w:left="567" w:hanging="567"/>
        <w:spacing w:after="0"/>
        <w:tabs>
          <w:tab w:leader="none" w:pos="5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90" w:lineRule="exact"/>
        <w:rPr>
          <w:rFonts w:ascii="Times New Roman" w:cs="Times New Roman" w:eastAsia="Times New Roman" w:hAnsi="Times New Roman"/>
          <w:sz w:val="18"/>
          <w:szCs w:val="18"/>
          <w:color w:val="auto"/>
        </w:rPr>
      </w:pPr>
    </w:p>
    <w:p>
      <w:pPr>
        <w:ind w:left="567" w:right="60" w:hanging="567"/>
        <w:spacing w:after="0" w:line="258" w:lineRule="auto"/>
        <w:tabs>
          <w:tab w:leader="none" w:pos="5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Comcast Plan</w:t>
      </w:r>
      <w:r>
        <w:rPr>
          <w:rFonts w:ascii="Times New Roman" w:cs="Times New Roman" w:eastAsia="Times New Roman" w:hAnsi="Times New Roman"/>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55"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Class A Common Stock, par value $0.01, of the Company.</w:t>
      </w:r>
    </w:p>
    <w:p>
      <w:pPr>
        <w:spacing w:after="0" w:line="90" w:lineRule="exact"/>
        <w:rPr>
          <w:rFonts w:ascii="Times New Roman" w:cs="Times New Roman" w:eastAsia="Times New Roman" w:hAnsi="Times New Roman"/>
          <w:sz w:val="18"/>
          <w:szCs w:val="18"/>
          <w:color w:val="auto"/>
        </w:rPr>
      </w:pPr>
    </w:p>
    <w:p>
      <w:pPr>
        <w:ind w:left="567" w:right="180" w:hanging="567"/>
        <w:spacing w:after="0" w:line="262" w:lineRule="auto"/>
        <w:tabs>
          <w:tab w:leader="none" w:pos="5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51" w:lineRule="exact"/>
        <w:rPr>
          <w:rFonts w:ascii="Times New Roman" w:cs="Times New Roman" w:eastAsia="Times New Roman" w:hAnsi="Times New Roman"/>
          <w:sz w:val="18"/>
          <w:szCs w:val="18"/>
          <w:color w:val="auto"/>
        </w:rPr>
      </w:pPr>
    </w:p>
    <w:p>
      <w:pPr>
        <w:ind w:left="567" w:hanging="567"/>
        <w:spacing w:after="0" w:line="254" w:lineRule="auto"/>
        <w:tabs>
          <w:tab w:leader="none" w:pos="5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Fund</w:t>
      </w:r>
      <w:r>
        <w:rPr>
          <w:rFonts w:ascii="Times New Roman" w:cs="Times New Roman" w:eastAsia="Times New Roman" w:hAnsi="Times New Roman"/>
          <w:sz w:val="18"/>
          <w:szCs w:val="18"/>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57"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means the date on which an Award is granted.</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Deceased Grantee</w:t>
      </w:r>
      <w:r>
        <w:rPr>
          <w:rFonts w:ascii="Times New Roman" w:cs="Times New Roman" w:eastAsia="Times New Roman" w:hAnsi="Times New Roman"/>
          <w:sz w:val="18"/>
          <w:szCs w:val="18"/>
          <w:color w:val="auto"/>
        </w:rPr>
        <w:t>” means:</w:t>
      </w:r>
    </w:p>
    <w:p>
      <w:pPr>
        <w:spacing w:after="0" w:line="90" w:lineRule="exact"/>
        <w:rPr>
          <w:rFonts w:ascii="Times New Roman" w:cs="Times New Roman" w:eastAsia="Times New Roman" w:hAnsi="Times New Roman"/>
          <w:sz w:val="18"/>
          <w:szCs w:val="18"/>
          <w:color w:val="auto"/>
        </w:rPr>
      </w:pPr>
    </w:p>
    <w:p>
      <w:pPr>
        <w:ind w:left="1007" w:hanging="440"/>
        <w:spacing w:after="0"/>
        <w:tabs>
          <w:tab w:leader="none" w:pos="100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Grantee whose employment by a Participating Company is terminated by death; or</w:t>
      </w:r>
    </w:p>
    <w:p>
      <w:pPr>
        <w:spacing w:after="0" w:line="90" w:lineRule="exact"/>
        <w:rPr>
          <w:rFonts w:ascii="Times New Roman" w:cs="Times New Roman" w:eastAsia="Times New Roman" w:hAnsi="Times New Roman"/>
          <w:sz w:val="18"/>
          <w:szCs w:val="18"/>
          <w:color w:val="auto"/>
        </w:rPr>
      </w:pPr>
    </w:p>
    <w:p>
      <w:pPr>
        <w:ind w:left="1007" w:hanging="440"/>
        <w:spacing w:after="0"/>
        <w:tabs>
          <w:tab w:leader="none" w:pos="100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Grantee who dies following termination of employment by a Participating Company.</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Deferral Eligible Employee</w:t>
      </w:r>
      <w:r>
        <w:rPr>
          <w:rFonts w:ascii="Times New Roman" w:cs="Times New Roman" w:eastAsia="Times New Roman" w:hAnsi="Times New Roman"/>
          <w:sz w:val="18"/>
          <w:szCs w:val="18"/>
          <w:color w:val="auto"/>
        </w:rPr>
        <w:t>” means:</w:t>
      </w:r>
    </w:p>
    <w:p>
      <w:pPr>
        <w:spacing w:after="0" w:line="90" w:lineRule="exact"/>
        <w:rPr>
          <w:rFonts w:ascii="Times New Roman" w:cs="Times New Roman" w:eastAsia="Times New Roman" w:hAnsi="Times New Roman"/>
          <w:sz w:val="18"/>
          <w:szCs w:val="18"/>
          <w:color w:val="auto"/>
        </w:rPr>
      </w:pPr>
    </w:p>
    <w:p>
      <w:pPr>
        <w:ind w:left="1007" w:right="60" w:hanging="440"/>
        <w:spacing w:after="0" w:line="275" w:lineRule="auto"/>
        <w:tabs>
          <w:tab w:leader="none" w:pos="100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Employee whose Annual Rate of Pay is $200,000 or more as of both: (i) the date on which an Initial Election is filed with the Committee; and (ii) the first day of the calendar year in which such Initial Election filed.</w:t>
      </w:r>
    </w:p>
    <w:p>
      <w:pPr>
        <w:spacing w:after="0" w:line="106" w:lineRule="exact"/>
        <w:rPr>
          <w:sz w:val="20"/>
          <w:szCs w:val="20"/>
          <w:color w:val="auto"/>
        </w:rPr>
      </w:pPr>
    </w:p>
    <w:p>
      <w:pPr>
        <w:ind w:left="4707"/>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87"/>
          </w:cols>
          <w:pgMar w:left="1153" w:top="274" w:right="259" w:bottom="1440" w:gutter="0" w:footer="0" w:header="0"/>
        </w:sectPr>
      </w:pPr>
    </w:p>
    <w:bookmarkStart w:id="69" w:name="page70"/>
    <w:bookmarkEnd w:id="69"/>
    <w:p>
      <w:pPr>
        <w:ind w:left="1007" w:right="540" w:hanging="440"/>
        <w:spacing w:after="0" w:line="275" w:lineRule="auto"/>
        <w:tabs>
          <w:tab w:leader="none" w:pos="100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Eligible Employee whose Annual Rate of Pay is $125,000 as of each of: (A) June 30, 2002; (B) the date on which an Initial Election is filed with the Committee; and (C) the first day of each calendar year beginning after December 31, 2002.</w:t>
      </w:r>
    </w:p>
    <w:p>
      <w:pPr>
        <w:spacing w:after="0" w:line="38" w:lineRule="exact"/>
        <w:rPr>
          <w:rFonts w:ascii="Times New Roman" w:cs="Times New Roman" w:eastAsia="Times New Roman" w:hAnsi="Times New Roman"/>
          <w:sz w:val="18"/>
          <w:szCs w:val="18"/>
          <w:color w:val="auto"/>
        </w:rPr>
      </w:pPr>
    </w:p>
    <w:p>
      <w:pPr>
        <w:ind w:left="1007" w:hanging="440"/>
        <w:spacing w:after="0"/>
        <w:tabs>
          <w:tab w:leader="none" w:pos="100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Key Employee.</w:t>
      </w:r>
    </w:p>
    <w:p>
      <w:pPr>
        <w:spacing w:after="0" w:line="90" w:lineRule="exact"/>
        <w:rPr>
          <w:rFonts w:ascii="Times New Roman" w:cs="Times New Roman" w:eastAsia="Times New Roman" w:hAnsi="Times New Roman"/>
          <w:sz w:val="18"/>
          <w:szCs w:val="18"/>
          <w:color w:val="auto"/>
        </w:rPr>
      </w:pPr>
    </w:p>
    <w:p>
      <w:pPr>
        <w:ind w:left="1007" w:hanging="440"/>
        <w:spacing w:after="0" w:line="275" w:lineRule="auto"/>
        <w:tabs>
          <w:tab w:leader="none" w:pos="100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employee of a Participating Company who is designated by the Committee, in its sole and absolute discretion, as a Deferral Eligible Employee.</w:t>
      </w:r>
    </w:p>
    <w:p>
      <w:pPr>
        <w:spacing w:after="0" w:line="38"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Stock Units</w:t>
      </w:r>
      <w:r>
        <w:rPr>
          <w:rFonts w:ascii="Times New Roman" w:cs="Times New Roman" w:eastAsia="Times New Roman" w:hAnsi="Times New Roman"/>
          <w:sz w:val="18"/>
          <w:szCs w:val="18"/>
          <w:color w:val="auto"/>
        </w:rPr>
        <w:t>” means the number of hypothetical Shares subject to an Election.</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w:t>
      </w:r>
    </w:p>
    <w:p>
      <w:pPr>
        <w:spacing w:after="0" w:line="90" w:lineRule="exact"/>
        <w:rPr>
          <w:rFonts w:ascii="Times New Roman" w:cs="Times New Roman" w:eastAsia="Times New Roman" w:hAnsi="Times New Roman"/>
          <w:sz w:val="18"/>
          <w:szCs w:val="18"/>
          <w:color w:val="auto"/>
        </w:rPr>
      </w:pPr>
    </w:p>
    <w:p>
      <w:pPr>
        <w:ind w:left="1007" w:right="180" w:hanging="440"/>
        <w:spacing w:after="0" w:line="334" w:lineRule="auto"/>
        <w:tabs>
          <w:tab w:leader="none" w:pos="1007"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1" w:lineRule="exact"/>
        <w:rPr>
          <w:rFonts w:ascii="Times New Roman" w:cs="Times New Roman" w:eastAsia="Times New Roman" w:hAnsi="Times New Roman"/>
          <w:sz w:val="16"/>
          <w:szCs w:val="16"/>
          <w:color w:val="auto"/>
        </w:rPr>
      </w:pPr>
    </w:p>
    <w:p>
      <w:pPr>
        <w:ind w:left="1007" w:right="120" w:hanging="440"/>
        <w:spacing w:after="0" w:line="310" w:lineRule="auto"/>
        <w:tabs>
          <w:tab w:leader="none" w:pos="1007"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6" w:lineRule="exact"/>
        <w:rPr>
          <w:rFonts w:ascii="Times New Roman" w:cs="Times New Roman" w:eastAsia="Times New Roman" w:hAnsi="Times New Roman"/>
          <w:sz w:val="16"/>
          <w:szCs w:val="16"/>
          <w:color w:val="auto"/>
        </w:rPr>
      </w:pPr>
    </w:p>
    <w:p>
      <w:pPr>
        <w:ind w:left="567" w:hanging="567"/>
        <w:spacing w:after="0"/>
        <w:tabs>
          <w:tab w:leader="none" w:pos="56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Disabled Grantee</w:t>
      </w:r>
      <w:r>
        <w:rPr>
          <w:rFonts w:ascii="Times New Roman" w:cs="Times New Roman" w:eastAsia="Times New Roman" w:hAnsi="Times New Roman"/>
          <w:sz w:val="18"/>
          <w:szCs w:val="18"/>
          <w:color w:val="auto"/>
        </w:rPr>
        <w:t>” means:</w:t>
      </w:r>
    </w:p>
    <w:p>
      <w:pPr>
        <w:spacing w:after="0" w:line="90" w:lineRule="exact"/>
        <w:rPr>
          <w:rFonts w:ascii="Times New Roman" w:cs="Times New Roman" w:eastAsia="Times New Roman" w:hAnsi="Times New Roman"/>
          <w:sz w:val="18"/>
          <w:szCs w:val="18"/>
          <w:color w:val="auto"/>
        </w:rPr>
      </w:pPr>
    </w:p>
    <w:p>
      <w:pPr>
        <w:ind w:left="1007" w:hanging="440"/>
        <w:spacing w:after="0"/>
        <w:tabs>
          <w:tab w:leader="none" w:pos="100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Grantee whose employment by a Participating Company is terminated by reason of Disability;</w:t>
      </w:r>
    </w:p>
    <w:p>
      <w:pPr>
        <w:spacing w:after="0" w:line="90" w:lineRule="exact"/>
        <w:rPr>
          <w:rFonts w:ascii="Times New Roman" w:cs="Times New Roman" w:eastAsia="Times New Roman" w:hAnsi="Times New Roman"/>
          <w:sz w:val="18"/>
          <w:szCs w:val="18"/>
          <w:color w:val="auto"/>
        </w:rPr>
      </w:pPr>
    </w:p>
    <w:p>
      <w:pPr>
        <w:ind w:left="1007" w:hanging="440"/>
        <w:spacing w:after="0"/>
        <w:tabs>
          <w:tab w:leader="none" w:pos="100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duly-appointed legal guardian of an individual described in Paragraph 2(w)(i) acting on behalf of such individual.</w:t>
      </w:r>
    </w:p>
    <w:p>
      <w:pPr>
        <w:spacing w:after="0" w:line="90" w:lineRule="exact"/>
        <w:rPr>
          <w:rFonts w:ascii="Times New Roman" w:cs="Times New Roman" w:eastAsia="Times New Roman" w:hAnsi="Times New Roman"/>
          <w:sz w:val="18"/>
          <w:szCs w:val="18"/>
          <w:color w:val="auto"/>
        </w:rPr>
      </w:pPr>
    </w:p>
    <w:p>
      <w:pPr>
        <w:ind w:left="567" w:right="80" w:hanging="567"/>
        <w:spacing w:after="0" w:line="262" w:lineRule="auto"/>
        <w:tabs>
          <w:tab w:leader="none" w:pos="56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Diversification Election</w:t>
      </w:r>
      <w:r>
        <w:rPr>
          <w:rFonts w:ascii="Times New Roman" w:cs="Times New Roman" w:eastAsia="Times New Roman" w:hAnsi="Times New Roman"/>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8(h).</w:t>
      </w:r>
    </w:p>
    <w:p>
      <w:pPr>
        <w:spacing w:after="0" w:line="51"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means, as applicable, an Initial Election, a Subsequent Election, or an Acceleration Election.</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means an employee of a Participating Company, as determined by the Committee.</w:t>
      </w:r>
    </w:p>
    <w:p>
      <w:pPr>
        <w:spacing w:after="0" w:line="158" w:lineRule="exact"/>
        <w:rPr>
          <w:sz w:val="20"/>
          <w:szCs w:val="20"/>
          <w:color w:val="auto"/>
        </w:rPr>
      </w:pPr>
    </w:p>
    <w:p>
      <w:pPr>
        <w:ind w:left="4707"/>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87"/>
          </w:cols>
          <w:pgMar w:left="1153" w:top="274" w:right="259" w:bottom="1440" w:gutter="0" w:footer="0" w:header="0"/>
        </w:sectPr>
      </w:pPr>
    </w:p>
    <w:bookmarkStart w:id="70" w:name="page71"/>
    <w:bookmarkEnd w:id="70"/>
    <w:p>
      <w:pPr>
        <w:ind w:left="567" w:hanging="567"/>
        <w:spacing w:after="0"/>
        <w:tabs>
          <w:tab w:leader="none" w:pos="56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w:t>
      </w:r>
    </w:p>
    <w:p>
      <w:pPr>
        <w:spacing w:after="0" w:line="90" w:lineRule="exact"/>
        <w:rPr>
          <w:rFonts w:ascii="Times New Roman" w:cs="Times New Roman" w:eastAsia="Times New Roman" w:hAnsi="Times New Roman"/>
          <w:sz w:val="18"/>
          <w:szCs w:val="18"/>
          <w:color w:val="auto"/>
        </w:rPr>
      </w:pPr>
    </w:p>
    <w:p>
      <w:pPr>
        <w:ind w:left="1007" w:right="20" w:hanging="440"/>
        <w:spacing w:after="0" w:line="334" w:lineRule="auto"/>
        <w:tabs>
          <w:tab w:leader="none" w:pos="1007"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 w:lineRule="exact"/>
        <w:rPr>
          <w:rFonts w:ascii="Times New Roman" w:cs="Times New Roman" w:eastAsia="Times New Roman" w:hAnsi="Times New Roman"/>
          <w:sz w:val="16"/>
          <w:szCs w:val="16"/>
          <w:color w:val="auto"/>
        </w:rPr>
      </w:pPr>
    </w:p>
    <w:p>
      <w:pPr>
        <w:ind w:left="1007" w:right="180" w:hanging="440"/>
        <w:spacing w:after="0" w:line="262" w:lineRule="auto"/>
        <w:tabs>
          <w:tab w:leader="none" w:pos="100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51" w:lineRule="exact"/>
        <w:rPr>
          <w:rFonts w:ascii="Times New Roman" w:cs="Times New Roman" w:eastAsia="Times New Roman" w:hAnsi="Times New Roman"/>
          <w:sz w:val="18"/>
          <w:szCs w:val="18"/>
          <w:color w:val="auto"/>
        </w:rPr>
      </w:pPr>
    </w:p>
    <w:p>
      <w:pPr>
        <w:ind w:left="1007" w:hanging="440"/>
        <w:spacing w:after="0"/>
        <w:tabs>
          <w:tab w:leader="none" w:pos="1007"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Shares are not so listed nor trades of Shares so reported, Fair Market Value shall be determined by the Committee in good faith.</w:t>
      </w:r>
    </w:p>
    <w:p>
      <w:pPr>
        <w:spacing w:after="0" w:line="113" w:lineRule="exact"/>
        <w:rPr>
          <w:rFonts w:ascii="Times New Roman" w:cs="Times New Roman" w:eastAsia="Times New Roman" w:hAnsi="Times New Roman"/>
          <w:sz w:val="16"/>
          <w:szCs w:val="16"/>
          <w:color w:val="auto"/>
        </w:rPr>
      </w:pPr>
    </w:p>
    <w:p>
      <w:pPr>
        <w:ind w:left="567" w:hanging="567"/>
        <w:spacing w:after="0"/>
        <w:tabs>
          <w:tab w:leader="none" w:pos="56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Grandfathered Amount</w:t>
      </w:r>
      <w:r>
        <w:rPr>
          <w:rFonts w:ascii="Times New Roman" w:cs="Times New Roman" w:eastAsia="Times New Roman" w:hAnsi="Times New Roman"/>
          <w:sz w:val="18"/>
          <w:szCs w:val="18"/>
          <w:color w:val="auto"/>
        </w:rPr>
        <w:t>” means Deferred Stock Units described in Paragraph 1(b).</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means an Eligible Employee or Non-Employee Director who is granted an Award.</w:t>
      </w:r>
    </w:p>
    <w:p>
      <w:pPr>
        <w:spacing w:after="0" w:line="90" w:lineRule="exact"/>
        <w:rPr>
          <w:rFonts w:ascii="Times New Roman" w:cs="Times New Roman" w:eastAsia="Times New Roman" w:hAnsi="Times New Roman"/>
          <w:sz w:val="18"/>
          <w:szCs w:val="18"/>
          <w:color w:val="auto"/>
        </w:rPr>
      </w:pPr>
    </w:p>
    <w:p>
      <w:pPr>
        <w:ind w:left="567" w:hanging="567"/>
        <w:spacing w:after="0" w:line="286" w:lineRule="auto"/>
        <w:tabs>
          <w:tab w:leader="none" w:pos="567"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Hardship</w:t>
      </w:r>
      <w:r>
        <w:rPr>
          <w:rFonts w:ascii="Times New Roman" w:cs="Times New Roman" w:eastAsia="Times New Roman" w:hAnsi="Times New Roman"/>
          <w:sz w:val="16"/>
          <w:szCs w:val="16"/>
          <w:color w:val="auto"/>
        </w:rPr>
        <w:t xml:space="preserve">” means a Grantee’s severe financial hardship due to an unforeseeable emergency resulting from a sudden and unexpected illness or accident of the Grantee, or, a sudden and unexpected illness or accident of a dependent (as defined by section 152(a) of the Code) of the Grantee, or loss of the Grantee’s property due to casualty, or other similar and extraordinary unforeseeable circumstances arising as a result of events beyond the control of the Grantee. A need to send the Grantee’s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Grantee’s other assets (including assets of the Grantee’s spouse and minor children that are reasonably available to the Grantee) to the extent that this liquidation would not itself cause severe financial hardship. For the purposes of the preceding sentence, the Grantee’s resources shall be deemed to include those assets of his spouse and minor children that are reasonably available to the Grantee; however, property held for the Grantee’s child under an irrevocable trust or under a </w:t>
      </w:r>
      <w:r>
        <w:rPr>
          <w:rFonts w:ascii="Times New Roman" w:cs="Times New Roman" w:eastAsia="Times New Roman" w:hAnsi="Times New Roman"/>
          <w:sz w:val="16"/>
          <w:szCs w:val="16"/>
          <w:i w:val="1"/>
          <w:iCs w:val="1"/>
          <w:color w:val="auto"/>
        </w:rPr>
        <w:t>Uniform Gifts to Minors Act</w:t>
      </w:r>
      <w:r>
        <w:rPr>
          <w:rFonts w:ascii="Times New Roman" w:cs="Times New Roman" w:eastAsia="Times New Roman" w:hAnsi="Times New Roman"/>
          <w:sz w:val="16"/>
          <w:szCs w:val="16"/>
          <w:color w:val="auto"/>
        </w:rPr>
        <w:t xml:space="preserve"> custodianship or </w:t>
      </w:r>
      <w:r>
        <w:rPr>
          <w:rFonts w:ascii="Times New Roman" w:cs="Times New Roman" w:eastAsia="Times New Roman" w:hAnsi="Times New Roman"/>
          <w:sz w:val="16"/>
          <w:szCs w:val="16"/>
          <w:i w:val="1"/>
          <w:iCs w:val="1"/>
          <w:color w:val="auto"/>
        </w:rPr>
        <w:t>Uniform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Transfers to Minors Act </w:t>
      </w:r>
      <w:r>
        <w:rPr>
          <w:rFonts w:ascii="Times New Roman" w:cs="Times New Roman" w:eastAsia="Times New Roman" w:hAnsi="Times New Roman"/>
          <w:sz w:val="16"/>
          <w:szCs w:val="16"/>
          <w:color w:val="auto"/>
        </w:rPr>
        <w:t>custodianship shall not be treated as a resource of the Grantee. The Committee shall determine whether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w:t>
      </w:r>
    </w:p>
    <w:p>
      <w:pPr>
        <w:spacing w:after="0" w:line="320" w:lineRule="exact"/>
        <w:rPr>
          <w:sz w:val="20"/>
          <w:szCs w:val="20"/>
          <w:color w:val="auto"/>
        </w:rPr>
      </w:pPr>
    </w:p>
    <w:p>
      <w:pPr>
        <w:ind w:left="4707"/>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367"/>
          </w:cols>
          <w:pgMar w:left="1153" w:top="274" w:right="379" w:bottom="1440" w:gutter="0" w:footer="0" w:header="0"/>
        </w:sectPr>
      </w:pPr>
    </w:p>
    <w:bookmarkStart w:id="71" w:name="page72"/>
    <w:bookmarkEnd w:id="71"/>
    <w:p>
      <w:pPr>
        <w:ind w:left="567"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51" w:lineRule="exact"/>
        <w:rPr>
          <w:sz w:val="20"/>
          <w:szCs w:val="20"/>
          <w:color w:val="auto"/>
        </w:rPr>
      </w:pPr>
    </w:p>
    <w:p>
      <w:pPr>
        <w:ind w:left="567" w:right="120" w:hanging="567"/>
        <w:spacing w:after="0" w:line="262" w:lineRule="auto"/>
        <w:tabs>
          <w:tab w:leader="none" w:pos="56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Fund</w:t>
      </w:r>
      <w:r>
        <w:rPr>
          <w:rFonts w:ascii="Times New Roman" w:cs="Times New Roman" w:eastAsia="Times New Roman" w:hAnsi="Times New Roman"/>
          <w:sz w:val="18"/>
          <w:szCs w:val="18"/>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51" w:lineRule="exact"/>
        <w:rPr>
          <w:rFonts w:ascii="Times New Roman" w:cs="Times New Roman" w:eastAsia="Times New Roman" w:hAnsi="Times New Roman"/>
          <w:sz w:val="18"/>
          <w:szCs w:val="18"/>
          <w:color w:val="auto"/>
        </w:rPr>
      </w:pPr>
    </w:p>
    <w:p>
      <w:pPr>
        <w:ind w:left="567" w:right="40" w:hanging="567"/>
        <w:spacing w:after="0" w:line="262" w:lineRule="auto"/>
        <w:tabs>
          <w:tab w:leader="none" w:pos="56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Election</w:t>
      </w:r>
      <w:r>
        <w:rPr>
          <w:rFonts w:ascii="Times New Roman" w:cs="Times New Roman" w:eastAsia="Times New Roman" w:hAnsi="Times New Roman"/>
          <w:sz w:val="18"/>
          <w:szCs w:val="18"/>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51" w:lineRule="exact"/>
        <w:rPr>
          <w:rFonts w:ascii="Times New Roman" w:cs="Times New Roman" w:eastAsia="Times New Roman" w:hAnsi="Times New Roman"/>
          <w:sz w:val="18"/>
          <w:szCs w:val="18"/>
          <w:color w:val="auto"/>
        </w:rPr>
      </w:pPr>
    </w:p>
    <w:p>
      <w:pPr>
        <w:jc w:val="both"/>
        <w:ind w:left="567" w:hanging="567"/>
        <w:spacing w:after="0" w:line="262" w:lineRule="auto"/>
        <w:tabs>
          <w:tab w:leader="none" w:pos="56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Key Employee</w:t>
      </w:r>
      <w:r>
        <w:rPr>
          <w:rFonts w:ascii="Times New Roman" w:cs="Times New Roman" w:eastAsia="Times New Roman" w:hAnsi="Times New Roman"/>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51" w:lineRule="exact"/>
        <w:rPr>
          <w:rFonts w:ascii="Times New Roman" w:cs="Times New Roman" w:eastAsia="Times New Roman" w:hAnsi="Times New Roman"/>
          <w:sz w:val="18"/>
          <w:szCs w:val="18"/>
          <w:color w:val="auto"/>
        </w:rPr>
      </w:pPr>
    </w:p>
    <w:p>
      <w:pPr>
        <w:ind w:left="567" w:right="240" w:hanging="567"/>
        <w:spacing w:after="0" w:line="275" w:lineRule="auto"/>
        <w:tabs>
          <w:tab w:leader="none" w:pos="56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38" w:lineRule="exact"/>
        <w:rPr>
          <w:rFonts w:ascii="Times New Roman" w:cs="Times New Roman" w:eastAsia="Times New Roman" w:hAnsi="Times New Roman"/>
          <w:sz w:val="18"/>
          <w:szCs w:val="18"/>
          <w:color w:val="auto"/>
        </w:rPr>
      </w:pPr>
    </w:p>
    <w:p>
      <w:pPr>
        <w:ind w:left="567" w:right="220" w:hanging="567"/>
        <w:spacing w:after="0" w:line="275" w:lineRule="auto"/>
        <w:tabs>
          <w:tab w:leader="none" w:pos="56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Normal Retirement</w:t>
      </w:r>
      <w:r>
        <w:rPr>
          <w:rFonts w:ascii="Times New Roman" w:cs="Times New Roman" w:eastAsia="Times New Roman" w:hAnsi="Times New Roman"/>
          <w:sz w:val="18"/>
          <w:szCs w:val="18"/>
          <w:color w:val="auto"/>
        </w:rPr>
        <w:t>” means a Grantee’s termination of employment that is treated by the Participating Company as a retirement under its employment policies and practices as in effect from time to time.</w:t>
      </w:r>
    </w:p>
    <w:p>
      <w:pPr>
        <w:spacing w:after="0" w:line="38"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Available Shares</w:t>
      </w:r>
      <w:r>
        <w:rPr>
          <w:rFonts w:ascii="Times New Roman" w:cs="Times New Roman" w:eastAsia="Times New Roman" w:hAnsi="Times New Roman"/>
          <w:sz w:val="18"/>
          <w:szCs w:val="18"/>
          <w:color w:val="auto"/>
        </w:rPr>
        <w:t>” means, as of any date, the sum of:</w:t>
      </w:r>
    </w:p>
    <w:p>
      <w:pPr>
        <w:spacing w:after="0" w:line="90" w:lineRule="exact"/>
        <w:rPr>
          <w:rFonts w:ascii="Times New Roman" w:cs="Times New Roman" w:eastAsia="Times New Roman" w:hAnsi="Times New Roman"/>
          <w:sz w:val="18"/>
          <w:szCs w:val="18"/>
          <w:color w:val="auto"/>
        </w:rPr>
      </w:pPr>
    </w:p>
    <w:p>
      <w:pPr>
        <w:ind w:left="1007" w:right="240" w:hanging="440"/>
        <w:spacing w:after="0" w:line="275" w:lineRule="auto"/>
        <w:tabs>
          <w:tab w:leader="none" w:pos="100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owned by a Grantee that were not acquired by such Grantee pursuant to a Comcast Plan or otherwise in connection with the performance of services to the Company or an Affiliate; plus</w:t>
      </w:r>
    </w:p>
    <w:p>
      <w:pPr>
        <w:spacing w:after="0" w:line="38" w:lineRule="exact"/>
        <w:rPr>
          <w:rFonts w:ascii="Times New Roman" w:cs="Times New Roman" w:eastAsia="Times New Roman" w:hAnsi="Times New Roman"/>
          <w:sz w:val="18"/>
          <w:szCs w:val="18"/>
          <w:color w:val="auto"/>
        </w:rPr>
      </w:pPr>
    </w:p>
    <w:p>
      <w:pPr>
        <w:ind w:left="1007" w:hanging="440"/>
        <w:spacing w:after="0"/>
        <w:tabs>
          <w:tab w:leader="none" w:pos="100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w:t>
      </w:r>
    </w:p>
    <w:p>
      <w:pPr>
        <w:spacing w:after="0" w:line="90" w:lineRule="exact"/>
        <w:rPr>
          <w:rFonts w:ascii="Times New Roman" w:cs="Times New Roman" w:eastAsia="Times New Roman" w:hAnsi="Times New Roman"/>
          <w:sz w:val="18"/>
          <w:szCs w:val="18"/>
          <w:color w:val="auto"/>
        </w:rPr>
      </w:pPr>
    </w:p>
    <w:p>
      <w:pPr>
        <w:ind w:left="1467" w:hanging="441"/>
        <w:spacing w:after="0"/>
        <w:tabs>
          <w:tab w:leader="none" w:pos="1467"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owned by a Grantee other than the Shares described in Paragraph 2(jj)(i); over</w:t>
      </w:r>
    </w:p>
    <w:p>
      <w:pPr>
        <w:spacing w:after="0" w:line="90" w:lineRule="exact"/>
        <w:rPr>
          <w:rFonts w:ascii="Times New Roman" w:cs="Times New Roman" w:eastAsia="Times New Roman" w:hAnsi="Times New Roman"/>
          <w:sz w:val="18"/>
          <w:szCs w:val="18"/>
          <w:color w:val="auto"/>
        </w:rPr>
      </w:pPr>
    </w:p>
    <w:p>
      <w:pPr>
        <w:ind w:left="1467" w:hanging="441"/>
        <w:spacing w:after="0"/>
        <w:tabs>
          <w:tab w:leader="none" w:pos="1467"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90" w:lineRule="exact"/>
        <w:rPr>
          <w:rFonts w:ascii="Times New Roman" w:cs="Times New Roman" w:eastAsia="Times New Roman" w:hAnsi="Times New Roman"/>
          <w:sz w:val="18"/>
          <w:szCs w:val="18"/>
          <w:color w:val="auto"/>
        </w:rPr>
      </w:pPr>
    </w:p>
    <w:p>
      <w:pPr>
        <w:ind w:left="2047" w:hanging="562"/>
        <w:spacing w:after="0"/>
        <w:tabs>
          <w:tab w:leader="none" w:pos="2047" w:val="left"/>
        </w:tabs>
        <w:numPr>
          <w:ilvl w:val="3"/>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Shares owned by such Grantee for less than six months; plus</w:t>
      </w:r>
    </w:p>
    <w:p>
      <w:pPr>
        <w:spacing w:after="0" w:line="158" w:lineRule="exact"/>
        <w:rPr>
          <w:sz w:val="20"/>
          <w:szCs w:val="20"/>
          <w:color w:val="auto"/>
        </w:rPr>
      </w:pPr>
    </w:p>
    <w:p>
      <w:pPr>
        <w:ind w:left="4707"/>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67"/>
          </w:cols>
          <w:pgMar w:left="1153" w:top="274" w:right="279" w:bottom="1440" w:gutter="0" w:footer="0" w:header="0"/>
        </w:sectPr>
      </w:pPr>
    </w:p>
    <w:bookmarkStart w:id="72" w:name="page73"/>
    <w:bookmarkEnd w:id="72"/>
    <w:p>
      <w:pPr>
        <w:ind w:left="2960" w:right="260" w:hanging="562"/>
        <w:spacing w:after="0" w:line="262" w:lineRule="auto"/>
        <w:tabs>
          <w:tab w:leader="none" w:pos="2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number of such Shares owned by such Grantee that has, within the preceding six months, been the subject of a withholding certification pursuant to Paragraph 9(c)(ii) or any similar withholding certification under any other Comcast Plan; plus</w:t>
      </w:r>
    </w:p>
    <w:p>
      <w:pPr>
        <w:spacing w:after="0" w:line="51" w:lineRule="exact"/>
        <w:rPr>
          <w:rFonts w:ascii="Times New Roman" w:cs="Times New Roman" w:eastAsia="Times New Roman" w:hAnsi="Times New Roman"/>
          <w:sz w:val="18"/>
          <w:szCs w:val="18"/>
          <w:color w:val="auto"/>
        </w:rPr>
      </w:pPr>
    </w:p>
    <w:p>
      <w:pPr>
        <w:ind w:left="2960" w:hanging="562"/>
        <w:spacing w:after="0" w:line="301" w:lineRule="auto"/>
        <w:tabs>
          <w:tab w:leader="none" w:pos="29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such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22" w:lineRule="exact"/>
        <w:rPr>
          <w:rFonts w:ascii="Times New Roman" w:cs="Times New Roman" w:eastAsia="Times New Roman" w:hAnsi="Times New Roman"/>
          <w:sz w:val="16"/>
          <w:szCs w:val="16"/>
          <w:color w:val="auto"/>
        </w:rPr>
      </w:pPr>
    </w:p>
    <w:p>
      <w:pPr>
        <w:jc w:val="both"/>
        <w:ind w:left="2960" w:right="140" w:hanging="562"/>
        <w:spacing w:after="0" w:line="310" w:lineRule="auto"/>
        <w:tabs>
          <w:tab w:leader="none" w:pos="29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such Shares owned by such Grantee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9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purposes of this Paragraph 2(jj),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Grantee immediately before the consummation of the AT&amp;T Broadband Transaction that became Shares as a result of the AT&amp;T Broadband Transaction.</w:t>
      </w:r>
    </w:p>
    <w:p>
      <w:pPr>
        <w:spacing w:after="0" w:line="58" w:lineRule="exact"/>
        <w:rPr>
          <w:sz w:val="20"/>
          <w:szCs w:val="20"/>
          <w:color w:val="auto"/>
        </w:rPr>
      </w:pPr>
    </w:p>
    <w:p>
      <w:pPr>
        <w:ind w:left="1480" w:hanging="567"/>
        <w:spacing w:after="0"/>
        <w:tabs>
          <w:tab w:leader="none" w:pos="14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Company</w:t>
      </w:r>
      <w:r>
        <w:rPr>
          <w:rFonts w:ascii="Times New Roman" w:cs="Times New Roman" w:eastAsia="Times New Roman" w:hAnsi="Times New Roman"/>
          <w:sz w:val="18"/>
          <w:szCs w:val="18"/>
          <w:color w:val="auto"/>
        </w:rPr>
        <w:t>” means the Company and each of the Subsidiary Companies.</w:t>
      </w:r>
    </w:p>
    <w:p>
      <w:pPr>
        <w:spacing w:after="0" w:line="88" w:lineRule="exact"/>
        <w:rPr>
          <w:rFonts w:ascii="Times New Roman" w:cs="Times New Roman" w:eastAsia="Times New Roman" w:hAnsi="Times New Roman"/>
          <w:sz w:val="18"/>
          <w:szCs w:val="18"/>
          <w:color w:val="auto"/>
        </w:rPr>
      </w:pPr>
    </w:p>
    <w:p>
      <w:pPr>
        <w:ind w:left="1480" w:right="160" w:hanging="567"/>
        <w:spacing w:after="0" w:line="277" w:lineRule="auto"/>
        <w:tabs>
          <w:tab w:leader="none" w:pos="14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Performance-Based Compensation</w:t>
      </w:r>
      <w:r>
        <w:rPr>
          <w:rFonts w:ascii="Times New Roman" w:cs="Times New Roman" w:eastAsia="Times New Roman" w:hAnsi="Times New Roman"/>
          <w:sz w:val="18"/>
          <w:szCs w:val="18"/>
          <w:color w:val="auto"/>
        </w:rPr>
        <w:t xml:space="preserve">” means “performance-based compensation” within the meaning of Q&amp;A 22 of </w:t>
      </w:r>
      <w:r>
        <w:rPr>
          <w:rFonts w:ascii="Times New Roman" w:cs="Times New Roman" w:eastAsia="Times New Roman" w:hAnsi="Times New Roman"/>
          <w:sz w:val="18"/>
          <w:szCs w:val="18"/>
          <w:i w:val="1"/>
          <w:iCs w:val="1"/>
          <w:color w:val="auto"/>
        </w:rPr>
        <w:t>IRS Notice 2005-1</w:t>
      </w:r>
      <w:r>
        <w:rPr>
          <w:rFonts w:ascii="Times New Roman" w:cs="Times New Roman" w:eastAsia="Times New Roman" w:hAnsi="Times New Roman"/>
          <w:sz w:val="18"/>
          <w:szCs w:val="18"/>
          <w:color w:val="auto"/>
        </w:rPr>
        <w:t>, or such other guidance as may be issued by the Department of the Treasury under section 409A of the Code.</w:t>
      </w:r>
    </w:p>
    <w:p>
      <w:pPr>
        <w:spacing w:after="0" w:line="3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a period of at least 12 months during which a Grantee may earn Performance-Based Compensation.</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an association, a trust or any other entity or organization.</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the Comcast Corporation 2002 Restricted Stock Plan, as set forth herein, and as amended from time to time.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00"/>
          </w:cols>
          <w:pgMar w:left="240" w:top="274" w:right="359" w:bottom="1440" w:gutter="0" w:footer="0" w:header="0"/>
        </w:sectPr>
      </w:pPr>
    </w:p>
    <w:bookmarkStart w:id="73" w:name="page74"/>
    <w:bookmarkEnd w:id="73"/>
    <w:p>
      <w:pPr>
        <w:ind w:left="567" w:right="240" w:hanging="567"/>
        <w:spacing w:after="0" w:line="258" w:lineRule="auto"/>
        <w:tabs>
          <w:tab w:leader="none" w:pos="5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55"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subject to restrictions as set forth in an Award.</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unit that entitles the Grantee, upon the Vesting Date set forth in an Award, to receive one Share.</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Retired Grantee</w:t>
      </w:r>
      <w:r>
        <w:rPr>
          <w:rFonts w:ascii="Times New Roman" w:cs="Times New Roman" w:eastAsia="Times New Roman" w:hAnsi="Times New Roman"/>
          <w:sz w:val="18"/>
          <w:szCs w:val="18"/>
          <w:color w:val="auto"/>
        </w:rPr>
        <w:t>” means a Grantee who has terminated employment pursuant to a Normal Retirement.</w:t>
      </w:r>
    </w:p>
    <w:p>
      <w:pPr>
        <w:spacing w:after="0" w:line="9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under the 1934 Act, as in effect from time to time.</w:t>
      </w:r>
    </w:p>
    <w:p>
      <w:pPr>
        <w:spacing w:after="0" w:line="90" w:lineRule="exact"/>
        <w:rPr>
          <w:rFonts w:ascii="Times New Roman" w:cs="Times New Roman" w:eastAsia="Times New Roman" w:hAnsi="Times New Roman"/>
          <w:sz w:val="18"/>
          <w:szCs w:val="18"/>
          <w:color w:val="auto"/>
        </w:rPr>
      </w:pPr>
    </w:p>
    <w:p>
      <w:pPr>
        <w:ind w:left="567" w:hanging="567"/>
        <w:spacing w:after="0" w:line="275" w:lineRule="auto"/>
        <w:tabs>
          <w:tab w:leader="none" w:pos="5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16(b) Officer</w:t>
      </w:r>
      <w:r>
        <w:rPr>
          <w:rFonts w:ascii="Times New Roman" w:cs="Times New Roman" w:eastAsia="Times New Roman" w:hAnsi="Times New Roman"/>
          <w:sz w:val="18"/>
          <w:szCs w:val="18"/>
          <w:color w:val="auto"/>
        </w:rPr>
        <w:t>” means an officer of the Company who is subject to the short-swing profit recapture rules of section 16(b) of the 1934 Act.</w:t>
      </w:r>
    </w:p>
    <w:p>
      <w:pPr>
        <w:spacing w:after="0" w:line="38"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w:t>
      </w:r>
    </w:p>
    <w:p>
      <w:pPr>
        <w:spacing w:after="0" w:line="90" w:lineRule="exact"/>
        <w:rPr>
          <w:rFonts w:ascii="Times New Roman" w:cs="Times New Roman" w:eastAsia="Times New Roman" w:hAnsi="Times New Roman"/>
          <w:sz w:val="18"/>
          <w:szCs w:val="18"/>
          <w:color w:val="auto"/>
        </w:rPr>
      </w:pPr>
    </w:p>
    <w:p>
      <w:pPr>
        <w:ind w:left="1007" w:hanging="440"/>
        <w:spacing w:after="0"/>
        <w:tabs>
          <w:tab w:leader="none" w:pos="100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2(vv)(ii), a share or shares of Common Stock.</w:t>
      </w:r>
    </w:p>
    <w:p>
      <w:pPr>
        <w:spacing w:after="0" w:line="90" w:lineRule="exact"/>
        <w:rPr>
          <w:rFonts w:ascii="Times New Roman" w:cs="Times New Roman" w:eastAsia="Times New Roman" w:hAnsi="Times New Roman"/>
          <w:sz w:val="18"/>
          <w:szCs w:val="18"/>
          <w:color w:val="auto"/>
        </w:rPr>
      </w:pPr>
    </w:p>
    <w:p>
      <w:pPr>
        <w:ind w:left="1007" w:right="20" w:hanging="440"/>
        <w:spacing w:after="0" w:line="262" w:lineRule="auto"/>
        <w:tabs>
          <w:tab w:leader="none" w:pos="100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Awards granted before the consummation of the AT&amp;T Broadband Transaction as to which a Vesting Date has not occurred, and for purposes of Paragraphs 2(jj) and 9(c), the term “Share” or “Shares” also means a share or shares of Special Common Stock.</w:t>
      </w:r>
    </w:p>
    <w:p>
      <w:pPr>
        <w:spacing w:after="0" w:line="51"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Common Stock</w:t>
      </w:r>
      <w:r>
        <w:rPr>
          <w:rFonts w:ascii="Times New Roman" w:cs="Times New Roman" w:eastAsia="Times New Roman" w:hAnsi="Times New Roman"/>
          <w:sz w:val="18"/>
          <w:szCs w:val="18"/>
          <w:color w:val="auto"/>
        </w:rPr>
        <w:t>” means Class A Special Common Stock, par value $0.01, of the Company.</w:t>
      </w:r>
    </w:p>
    <w:p>
      <w:pPr>
        <w:spacing w:after="0" w:line="90" w:lineRule="exact"/>
        <w:rPr>
          <w:rFonts w:ascii="Times New Roman" w:cs="Times New Roman" w:eastAsia="Times New Roman" w:hAnsi="Times New Roman"/>
          <w:sz w:val="18"/>
          <w:szCs w:val="18"/>
          <w:color w:val="auto"/>
        </w:rPr>
      </w:pPr>
    </w:p>
    <w:p>
      <w:pPr>
        <w:ind w:left="567" w:right="20" w:hanging="567"/>
        <w:spacing w:after="0" w:line="258" w:lineRule="auto"/>
        <w:tabs>
          <w:tab w:leader="none" w:pos="5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Diversification Election</w:t>
      </w:r>
      <w:r>
        <w:rPr>
          <w:rFonts w:ascii="Times New Roman" w:cs="Times New Roman" w:eastAsia="Times New Roman" w:hAnsi="Times New Roman"/>
          <w:sz w:val="18"/>
          <w:szCs w:val="18"/>
          <w:color w:val="auto"/>
        </w:rPr>
        <w:t>” means, with respect to each separate grant of Restricted Stock or Restricted Stock Units, a Diversification Election by a Grantee other than a Non-Employee Director to have more than 40 percent of the Deferred Stock Units credited to such Grantee’s Account in the Company Stock Fund liquidated and credited thereafter under the Income Fund, as provided in Paragraph 8(h)(i), if (and to the extent that) it is approved by the Committee in accordance with Paragraph 8(h)(ii).</w:t>
      </w:r>
    </w:p>
    <w:p>
      <w:pPr>
        <w:spacing w:after="0" w:line="55" w:lineRule="exact"/>
        <w:rPr>
          <w:rFonts w:ascii="Times New Roman" w:cs="Times New Roman" w:eastAsia="Times New Roman" w:hAnsi="Times New Roman"/>
          <w:sz w:val="18"/>
          <w:szCs w:val="18"/>
          <w:color w:val="auto"/>
        </w:rPr>
      </w:pPr>
    </w:p>
    <w:p>
      <w:pPr>
        <w:ind w:left="567" w:right="660" w:hanging="567"/>
        <w:spacing w:after="0" w:line="275" w:lineRule="auto"/>
        <w:tabs>
          <w:tab w:leader="none" w:pos="5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Election</w:t>
      </w:r>
      <w:r>
        <w:rPr>
          <w:rFonts w:ascii="Times New Roman" w:cs="Times New Roman" w:eastAsia="Times New Roman" w:hAnsi="Times New Roman"/>
          <w:sz w:val="18"/>
          <w:szCs w:val="18"/>
          <w:color w:val="auto"/>
        </w:rPr>
        <w:t>” means a written election on a form provided by the Committee, filed with the Committee in accordance with Paragraph 8(d), pursuant to which a Grantee: (i) elects, within the time or times specified in Paragraph 8(d), to</w:t>
      </w:r>
    </w:p>
    <w:p>
      <w:pPr>
        <w:spacing w:after="0" w:line="106" w:lineRule="exact"/>
        <w:rPr>
          <w:sz w:val="20"/>
          <w:szCs w:val="20"/>
          <w:color w:val="auto"/>
        </w:rPr>
      </w:pPr>
    </w:p>
    <w:p>
      <w:pPr>
        <w:ind w:left="4707"/>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87"/>
          </w:cols>
          <w:pgMar w:left="1153" w:top="274" w:right="259" w:bottom="1440" w:gutter="0" w:footer="0" w:header="0"/>
        </w:sectPr>
      </w:pPr>
    </w:p>
    <w:bookmarkStart w:id="74" w:name="page75"/>
    <w:bookmarkEnd w:id="74"/>
    <w:p>
      <w:pPr>
        <w:ind w:left="1026" w:right="4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 defer the distribution date of Shares issuable with respect to Restricted Stock or Restricted Stock Units; and (ii) designates the distribution date of such Shares.</w:t>
      </w:r>
    </w:p>
    <w:p>
      <w:pPr>
        <w:spacing w:after="0" w:line="39" w:lineRule="exact"/>
        <w:rPr>
          <w:sz w:val="20"/>
          <w:szCs w:val="20"/>
          <w:color w:val="auto"/>
        </w:rPr>
      </w:pPr>
    </w:p>
    <w:p>
      <w:pPr>
        <w:ind w:left="1026" w:right="260" w:hanging="567"/>
        <w:spacing w:after="0" w:line="275" w:lineRule="auto"/>
        <w:tabs>
          <w:tab w:leader="none" w:pos="102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Companies</w:t>
      </w:r>
      <w:r>
        <w:rPr>
          <w:rFonts w:ascii="Times New Roman" w:cs="Times New Roman" w:eastAsia="Times New Roman" w:hAnsi="Times New Roman"/>
          <w:sz w:val="18"/>
          <w:szCs w:val="18"/>
          <w:color w:val="auto"/>
        </w:rPr>
        <w:t>” means all business entities that, at the time in question, are subsidiaries of the Company, within the meaning of section 424(f) of the Code.</w:t>
      </w:r>
    </w:p>
    <w:p>
      <w:pPr>
        <w:spacing w:after="0" w:line="39" w:lineRule="exact"/>
        <w:rPr>
          <w:sz w:val="20"/>
          <w:szCs w:val="20"/>
          <w:color w:val="auto"/>
        </w:rPr>
      </w:pPr>
    </w:p>
    <w:p>
      <w:pPr>
        <w:ind w:left="1026" w:hanging="567"/>
        <w:spacing w:after="0" w:line="275" w:lineRule="auto"/>
        <w:tabs>
          <w:tab w:leader="none" w:pos="10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Successor-in-Interest</w:t>
      </w:r>
      <w:r>
        <w:rPr>
          <w:rFonts w:ascii="Times New Roman" w:cs="Times New Roman" w:eastAsia="Times New Roman" w:hAnsi="Times New Roman"/>
          <w:sz w:val="18"/>
          <w:szCs w:val="18"/>
          <w:color w:val="auto"/>
        </w:rPr>
        <w:t>” means the estate or beneficiary to whom the right to payment under the Plan shall have passed by will or the laws of descent and distribution.</w:t>
      </w:r>
    </w:p>
    <w:p>
      <w:pPr>
        <w:spacing w:after="0" w:line="38"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Terminating Event</w:t>
      </w:r>
      <w:r>
        <w:rPr>
          <w:rFonts w:ascii="Times New Roman" w:cs="Times New Roman" w:eastAsia="Times New Roman" w:hAnsi="Times New Roman"/>
          <w:sz w:val="18"/>
          <w:szCs w:val="18"/>
          <w:color w:val="auto"/>
        </w:rPr>
        <w:t>” means any of the following events:</w:t>
      </w:r>
    </w:p>
    <w:p>
      <w:pPr>
        <w:spacing w:after="0" w:line="90" w:lineRule="exact"/>
        <w:rPr>
          <w:rFonts w:ascii="Times New Roman" w:cs="Times New Roman" w:eastAsia="Times New Roman" w:hAnsi="Times New Roman"/>
          <w:sz w:val="18"/>
          <w:szCs w:val="18"/>
          <w:color w:val="auto"/>
        </w:rPr>
      </w:pPr>
    </w:p>
    <w:p>
      <w:pPr>
        <w:ind w:left="1466" w:hanging="440"/>
        <w:spacing w:after="0"/>
        <w:tabs>
          <w:tab w:leader="none" w:pos="146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Company; or</w:t>
      </w:r>
    </w:p>
    <w:p>
      <w:pPr>
        <w:spacing w:after="0" w:line="90" w:lineRule="exact"/>
        <w:rPr>
          <w:rFonts w:ascii="Times New Roman" w:cs="Times New Roman" w:eastAsia="Times New Roman" w:hAnsi="Times New Roman"/>
          <w:sz w:val="18"/>
          <w:szCs w:val="18"/>
          <w:color w:val="auto"/>
        </w:rPr>
      </w:pPr>
    </w:p>
    <w:p>
      <w:pPr>
        <w:ind w:left="1466" w:hanging="440"/>
        <w:spacing w:after="0"/>
        <w:tabs>
          <w:tab w:leader="none" w:pos="146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w:t>
      </w:r>
    </w:p>
    <w:p>
      <w:pPr>
        <w:spacing w:after="0" w:line="90" w:lineRule="exact"/>
        <w:rPr>
          <w:rFonts w:ascii="Times New Roman" w:cs="Times New Roman" w:eastAsia="Times New Roman" w:hAnsi="Times New Roman"/>
          <w:sz w:val="18"/>
          <w:szCs w:val="18"/>
          <w:color w:val="auto"/>
        </w:rPr>
      </w:pPr>
    </w:p>
    <w:p>
      <w:pPr>
        <w:ind w:left="1026" w:hanging="567"/>
        <w:spacing w:after="0" w:line="275" w:lineRule="auto"/>
        <w:tabs>
          <w:tab w:leader="none" w:pos="10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together with such Person’s Affiliates, provided that the term “Third Party” shall not include the Company or an Affiliate of the Company.</w:t>
      </w:r>
    </w:p>
    <w:p>
      <w:pPr>
        <w:spacing w:after="0" w:line="38" w:lineRule="exact"/>
        <w:rPr>
          <w:rFonts w:ascii="Times New Roman" w:cs="Times New Roman" w:eastAsia="Times New Roman" w:hAnsi="Times New Roman"/>
          <w:sz w:val="18"/>
          <w:szCs w:val="18"/>
          <w:color w:val="auto"/>
        </w:rPr>
      </w:pPr>
    </w:p>
    <w:p>
      <w:pPr>
        <w:ind w:left="1026" w:right="180" w:hanging="567"/>
        <w:spacing w:after="0" w:line="275" w:lineRule="auto"/>
        <w:tabs>
          <w:tab w:leader="none" w:pos="10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 means, as applicable: (i) the date on which the restrictions imposed on a Share of Restricted Stock lapse or (ii) the date on which the Grantee vests in a Restricted Stock Unit.</w:t>
      </w:r>
    </w:p>
    <w:p>
      <w:pPr>
        <w:spacing w:after="0" w:line="38"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Securities Act of 1933, as amended.</w:t>
      </w:r>
    </w:p>
    <w:p>
      <w:pPr>
        <w:spacing w:after="0" w:line="90"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210" w:lineRule="exact"/>
        <w:rPr>
          <w:sz w:val="20"/>
          <w:szCs w:val="20"/>
          <w:color w:val="auto"/>
        </w:rPr>
      </w:pPr>
    </w:p>
    <w:p>
      <w:pPr>
        <w:ind w:left="446" w:hanging="446"/>
        <w:spacing w:after="0"/>
        <w:tabs>
          <w:tab w:leader="none" w:pos="446"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to be Granted</w:t>
      </w:r>
    </w:p>
    <w:p>
      <w:pPr>
        <w:spacing w:after="0" w:line="92" w:lineRule="exact"/>
        <w:rPr>
          <w:sz w:val="20"/>
          <w:szCs w:val="20"/>
          <w:color w:val="auto"/>
        </w:rPr>
      </w:pPr>
    </w:p>
    <w:p>
      <w:pPr>
        <w:ind w:left="466"/>
        <w:spacing w:after="0"/>
        <w:rPr>
          <w:sz w:val="20"/>
          <w:szCs w:val="20"/>
          <w:color w:val="auto"/>
        </w:rPr>
      </w:pPr>
      <w:r>
        <w:rPr>
          <w:rFonts w:ascii="Times New Roman" w:cs="Times New Roman" w:eastAsia="Times New Roman" w:hAnsi="Times New Roman"/>
          <w:sz w:val="18"/>
          <w:szCs w:val="18"/>
          <w:color w:val="auto"/>
        </w:rPr>
        <w:t>Rights that may be granted under the Plan are:</w:t>
      </w:r>
    </w:p>
    <w:p>
      <w:pPr>
        <w:spacing w:after="0" w:line="90" w:lineRule="exact"/>
        <w:rPr>
          <w:sz w:val="20"/>
          <w:szCs w:val="20"/>
          <w:color w:val="auto"/>
        </w:rPr>
      </w:pPr>
    </w:p>
    <w:p>
      <w:pPr>
        <w:ind w:left="1026" w:right="420" w:hanging="567"/>
        <w:spacing w:after="0" w:line="275" w:lineRule="auto"/>
        <w:tabs>
          <w:tab w:leader="none" w:pos="102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38" w:lineRule="exact"/>
        <w:rPr>
          <w:rFonts w:ascii="Times New Roman" w:cs="Times New Roman" w:eastAsia="Times New Roman" w:hAnsi="Times New Roman"/>
          <w:sz w:val="18"/>
          <w:szCs w:val="18"/>
          <w:color w:val="auto"/>
        </w:rPr>
      </w:pPr>
    </w:p>
    <w:p>
      <w:pPr>
        <w:ind w:left="1026" w:right="120" w:hanging="567"/>
        <w:spacing w:after="0" w:line="262" w:lineRule="auto"/>
        <w:tabs>
          <w:tab w:leader="none" w:pos="102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one million Shares.</w:t>
      </w:r>
    </w:p>
    <w:p>
      <w:pPr>
        <w:spacing w:after="0" w:line="170"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p>
    <w:p>
      <w:pPr>
        <w:spacing w:after="0" w:line="92" w:lineRule="exact"/>
        <w:rPr>
          <w:rFonts w:ascii="Times New Roman" w:cs="Times New Roman" w:eastAsia="Times New Roman" w:hAnsi="Times New Roman"/>
          <w:sz w:val="18"/>
          <w:szCs w:val="18"/>
          <w:b w:val="1"/>
          <w:bCs w:val="1"/>
          <w:color w:val="auto"/>
        </w:rPr>
      </w:pPr>
    </w:p>
    <w:p>
      <w:pPr>
        <w:ind w:left="1026" w:right="260" w:hanging="567"/>
        <w:spacing w:after="0" w:line="275" w:lineRule="auto"/>
        <w:tabs>
          <w:tab w:leader="none" w:pos="102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15 million Shares in the aggregate may be issued under the Plan pursuant to the grant of Awards, subject to adjustment in accordance with Paragraph 10, provided that subject to the approval of the Company’s shareholders at the</w:t>
      </w:r>
    </w:p>
    <w:p>
      <w:pPr>
        <w:spacing w:after="0" w:line="106" w:lineRule="exact"/>
        <w:rPr>
          <w:sz w:val="20"/>
          <w:szCs w:val="20"/>
          <w:color w:val="auto"/>
        </w:rPr>
      </w:pPr>
    </w:p>
    <w:p>
      <w:pPr>
        <w:jc w:val="center"/>
        <w:ind w:right="33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6"/>
          </w:cols>
          <w:pgMar w:left="694" w:top="274" w:right="339" w:bottom="1440" w:gutter="0" w:footer="0" w:header="0"/>
        </w:sectPr>
      </w:pPr>
    </w:p>
    <w:bookmarkStart w:id="75" w:name="page76"/>
    <w:bookmarkEnd w:id="75"/>
    <w:p>
      <w:pPr>
        <w:ind w:left="1026"/>
        <w:spacing w:after="0" w:line="31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Annual Meeting of Shareholders to be held in 2006, the number of Shares in the aggregate that may be issued under the Plan, pursuant to the grant of Awards, subject to adjustment in accordance with Paragraph 10, shall be increased from 15 million to 35 million. The Shares issued under the Plan may, at the Company’s option, be either Shares held in treasury or Shares originally issued for such purpose.</w:t>
      </w:r>
    </w:p>
    <w:p>
      <w:pPr>
        <w:spacing w:after="0" w:line="16" w:lineRule="exact"/>
        <w:rPr>
          <w:sz w:val="20"/>
          <w:szCs w:val="20"/>
          <w:color w:val="auto"/>
        </w:rPr>
      </w:pPr>
    </w:p>
    <w:p>
      <w:pPr>
        <w:ind w:left="1026" w:right="20" w:hanging="567"/>
        <w:spacing w:after="0" w:line="275" w:lineRule="auto"/>
        <w:tabs>
          <w:tab w:leader="none" w:pos="102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Restricted Stock or Restricted Stock Units are forfeited pursuant to the term of an Award, other Awards with respect to such Shares may be granted.</w:t>
      </w:r>
    </w:p>
    <w:p>
      <w:pPr>
        <w:spacing w:after="0" w:line="158"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Plan</w:t>
      </w:r>
    </w:p>
    <w:p>
      <w:pPr>
        <w:spacing w:after="0" w:line="92" w:lineRule="exact"/>
        <w:rPr>
          <w:rFonts w:ascii="Times New Roman" w:cs="Times New Roman" w:eastAsia="Times New Roman" w:hAnsi="Times New Roman"/>
          <w:sz w:val="18"/>
          <w:szCs w:val="18"/>
          <w:b w:val="1"/>
          <w:bCs w:val="1"/>
          <w:color w:val="auto"/>
        </w:rPr>
      </w:pPr>
    </w:p>
    <w:p>
      <w:pPr>
        <w:ind w:left="1026" w:right="60" w:hanging="567"/>
        <w:spacing w:after="0" w:line="262" w:lineRule="auto"/>
        <w:tabs>
          <w:tab w:leader="none" w:pos="102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shall be administered by the Committee, provided that with respect to Awards to Non-Employee Directors, the rules of this Section 5 shall apply so that all references in this Section 5 to the Committee shall be treated as references to either the Board or the Committee acting alone.</w:t>
      </w:r>
    </w:p>
    <w:p>
      <w:pPr>
        <w:spacing w:after="0" w:line="51"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w:t>
      </w:r>
      <w:r>
        <w:rPr>
          <w:rFonts w:ascii="Times New Roman" w:cs="Times New Roman" w:eastAsia="Times New Roman" w:hAnsi="Times New Roman"/>
          <w:sz w:val="18"/>
          <w:szCs w:val="18"/>
          <w:color w:val="auto"/>
        </w:rPr>
        <w:t>. Subject to the express terms and conditions set forth in the Plan, the Committee shall have the power, from time to time, to:</w:t>
      </w:r>
    </w:p>
    <w:p>
      <w:pPr>
        <w:spacing w:after="0" w:line="90" w:lineRule="exact"/>
        <w:rPr>
          <w:rFonts w:ascii="Times New Roman" w:cs="Times New Roman" w:eastAsia="Times New Roman" w:hAnsi="Times New Roman"/>
          <w:sz w:val="18"/>
          <w:szCs w:val="18"/>
          <w:color w:val="auto"/>
        </w:rPr>
      </w:pPr>
    </w:p>
    <w:p>
      <w:pPr>
        <w:ind w:left="1466" w:right="100" w:hanging="440"/>
        <w:spacing w:after="0" w:line="258" w:lineRule="auto"/>
        <w:tabs>
          <w:tab w:leader="none" w:pos="1466"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55" w:lineRule="exact"/>
        <w:rPr>
          <w:rFonts w:ascii="Times New Roman" w:cs="Times New Roman" w:eastAsia="Times New Roman" w:hAnsi="Times New Roman"/>
          <w:sz w:val="18"/>
          <w:szCs w:val="18"/>
          <w:color w:val="auto"/>
        </w:rPr>
      </w:pPr>
    </w:p>
    <w:p>
      <w:pPr>
        <w:ind w:left="1466" w:right="420" w:hanging="440"/>
        <w:spacing w:after="0" w:line="275" w:lineRule="auto"/>
        <w:tabs>
          <w:tab w:leader="none" w:pos="1466"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Plan’s provisions, prescribe, amend and rescind rules and regulations for the Plan, and make all other determinations necessary or advisable for the administration of the Plan.</w:t>
      </w:r>
    </w:p>
    <w:p>
      <w:pPr>
        <w:spacing w:after="0" w:line="1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determination of the Committee in all matters as stated above shall be conclusive.</w:t>
      </w:r>
    </w:p>
    <w:p>
      <w:pPr>
        <w:spacing w:after="0" w:line="90" w:lineRule="exact"/>
        <w:rPr>
          <w:sz w:val="20"/>
          <w:szCs w:val="20"/>
          <w:color w:val="auto"/>
        </w:rPr>
      </w:pPr>
    </w:p>
    <w:p>
      <w:pPr>
        <w:jc w:val="both"/>
        <w:ind w:left="1026" w:right="60" w:hanging="567"/>
        <w:spacing w:after="0" w:line="262" w:lineRule="auto"/>
        <w:tabs>
          <w:tab w:leader="none" w:pos="10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51" w:lineRule="exact"/>
        <w:rPr>
          <w:rFonts w:ascii="Times New Roman" w:cs="Times New Roman" w:eastAsia="Times New Roman" w:hAnsi="Times New Roman"/>
          <w:sz w:val="18"/>
          <w:szCs w:val="18"/>
          <w:color w:val="auto"/>
        </w:rPr>
      </w:pPr>
    </w:p>
    <w:p>
      <w:pPr>
        <w:ind w:left="1026" w:right="20" w:hanging="567"/>
        <w:spacing w:after="0" w:line="256" w:lineRule="auto"/>
        <w:tabs>
          <w:tab w:leader="none" w:pos="10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25"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6"/>
          </w:cols>
          <w:pgMar w:left="694" w:top="274" w:right="239" w:bottom="1440" w:gutter="0" w:footer="0" w:header="0"/>
        </w:sectPr>
      </w:pPr>
    </w:p>
    <w:bookmarkStart w:id="76" w:name="page77"/>
    <w:bookmarkEnd w:id="76"/>
    <w:p>
      <w:pPr>
        <w:ind w:left="567" w:right="20" w:hanging="567"/>
        <w:spacing w:after="0" w:line="256" w:lineRule="auto"/>
        <w:tabs>
          <w:tab w:leader="none" w:pos="56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w:t>
      </w:r>
      <w:r>
        <w:rPr>
          <w:rFonts w:ascii="Times New Roman" w:cs="Times New Roman" w:eastAsia="Times New Roman" w:hAnsi="Times New Roman"/>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57"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07" w:right="180" w:hanging="440"/>
        <w:spacing w:after="0" w:line="289" w:lineRule="auto"/>
        <w:tabs>
          <w:tab w:leader="none" w:pos="1007"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Named Executive Officers and Section 16(b) Officers</w:t>
      </w:r>
      <w:r>
        <w:rPr>
          <w:rFonts w:ascii="Times New Roman" w:cs="Times New Roman" w:eastAsia="Times New Roman" w:hAnsi="Times New Roman"/>
          <w:sz w:val="16"/>
          <w:szCs w:val="16"/>
          <w:color w:val="auto"/>
        </w:rPr>
        <w:t>. All authority with respect to the grant, amendment, interpretation and administration of grants and awards of restricted stock and restricted stock units with respect to any Eligible Employee who is either</w:t>
      </w:r>
    </w:p>
    <w:p>
      <w:pPr>
        <w:spacing w:after="0" w:line="1" w:lineRule="exact"/>
        <w:rPr>
          <w:rFonts w:ascii="Times New Roman" w:cs="Times New Roman" w:eastAsia="Times New Roman" w:hAnsi="Times New Roman"/>
          <w:sz w:val="16"/>
          <w:szCs w:val="16"/>
          <w:color w:val="auto"/>
        </w:rPr>
      </w:pPr>
    </w:p>
    <w:p>
      <w:pPr>
        <w:ind w:left="1267" w:hanging="254"/>
        <w:spacing w:after="0"/>
        <w:tabs>
          <w:tab w:leader="none" w:pos="1267" w:val="left"/>
        </w:tabs>
        <w:numPr>
          <w:ilvl w:val="2"/>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Named Executive Officer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an officer who is required to be listed in the Company’s Proxy Statement Compensation Table) or</w:t>
      </w:r>
    </w:p>
    <w:p>
      <w:pPr>
        <w:spacing w:after="0" w:line="32" w:lineRule="exact"/>
        <w:rPr>
          <w:rFonts w:ascii="Times New Roman" w:cs="Times New Roman" w:eastAsia="Times New Roman" w:hAnsi="Times New Roman"/>
          <w:sz w:val="16"/>
          <w:szCs w:val="16"/>
          <w:color w:val="auto"/>
        </w:rPr>
      </w:pPr>
    </w:p>
    <w:p>
      <w:pPr>
        <w:ind w:left="1267" w:hanging="254"/>
        <w:spacing w:after="0"/>
        <w:tabs>
          <w:tab w:leader="none" w:pos="1267"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Section 16(b) Officer, is reserved to the Committee.</w:t>
      </w:r>
    </w:p>
    <w:p>
      <w:pPr>
        <w:spacing w:after="0" w:line="78" w:lineRule="exact"/>
        <w:rPr>
          <w:sz w:val="20"/>
          <w:szCs w:val="20"/>
          <w:color w:val="auto"/>
        </w:rPr>
      </w:pPr>
    </w:p>
    <w:p>
      <w:pPr>
        <w:ind w:left="1007" w:hanging="440"/>
        <w:spacing w:after="0" w:line="256" w:lineRule="auto"/>
        <w:tabs>
          <w:tab w:leader="none" w:pos="100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Senior Officers and Highly Compensated Employees</w:t>
      </w:r>
      <w:r>
        <w:rPr>
          <w:rFonts w:ascii="Times New Roman" w:cs="Times New Roman" w:eastAsia="Times New Roman" w:hAnsi="Times New Roman"/>
          <w:sz w:val="18"/>
          <w:szCs w:val="18"/>
          <w:color w:val="auto"/>
        </w:rPr>
        <w:t>. The Committee may delegate to a committee consisting of the Chairman of the Committee and one or more officers of the Company designated by the Committee, discretion under the Plan to grant, amend, interpret and administer grants of Restricted Stock and Restricted Stock Units with respect to any Eligible Employee who (x) holds a position with Comcast Corporation of Senior Vice President or a position of higher rank than Senior Vice President or (y) has a base salary of $500,000 or more.</w:t>
      </w:r>
    </w:p>
    <w:p>
      <w:pPr>
        <w:spacing w:after="0" w:line="57" w:lineRule="exact"/>
        <w:rPr>
          <w:rFonts w:ascii="Times New Roman" w:cs="Times New Roman" w:eastAsia="Times New Roman" w:hAnsi="Times New Roman"/>
          <w:sz w:val="18"/>
          <w:szCs w:val="18"/>
          <w:color w:val="auto"/>
        </w:rPr>
      </w:pPr>
    </w:p>
    <w:p>
      <w:pPr>
        <w:ind w:left="1007" w:right="20" w:hanging="440"/>
        <w:spacing w:after="0" w:line="262" w:lineRule="auto"/>
        <w:tabs>
          <w:tab w:leader="none" w:pos="100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Employees</w:t>
      </w:r>
      <w:r>
        <w:rPr>
          <w:rFonts w:ascii="Times New Roman" w:cs="Times New Roman" w:eastAsia="Times New Roman" w:hAnsi="Times New Roman"/>
          <w:sz w:val="18"/>
          <w:szCs w:val="18"/>
          <w:color w:val="auto"/>
        </w:rPr>
        <w:t>. The Committee may delegate to an officer of the Company, or a committee of two or more officers of the Company, discretion under the Plan to grant, amend, interpret and administer grants of Restricted Stock and Restricted Stock Units with respect to any Eligible Employee other than an Eligible Employee described in Section 5(f)(i) or Section 5(f)(ii).</w:t>
      </w:r>
    </w:p>
    <w:p>
      <w:pPr>
        <w:spacing w:after="0" w:line="51"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Delegation of Authority</w:t>
      </w:r>
      <w:r>
        <w:rPr>
          <w:rFonts w:ascii="Times New Roman" w:cs="Times New Roman" w:eastAsia="Times New Roman" w:hAnsi="Times New Roman"/>
          <w:sz w:val="16"/>
          <w:szCs w:val="16"/>
          <w:color w:val="auto"/>
        </w:rPr>
        <w:t>. Any delegation of authority described in Paragraph 5(f) shall continue in effect until the earliest of:</w:t>
      </w:r>
    </w:p>
    <w:p>
      <w:pPr>
        <w:spacing w:after="0" w:line="113" w:lineRule="exact"/>
        <w:rPr>
          <w:rFonts w:ascii="Times New Roman" w:cs="Times New Roman" w:eastAsia="Times New Roman" w:hAnsi="Times New Roman"/>
          <w:sz w:val="16"/>
          <w:szCs w:val="16"/>
          <w:color w:val="auto"/>
        </w:rPr>
      </w:pPr>
    </w:p>
    <w:p>
      <w:pPr>
        <w:ind w:left="1007" w:hanging="440"/>
        <w:spacing w:after="0"/>
        <w:tabs>
          <w:tab w:leader="none" w:pos="100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as the Committee shall, in its discretion, revoke such delegation of authority;</w:t>
      </w:r>
    </w:p>
    <w:p>
      <w:pPr>
        <w:spacing w:after="0" w:line="90" w:lineRule="exact"/>
        <w:rPr>
          <w:rFonts w:ascii="Times New Roman" w:cs="Times New Roman" w:eastAsia="Times New Roman" w:hAnsi="Times New Roman"/>
          <w:sz w:val="18"/>
          <w:szCs w:val="18"/>
          <w:color w:val="auto"/>
        </w:rPr>
      </w:pPr>
    </w:p>
    <w:p>
      <w:pPr>
        <w:ind w:left="1007" w:right="700" w:hanging="440"/>
        <w:spacing w:after="0" w:line="275" w:lineRule="auto"/>
        <w:tabs>
          <w:tab w:leader="none" w:pos="100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delegation under Section 5(f)(ii), the delegate shall cease to serve as Chairman of the Committee or serve as an employee of the Company for any reason, as the case may be and</w:t>
      </w:r>
    </w:p>
    <w:p>
      <w:pPr>
        <w:spacing w:after="0" w:line="106" w:lineRule="exact"/>
        <w:rPr>
          <w:sz w:val="20"/>
          <w:szCs w:val="20"/>
          <w:color w:val="auto"/>
        </w:rPr>
      </w:pPr>
    </w:p>
    <w:p>
      <w:pPr>
        <w:ind w:left="4647"/>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487"/>
          </w:cols>
          <w:pgMar w:left="1153" w:top="274" w:right="259" w:bottom="1440" w:gutter="0" w:footer="0" w:header="0"/>
        </w:sectPr>
      </w:pPr>
    </w:p>
    <w:bookmarkStart w:id="77" w:name="page78"/>
    <w:bookmarkEnd w:id="77"/>
    <w:p>
      <w:pPr>
        <w:ind w:left="1486"/>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delegation under Section 5(f)(iii), the delegate shall cease to serve as an employee of the Company for any reason; or</w:t>
      </w:r>
    </w:p>
    <w:p>
      <w:pPr>
        <w:spacing w:after="0" w:line="113" w:lineRule="exact"/>
        <w:rPr>
          <w:sz w:val="20"/>
          <w:szCs w:val="20"/>
          <w:color w:val="auto"/>
        </w:rPr>
      </w:pPr>
    </w:p>
    <w:p>
      <w:pPr>
        <w:ind w:left="1466" w:hanging="440"/>
        <w:spacing w:after="0"/>
        <w:tabs>
          <w:tab w:leader="none" w:pos="1466"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delegate shall notify the Committee that he declines to continue exercise such authority.</w:t>
      </w:r>
    </w:p>
    <w:p>
      <w:pPr>
        <w:spacing w:after="0" w:line="209"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92" w:lineRule="exact"/>
        <w:rPr>
          <w:rFonts w:ascii="Times New Roman" w:cs="Times New Roman" w:eastAsia="Times New Roman" w:hAnsi="Times New Roman"/>
          <w:sz w:val="18"/>
          <w:szCs w:val="18"/>
          <w:b w:val="1"/>
          <w:bCs w:val="1"/>
          <w:color w:val="auto"/>
        </w:rPr>
      </w:pPr>
    </w:p>
    <w:p>
      <w:pPr>
        <w:ind w:left="446" w:right="50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Awards may be granted only to Eligible Employees and, subject to the approval of the shareholders of the Company at the Annual Meeting of Shareholders of the Company to be held in 2005, Non-Employee Directors.</w:t>
      </w:r>
    </w:p>
    <w:p>
      <w:pPr>
        <w:spacing w:after="0" w:line="158" w:lineRule="exact"/>
        <w:rPr>
          <w:rFonts w:ascii="Times New Roman" w:cs="Times New Roman" w:eastAsia="Times New Roman" w:hAnsi="Times New Roman"/>
          <w:sz w:val="18"/>
          <w:szCs w:val="18"/>
          <w:b w:val="1"/>
          <w:bCs w:val="1"/>
          <w:color w:val="auto"/>
        </w:rPr>
      </w:pPr>
    </w:p>
    <w:p>
      <w:pPr>
        <w:ind w:left="446" w:hanging="446"/>
        <w:spacing w:after="0"/>
        <w:tabs>
          <w:tab w:leader="none" w:pos="446"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and Restricted Stock Unit Awards</w:t>
      </w:r>
    </w:p>
    <w:p>
      <w:pPr>
        <w:spacing w:after="0" w:line="92" w:lineRule="exact"/>
        <w:rPr>
          <w:rFonts w:ascii="Times New Roman" w:cs="Times New Roman" w:eastAsia="Times New Roman" w:hAnsi="Times New Roman"/>
          <w:sz w:val="18"/>
          <w:szCs w:val="18"/>
          <w:b w:val="1"/>
          <w:bCs w:val="1"/>
          <w:color w:val="auto"/>
        </w:rPr>
      </w:pPr>
    </w:p>
    <w:p>
      <w:pPr>
        <w:ind w:left="446"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Section 7 shall apply so that either the Board or the Committee acting alone shall have all of the authority otherwise reserved in this Section 7 to the Committee.</w:t>
      </w:r>
    </w:p>
    <w:p>
      <w:pPr>
        <w:spacing w:after="0" w:line="176" w:lineRule="exact"/>
        <w:rPr>
          <w:rFonts w:ascii="Times New Roman" w:cs="Times New Roman" w:eastAsia="Times New Roman" w:hAnsi="Times New Roman"/>
          <w:sz w:val="18"/>
          <w:szCs w:val="18"/>
          <w:b w:val="1"/>
          <w:bCs w:val="1"/>
          <w:color w:val="auto"/>
        </w:rPr>
      </w:pPr>
    </w:p>
    <w:p>
      <w:pPr>
        <w:ind w:left="446" w:right="2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and conditions of Awards shall be set forth in writing as determined from time to time by the Committee, consistent, however, with the following:</w:t>
      </w:r>
    </w:p>
    <w:p>
      <w:pPr>
        <w:spacing w:after="0" w:line="38" w:lineRule="exact"/>
        <w:rPr>
          <w:rFonts w:ascii="Times New Roman" w:cs="Times New Roman" w:eastAsia="Times New Roman" w:hAnsi="Times New Roman"/>
          <w:sz w:val="18"/>
          <w:szCs w:val="18"/>
          <w:b w:val="1"/>
          <w:bCs w:val="1"/>
          <w:color w:val="auto"/>
        </w:rPr>
      </w:pPr>
    </w:p>
    <w:p>
      <w:pPr>
        <w:ind w:left="1026" w:hanging="567"/>
        <w:spacing w:after="0"/>
        <w:tabs>
          <w:tab w:leader="none" w:pos="102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Grant</w:t>
      </w:r>
      <w:r>
        <w:rPr>
          <w:rFonts w:ascii="Times New Roman" w:cs="Times New Roman" w:eastAsia="Times New Roman" w:hAnsi="Times New Roman"/>
          <w:sz w:val="18"/>
          <w:szCs w:val="18"/>
          <w:color w:val="auto"/>
        </w:rPr>
        <w:t>. All Awards shall be granted within ten (10) years from the date of adoption of the Plan by the Board.</w:t>
      </w:r>
    </w:p>
    <w:p>
      <w:pPr>
        <w:spacing w:after="0" w:line="90" w:lineRule="exact"/>
        <w:rPr>
          <w:rFonts w:ascii="Times New Roman" w:cs="Times New Roman" w:eastAsia="Times New Roman" w:hAnsi="Times New Roman"/>
          <w:sz w:val="18"/>
          <w:szCs w:val="18"/>
          <w:color w:val="auto"/>
        </w:rPr>
      </w:pPr>
    </w:p>
    <w:p>
      <w:pPr>
        <w:ind w:left="1026" w:right="400" w:hanging="567"/>
        <w:spacing w:after="0" w:line="275" w:lineRule="auto"/>
        <w:tabs>
          <w:tab w:leader="none" w:pos="102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Awards</w:t>
      </w:r>
      <w:r>
        <w:rPr>
          <w:rFonts w:ascii="Times New Roman" w:cs="Times New Roman" w:eastAsia="Times New Roman" w:hAnsi="Times New Roman"/>
          <w:sz w:val="18"/>
          <w:szCs w:val="18"/>
          <w:color w:val="auto"/>
        </w:rPr>
        <w:t>. The provisions of Awards need not be the same with respect to each Grantee. No cash or other consideration shall be required to be paid by the Grantee in exchange for an Award.</w:t>
      </w:r>
    </w:p>
    <w:p>
      <w:pPr>
        <w:spacing w:after="0" w:line="38" w:lineRule="exact"/>
        <w:rPr>
          <w:rFonts w:ascii="Times New Roman" w:cs="Times New Roman" w:eastAsia="Times New Roman" w:hAnsi="Times New Roman"/>
          <w:sz w:val="18"/>
          <w:szCs w:val="18"/>
          <w:color w:val="auto"/>
        </w:rPr>
      </w:pPr>
    </w:p>
    <w:p>
      <w:pPr>
        <w:jc w:val="both"/>
        <w:ind w:left="1026" w:right="20" w:hanging="567"/>
        <w:spacing w:after="0" w:line="301" w:lineRule="auto"/>
        <w:tabs>
          <w:tab w:leader="none" w:pos="1026"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Awards and Agreements</w:t>
      </w:r>
      <w:r>
        <w:rPr>
          <w:rFonts w:ascii="Times New Roman" w:cs="Times New Roman" w:eastAsia="Times New Roman" w:hAnsi="Times New Roman"/>
          <w:sz w:val="16"/>
          <w:szCs w:val="16"/>
          <w:color w:val="auto"/>
        </w:rPr>
        <w:t>. Each Grantee shall be provided with an agreement specifying the terms of an Award. In addition, a certificate shall be issued to each Grantee in respect of Restricted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22" w:lineRule="exact"/>
        <w:rPr>
          <w:rFonts w:ascii="Times New Roman" w:cs="Times New Roman" w:eastAsia="Times New Roman" w:hAnsi="Times New Roman"/>
          <w:sz w:val="16"/>
          <w:szCs w:val="16"/>
          <w:color w:val="auto"/>
        </w:rPr>
      </w:pPr>
    </w:p>
    <w:p>
      <w:pPr>
        <w:ind w:left="1026" w:right="20" w:hanging="567"/>
        <w:spacing w:after="0" w:line="275" w:lineRule="auto"/>
        <w:tabs>
          <w:tab w:leader="none" w:pos="102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Subject to the provisions of the Plan and the Award, the Committee may establish a period commencing with the Date of Grant during which the Grantee shall not be permitted to sell, transfer, pledge or assign Restricted Stock awarded under the Plan.</w:t>
      </w:r>
    </w:p>
    <w:p>
      <w:pPr>
        <w:spacing w:after="0" w:line="38" w:lineRule="exact"/>
        <w:rPr>
          <w:rFonts w:ascii="Times New Roman" w:cs="Times New Roman" w:eastAsia="Times New Roman" w:hAnsi="Times New Roman"/>
          <w:sz w:val="18"/>
          <w:szCs w:val="18"/>
          <w:color w:val="auto"/>
        </w:rPr>
      </w:pPr>
    </w:p>
    <w:p>
      <w:pPr>
        <w:ind w:left="1026" w:hanging="567"/>
        <w:spacing w:after="0" w:line="262" w:lineRule="auto"/>
        <w:tabs>
          <w:tab w:leader="none" w:pos="102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Vesting/Lapse of Restrictions</w:t>
      </w:r>
      <w:r>
        <w:rPr>
          <w:rFonts w:ascii="Times New Roman" w:cs="Times New Roman" w:eastAsia="Times New Roman" w:hAnsi="Times New Roman"/>
          <w:sz w:val="18"/>
          <w:szCs w:val="18"/>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w:t>
      </w:r>
    </w:p>
    <w:p>
      <w:pPr>
        <w:spacing w:after="0" w:line="119"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6"/>
          </w:cols>
          <w:pgMar w:left="694" w:top="274" w:right="299" w:bottom="1440" w:gutter="0" w:footer="0" w:header="0"/>
        </w:sectPr>
      </w:pPr>
    </w:p>
    <w:bookmarkStart w:id="78" w:name="page79"/>
    <w:bookmarkEnd w:id="78"/>
    <w:p>
      <w:pPr>
        <w:ind w:left="102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All references to Shares in Awards granted before the consummation of the AT&amp;T Broadband Transaction as to which a Vesting Date has not occurred shall be deemed to be references to Special Common Stock.</w:t>
      </w:r>
    </w:p>
    <w:p>
      <w:pPr>
        <w:spacing w:after="0" w:line="58" w:lineRule="exact"/>
        <w:rPr>
          <w:sz w:val="20"/>
          <w:szCs w:val="20"/>
          <w:color w:val="auto"/>
        </w:rPr>
      </w:pPr>
    </w:p>
    <w:p>
      <w:pPr>
        <w:ind w:left="1026" w:right="280" w:hanging="567"/>
        <w:spacing w:after="0" w:line="258" w:lineRule="auto"/>
        <w:tabs>
          <w:tab w:leader="none" w:pos="102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the Grantee</w:t>
      </w:r>
      <w:r>
        <w:rPr>
          <w:rFonts w:ascii="Times New Roman" w:cs="Times New Roman" w:eastAsia="Times New Roman" w:hAnsi="Times New Roman"/>
          <w:sz w:val="18"/>
          <w:szCs w:val="18"/>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55" w:lineRule="exact"/>
        <w:rPr>
          <w:rFonts w:ascii="Times New Roman" w:cs="Times New Roman" w:eastAsia="Times New Roman" w:hAnsi="Times New Roman"/>
          <w:sz w:val="18"/>
          <w:szCs w:val="18"/>
          <w:color w:val="auto"/>
        </w:rPr>
      </w:pPr>
    </w:p>
    <w:p>
      <w:pPr>
        <w:ind w:left="1026" w:right="80" w:hanging="567"/>
        <w:spacing w:after="0" w:line="258" w:lineRule="auto"/>
        <w:tabs>
          <w:tab w:leader="none" w:pos="102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Grantee’s Employment</w:t>
      </w:r>
      <w:r>
        <w:rPr>
          <w:rFonts w:ascii="Times New Roman" w:cs="Times New Roman" w:eastAsia="Times New Roman" w:hAnsi="Times New Roman"/>
          <w:sz w:val="18"/>
          <w:szCs w:val="18"/>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55"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For purposes of the Plan, the Company may satisfy its obligation to deliver Shares issuable under the Plan either by</w:t>
      </w:r>
    </w:p>
    <w:p>
      <w:pPr>
        <w:spacing w:after="0" w:line="21" w:lineRule="exact"/>
        <w:rPr>
          <w:rFonts w:ascii="Times New Roman" w:cs="Times New Roman" w:eastAsia="Times New Roman" w:hAnsi="Times New Roman"/>
          <w:sz w:val="18"/>
          <w:szCs w:val="18"/>
          <w:color w:val="auto"/>
        </w:rPr>
      </w:pPr>
    </w:p>
    <w:p>
      <w:pPr>
        <w:ind w:left="1026" w:right="16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57" w:lineRule="exact"/>
        <w:rPr>
          <w:sz w:val="20"/>
          <w:szCs w:val="20"/>
          <w:color w:val="auto"/>
        </w:rPr>
      </w:pPr>
    </w:p>
    <w:p>
      <w:pPr>
        <w:ind w:left="446" w:hanging="446"/>
        <w:spacing w:after="0"/>
        <w:tabs>
          <w:tab w:leader="none" w:pos="446"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Deferral Elections</w:t>
      </w:r>
    </w:p>
    <w:p>
      <w:pPr>
        <w:spacing w:after="0" w:line="92" w:lineRule="exact"/>
        <w:rPr>
          <w:sz w:val="20"/>
          <w:szCs w:val="20"/>
          <w:color w:val="auto"/>
        </w:rPr>
      </w:pPr>
    </w:p>
    <w:p>
      <w:pPr>
        <w:ind w:left="466" w:right="180"/>
        <w:spacing w:after="0" w:line="275" w:lineRule="auto"/>
        <w:rPr>
          <w:sz w:val="20"/>
          <w:szCs w:val="20"/>
          <w:color w:val="auto"/>
        </w:rPr>
      </w:pPr>
      <w:r>
        <w:rPr>
          <w:rFonts w:ascii="Times New Roman" w:cs="Times New Roman" w:eastAsia="Times New Roman" w:hAnsi="Times New Roman"/>
          <w:sz w:val="18"/>
          <w:szCs w:val="18"/>
          <w:color w:val="auto"/>
        </w:rPr>
        <w:t>A Grantee may elect to defer the receipt of Shares that would otherwise be issuable with respect to Restricted Stock or Restricted Stock Units as to which a Vesting Date has occurred, as provided by the Committee in the Award, consistent, however, with the following:</w:t>
      </w:r>
    </w:p>
    <w:p>
      <w:pPr>
        <w:spacing w:after="0" w:line="106"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6"/>
          </w:cols>
          <w:pgMar w:left="694" w:top="274" w:right="239" w:bottom="1440" w:gutter="0" w:footer="0" w:header="0"/>
        </w:sectPr>
      </w:pPr>
    </w:p>
    <w:bookmarkStart w:id="79" w:name="page80"/>
    <w:bookmarkEnd w:id="79"/>
    <w:p>
      <w:pPr>
        <w:ind w:left="567" w:hanging="567"/>
        <w:spacing w:after="0"/>
        <w:tabs>
          <w:tab w:leader="none" w:pos="56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Initial Election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07" w:right="240" w:hanging="440"/>
        <w:spacing w:after="0" w:line="305" w:lineRule="auto"/>
        <w:tabs>
          <w:tab w:leader="none" w:pos="1007"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Election</w:t>
      </w:r>
      <w:r>
        <w:rPr>
          <w:rFonts w:ascii="Times New Roman" w:cs="Times New Roman" w:eastAsia="Times New Roman" w:hAnsi="Times New Roman"/>
          <w:sz w:val="16"/>
          <w:szCs w:val="16"/>
          <w:color w:val="auto"/>
        </w:rPr>
        <w:t>. Each Grantee who is a Non-Employee Director or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ind w:left="1007" w:hanging="440"/>
        <w:spacing w:after="0" w:line="235" w:lineRule="auto"/>
        <w:tabs>
          <w:tab w:leader="none" w:pos="100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Deadline for Initial Election</w:t>
      </w:r>
      <w:r>
        <w:rPr>
          <w:rFonts w:ascii="Times New Roman" w:cs="Times New Roman" w:eastAsia="Times New Roman" w:hAnsi="Times New Roman"/>
          <w:sz w:val="18"/>
          <w:szCs w:val="18"/>
          <w:color w:val="auto"/>
        </w:rPr>
        <w:t>. No Initial Election to defer the receipt of Shares issuable with respect to Restricted Stock or Restricted Stock Units that are not Performance-Based Compensation shall be effective unless it is filed with the Committee on or before the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following the Date of Grant provided that pursuant to Q-A 21 of </w:t>
      </w:r>
      <w:r>
        <w:rPr>
          <w:rFonts w:ascii="Times New Roman" w:cs="Times New Roman" w:eastAsia="Times New Roman" w:hAnsi="Times New Roman"/>
          <w:sz w:val="18"/>
          <w:szCs w:val="18"/>
          <w:i w:val="1"/>
          <w:iCs w:val="1"/>
          <w:color w:val="auto"/>
        </w:rPr>
        <w:t>IRS Notice 2005-1</w:t>
      </w:r>
      <w:r>
        <w:rPr>
          <w:rFonts w:ascii="Times New Roman" w:cs="Times New Roman" w:eastAsia="Times New Roman" w:hAnsi="Times New Roman"/>
          <w:sz w:val="18"/>
          <w:szCs w:val="18"/>
          <w:color w:val="auto"/>
        </w:rPr>
        <w:t>, to the extent provided by the Committee or its delegate, a Grantee may, on or before March 15, 2005, make an Initial Election with respect to Restricted Stock or Restricted Stock Units that were granted before January 1, 2005 and were not vested on December 31, 2004, and with respect to Restricted Stock or Restricted Stock Units that may be granted after December 31, 2004, provided further that the Restricted Stock or Restricted Stock Units to which the Initial Election relates have not been vested at the time the Initial Election is filed. No Initial Election to defer the receipt of Shares issuable with respect to Restricted Stock or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60" w:lineRule="exact"/>
        <w:rPr>
          <w:rFonts w:ascii="Times New Roman" w:cs="Times New Roman" w:eastAsia="Times New Roman" w:hAnsi="Times New Roman"/>
          <w:sz w:val="18"/>
          <w:szCs w:val="18"/>
          <w:color w:val="auto"/>
        </w:rPr>
      </w:pPr>
    </w:p>
    <w:p>
      <w:pPr>
        <w:ind w:left="1007" w:right="20" w:hanging="440"/>
        <w:spacing w:after="0" w:line="254" w:lineRule="auto"/>
        <w:tabs>
          <w:tab w:leader="none" w:pos="100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Transition Rule</w:t>
      </w:r>
      <w:r>
        <w:rPr>
          <w:rFonts w:ascii="Times New Roman" w:cs="Times New Roman" w:eastAsia="Times New Roman" w:hAnsi="Times New Roman"/>
          <w:sz w:val="18"/>
          <w:szCs w:val="18"/>
          <w:color w:val="auto"/>
        </w:rPr>
        <w:t xml:space="preserve">. Pursuant to Q-A 20 of </w:t>
      </w:r>
      <w:r>
        <w:rPr>
          <w:rFonts w:ascii="Times New Roman" w:cs="Times New Roman" w:eastAsia="Times New Roman" w:hAnsi="Times New Roman"/>
          <w:sz w:val="18"/>
          <w:szCs w:val="18"/>
          <w:i w:val="1"/>
          <w:iCs w:val="1"/>
          <w:color w:val="auto"/>
        </w:rPr>
        <w:t>IRS Notice 2005-1</w:t>
      </w:r>
      <w:r>
        <w:rPr>
          <w:rFonts w:ascii="Times New Roman" w:cs="Times New Roman" w:eastAsia="Times New Roman" w:hAnsi="Times New Roman"/>
          <w:sz w:val="18"/>
          <w:szCs w:val="18"/>
          <w:color w:val="auto"/>
        </w:rPr>
        <w:t>, to the extent provided by the Committee or its delegate, a Grantee may, on or before December 31, 2005, terminate the deferral of Restricted Stock or Restricted Stock Units pursuant to an Initial Election or cancel an Initial Election with regard to amounts deferred under the Plan, provided that if a Grantee terminates the deferral of Compensation pursuant to an Initial Election under this Paragraph 8(a)(iii), the Company shall pay the Grantee the Compensation that would have been deferred if the deferral of Compensation had not been terminated, and provided further that if a Grantee cancels an Initial Election with regard to amounts deferred under the Plan, the Company shall pay the Grantee the amount deferred pursuant to such Initial Election through the cancellation date, plus income, gains and losses credited with respect thereto as provided in this Article VIII.</w:t>
      </w:r>
    </w:p>
    <w:p>
      <w:pPr>
        <w:spacing w:after="0" w:line="127" w:lineRule="exact"/>
        <w:rPr>
          <w:sz w:val="20"/>
          <w:szCs w:val="20"/>
          <w:color w:val="auto"/>
        </w:rPr>
      </w:pPr>
    </w:p>
    <w:p>
      <w:pPr>
        <w:ind w:left="4647"/>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87"/>
          </w:cols>
          <w:pgMar w:left="1153" w:top="274" w:right="259" w:bottom="1440" w:gutter="0" w:footer="0" w:header="0"/>
        </w:sectPr>
      </w:pPr>
    </w:p>
    <w:bookmarkStart w:id="80" w:name="page81"/>
    <w:bookmarkEnd w:id="80"/>
    <w:p>
      <w:pPr>
        <w:ind w:left="567" w:right="380" w:hanging="567"/>
        <w:spacing w:after="0" w:line="262" w:lineRule="auto"/>
        <w:tabs>
          <w:tab w:leader="none" w:pos="56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of Failure of Vesting Date to Occur</w:t>
      </w:r>
      <w:r>
        <w:rPr>
          <w:rFonts w:ascii="Times New Roman" w:cs="Times New Roman" w:eastAsia="Times New Roman" w:hAnsi="Times New Roman"/>
          <w:sz w:val="18"/>
          <w:szCs w:val="18"/>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51" w:lineRule="exact"/>
        <w:rPr>
          <w:rFonts w:ascii="Times New Roman" w:cs="Times New Roman" w:eastAsia="Times New Roman" w:hAnsi="Times New Roman"/>
          <w:sz w:val="18"/>
          <w:szCs w:val="18"/>
          <w:color w:val="auto"/>
        </w:rPr>
      </w:pPr>
    </w:p>
    <w:p>
      <w:pPr>
        <w:ind w:left="567" w:right="20" w:hanging="567"/>
        <w:spacing w:after="0" w:line="293" w:lineRule="auto"/>
        <w:tabs>
          <w:tab w:leader="none" w:pos="567"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Deferral Period</w:t>
      </w:r>
      <w:r>
        <w:rPr>
          <w:rFonts w:ascii="Times New Roman" w:cs="Times New Roman" w:eastAsia="Times New Roman" w:hAnsi="Times New Roman"/>
          <w:sz w:val="16"/>
          <w:szCs w:val="16"/>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29" w:lineRule="exact"/>
        <w:rPr>
          <w:rFonts w:ascii="Times New Roman" w:cs="Times New Roman" w:eastAsia="Times New Roman" w:hAnsi="Times New Roman"/>
          <w:sz w:val="16"/>
          <w:szCs w:val="16"/>
          <w:color w:val="auto"/>
        </w:rPr>
      </w:pPr>
    </w:p>
    <w:p>
      <w:pPr>
        <w:ind w:left="567" w:right="360" w:hanging="567"/>
        <w:spacing w:after="0" w:line="275" w:lineRule="auto"/>
        <w:tabs>
          <w:tab w:leader="none" w:pos="56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Elections</w:t>
      </w:r>
      <w:r>
        <w:rPr>
          <w:rFonts w:ascii="Times New Roman" w:cs="Times New Roman" w:eastAsia="Times New Roman" w:hAnsi="Times New Roman"/>
          <w:sz w:val="18"/>
          <w:szCs w:val="18"/>
          <w:color w:val="auto"/>
        </w:rPr>
        <w:t>. Notwithstanding anything in this Paragraph 8(d) to the contrary, no Subsequent Election shall be effective until 12 months after the date on which such Subsequent Election is made.</w:t>
      </w:r>
    </w:p>
    <w:p>
      <w:pPr>
        <w:spacing w:after="0" w:line="38" w:lineRule="exact"/>
        <w:rPr>
          <w:rFonts w:ascii="Times New Roman" w:cs="Times New Roman" w:eastAsia="Times New Roman" w:hAnsi="Times New Roman"/>
          <w:sz w:val="18"/>
          <w:szCs w:val="18"/>
          <w:color w:val="auto"/>
        </w:rPr>
      </w:pPr>
    </w:p>
    <w:p>
      <w:pPr>
        <w:ind w:left="1007" w:hanging="440"/>
        <w:spacing w:after="0" w:line="255" w:lineRule="auto"/>
        <w:tabs>
          <w:tab w:leader="none" w:pos="100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58" w:lineRule="exact"/>
        <w:rPr>
          <w:rFonts w:ascii="Times New Roman" w:cs="Times New Roman" w:eastAsia="Times New Roman" w:hAnsi="Times New Roman"/>
          <w:sz w:val="18"/>
          <w:szCs w:val="18"/>
          <w:color w:val="auto"/>
        </w:rPr>
      </w:pPr>
    </w:p>
    <w:p>
      <w:pPr>
        <w:ind w:left="1007" w:right="20" w:hanging="440"/>
        <w:spacing w:after="0" w:line="254" w:lineRule="auto"/>
        <w:tabs>
          <w:tab w:leader="none" w:pos="100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Deceased Grantee’s Successor-in-Interest may elect to: (A) file a Subsequent Election to defer the distribution date for the Deceased Grantee’s Shares issuable with respect to Restricted Stock or Restricted Stock Units for five additional years from the date payment would otherwise be made; or (B) file an Acceleration Election to accelerate the distribution date for the Deceased Grantee’s Shares issuable with respect to Restricted Stock or Restricted Stock Units from the date payment would otherwise be made to a date that is as soon as practicable following the Deceased Grantee’s death. A Subsequent Election must be filed with the Committee at least one year before the date on which the distribution would otherwise be made, as reflected on the Deceased Grantee’s last Election. An Acceleration Election pursuant to this Paragraph 8(d)(ii) must be filed with the Committee as soon as</w:t>
      </w:r>
    </w:p>
    <w:p>
      <w:pPr>
        <w:spacing w:after="0" w:line="128" w:lineRule="exact"/>
        <w:rPr>
          <w:sz w:val="20"/>
          <w:szCs w:val="20"/>
          <w:color w:val="auto"/>
        </w:rPr>
      </w:pPr>
    </w:p>
    <w:p>
      <w:pPr>
        <w:ind w:left="4647"/>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487"/>
          </w:cols>
          <w:pgMar w:left="1153" w:top="274" w:right="259" w:bottom="1440" w:gutter="0" w:footer="0" w:header="0"/>
        </w:sectPr>
      </w:pPr>
    </w:p>
    <w:bookmarkStart w:id="81" w:name="page82"/>
    <w:bookmarkEnd w:id="81"/>
    <w:p>
      <w:pPr>
        <w:ind w:left="7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practicable following the Deceased Grantee’s death, as determined by the Committee.</w:t>
      </w:r>
    </w:p>
    <w:p>
      <w:pPr>
        <w:spacing w:after="0" w:line="90" w:lineRule="exact"/>
        <w:rPr>
          <w:sz w:val="20"/>
          <w:szCs w:val="20"/>
          <w:color w:val="auto"/>
        </w:rPr>
      </w:pPr>
    </w:p>
    <w:p>
      <w:pPr>
        <w:ind w:left="720" w:right="80" w:hanging="440"/>
        <w:spacing w:after="0" w:line="258"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Disabled Grantee may elect to accelerate the distribution date of the Disabled Grantee’s Shares issuable with respect to Restricted Stock or Restricted Stock Units from the date payment would otherwise be made to a date that is as soon as practicable following the date the Disabled Grantee became disabled. An Acceleration Election pursuant to this Paragraph 8(d)(iii) must be filed with the Committee as soon as practicable following the Deceased Grantee’s death, as determined by the Committee.</w:t>
      </w:r>
    </w:p>
    <w:p>
      <w:pPr>
        <w:spacing w:after="0" w:line="55" w:lineRule="exact"/>
        <w:rPr>
          <w:rFonts w:ascii="Times New Roman" w:cs="Times New Roman" w:eastAsia="Times New Roman" w:hAnsi="Times New Roman"/>
          <w:sz w:val="18"/>
          <w:szCs w:val="18"/>
          <w:color w:val="auto"/>
        </w:rPr>
      </w:pPr>
    </w:p>
    <w:p>
      <w:pPr>
        <w:ind w:left="720" w:hanging="440"/>
        <w:spacing w:after="0" w:line="258"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Retired Grantee may elect to defer the distribution date of the Retired Grantee’s Shares issuable with respect to Restricted Stock or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53" w:lineRule="exact"/>
        <w:rPr>
          <w:rFonts w:ascii="Times New Roman" w:cs="Times New Roman" w:eastAsia="Times New Roman" w:hAnsi="Times New Roman"/>
          <w:sz w:val="18"/>
          <w:szCs w:val="18"/>
          <w:color w:val="auto"/>
        </w:rPr>
      </w:pPr>
    </w:p>
    <w:p>
      <w:pPr>
        <w:ind w:left="720" w:right="80" w:hanging="440"/>
        <w:spacing w:after="0" w:line="257"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 to Provide for Distribution in Full Upon or Following a Change of Control</w:t>
      </w:r>
      <w:r>
        <w:rPr>
          <w:rFonts w:ascii="Times New Roman" w:cs="Times New Roman" w:eastAsia="Times New Roman" w:hAnsi="Times New Roman"/>
          <w:sz w:val="18"/>
          <w:szCs w:val="18"/>
          <w:color w:val="auto"/>
        </w:rPr>
        <w:t xml:space="preserve">. To the extent permitted by </w:t>
      </w:r>
      <w:r>
        <w:rPr>
          <w:rFonts w:ascii="Times New Roman" w:cs="Times New Roman" w:eastAsia="Times New Roman" w:hAnsi="Times New Roman"/>
          <w:sz w:val="18"/>
          <w:szCs w:val="18"/>
          <w:i w:val="1"/>
          <w:iCs w:val="1"/>
          <w:color w:val="auto"/>
        </w:rPr>
        <w:t>IRS Notice 2005-1</w:t>
      </w:r>
      <w:r>
        <w:rPr>
          <w:rFonts w:ascii="Times New Roman" w:cs="Times New Roman" w:eastAsia="Times New Roman" w:hAnsi="Times New Roman"/>
          <w:sz w:val="18"/>
          <w:szCs w:val="18"/>
          <w:color w:val="auto"/>
        </w:rPr>
        <w:t>,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55" w:lineRule="exact"/>
        <w:rPr>
          <w:rFonts w:ascii="Times New Roman" w:cs="Times New Roman" w:eastAsia="Times New Roman" w:hAnsi="Times New Roman"/>
          <w:sz w:val="18"/>
          <w:szCs w:val="18"/>
          <w:color w:val="auto"/>
        </w:rPr>
      </w:pPr>
    </w:p>
    <w:p>
      <w:pPr>
        <w:ind w:left="720" w:right="100" w:hanging="440"/>
        <w:spacing w:after="0" w:line="262"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Hardship</w:t>
      </w:r>
      <w:r>
        <w:rPr>
          <w:rFonts w:ascii="Times New Roman" w:cs="Times New Roman" w:eastAsia="Times New Roman" w:hAnsi="Times New Roman"/>
          <w:sz w:val="18"/>
          <w:szCs w:val="18"/>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49" w:lineRule="exact"/>
        <w:rPr>
          <w:rFonts w:ascii="Times New Roman" w:cs="Times New Roman" w:eastAsia="Times New Roman" w:hAnsi="Times New Roman"/>
          <w:sz w:val="18"/>
          <w:szCs w:val="18"/>
          <w:color w:val="auto"/>
        </w:rPr>
      </w:pPr>
    </w:p>
    <w:p>
      <w:pPr>
        <w:ind w:left="720" w:right="120" w:hanging="440"/>
        <w:spacing w:after="0" w:line="277"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Acceleration Events</w:t>
      </w:r>
      <w:r>
        <w:rPr>
          <w:rFonts w:ascii="Times New Roman" w:cs="Times New Roman" w:eastAsia="Times New Roman" w:hAnsi="Times New Roman"/>
          <w:sz w:val="18"/>
          <w:szCs w:val="18"/>
          <w:color w:val="auto"/>
        </w:rPr>
        <w:t xml:space="preserve">. To the extent permitted by Q-A 15 of </w:t>
      </w:r>
      <w:r>
        <w:rPr>
          <w:rFonts w:ascii="Times New Roman" w:cs="Times New Roman" w:eastAsia="Times New Roman" w:hAnsi="Times New Roman"/>
          <w:sz w:val="18"/>
          <w:szCs w:val="18"/>
          <w:i w:val="1"/>
          <w:iCs w:val="1"/>
          <w:color w:val="auto"/>
        </w:rPr>
        <w:t>IRS Notice 2005-1</w:t>
      </w:r>
      <w:r>
        <w:rPr>
          <w:rFonts w:ascii="Times New Roman" w:cs="Times New Roman" w:eastAsia="Times New Roman" w:hAnsi="Times New Roman"/>
          <w:sz w:val="18"/>
          <w:szCs w:val="18"/>
          <w:color w:val="auto"/>
        </w:rPr>
        <w:t>, notwithstanding the terms of an Initial Election or Subsequent Election, distribution of all or part of a Grantee’s Account may be made:</w:t>
      </w:r>
    </w:p>
    <w:p>
      <w:pPr>
        <w:spacing w:after="0" w:line="37" w:lineRule="exact"/>
        <w:rPr>
          <w:rFonts w:ascii="Times New Roman" w:cs="Times New Roman" w:eastAsia="Times New Roman" w:hAnsi="Times New Roman"/>
          <w:sz w:val="18"/>
          <w:szCs w:val="18"/>
          <w:color w:val="auto"/>
        </w:rPr>
      </w:pPr>
    </w:p>
    <w:p>
      <w:pPr>
        <w:ind w:left="1180" w:hanging="441"/>
        <w:spacing w:after="0"/>
        <w:tabs>
          <w:tab w:leader="none" w:pos="11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fulfill a domestic relations order (as defined in section 414(p)(1)(B) of the Code).</w:t>
      </w:r>
    </w:p>
    <w:p>
      <w:pPr>
        <w:spacing w:after="0" w:line="90" w:lineRule="exact"/>
        <w:rPr>
          <w:rFonts w:ascii="Times New Roman" w:cs="Times New Roman" w:eastAsia="Times New Roman" w:hAnsi="Times New Roman"/>
          <w:sz w:val="18"/>
          <w:szCs w:val="18"/>
          <w:color w:val="auto"/>
        </w:rPr>
      </w:pPr>
    </w:p>
    <w:p>
      <w:pPr>
        <w:ind w:left="1180" w:hanging="441"/>
        <w:spacing w:after="0"/>
        <w:tabs>
          <w:tab w:leader="none" w:pos="11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comply with a certificate of divestiture (as defined in section 1043(b)(2) of the Code).</w:t>
      </w:r>
    </w:p>
    <w:p>
      <w:pPr>
        <w:spacing w:after="0" w:line="15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160"/>
          </w:cols>
          <w:pgMar w:left="1440" w:top="274" w:right="299" w:bottom="1440" w:gutter="0" w:footer="0" w:header="0"/>
        </w:sectPr>
      </w:pPr>
    </w:p>
    <w:bookmarkStart w:id="82" w:name="page83"/>
    <w:bookmarkEnd w:id="82"/>
    <w:p>
      <w:pPr>
        <w:ind w:left="1467" w:right="60" w:hanging="441"/>
        <w:spacing w:after="0" w:line="256" w:lineRule="auto"/>
        <w:tabs>
          <w:tab w:leader="none" w:pos="1467"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pay the Federal Insurance Contribution Act (“FICA”) tax imposed under sections 3101 and 3121(v)(2) of the Code on compensation deferred under the Plan (the “FICA Amount”) plus the income tax at source on wages imposed under section 3401 of the Code with respect to the FICA Amount, and to pay the additional income tax at source on wages attributable to the pyramiding section 3401 wages and taxes, provided that the total amount distributable under this Paragraph 8(d)(vii)(3) shall not exceed the sum of the FICA Amount and the income tax withholding related to such FICA Amount.</w:t>
      </w:r>
    </w:p>
    <w:p>
      <w:pPr>
        <w:spacing w:after="0" w:line="57" w:lineRule="exact"/>
        <w:rPr>
          <w:rFonts w:ascii="Times New Roman" w:cs="Times New Roman" w:eastAsia="Times New Roman" w:hAnsi="Times New Roman"/>
          <w:sz w:val="18"/>
          <w:szCs w:val="18"/>
          <w:color w:val="auto"/>
        </w:rPr>
      </w:pPr>
    </w:p>
    <w:p>
      <w:pPr>
        <w:ind w:left="567" w:right="80" w:hanging="567"/>
        <w:spacing w:after="0" w:line="256" w:lineRule="auto"/>
        <w:tabs>
          <w:tab w:leader="none" w:pos="56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 Accounts</w:t>
      </w:r>
      <w:r>
        <w:rPr>
          <w:rFonts w:ascii="Times New Roman" w:cs="Times New Roman" w:eastAsia="Times New Roman" w:hAnsi="Times New Roman"/>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8(h).</w:t>
      </w:r>
    </w:p>
    <w:p>
      <w:pPr>
        <w:spacing w:after="0" w:line="57" w:lineRule="exact"/>
        <w:rPr>
          <w:rFonts w:ascii="Times New Roman" w:cs="Times New Roman" w:eastAsia="Times New Roman" w:hAnsi="Times New Roman"/>
          <w:sz w:val="18"/>
          <w:szCs w:val="18"/>
          <w:color w:val="auto"/>
        </w:rPr>
      </w:pPr>
    </w:p>
    <w:p>
      <w:pPr>
        <w:ind w:left="567" w:right="60" w:hanging="567"/>
        <w:spacing w:after="0" w:line="275" w:lineRule="auto"/>
        <w:tabs>
          <w:tab w:leader="none" w:pos="56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Plan-to-Plan Transfers</w:t>
      </w:r>
      <w:r>
        <w:rPr>
          <w:rFonts w:ascii="Times New Roman" w:cs="Times New Roman" w:eastAsia="Times New Roman" w:hAnsi="Times New Roman"/>
          <w:sz w:val="18"/>
          <w:szCs w:val="18"/>
          <w:color w:val="auto"/>
        </w:rPr>
        <w:t>. The Administrator may delegate its authority to arrange for plan-to-plan transfers as described in this Paragraph 8(f) to an officer of the Company or committee of two or more officers of the Company.</w:t>
      </w:r>
    </w:p>
    <w:p>
      <w:pPr>
        <w:spacing w:after="0" w:line="38" w:lineRule="exact"/>
        <w:rPr>
          <w:rFonts w:ascii="Times New Roman" w:cs="Times New Roman" w:eastAsia="Times New Roman" w:hAnsi="Times New Roman"/>
          <w:sz w:val="18"/>
          <w:szCs w:val="18"/>
          <w:color w:val="auto"/>
        </w:rPr>
      </w:pPr>
    </w:p>
    <w:p>
      <w:pPr>
        <w:ind w:left="1007" w:hanging="440"/>
        <w:spacing w:after="0" w:line="296" w:lineRule="auto"/>
        <w:tabs>
          <w:tab w:leader="none" w:pos="1007"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26" w:lineRule="exact"/>
        <w:rPr>
          <w:rFonts w:ascii="Times New Roman" w:cs="Times New Roman" w:eastAsia="Times New Roman" w:hAnsi="Times New Roman"/>
          <w:sz w:val="16"/>
          <w:szCs w:val="16"/>
          <w:color w:val="auto"/>
        </w:rPr>
      </w:pPr>
    </w:p>
    <w:p>
      <w:pPr>
        <w:ind w:left="1007" w:hanging="440"/>
        <w:spacing w:after="0" w:line="256" w:lineRule="auto"/>
        <w:tabs>
          <w:tab w:leader="none" w:pos="100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w:t>
      </w:r>
    </w:p>
    <w:p>
      <w:pPr>
        <w:spacing w:after="0" w:line="125" w:lineRule="exact"/>
        <w:rPr>
          <w:sz w:val="20"/>
          <w:szCs w:val="20"/>
          <w:color w:val="auto"/>
        </w:rPr>
      </w:pPr>
    </w:p>
    <w:p>
      <w:pPr>
        <w:ind w:left="4647"/>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447"/>
          </w:cols>
          <w:pgMar w:left="1153" w:top="274" w:right="299" w:bottom="1440" w:gutter="0" w:footer="0" w:header="0"/>
        </w:sectPr>
      </w:pPr>
    </w:p>
    <w:bookmarkStart w:id="83" w:name="page84"/>
    <w:bookmarkEnd w:id="83"/>
    <w:p>
      <w:pPr>
        <w:ind w:left="102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such Grantee, and the Account shall be subject to the rules of this Plan, as in effect from time to time.</w:t>
      </w:r>
    </w:p>
    <w:p>
      <w:pPr>
        <w:spacing w:after="0" w:line="88" w:lineRule="exact"/>
        <w:rPr>
          <w:sz w:val="20"/>
          <w:szCs w:val="20"/>
          <w:color w:val="auto"/>
        </w:rPr>
      </w:pPr>
    </w:p>
    <w:p>
      <w:pPr>
        <w:ind w:left="1007" w:right="20" w:hanging="440"/>
        <w:spacing w:after="0" w:line="255" w:lineRule="auto"/>
        <w:tabs>
          <w:tab w:leader="none" w:pos="100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Q-A 19(c) of </w:t>
      </w:r>
      <w:r>
        <w:rPr>
          <w:rFonts w:ascii="Times New Roman" w:cs="Times New Roman" w:eastAsia="Times New Roman" w:hAnsi="Times New Roman"/>
          <w:sz w:val="18"/>
          <w:szCs w:val="18"/>
          <w:i w:val="1"/>
          <w:iCs w:val="1"/>
          <w:color w:val="auto"/>
        </w:rPr>
        <w:t>IRS Notice 2005-1</w:t>
      </w:r>
      <w:r>
        <w:rPr>
          <w:rFonts w:ascii="Times New Roman" w:cs="Times New Roman" w:eastAsia="Times New Roman" w:hAnsi="Times New Roman"/>
          <w:sz w:val="18"/>
          <w:szCs w:val="18"/>
          <w:color w:val="auto"/>
        </w:rPr>
        <w:t>, to the extent provided by the Committee or its delegate, a Grantee may, on or before December 31, 2005, with respect to all or any portion of his or her Grandfathered Amount under the Plan as in effect on December 31, 2004, and with respect to any initial deferrals made after December 31, 2004, make new payment elections as to the form and timing of payment of such amounts as may be permitted under this Plan, provided that following the completion of such new payment election, such amounts shall not be treated as a Grandfathered Amount, but instead shall be treated as a non-Grandfathered Amount, subject to the rules of this Plan.</w:t>
      </w:r>
    </w:p>
    <w:p>
      <w:pPr>
        <w:spacing w:after="0" w:line="60" w:lineRule="exact"/>
        <w:rPr>
          <w:rFonts w:ascii="Times New Roman" w:cs="Times New Roman" w:eastAsia="Times New Roman" w:hAnsi="Times New Roman"/>
          <w:sz w:val="18"/>
          <w:szCs w:val="18"/>
          <w:color w:val="auto"/>
        </w:rPr>
      </w:pPr>
    </w:p>
    <w:p>
      <w:pPr>
        <w:ind w:left="567" w:right="40" w:hanging="567"/>
        <w:spacing w:after="0" w:line="275" w:lineRule="auto"/>
        <w:tabs>
          <w:tab w:leader="none" w:pos="56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Crediting of Income, Gains and Losses on Accounts</w:t>
      </w:r>
      <w:r>
        <w:rPr>
          <w:rFonts w:ascii="Times New Roman" w:cs="Times New Roman" w:eastAsia="Times New Roman" w:hAnsi="Times New Roman"/>
          <w:sz w:val="18"/>
          <w:szCs w:val="18"/>
          <w:color w:val="auto"/>
        </w:rPr>
        <w:t>. Except as otherwise provided in Paragraph 8(h), the value of a Grantee’s Account as of any date shall be determined as if it were invested in the Company Stock Fund.</w:t>
      </w:r>
    </w:p>
    <w:p>
      <w:pPr>
        <w:spacing w:after="0" w:line="38"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Diversification Elections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07" w:right="100" w:hanging="440"/>
        <w:spacing w:after="0" w:line="258" w:lineRule="auto"/>
        <w:tabs>
          <w:tab w:leader="none" w:pos="100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No approval is required for a Diversification Election other than a Special Diversification Election.</w:t>
      </w:r>
    </w:p>
    <w:p>
      <w:pPr>
        <w:spacing w:after="0" w:line="55" w:lineRule="exact"/>
        <w:rPr>
          <w:sz w:val="20"/>
          <w:szCs w:val="20"/>
          <w:color w:val="auto"/>
        </w:rPr>
      </w:pPr>
    </w:p>
    <w:p>
      <w:pPr>
        <w:ind w:left="1007" w:hanging="440"/>
        <w:spacing w:after="0" w:line="258" w:lineRule="auto"/>
        <w:tabs>
          <w:tab w:leader="none" w:pos="100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Approval of Special Diversification Elections</w:t>
      </w:r>
      <w:r>
        <w:rPr>
          <w:rFonts w:ascii="Times New Roman" w:cs="Times New Roman" w:eastAsia="Times New Roman" w:hAnsi="Times New Roman"/>
          <w:sz w:val="18"/>
          <w:szCs w:val="18"/>
          <w:color w:val="auto"/>
        </w:rPr>
        <w:t>. The opportunity to make a Special Diversification Election and the extent to which 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55" w:lineRule="exact"/>
        <w:rPr>
          <w:rFonts w:ascii="Times New Roman" w:cs="Times New Roman" w:eastAsia="Times New Roman" w:hAnsi="Times New Roman"/>
          <w:sz w:val="18"/>
          <w:szCs w:val="18"/>
          <w:color w:val="auto"/>
        </w:rPr>
      </w:pPr>
    </w:p>
    <w:p>
      <w:pPr>
        <w:ind w:left="1007" w:hanging="440"/>
        <w:spacing w:after="0" w:line="256" w:lineRule="auto"/>
        <w:tabs>
          <w:tab w:leader="none" w:pos="100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and Manner of Making Diversification Elections</w:t>
      </w:r>
      <w:r>
        <w:rPr>
          <w:rFonts w:ascii="Times New Roman" w:cs="Times New Roman" w:eastAsia="Times New Roman" w:hAnsi="Times New Roman"/>
          <w:sz w:val="18"/>
          <w:szCs w:val="18"/>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each grant of Restricted Stock or Restricted Stock Units credited to the Company Stock Fund to the Income Fund. No deemed transfers shall be permitted from the Income Fund to the Company Stock Fund. Diversification Elections under this Paragraph</w:t>
      </w:r>
    </w:p>
    <w:p>
      <w:pPr>
        <w:spacing w:after="0" w:line="125" w:lineRule="exact"/>
        <w:rPr>
          <w:sz w:val="20"/>
          <w:szCs w:val="20"/>
          <w:color w:val="auto"/>
        </w:rPr>
      </w:pPr>
    </w:p>
    <w:p>
      <w:pPr>
        <w:ind w:left="4647"/>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487"/>
          </w:cols>
          <w:pgMar w:left="1153" w:top="274" w:right="259" w:bottom="1440" w:gutter="0" w:footer="0" w:header="0"/>
        </w:sectPr>
      </w:pPr>
    </w:p>
    <w:bookmarkStart w:id="84" w:name="page85"/>
    <w:bookmarkEnd w:id="84"/>
    <w:p>
      <w:pPr>
        <w:ind w:left="1027"/>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8(h)(iii)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58" w:lineRule="exact"/>
        <w:rPr>
          <w:sz w:val="20"/>
          <w:szCs w:val="20"/>
          <w:color w:val="auto"/>
        </w:rPr>
      </w:pPr>
    </w:p>
    <w:p>
      <w:pPr>
        <w:jc w:val="both"/>
        <w:ind w:left="1007" w:hanging="440"/>
        <w:spacing w:after="0" w:line="256" w:lineRule="auto"/>
        <w:tabs>
          <w:tab w:leader="none" w:pos="100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Credits</w:t>
      </w:r>
      <w:r>
        <w:rPr>
          <w:rFonts w:ascii="Times New Roman" w:cs="Times New Roman" w:eastAsia="Times New Roman" w:hAnsi="Times New Roman"/>
          <w:sz w:val="18"/>
          <w:szCs w:val="18"/>
          <w:color w:val="auto"/>
        </w:rPr>
        <w:t>. Account balances subject to a Diversification Election under this Paragraph 8(h)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57" w:lineRule="exact"/>
        <w:rPr>
          <w:rFonts w:ascii="Times New Roman" w:cs="Times New Roman" w:eastAsia="Times New Roman" w:hAnsi="Times New Roman"/>
          <w:sz w:val="18"/>
          <w:szCs w:val="18"/>
          <w:color w:val="auto"/>
        </w:rPr>
      </w:pPr>
    </w:p>
    <w:p>
      <w:pPr>
        <w:ind w:left="567" w:right="120" w:hanging="567"/>
        <w:spacing w:after="0" w:line="254" w:lineRule="auto"/>
        <w:tabs>
          <w:tab w:leader="none" w:pos="56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Distributions within Five Years of Effective Date of Diversification Election</w:t>
      </w:r>
      <w:r>
        <w:rPr>
          <w:rFonts w:ascii="Times New Roman" w:cs="Times New Roman" w:eastAsia="Times New Roman" w:hAnsi="Times New Roman"/>
          <w:sz w:val="18"/>
          <w:szCs w:val="18"/>
          <w:color w:val="auto"/>
        </w:rPr>
        <w:t>.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(and, in the case of a Grantee who is a Successor-in-Interest, whether or not such Diversification Election was made by a Grantee’s predecessor-in-interest), then, except as may otherwise be provided by the Committee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128" w:lineRule="exact"/>
        <w:rPr>
          <w:sz w:val="20"/>
          <w:szCs w:val="20"/>
          <w:color w:val="auto"/>
        </w:rPr>
      </w:pPr>
    </w:p>
    <w:p>
      <w:pPr>
        <w:ind w:left="4647"/>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427"/>
          </w:cols>
          <w:pgMar w:left="1153" w:top="274" w:right="319" w:bottom="1440" w:gutter="0" w:footer="0" w:header="0"/>
        </w:sectPr>
      </w:pPr>
    </w:p>
    <w:bookmarkStart w:id="85" w:name="page86"/>
    <w:bookmarkEnd w:id="85"/>
    <w:tbl>
      <w:tblPr>
        <w:tblLayout w:type="fixed"/>
        <w:tblInd w:w="476" w:type="dxa"/>
        <w:tblCellMar>
          <w:top w:w="0" w:type="dxa"/>
          <w:left w:w="0" w:type="dxa"/>
          <w:bottom w:w="0" w:type="dxa"/>
          <w:right w:w="0" w:type="dxa"/>
        </w:tblCellMar>
      </w:tblPr>
      <w:tr>
        <w:trPr>
          <w:trHeight w:val="213"/>
        </w:trPr>
        <w:tc>
          <w:tcPr>
            <w:tcW w:w="46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Time that Shares are Distributable</w:t>
            </w:r>
          </w:p>
        </w:tc>
        <w:tc>
          <w:tcPr>
            <w:tcW w:w="494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Distributable Percentage of Corresponding Income Fund</w:t>
            </w:r>
          </w:p>
        </w:tc>
      </w:tr>
      <w:tr>
        <w:trPr>
          <w:trHeight w:val="231"/>
        </w:trPr>
        <w:tc>
          <w:tcPr>
            <w:tcW w:w="4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1"/>
        </w:trPr>
        <w:tc>
          <w:tcPr>
            <w:tcW w:w="4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8"/>
              </w:rPr>
              <w:t>On or before the third anniversary of a Diversification Election</w:t>
            </w:r>
          </w:p>
        </w:tc>
        <w:tc>
          <w:tcPr>
            <w:tcW w:w="49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60%</w:t>
            </w:r>
          </w:p>
        </w:tc>
      </w:tr>
      <w:tr>
        <w:trPr>
          <w:trHeight w:val="195"/>
        </w:trPr>
        <w:tc>
          <w:tcPr>
            <w:tcW w:w="464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w w:val="98"/>
              </w:rPr>
              <w:t>After the third anniversary of a Diversification Election and on</w:t>
            </w:r>
          </w:p>
        </w:tc>
        <w:tc>
          <w:tcPr>
            <w:tcW w:w="4940" w:type="dxa"/>
            <w:vAlign w:val="bottom"/>
            <w:tcBorders>
              <w:right w:val="single" w:sz="8" w:color="auto"/>
            </w:tcBorders>
          </w:tcPr>
          <w:p>
            <w:pPr>
              <w:ind w:left="440"/>
              <w:spacing w:after="0" w:line="195" w:lineRule="exact"/>
              <w:rPr>
                <w:sz w:val="20"/>
                <w:szCs w:val="20"/>
                <w:color w:val="auto"/>
              </w:rPr>
            </w:pPr>
            <w:r>
              <w:rPr>
                <w:rFonts w:ascii="Times New Roman" w:cs="Times New Roman" w:eastAsia="Times New Roman" w:hAnsi="Times New Roman"/>
                <w:sz w:val="18"/>
                <w:szCs w:val="18"/>
                <w:color w:val="auto"/>
              </w:rPr>
              <w:t>40%</w:t>
            </w:r>
          </w:p>
        </w:tc>
      </w:tr>
      <w:tr>
        <w:trPr>
          <w:trHeight w:val="229"/>
        </w:trPr>
        <w:tc>
          <w:tcPr>
            <w:tcW w:w="4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 before the fourth anniversary of a Diversification Election</w:t>
            </w:r>
          </w:p>
        </w:tc>
        <w:tc>
          <w:tcPr>
            <w:tcW w:w="4940" w:type="dxa"/>
            <w:vAlign w:val="bottom"/>
            <w:tcBorders>
              <w:bottom w:val="single" w:sz="8" w:color="auto"/>
              <w:right w:val="single" w:sz="8" w:color="auto"/>
            </w:tcBorders>
          </w:tcPr>
          <w:p>
            <w:pPr>
              <w:spacing w:after="0"/>
              <w:rPr>
                <w:sz w:val="19"/>
                <w:szCs w:val="19"/>
                <w:color w:val="auto"/>
              </w:rPr>
            </w:pPr>
          </w:p>
        </w:tc>
      </w:tr>
      <w:tr>
        <w:trPr>
          <w:trHeight w:val="196"/>
        </w:trPr>
        <w:tc>
          <w:tcPr>
            <w:tcW w:w="464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After the fourth anniversary of a Diversification Election and</w:t>
            </w:r>
          </w:p>
        </w:tc>
        <w:tc>
          <w:tcPr>
            <w:tcW w:w="4940" w:type="dxa"/>
            <w:vAlign w:val="bottom"/>
            <w:tcBorders>
              <w:right w:val="single" w:sz="8" w:color="auto"/>
            </w:tcBorders>
          </w:tcPr>
          <w:p>
            <w:pPr>
              <w:ind w:left="440"/>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29"/>
        </w:trPr>
        <w:tc>
          <w:tcPr>
            <w:tcW w:w="4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 or before the fifth anniversary of a Diversification Election</w:t>
            </w:r>
          </w:p>
        </w:tc>
        <w:tc>
          <w:tcPr>
            <w:tcW w:w="4940" w:type="dxa"/>
            <w:vAlign w:val="bottom"/>
            <w:tcBorders>
              <w:bottom w:val="single" w:sz="8" w:color="auto"/>
              <w:right w:val="single" w:sz="8" w:color="auto"/>
            </w:tcBorders>
          </w:tcPr>
          <w:p>
            <w:pPr>
              <w:spacing w:after="0"/>
              <w:rPr>
                <w:sz w:val="19"/>
                <w:szCs w:val="19"/>
                <w:color w:val="auto"/>
              </w:rPr>
            </w:pPr>
          </w:p>
        </w:tc>
      </w:tr>
      <w:tr>
        <w:trPr>
          <w:trHeight w:val="211"/>
        </w:trPr>
        <w:tc>
          <w:tcPr>
            <w:tcW w:w="4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After the fifth anniversary of a Diversification Election</w:t>
            </w:r>
          </w:p>
        </w:tc>
        <w:tc>
          <w:tcPr>
            <w:tcW w:w="49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0%</w:t>
            </w:r>
          </w:p>
        </w:tc>
      </w:tr>
    </w:tbl>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026" w:hanging="567"/>
        <w:spacing w:after="0" w:line="255" w:lineRule="auto"/>
        <w:tabs>
          <w:tab w:leader="none" w:pos="102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Grantees’ Status as General Creditors</w:t>
      </w:r>
      <w:r>
        <w:rPr>
          <w:rFonts w:ascii="Times New Roman" w:cs="Times New Roman" w:eastAsia="Times New Roman" w:hAnsi="Times New Roman"/>
          <w:sz w:val="18"/>
          <w:szCs w:val="18"/>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58" w:lineRule="exact"/>
        <w:rPr>
          <w:rFonts w:ascii="Times New Roman" w:cs="Times New Roman" w:eastAsia="Times New Roman" w:hAnsi="Times New Roman"/>
          <w:sz w:val="18"/>
          <w:szCs w:val="18"/>
          <w:color w:val="auto"/>
        </w:rPr>
      </w:pPr>
    </w:p>
    <w:p>
      <w:pPr>
        <w:ind w:left="1026" w:right="40" w:hanging="567"/>
        <w:spacing w:after="0" w:line="258" w:lineRule="auto"/>
        <w:tabs>
          <w:tab w:leader="none" w:pos="102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Non-Assignability, Etc</w:t>
      </w:r>
      <w:r>
        <w:rPr>
          <w:rFonts w:ascii="Times New Roman" w:cs="Times New Roman" w:eastAsia="Times New Roman" w:hAnsi="Times New Roman"/>
          <w:sz w:val="18"/>
          <w:szCs w:val="18"/>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74"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Laws; Taxes</w:t>
      </w:r>
    </w:p>
    <w:p>
      <w:pPr>
        <w:spacing w:after="0" w:line="92" w:lineRule="exact"/>
        <w:rPr>
          <w:rFonts w:ascii="Times New Roman" w:cs="Times New Roman" w:eastAsia="Times New Roman" w:hAnsi="Times New Roman"/>
          <w:sz w:val="18"/>
          <w:szCs w:val="18"/>
          <w:b w:val="1"/>
          <w:bCs w:val="1"/>
          <w:color w:val="auto"/>
        </w:rPr>
      </w:pPr>
    </w:p>
    <w:p>
      <w:pPr>
        <w:ind w:left="1026" w:right="60" w:hanging="567"/>
        <w:spacing w:after="0" w:line="258" w:lineRule="auto"/>
        <w:tabs>
          <w:tab w:leader="none" w:pos="102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w:t>
      </w:r>
    </w:p>
    <w:p>
      <w:pPr>
        <w:spacing w:after="0" w:line="123" w:lineRule="exact"/>
        <w:rPr>
          <w:sz w:val="20"/>
          <w:szCs w:val="20"/>
          <w:color w:val="auto"/>
        </w:rPr>
      </w:pPr>
    </w:p>
    <w:p>
      <w:pPr>
        <w:jc w:val="center"/>
        <w:ind w:right="234"/>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66"/>
          </w:cols>
          <w:pgMar w:left="694" w:top="268" w:right="439" w:bottom="1440" w:gutter="0" w:footer="0" w:header="0"/>
        </w:sectPr>
      </w:pPr>
    </w:p>
    <w:bookmarkStart w:id="86" w:name="page87"/>
    <w:bookmarkEnd w:id="86"/>
    <w:p>
      <w:pPr>
        <w:ind w:left="56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Grantee to refrain from selling or otherwise disposing of the Shares acquired for a specified period of time or on specified terms.</w:t>
      </w:r>
    </w:p>
    <w:p>
      <w:pPr>
        <w:spacing w:after="0" w:line="90" w:lineRule="exact"/>
        <w:rPr>
          <w:sz w:val="20"/>
          <w:szCs w:val="20"/>
          <w:color w:val="auto"/>
        </w:rPr>
      </w:pPr>
    </w:p>
    <w:p>
      <w:pPr>
        <w:ind w:left="567" w:right="280" w:hanging="567"/>
        <w:spacing w:after="0" w:line="258" w:lineRule="auto"/>
        <w:tabs>
          <w:tab w:leader="none" w:pos="56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Subject to the rules of Paragraph 9(c), the Company shall be entitled, if necessary or desirable, to withhold the amount of any tax, charge or assessment attributable to the grant of any Award or the occurrence of a Vesting Date with respect to any Award. The Company shall not be required to deliver Shares pursuant to any Award until it has been indemnified to its satisfaction for any such tax, charge or assessment.</w:t>
      </w:r>
    </w:p>
    <w:p>
      <w:pPr>
        <w:spacing w:after="0" w:line="55"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 Liabilities; Election to Withhold Shares or Pay Cash to Satisfy Tax Liability</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07" w:hanging="440"/>
        <w:spacing w:after="0"/>
        <w:tabs>
          <w:tab w:leader="none" w:pos="1007"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grant of any Award or the occurrence of a Vesting Date under any Award, the Company shall have the right to</w:t>
      </w:r>
    </w:p>
    <w:p>
      <w:pPr>
        <w:spacing w:after="0" w:line="44" w:lineRule="exact"/>
        <w:rPr>
          <w:rFonts w:ascii="Times New Roman" w:cs="Times New Roman" w:eastAsia="Times New Roman" w:hAnsi="Times New Roman"/>
          <w:sz w:val="16"/>
          <w:szCs w:val="16"/>
          <w:color w:val="auto"/>
        </w:rPr>
      </w:pPr>
    </w:p>
    <w:p>
      <w:pPr>
        <w:ind w:left="1007" w:right="10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58" w:lineRule="exact"/>
        <w:rPr>
          <w:rFonts w:ascii="Times New Roman" w:cs="Times New Roman" w:eastAsia="Times New Roman" w:hAnsi="Times New Roman"/>
          <w:sz w:val="16"/>
          <w:szCs w:val="16"/>
          <w:color w:val="auto"/>
        </w:rPr>
      </w:pPr>
    </w:p>
    <w:p>
      <w:pPr>
        <w:ind w:left="1007" w:hanging="440"/>
        <w:spacing w:after="0" w:line="253" w:lineRule="auto"/>
        <w:tabs>
          <w:tab w:leader="none" w:pos="100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Paragraph 9(c)(ii), any tax liabilities incurred in connection with grant of any Award or the occurrence of a Vesting Date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Vesting Date. In all cases, the Shares so withheld by the Company shall have a Fair Market Value that does not exceed the amount of taxes to be withheld minus the cash payment, if any, made by the Grantee. Any election pursuant to</w:t>
      </w:r>
    </w:p>
    <w:p>
      <w:pPr>
        <w:spacing w:after="0" w:line="125" w:lineRule="exact"/>
        <w:rPr>
          <w:sz w:val="20"/>
          <w:szCs w:val="20"/>
          <w:color w:val="auto"/>
        </w:rPr>
      </w:pPr>
    </w:p>
    <w:p>
      <w:pPr>
        <w:ind w:left="4647"/>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487"/>
          </w:cols>
          <w:pgMar w:left="1153" w:top="274" w:right="259" w:bottom="1440" w:gutter="0" w:footer="0" w:header="0"/>
        </w:sectPr>
      </w:pPr>
    </w:p>
    <w:bookmarkStart w:id="87" w:name="page88"/>
    <w:bookmarkEnd w:id="87"/>
    <w:p>
      <w:pPr>
        <w:ind w:left="1486"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177" w:lineRule="exact"/>
        <w:rPr>
          <w:sz w:val="20"/>
          <w:szCs w:val="20"/>
          <w:color w:val="auto"/>
        </w:rPr>
      </w:pPr>
    </w:p>
    <w:p>
      <w:pPr>
        <w:ind w:left="446" w:hanging="446"/>
        <w:spacing w:after="0"/>
        <w:tabs>
          <w:tab w:leader="none" w:pos="446"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Capitalization</w:t>
      </w:r>
    </w:p>
    <w:p>
      <w:pPr>
        <w:spacing w:after="0" w:line="92" w:lineRule="exact"/>
        <w:rPr>
          <w:sz w:val="20"/>
          <w:szCs w:val="20"/>
          <w:color w:val="auto"/>
        </w:rPr>
      </w:pPr>
    </w:p>
    <w:p>
      <w:pPr>
        <w:ind w:left="466"/>
        <w:spacing w:after="0" w:line="254" w:lineRule="auto"/>
        <w:rPr>
          <w:sz w:val="20"/>
          <w:szCs w:val="20"/>
          <w:color w:val="auto"/>
        </w:rPr>
      </w:pPr>
      <w:r>
        <w:rPr>
          <w:rFonts w:ascii="Times New Roman" w:cs="Times New Roman" w:eastAsia="Times New Roman" w:hAnsi="Times New Roman"/>
          <w:sz w:val="18"/>
          <w:szCs w:val="18"/>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80" w:lineRule="exact"/>
        <w:rPr>
          <w:sz w:val="20"/>
          <w:szCs w:val="20"/>
          <w:color w:val="auto"/>
        </w:rPr>
      </w:pPr>
    </w:p>
    <w:p>
      <w:pPr>
        <w:ind w:left="446" w:hanging="446"/>
        <w:spacing w:after="0"/>
        <w:tabs>
          <w:tab w:leader="none" w:pos="446"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Terminating Events</w:t>
      </w:r>
    </w:p>
    <w:p>
      <w:pPr>
        <w:spacing w:after="0" w:line="92" w:lineRule="exact"/>
        <w:rPr>
          <w:sz w:val="20"/>
          <w:szCs w:val="20"/>
          <w:color w:val="auto"/>
        </w:rPr>
      </w:pPr>
    </w:p>
    <w:p>
      <w:pPr>
        <w:ind w:left="466" w:right="60"/>
        <w:spacing w:after="0" w:line="254" w:lineRule="auto"/>
        <w:rPr>
          <w:sz w:val="20"/>
          <w:szCs w:val="20"/>
          <w:color w:val="auto"/>
        </w:rPr>
      </w:pPr>
      <w:r>
        <w:rPr>
          <w:rFonts w:ascii="Times New Roman" w:cs="Times New Roman" w:eastAsia="Times New Roman" w:hAnsi="Times New Roman"/>
          <w:sz w:val="18"/>
          <w:szCs w:val="18"/>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77" w:lineRule="exact"/>
        <w:rPr>
          <w:sz w:val="20"/>
          <w:szCs w:val="20"/>
          <w:color w:val="auto"/>
        </w:rPr>
      </w:pPr>
    </w:p>
    <w:p>
      <w:pPr>
        <w:ind w:left="446" w:hanging="446"/>
        <w:spacing w:after="0"/>
        <w:tabs>
          <w:tab w:leader="none" w:pos="446"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Procedure</w:t>
      </w:r>
    </w:p>
    <w:p>
      <w:pPr>
        <w:spacing w:after="0" w:line="92" w:lineRule="exact"/>
        <w:rPr>
          <w:sz w:val="20"/>
          <w:szCs w:val="20"/>
          <w:color w:val="auto"/>
        </w:rPr>
      </w:pPr>
    </w:p>
    <w:p>
      <w:pPr>
        <w:jc w:val="both"/>
        <w:ind w:left="466" w:right="80"/>
        <w:spacing w:after="0" w:line="262" w:lineRule="auto"/>
        <w:rPr>
          <w:sz w:val="20"/>
          <w:szCs w:val="20"/>
          <w:color w:val="auto"/>
        </w:rPr>
      </w:pPr>
      <w:r>
        <w:rPr>
          <w:rFonts w:ascii="Times New Roman" w:cs="Times New Roman" w:eastAsia="Times New Roman" w:hAnsi="Times New Roman"/>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19"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6"/>
          </w:cols>
          <w:pgMar w:left="694" w:top="274" w:right="259" w:bottom="1440" w:gutter="0" w:footer="0" w:header="0"/>
        </w:sectPr>
      </w:pPr>
    </w:p>
    <w:bookmarkStart w:id="88" w:name="page89"/>
    <w:bookmarkEnd w:id="88"/>
    <w:p>
      <w:pPr>
        <w:ind w:left="466" w:right="1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Applicant may file a claim for benefits with the Committee on a form supplied by the Committee. If the Committee wholly or partially denies a claim, the Committee shall provide the Applicant with a written notice stating:</w:t>
      </w:r>
    </w:p>
    <w:p>
      <w:pPr>
        <w:spacing w:after="0" w:line="39" w:lineRule="exact"/>
        <w:rPr>
          <w:sz w:val="20"/>
          <w:szCs w:val="20"/>
          <w:color w:val="auto"/>
        </w:rPr>
      </w:pPr>
    </w:p>
    <w:p>
      <w:pPr>
        <w:ind w:left="1026" w:hanging="567"/>
        <w:spacing w:after="0"/>
        <w:tabs>
          <w:tab w:leader="none" w:pos="102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 or reasons for the denial;</w:t>
      </w:r>
    </w:p>
    <w:p>
      <w:pPr>
        <w:spacing w:after="0" w:line="90"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reference to pertinent Plan provisions on which the denial is based;</w:t>
      </w:r>
    </w:p>
    <w:p>
      <w:pPr>
        <w:spacing w:after="0" w:line="90" w:lineRule="exact"/>
        <w:rPr>
          <w:rFonts w:ascii="Times New Roman" w:cs="Times New Roman" w:eastAsia="Times New Roman" w:hAnsi="Times New Roman"/>
          <w:sz w:val="18"/>
          <w:szCs w:val="18"/>
          <w:color w:val="auto"/>
        </w:rPr>
      </w:pPr>
    </w:p>
    <w:p>
      <w:pPr>
        <w:ind w:left="1026" w:right="40" w:hanging="567"/>
        <w:spacing w:after="0" w:line="275" w:lineRule="auto"/>
        <w:tabs>
          <w:tab w:leader="none" w:pos="102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additional material or information necessary for Applicant to perfect the claim and an explanation of why such material or information is necessary; and</w:t>
      </w:r>
    </w:p>
    <w:p>
      <w:pPr>
        <w:spacing w:after="0" w:line="38"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information as to the steps to be taken in order to submit a claim for review.</w:t>
      </w:r>
    </w:p>
    <w:p>
      <w:pPr>
        <w:spacing w:after="0" w:line="171" w:lineRule="exact"/>
        <w:rPr>
          <w:sz w:val="20"/>
          <w:szCs w:val="20"/>
          <w:color w:val="auto"/>
        </w:rPr>
      </w:pPr>
    </w:p>
    <w:p>
      <w:pPr>
        <w:ind w:left="466" w:right="280"/>
        <w:spacing w:after="0" w:line="262" w:lineRule="auto"/>
        <w:rPr>
          <w:sz w:val="20"/>
          <w:szCs w:val="20"/>
          <w:color w:val="auto"/>
        </w:rPr>
      </w:pPr>
      <w:r>
        <w:rPr>
          <w:rFonts w:ascii="Times New Roman" w:cs="Times New Roman" w:eastAsia="Times New Roman" w:hAnsi="Times New Roman"/>
          <w:sz w:val="18"/>
          <w:szCs w:val="18"/>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32" w:lineRule="exact"/>
        <w:rPr>
          <w:sz w:val="20"/>
          <w:szCs w:val="20"/>
          <w:color w:val="auto"/>
        </w:rPr>
      </w:pPr>
    </w:p>
    <w:p>
      <w:pPr>
        <w:ind w:left="466" w:right="40"/>
        <w:spacing w:after="0" w:line="255" w:lineRule="auto"/>
        <w:rPr>
          <w:sz w:val="20"/>
          <w:szCs w:val="20"/>
          <w:color w:val="auto"/>
        </w:rPr>
      </w:pPr>
      <w:r>
        <w:rPr>
          <w:rFonts w:ascii="Times New Roman" w:cs="Times New Roman" w:eastAsia="Times New Roman" w:hAnsi="Times New Roman"/>
          <w:sz w:val="18"/>
          <w:szCs w:val="18"/>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39" w:lineRule="exact"/>
        <w:rPr>
          <w:sz w:val="20"/>
          <w:szCs w:val="20"/>
          <w:color w:val="auto"/>
        </w:rPr>
      </w:pPr>
    </w:p>
    <w:p>
      <w:pPr>
        <w:ind w:left="466"/>
        <w:spacing w:after="0" w:line="275" w:lineRule="auto"/>
        <w:rPr>
          <w:sz w:val="20"/>
          <w:szCs w:val="20"/>
          <w:color w:val="auto"/>
        </w:rPr>
      </w:pPr>
      <w:r>
        <w:rPr>
          <w:rFonts w:ascii="Times New Roman" w:cs="Times New Roman" w:eastAsia="Times New Roman" w:hAnsi="Times New Roman"/>
          <w:sz w:val="18"/>
          <w:szCs w:val="18"/>
          <w:color w:val="auto"/>
        </w:rPr>
        <w:t>It is intended that the claims procedures of this Plan be administered in accordance with the claims procedure regulations of the Department of Labor set forth in 29 CFR § 2560.503-1.</w:t>
      </w:r>
    </w:p>
    <w:p>
      <w:pPr>
        <w:spacing w:after="0" w:line="120" w:lineRule="exact"/>
        <w:rPr>
          <w:sz w:val="20"/>
          <w:szCs w:val="20"/>
          <w:color w:val="auto"/>
        </w:rPr>
      </w:pPr>
    </w:p>
    <w:p>
      <w:pPr>
        <w:ind w:left="466"/>
        <w:spacing w:after="0"/>
        <w:rPr>
          <w:sz w:val="20"/>
          <w:szCs w:val="20"/>
          <w:color w:val="auto"/>
        </w:rPr>
      </w:pPr>
      <w:r>
        <w:rPr>
          <w:rFonts w:ascii="Times New Roman" w:cs="Times New Roman" w:eastAsia="Times New Roman" w:hAnsi="Times New Roman"/>
          <w:sz w:val="18"/>
          <w:szCs w:val="18"/>
          <w:color w:val="auto"/>
        </w:rPr>
        <w:t>Claims for benefits under the Plan must be filed with the Committee at the following address:</w:t>
      </w:r>
    </w:p>
    <w:p>
      <w:pPr>
        <w:spacing w:after="0" w:line="171" w:lineRule="exact"/>
        <w:rPr>
          <w:sz w:val="20"/>
          <w:szCs w:val="20"/>
          <w:color w:val="auto"/>
        </w:rPr>
      </w:pPr>
    </w:p>
    <w:p>
      <w:pPr>
        <w:ind w:left="1046"/>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1" w:lineRule="exact"/>
        <w:rPr>
          <w:sz w:val="20"/>
          <w:szCs w:val="20"/>
          <w:color w:val="auto"/>
        </w:rPr>
      </w:pPr>
    </w:p>
    <w:p>
      <w:pPr>
        <w:ind w:left="1046"/>
        <w:spacing w:after="0"/>
        <w:rPr>
          <w:sz w:val="20"/>
          <w:szCs w:val="20"/>
          <w:color w:val="auto"/>
        </w:rPr>
      </w:pPr>
      <w:r>
        <w:rPr>
          <w:rFonts w:ascii="Times New Roman" w:cs="Times New Roman" w:eastAsia="Times New Roman" w:hAnsi="Times New Roman"/>
          <w:sz w:val="18"/>
          <w:szCs w:val="18"/>
          <w:color w:val="auto"/>
        </w:rPr>
        <w:t>1500 Market Street</w:t>
      </w:r>
    </w:p>
    <w:p>
      <w:pPr>
        <w:spacing w:after="0" w:line="9" w:lineRule="exact"/>
        <w:rPr>
          <w:sz w:val="20"/>
          <w:szCs w:val="20"/>
          <w:color w:val="auto"/>
        </w:rPr>
      </w:pPr>
    </w:p>
    <w:p>
      <w:pPr>
        <w:ind w:left="1046"/>
        <w:spacing w:after="0"/>
        <w:rPr>
          <w:sz w:val="20"/>
          <w:szCs w:val="20"/>
          <w:color w:val="auto"/>
        </w:rPr>
      </w:pPr>
      <w:r>
        <w:rPr>
          <w:rFonts w:ascii="Times New Roman" w:cs="Times New Roman" w:eastAsia="Times New Roman" w:hAnsi="Times New Roman"/>
          <w:sz w:val="18"/>
          <w:szCs w:val="18"/>
          <w:color w:val="auto"/>
        </w:rPr>
        <w:t>Philadelphia, PA 19102</w:t>
      </w:r>
    </w:p>
    <w:p>
      <w:pPr>
        <w:spacing w:after="0" w:line="9" w:lineRule="exact"/>
        <w:rPr>
          <w:sz w:val="20"/>
          <w:szCs w:val="20"/>
          <w:color w:val="auto"/>
        </w:rPr>
      </w:pPr>
    </w:p>
    <w:p>
      <w:pPr>
        <w:ind w:left="1046"/>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97" w:lineRule="exact"/>
        <w:rPr>
          <w:sz w:val="20"/>
          <w:szCs w:val="20"/>
          <w:color w:val="auto"/>
        </w:rPr>
      </w:pPr>
    </w:p>
    <w:p>
      <w:pPr>
        <w:ind w:left="446" w:hanging="446"/>
        <w:spacing w:after="0"/>
        <w:tabs>
          <w:tab w:leader="none" w:pos="446"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w:t>
      </w:r>
    </w:p>
    <w:p>
      <w:pPr>
        <w:spacing w:after="0" w:line="173" w:lineRule="exact"/>
        <w:rPr>
          <w:sz w:val="20"/>
          <w:szCs w:val="20"/>
          <w:color w:val="auto"/>
        </w:rPr>
      </w:pPr>
    </w:p>
    <w:p>
      <w:pPr>
        <w:ind w:left="466" w:right="200"/>
        <w:spacing w:after="0" w:line="262" w:lineRule="auto"/>
        <w:rPr>
          <w:sz w:val="20"/>
          <w:szCs w:val="20"/>
          <w:color w:val="auto"/>
        </w:rPr>
      </w:pPr>
      <w:r>
        <w:rPr>
          <w:rFonts w:ascii="Times New Roman" w:cs="Times New Roman" w:eastAsia="Times New Roman" w:hAnsi="Times New Roman"/>
          <w:sz w:val="18"/>
          <w:szCs w:val="18"/>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w:t>
      </w:r>
    </w:p>
    <w:p>
      <w:pPr>
        <w:spacing w:after="0" w:line="119"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6"/>
          </w:cols>
          <w:pgMar w:left="694" w:top="274" w:right="259" w:bottom="1440" w:gutter="0" w:footer="0" w:header="0"/>
        </w:sectPr>
      </w:pPr>
    </w:p>
    <w:bookmarkStart w:id="89" w:name="page90"/>
    <w:bookmarkEnd w:id="89"/>
    <w:p>
      <w:pPr>
        <w:ind w:left="466" w:right="20"/>
        <w:spacing w:after="0" w:line="29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52" w:lineRule="exact"/>
        <w:rPr>
          <w:sz w:val="20"/>
          <w:szCs w:val="20"/>
          <w:color w:val="auto"/>
        </w:rPr>
      </w:pPr>
    </w:p>
    <w:p>
      <w:pPr>
        <w:ind w:left="446" w:hanging="446"/>
        <w:spacing w:after="0"/>
        <w:tabs>
          <w:tab w:leader="none" w:pos="446"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Termination</w:t>
      </w:r>
    </w:p>
    <w:p>
      <w:pPr>
        <w:spacing w:after="0" w:line="173" w:lineRule="exact"/>
        <w:rPr>
          <w:sz w:val="20"/>
          <w:szCs w:val="20"/>
          <w:color w:val="auto"/>
        </w:rPr>
      </w:pPr>
    </w:p>
    <w:p>
      <w:pPr>
        <w:ind w:left="466" w:right="360"/>
        <w:spacing w:after="0" w:line="275" w:lineRule="auto"/>
        <w:rPr>
          <w:sz w:val="20"/>
          <w:szCs w:val="20"/>
          <w:color w:val="auto"/>
        </w:rPr>
      </w:pPr>
      <w:r>
        <w:rPr>
          <w:rFonts w:ascii="Times New Roman" w:cs="Times New Roman" w:eastAsia="Times New Roman" w:hAnsi="Times New Roman"/>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58" w:lineRule="exact"/>
        <w:rPr>
          <w:sz w:val="20"/>
          <w:szCs w:val="20"/>
          <w:color w:val="auto"/>
        </w:rPr>
      </w:pPr>
    </w:p>
    <w:p>
      <w:pPr>
        <w:ind w:left="446" w:hanging="446"/>
        <w:spacing w:after="0"/>
        <w:tabs>
          <w:tab w:leader="none" w:pos="446"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w:t>
      </w:r>
    </w:p>
    <w:p>
      <w:pPr>
        <w:spacing w:after="0" w:line="173" w:lineRule="exact"/>
        <w:rPr>
          <w:sz w:val="20"/>
          <w:szCs w:val="20"/>
          <w:color w:val="auto"/>
        </w:rPr>
      </w:pPr>
    </w:p>
    <w:p>
      <w:pPr>
        <w:ind w:left="466"/>
        <w:spacing w:after="0"/>
        <w:rPr>
          <w:sz w:val="20"/>
          <w:szCs w:val="20"/>
          <w:color w:val="auto"/>
        </w:rPr>
      </w:pPr>
      <w:r>
        <w:rPr>
          <w:rFonts w:ascii="Times New Roman" w:cs="Times New Roman" w:eastAsia="Times New Roman" w:hAnsi="Times New Roman"/>
          <w:sz w:val="18"/>
          <w:szCs w:val="18"/>
          <w:color w:val="auto"/>
        </w:rPr>
        <w:t>The effective date of this amendment and restatement of the Plan is February 28, 2007.</w:t>
      </w:r>
    </w:p>
    <w:p>
      <w:pPr>
        <w:spacing w:after="0" w:line="210" w:lineRule="exact"/>
        <w:rPr>
          <w:sz w:val="20"/>
          <w:szCs w:val="20"/>
          <w:color w:val="auto"/>
        </w:rPr>
      </w:pPr>
    </w:p>
    <w:p>
      <w:pPr>
        <w:ind w:left="446" w:hanging="446"/>
        <w:spacing w:after="0"/>
        <w:tabs>
          <w:tab w:leader="none" w:pos="446"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73" w:lineRule="exact"/>
        <w:rPr>
          <w:sz w:val="20"/>
          <w:szCs w:val="20"/>
          <w:color w:val="auto"/>
        </w:rPr>
      </w:pPr>
    </w:p>
    <w:p>
      <w:pPr>
        <w:ind w:left="466"/>
        <w:spacing w:after="0"/>
        <w:rPr>
          <w:sz w:val="20"/>
          <w:szCs w:val="20"/>
          <w:color w:val="auto"/>
        </w:rPr>
      </w:pPr>
      <w:r>
        <w:rPr>
          <w:rFonts w:ascii="Times New Roman" w:cs="Times New Roman" w:eastAsia="Times New Roman" w:hAnsi="Times New Roman"/>
          <w:sz w:val="18"/>
          <w:szCs w:val="18"/>
          <w:color w:val="auto"/>
        </w:rPr>
        <w:t>The Plan and all determinations made and actions taken pursuant to the Plan shall be governed in accordance with Pennsylvania law.</w:t>
      </w:r>
    </w:p>
    <w:p>
      <w:pPr>
        <w:spacing w:after="0" w:line="171" w:lineRule="exact"/>
        <w:rPr>
          <w:sz w:val="20"/>
          <w:szCs w:val="20"/>
          <w:color w:val="auto"/>
        </w:rPr>
      </w:pPr>
    </w:p>
    <w:p>
      <w:pPr>
        <w:ind w:left="466"/>
        <w:spacing w:after="0"/>
        <w:rPr>
          <w:sz w:val="20"/>
          <w:szCs w:val="20"/>
          <w:color w:val="auto"/>
        </w:rPr>
      </w:pPr>
      <w:r>
        <w:rPr>
          <w:rFonts w:ascii="Times New Roman" w:cs="Times New Roman" w:eastAsia="Times New Roman" w:hAnsi="Times New Roman"/>
          <w:sz w:val="18"/>
          <w:szCs w:val="18"/>
          <w:color w:val="auto"/>
        </w:rPr>
        <w:t>Executed as of the 28th day of February, 2007.</w:t>
      </w:r>
    </w:p>
    <w:p>
      <w:pPr>
        <w:spacing w:after="0" w:line="210" w:lineRule="exact"/>
        <w:rPr>
          <w:sz w:val="20"/>
          <w:szCs w:val="20"/>
          <w:color w:val="auto"/>
        </w:rPr>
      </w:pPr>
    </w:p>
    <w:p>
      <w:pPr>
        <w:ind w:left="6406"/>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7" w:lineRule="exact"/>
        <w:rPr>
          <w:sz w:val="20"/>
          <w:szCs w:val="20"/>
          <w:color w:val="auto"/>
        </w:rPr>
      </w:pPr>
    </w:p>
    <w:tbl>
      <w:tblPr>
        <w:tblLayout w:type="fixed"/>
        <w:tblInd w:w="6406" w:type="dxa"/>
        <w:tblCellMar>
          <w:top w:w="0" w:type="dxa"/>
          <w:left w:w="0" w:type="dxa"/>
          <w:bottom w:w="0" w:type="dxa"/>
          <w:right w:w="0" w:type="dxa"/>
        </w:tblCellMar>
      </w:tblP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L. COHEN</w:t>
            </w:r>
          </w:p>
        </w:tc>
      </w:tr>
      <w:tr>
        <w:trPr>
          <w:trHeight w:val="223"/>
        </w:trPr>
        <w:tc>
          <w:tcPr>
            <w:tcW w:w="820" w:type="dxa"/>
            <w:vAlign w:val="bottom"/>
          </w:tcPr>
          <w:p>
            <w:pPr>
              <w:spacing w:after="0"/>
              <w:rPr>
                <w:sz w:val="19"/>
                <w:szCs w:val="19"/>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 David L. Cohen</w:t>
            </w:r>
          </w:p>
        </w:tc>
      </w:tr>
      <w:tr>
        <w:trPr>
          <w:trHeight w:val="4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ATTEST:</w:t>
            </w:r>
          </w:p>
        </w:tc>
        <w:tc>
          <w:tcPr>
            <w:tcW w:w="3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ARTHUR R. BLOCK</w:t>
            </w:r>
          </w:p>
        </w:tc>
      </w:tr>
      <w:tr>
        <w:trPr>
          <w:trHeight w:val="223"/>
        </w:trPr>
        <w:tc>
          <w:tcPr>
            <w:tcW w:w="820" w:type="dxa"/>
            <w:vAlign w:val="bottom"/>
          </w:tcPr>
          <w:p>
            <w:pPr>
              <w:spacing w:after="0"/>
              <w:rPr>
                <w:sz w:val="19"/>
                <w:szCs w:val="19"/>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 Arthur R. Block</w:t>
            </w:r>
          </w:p>
        </w:tc>
      </w:tr>
    </w:tbl>
    <w:p>
      <w:pPr>
        <w:spacing w:after="0" w:line="122"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6"/>
          </w:cols>
          <w:pgMar w:left="694" w:top="274"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2006 CASH BONUS PLAN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Effective February 28, 2007)</w:t>
      </w:r>
    </w:p>
    <w:p>
      <w:pPr>
        <w:spacing w:after="0" w:line="289" w:lineRule="exact"/>
        <w:rPr>
          <w:sz w:val="20"/>
          <w:szCs w:val="20"/>
          <w:color w:val="auto"/>
        </w:rPr>
      </w:pPr>
    </w:p>
    <w:p>
      <w:pPr>
        <w:ind w:left="1480" w:hanging="567"/>
        <w:spacing w:after="0"/>
        <w:tabs>
          <w:tab w:leader="none" w:pos="14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AND PURPOSE</w:t>
      </w:r>
    </w:p>
    <w:p>
      <w:pPr>
        <w:spacing w:after="0" w:line="92" w:lineRule="exact"/>
        <w:rPr>
          <w:sz w:val="20"/>
          <w:szCs w:val="20"/>
          <w:color w:val="auto"/>
        </w:rPr>
      </w:pPr>
    </w:p>
    <w:p>
      <w:pPr>
        <w:ind w:right="80" w:firstLine="913"/>
        <w:spacing w:after="0" w:line="296" w:lineRule="auto"/>
        <w:rPr>
          <w:sz w:val="20"/>
          <w:szCs w:val="20"/>
          <w:color w:val="auto"/>
        </w:rPr>
      </w:pPr>
      <w:r>
        <w:rPr>
          <w:rFonts w:ascii="Times New Roman" w:cs="Times New Roman" w:eastAsia="Times New Roman" w:hAnsi="Times New Roman"/>
          <w:sz w:val="16"/>
          <w:szCs w:val="16"/>
          <w:color w:val="auto"/>
        </w:rPr>
        <w:t>Comcast Corporation, a Pennsylvania corporation, hereby amends and restates the Comcast Corporation 2006 Cash Bonus Plan (the “Plan”), effective as of February 28, 2007. The Plan was originally adopted effective January 1, 2006, as the successor to the Comcast Corporation 2002 Executive Cash Bonus Plan (the “Executive Plan”), the Comcast Corporation 2002 Supplemental Cash Bonus Plan (the “Supplemental Plan”) and the Comcast Corporation 2004 Management Achievement Plan (the “MAP”). The purpose of the Plan is to provide management employees of Comcast Corporation (the “Company”) and the Company’s Affiliates (as defined below) with an incentive to accomplish such business objectives as from time to time may be determined by the Committee.</w:t>
      </w:r>
    </w:p>
    <w:p>
      <w:pPr>
        <w:spacing w:after="0" w:line="227" w:lineRule="exact"/>
        <w:rPr>
          <w:sz w:val="20"/>
          <w:szCs w:val="20"/>
          <w:color w:val="auto"/>
        </w:rPr>
      </w:pPr>
    </w:p>
    <w:p>
      <w:pPr>
        <w:ind w:left="1480" w:hanging="567"/>
        <w:spacing w:after="0"/>
        <w:tabs>
          <w:tab w:leader="none" w:pos="148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92" w:lineRule="exact"/>
        <w:rPr>
          <w:rFonts w:ascii="Times New Roman" w:cs="Times New Roman" w:eastAsia="Times New Roman" w:hAnsi="Times New Roman"/>
          <w:sz w:val="18"/>
          <w:szCs w:val="18"/>
          <w:b w:val="1"/>
          <w:bCs w:val="1"/>
          <w:color w:val="auto"/>
        </w:rPr>
      </w:pPr>
    </w:p>
    <w:p>
      <w:pPr>
        <w:ind w:right="80" w:firstLine="921"/>
        <w:spacing w:after="0" w:line="258" w:lineRule="auto"/>
        <w:tabs>
          <w:tab w:leader="none" w:pos="128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36" w:lineRule="exact"/>
        <w:rPr>
          <w:rFonts w:ascii="Times New Roman" w:cs="Times New Roman" w:eastAsia="Times New Roman" w:hAnsi="Times New Roman"/>
          <w:sz w:val="18"/>
          <w:szCs w:val="18"/>
          <w:color w:val="auto"/>
        </w:rPr>
      </w:pPr>
    </w:p>
    <w:p>
      <w:pPr>
        <w:ind w:right="140" w:firstLine="921"/>
        <w:spacing w:after="0" w:line="262" w:lineRule="auto"/>
        <w:tabs>
          <w:tab w:leader="none" w:pos="129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 cash bonus award granted under the Plan. An Award shall be expressed as the percentage of a Grantee’s base salary payable for a Plan Year that shall become payable if the Targets established by the Committee are satisfied. The portion of an Award that shall be payable to a Grantee shall be determined by the Committee in accordance with the rules established for the Award for each Plan Year.</w:t>
      </w:r>
    </w:p>
    <w:p>
      <w:pPr>
        <w:spacing w:after="0" w:line="132" w:lineRule="exact"/>
        <w:rPr>
          <w:rFonts w:ascii="Times New Roman" w:cs="Times New Roman" w:eastAsia="Times New Roman" w:hAnsi="Times New Roman"/>
          <w:sz w:val="18"/>
          <w:szCs w:val="18"/>
          <w:color w:val="auto"/>
        </w:rPr>
      </w:pPr>
    </w:p>
    <w:p>
      <w:pPr>
        <w:ind w:left="1300" w:hanging="379"/>
        <w:spacing w:after="0"/>
        <w:tabs>
          <w:tab w:leader="none" w:pos="13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71" w:lineRule="exact"/>
        <w:rPr>
          <w:rFonts w:ascii="Times New Roman" w:cs="Times New Roman" w:eastAsia="Times New Roman" w:hAnsi="Times New Roman"/>
          <w:sz w:val="18"/>
          <w:szCs w:val="18"/>
          <w:color w:val="auto"/>
        </w:rPr>
      </w:pPr>
    </w:p>
    <w:p>
      <w:pPr>
        <w:ind w:right="80" w:firstLine="921"/>
        <w:spacing w:after="0" w:line="258" w:lineRule="auto"/>
        <w:tabs>
          <w:tab w:leader="none" w:pos="129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ectPr>
          <w:pgSz w:w="11900" w:h="16838" w:orient="portrait"/>
          <w:cols w:equalWidth="0" w:num="1">
            <w:col w:w="11420"/>
          </w:cols>
          <w:pgMar w:left="240" w:top="123" w:right="239" w:bottom="1440" w:gutter="0" w:footer="0" w:header="0"/>
        </w:sectPr>
      </w:pPr>
    </w:p>
    <w:bookmarkStart w:id="91" w:name="page92"/>
    <w:bookmarkEnd w:id="91"/>
    <w:p>
      <w:pPr>
        <w:ind w:left="1860" w:hanging="368"/>
        <w:spacing w:after="0"/>
        <w:tabs>
          <w:tab w:leader="none" w:pos="18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such other committee of the Board assigned by the Board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administer the Plan.</w:t>
      </w:r>
    </w:p>
    <w:p>
      <w:pPr>
        <w:spacing w:after="0" w:line="159" w:lineRule="exact"/>
        <w:rPr>
          <w:sz w:val="20"/>
          <w:szCs w:val="20"/>
          <w:color w:val="auto"/>
        </w:rPr>
      </w:pPr>
    </w:p>
    <w:p>
      <w:pPr>
        <w:ind w:right="560" w:firstLine="1492"/>
        <w:spacing w:after="0" w:line="275" w:lineRule="auto"/>
        <w:tabs>
          <w:tab w:leader="none" w:pos="183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Comcast Corporation, a Pennsylvania corporation, including any successor thereto by merger, consolidation, acquisition of all or substantially all the assets thereof, or otherwise.</w:t>
      </w:r>
    </w:p>
    <w:p>
      <w:pPr>
        <w:spacing w:after="0" w:line="119"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means the date on which an Award is granted.</w:t>
      </w:r>
    </w:p>
    <w:p>
      <w:pPr>
        <w:spacing w:after="0" w:line="171"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means an employee of the Company or an Affiliate, as determined by the Committee.</w:t>
      </w:r>
    </w:p>
    <w:p>
      <w:pPr>
        <w:spacing w:after="0" w:line="171" w:lineRule="exact"/>
        <w:rPr>
          <w:rFonts w:ascii="Times New Roman" w:cs="Times New Roman" w:eastAsia="Times New Roman" w:hAnsi="Times New Roman"/>
          <w:sz w:val="18"/>
          <w:szCs w:val="18"/>
          <w:color w:val="auto"/>
        </w:rPr>
      </w:pPr>
    </w:p>
    <w:p>
      <w:pPr>
        <w:ind w:left="1840" w:hanging="348"/>
        <w:spacing w:after="0"/>
        <w:tabs>
          <w:tab w:leader="none" w:pos="18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means an Eligible Employee who is granted an Award.</w:t>
      </w:r>
    </w:p>
    <w:p>
      <w:pPr>
        <w:spacing w:after="0" w:line="171" w:lineRule="exact"/>
        <w:rPr>
          <w:rFonts w:ascii="Times New Roman" w:cs="Times New Roman" w:eastAsia="Times New Roman" w:hAnsi="Times New Roman"/>
          <w:sz w:val="18"/>
          <w:szCs w:val="18"/>
          <w:color w:val="auto"/>
        </w:rPr>
      </w:pPr>
    </w:p>
    <w:p>
      <w:pPr>
        <w:ind w:left="1840" w:hanging="348"/>
        <w:spacing w:after="0"/>
        <w:tabs>
          <w:tab w:leader="none" w:pos="18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an association, a trust or any other entity or organization.</w:t>
      </w:r>
    </w:p>
    <w:p>
      <w:pPr>
        <w:spacing w:after="0" w:line="171"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the Comcast Corporation 2006 Cash Bonus Plan as set forth herein, and as amended from time to time.</w:t>
      </w:r>
    </w:p>
    <w:p>
      <w:pPr>
        <w:spacing w:after="0" w:line="171" w:lineRule="exact"/>
        <w:rPr>
          <w:rFonts w:ascii="Times New Roman" w:cs="Times New Roman" w:eastAsia="Times New Roman" w:hAnsi="Times New Roman"/>
          <w:sz w:val="18"/>
          <w:szCs w:val="18"/>
          <w:color w:val="auto"/>
        </w:rPr>
      </w:pPr>
    </w:p>
    <w:p>
      <w:pPr>
        <w:ind w:left="1840" w:hanging="348"/>
        <w:spacing w:after="0"/>
        <w:tabs>
          <w:tab w:leader="none" w:pos="18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Year</w:t>
      </w:r>
      <w:r>
        <w:rPr>
          <w:rFonts w:ascii="Times New Roman" w:cs="Times New Roman" w:eastAsia="Times New Roman" w:hAnsi="Times New Roman"/>
          <w:sz w:val="18"/>
          <w:szCs w:val="18"/>
          <w:color w:val="auto"/>
        </w:rPr>
        <w:t>” means the calendar year.</w:t>
      </w:r>
    </w:p>
    <w:p>
      <w:pPr>
        <w:spacing w:after="0" w:line="171" w:lineRule="exact"/>
        <w:rPr>
          <w:rFonts w:ascii="Times New Roman" w:cs="Times New Roman" w:eastAsia="Times New Roman" w:hAnsi="Times New Roman"/>
          <w:sz w:val="18"/>
          <w:szCs w:val="18"/>
          <w:color w:val="auto"/>
        </w:rPr>
      </w:pPr>
    </w:p>
    <w:p>
      <w:pPr>
        <w:jc w:val="both"/>
        <w:ind w:right="100" w:firstLine="1492"/>
        <w:spacing w:after="0" w:line="262" w:lineRule="auto"/>
        <w:tabs>
          <w:tab w:leader="none" w:pos="191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Qualitative Performance Standards</w:t>
      </w:r>
      <w:r>
        <w:rPr>
          <w:rFonts w:ascii="Times New Roman" w:cs="Times New Roman" w:eastAsia="Times New Roman" w:hAnsi="Times New Roman"/>
          <w:sz w:val="18"/>
          <w:szCs w:val="18"/>
          <w:color w:val="auto"/>
        </w:rPr>
        <w:t>” means performance standards other than Quantitative Performance Standards, including but not limited to customer service, management effectiveness, workforce diversity and other Qualitative Performance Standards relevant to the Company’s business, as may be established by the Committee, and the achievement of which shall be determined in the discretion of the Committee.</w:t>
      </w:r>
    </w:p>
    <w:p>
      <w:pPr>
        <w:spacing w:after="0" w:line="132" w:lineRule="exact"/>
        <w:rPr>
          <w:rFonts w:ascii="Times New Roman" w:cs="Times New Roman" w:eastAsia="Times New Roman" w:hAnsi="Times New Roman"/>
          <w:sz w:val="18"/>
          <w:szCs w:val="18"/>
          <w:color w:val="auto"/>
        </w:rPr>
      </w:pPr>
    </w:p>
    <w:p>
      <w:pPr>
        <w:ind w:right="180" w:firstLine="1492"/>
        <w:spacing w:after="0" w:line="262" w:lineRule="auto"/>
        <w:tabs>
          <w:tab w:leader="none" w:pos="186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Quantitative Performance Standards</w:t>
      </w:r>
      <w:r>
        <w:rPr>
          <w:rFonts w:ascii="Times New Roman" w:cs="Times New Roman" w:eastAsia="Times New Roman" w:hAnsi="Times New Roman"/>
          <w:sz w:val="18"/>
          <w:szCs w:val="18"/>
          <w:color w:val="auto"/>
        </w:rPr>
        <w:t>” means performance standards such as income, expense, operating cash flow, capital spending, numbers of customers of or subscribers for various services and products offered by the Company or a division, customer service measurements and other objective financial or service-based standards relevant to the Company’s business as may be established by the Committee.</w:t>
      </w:r>
    </w:p>
    <w:p>
      <w:pPr>
        <w:spacing w:after="0" w:line="132"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Section 16(b) Officer</w:t>
      </w:r>
      <w:r>
        <w:rPr>
          <w:rFonts w:ascii="Times New Roman" w:cs="Times New Roman" w:eastAsia="Times New Roman" w:hAnsi="Times New Roman"/>
          <w:sz w:val="16"/>
          <w:szCs w:val="16"/>
          <w:color w:val="auto"/>
        </w:rPr>
        <w:t>” means an officer of the Company who is subject to the short-swing profit recapture rules of section 16(b) of the</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1934 Act,</w:t>
      </w:r>
    </w:p>
    <w:p>
      <w:pPr>
        <w:spacing w:after="0" w:line="158" w:lineRule="exact"/>
        <w:rPr>
          <w:rFonts w:ascii="Times New Roman" w:cs="Times New Roman" w:eastAsia="Times New Roman" w:hAnsi="Times New Roman"/>
          <w:sz w:val="16"/>
          <w:szCs w:val="16"/>
          <w:color w:val="auto"/>
        </w:rPr>
      </w:pPr>
    </w:p>
    <w:p>
      <w:pPr>
        <w:ind w:right="140" w:firstLine="1492"/>
        <w:spacing w:after="0" w:line="262" w:lineRule="auto"/>
        <w:tabs>
          <w:tab w:leader="none" w:pos="186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means, for any Plan Year, the Qualitative Performance Standards and the Quantitative Performance Standards established by the Committee, in its discretion. Qualitative Performance Standards, Quantitative Performance Standards and the weighting of such Standards may differ from Plan Year to Plan Year, and within a Plan Year, may differ among Grantees or classes of Grantees.</w:t>
      </w:r>
    </w:p>
    <w:p>
      <w:pPr>
        <w:spacing w:after="0" w:line="132"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Terminating Event</w:t>
      </w:r>
      <w:r>
        <w:rPr>
          <w:rFonts w:ascii="Times New Roman" w:cs="Times New Roman" w:eastAsia="Times New Roman" w:hAnsi="Times New Roman"/>
          <w:sz w:val="18"/>
          <w:szCs w:val="18"/>
          <w:color w:val="auto"/>
        </w:rPr>
        <w:t>” means any of the following events:</w:t>
      </w:r>
    </w:p>
    <w:p>
      <w:pPr>
        <w:spacing w:after="0" w:line="171" w:lineRule="exact"/>
        <w:rPr>
          <w:rFonts w:ascii="Times New Roman" w:cs="Times New Roman" w:eastAsia="Times New Roman" w:hAnsi="Times New Roman"/>
          <w:sz w:val="18"/>
          <w:szCs w:val="18"/>
          <w:color w:val="auto"/>
        </w:rPr>
      </w:pPr>
    </w:p>
    <w:p>
      <w:pPr>
        <w:ind w:left="2280" w:hanging="332"/>
        <w:spacing w:after="0"/>
        <w:tabs>
          <w:tab w:leader="none" w:pos="22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Company; or</w:t>
      </w:r>
    </w:p>
    <w:p>
      <w:pPr>
        <w:spacing w:after="0" w:line="171" w:lineRule="exact"/>
        <w:rPr>
          <w:rFonts w:ascii="Times New Roman" w:cs="Times New Roman" w:eastAsia="Times New Roman" w:hAnsi="Times New Roman"/>
          <w:sz w:val="18"/>
          <w:szCs w:val="18"/>
          <w:color w:val="auto"/>
        </w:rPr>
      </w:pPr>
    </w:p>
    <w:p>
      <w:pPr>
        <w:ind w:left="2340" w:hanging="392"/>
        <w:spacing w:after="0"/>
        <w:tabs>
          <w:tab w:leader="none" w:pos="23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4" w:right="259" w:bottom="1440" w:gutter="0" w:footer="0" w:header="0"/>
        </w:sectPr>
      </w:pPr>
    </w:p>
    <w:bookmarkStart w:id="92" w:name="page93"/>
    <w:bookmarkEnd w:id="92"/>
    <w:p>
      <w:pPr>
        <w:ind w:right="440" w:firstLine="1492"/>
        <w:spacing w:after="0" w:line="275" w:lineRule="auto"/>
        <w:tabs>
          <w:tab w:leader="none" w:pos="183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together with such Person’s Affiliates, provided that the term “Third Party” shall not include the Company or an Affiliate of the Company.</w:t>
      </w:r>
    </w:p>
    <w:p>
      <w:pPr>
        <w:spacing w:after="0" w:line="239"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PLAN</w:t>
      </w:r>
    </w:p>
    <w:p>
      <w:pPr>
        <w:spacing w:after="0" w:line="92" w:lineRule="exact"/>
        <w:rPr>
          <w:rFonts w:ascii="Times New Roman" w:cs="Times New Roman" w:eastAsia="Times New Roman" w:hAnsi="Times New Roman"/>
          <w:sz w:val="18"/>
          <w:szCs w:val="18"/>
          <w:b w:val="1"/>
          <w:bCs w:val="1"/>
          <w:color w:val="auto"/>
        </w:rPr>
      </w:pPr>
    </w:p>
    <w:p>
      <w:pPr>
        <w:ind w:firstLine="1492"/>
        <w:spacing w:after="0" w:line="262" w:lineRule="auto"/>
        <w:tabs>
          <w:tab w:leader="none" w:pos="185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shall be administered by the Committee.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32" w:lineRule="exact"/>
        <w:rPr>
          <w:rFonts w:ascii="Times New Roman" w:cs="Times New Roman" w:eastAsia="Times New Roman" w:hAnsi="Times New Roman"/>
          <w:sz w:val="18"/>
          <w:szCs w:val="18"/>
          <w:color w:val="auto"/>
        </w:rPr>
      </w:pPr>
    </w:p>
    <w:p>
      <w:pPr>
        <w:ind w:right="120" w:firstLine="1948"/>
        <w:spacing w:after="0" w:line="275" w:lineRule="auto"/>
        <w:tabs>
          <w:tab w:leader="none" w:pos="2281"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rules and regulations for the management, operation and administration of the Plan, and, from time to time, to amend or supplement such rules and regulations;</w:t>
      </w:r>
    </w:p>
    <w:p>
      <w:pPr>
        <w:spacing w:after="0" w:line="119" w:lineRule="exact"/>
        <w:rPr>
          <w:rFonts w:ascii="Times New Roman" w:cs="Times New Roman" w:eastAsia="Times New Roman" w:hAnsi="Times New Roman"/>
          <w:sz w:val="18"/>
          <w:szCs w:val="18"/>
          <w:color w:val="auto"/>
        </w:rPr>
      </w:pPr>
    </w:p>
    <w:p>
      <w:pPr>
        <w:ind w:left="2340" w:hanging="392"/>
        <w:spacing w:after="0"/>
        <w:tabs>
          <w:tab w:leader="none" w:pos="234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the Plan, which construction, as long as made in good faith, shall be final and conclusive upon all parties hereto;</w:t>
      </w:r>
    </w:p>
    <w:p>
      <w:pPr>
        <w:spacing w:after="0" w:line="171" w:lineRule="exact"/>
        <w:rPr>
          <w:rFonts w:ascii="Times New Roman" w:cs="Times New Roman" w:eastAsia="Times New Roman" w:hAnsi="Times New Roman"/>
          <w:sz w:val="18"/>
          <w:szCs w:val="18"/>
          <w:color w:val="auto"/>
        </w:rPr>
      </w:pPr>
    </w:p>
    <w:p>
      <w:pPr>
        <w:ind w:right="80" w:firstLine="1948"/>
        <w:spacing w:after="0" w:line="275" w:lineRule="auto"/>
        <w:tabs>
          <w:tab w:leader="none" w:pos="2379"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or reconcile any inconsistency in the Plan in such manner and to such extent as it shall deem expedient to carry the same into effect, and it shall be the sole and final judge of when such action shall be appropriate; and</w:t>
      </w:r>
    </w:p>
    <w:p>
      <w:pPr>
        <w:spacing w:after="0" w:line="119" w:lineRule="exact"/>
        <w:rPr>
          <w:rFonts w:ascii="Times New Roman" w:cs="Times New Roman" w:eastAsia="Times New Roman" w:hAnsi="Times New Roman"/>
          <w:sz w:val="18"/>
          <w:szCs w:val="18"/>
          <w:color w:val="auto"/>
        </w:rPr>
      </w:pPr>
    </w:p>
    <w:p>
      <w:pPr>
        <w:ind w:left="2380" w:hanging="432"/>
        <w:spacing w:after="0"/>
        <w:tabs>
          <w:tab w:leader="none" w:pos="238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the conditions to the payment of a cash bonus pursuant to an Award have been satisfied.</w:t>
      </w:r>
    </w:p>
    <w:p>
      <w:pPr>
        <w:spacing w:after="0" w:line="171"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resolution of any questions with respect to payments and entitlements pursuant to the provisions of the Plan shall be determined by the Committee, and all such determinations shall be final and conclusive.</w:t>
      </w:r>
    </w:p>
    <w:p>
      <w:pPr>
        <w:spacing w:after="0" w:line="120" w:lineRule="exact"/>
        <w:rPr>
          <w:sz w:val="20"/>
          <w:szCs w:val="20"/>
          <w:color w:val="auto"/>
        </w:rPr>
      </w:pPr>
    </w:p>
    <w:p>
      <w:pPr>
        <w:ind w:right="360" w:firstLine="1492"/>
        <w:spacing w:after="0" w:line="262" w:lineRule="auto"/>
        <w:tabs>
          <w:tab w:leader="none" w:pos="186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w:t>
      </w:r>
      <w:r>
        <w:rPr>
          <w:rFonts w:ascii="Times New Roman" w:cs="Times New Roman" w:eastAsia="Times New Roman" w:hAnsi="Times New Roman"/>
          <w:sz w:val="18"/>
          <w:szCs w:val="18"/>
          <w:color w:val="auto"/>
        </w:rPr>
        <w:t>. Subject to the express terms and conditions set forth in the Plan, the Committee shall have the power, from time to time, to select those Eligible Employees to whom Awards shall be granted under the Plan, to determine the amount of cash to be paid pursuant to each Award, and, pursuant to the provisions of the Plan, to determine the terms and conditions of each Award.</w:t>
      </w:r>
    </w:p>
    <w:p>
      <w:pPr>
        <w:spacing w:after="0" w:line="132" w:lineRule="exact"/>
        <w:rPr>
          <w:rFonts w:ascii="Times New Roman" w:cs="Times New Roman" w:eastAsia="Times New Roman" w:hAnsi="Times New Roman"/>
          <w:sz w:val="18"/>
          <w:szCs w:val="18"/>
          <w:color w:val="auto"/>
        </w:rPr>
      </w:pPr>
    </w:p>
    <w:p>
      <w:pPr>
        <w:ind w:left="1860" w:hanging="368"/>
        <w:spacing w:after="0"/>
        <w:tabs>
          <w:tab w:leader="none" w:pos="18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right="240" w:firstLine="1948"/>
        <w:spacing w:after="0" w:line="262" w:lineRule="auto"/>
        <w:tabs>
          <w:tab w:leader="none" w:pos="228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Named Executive Officers and Section 16(b) Officers</w:t>
      </w:r>
      <w:r>
        <w:rPr>
          <w:rFonts w:ascii="Times New Roman" w:cs="Times New Roman" w:eastAsia="Times New Roman" w:hAnsi="Times New Roman"/>
          <w:sz w:val="18"/>
          <w:szCs w:val="18"/>
          <w:color w:val="auto"/>
        </w:rPr>
        <w:t>. All authority with respect to the grant, amendment, interpretation and administration of Awards with respect to any Eligible Employee who is either (x) a Named Executive Officer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officer who is required to be listed in the Company’s Proxy Statement Compensation Table) or (y) is a Section 16(b) Officer is reserved to the Committee.</w:t>
      </w:r>
    </w:p>
    <w:p>
      <w:pPr>
        <w:spacing w:after="0" w:line="132" w:lineRule="exact"/>
        <w:rPr>
          <w:rFonts w:ascii="Times New Roman" w:cs="Times New Roman" w:eastAsia="Times New Roman" w:hAnsi="Times New Roman"/>
          <w:sz w:val="18"/>
          <w:szCs w:val="18"/>
          <w:color w:val="auto"/>
        </w:rPr>
      </w:pPr>
    </w:p>
    <w:p>
      <w:pPr>
        <w:ind w:right="140" w:firstLine="1948"/>
        <w:spacing w:after="0" w:line="275" w:lineRule="auto"/>
        <w:tabs>
          <w:tab w:leader="none" w:pos="233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Senior Officers and Highly Compensated Employees</w:t>
      </w:r>
      <w:r>
        <w:rPr>
          <w:rFonts w:ascii="Times New Roman" w:cs="Times New Roman" w:eastAsia="Times New Roman" w:hAnsi="Times New Roman"/>
          <w:sz w:val="18"/>
          <w:szCs w:val="18"/>
          <w:color w:val="auto"/>
        </w:rPr>
        <w:t>. The Committee may delegate to a committee consisting of the Chairman of the Committee and one or more officers of the Company designated by the Committee, discretion under the Plan to grant,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4" w:right="259" w:bottom="1440" w:gutter="0" w:footer="0" w:header="0"/>
        </w:sectPr>
      </w:pPr>
    </w:p>
    <w:bookmarkStart w:id="93" w:name="page94"/>
    <w:bookmarkEnd w:id="93"/>
    <w:p>
      <w:pPr>
        <w:ind w:right="1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 interpret and administer Awards with respect to any Eligible Employee who (x) holds a position with Comcast Corporation of Senior Vice President or a position of higher rank than Senior Vice President or (y) has a base salary of $500,000 or more.</w:t>
      </w:r>
    </w:p>
    <w:p>
      <w:pPr>
        <w:spacing w:after="0" w:line="120" w:lineRule="exact"/>
        <w:rPr>
          <w:sz w:val="20"/>
          <w:szCs w:val="20"/>
          <w:color w:val="auto"/>
        </w:rPr>
      </w:pPr>
    </w:p>
    <w:p>
      <w:pPr>
        <w:jc w:val="both"/>
        <w:ind w:right="260" w:firstLine="1948"/>
        <w:spacing w:after="0" w:line="262" w:lineRule="auto"/>
        <w:tabs>
          <w:tab w:leader="none" w:pos="2379"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Employees</w:t>
      </w:r>
      <w:r>
        <w:rPr>
          <w:rFonts w:ascii="Times New Roman" w:cs="Times New Roman" w:eastAsia="Times New Roman" w:hAnsi="Times New Roman"/>
          <w:sz w:val="18"/>
          <w:szCs w:val="18"/>
          <w:color w:val="auto"/>
        </w:rPr>
        <w:t>. The Committee may delegate to an officer of the Company, or a committee of two or more officers of the Company, discretion under the Plan to grant, amend, interpret and administer Awards with respect to any Eligible Employee other than an Eligible Employee described in Paragraph 3(c)(i) or Paragraph 3(c)(ii).</w:t>
      </w:r>
    </w:p>
    <w:p>
      <w:pPr>
        <w:spacing w:after="0" w:line="132" w:lineRule="exact"/>
        <w:rPr>
          <w:rFonts w:ascii="Times New Roman" w:cs="Times New Roman" w:eastAsia="Times New Roman" w:hAnsi="Times New Roman"/>
          <w:sz w:val="18"/>
          <w:szCs w:val="18"/>
          <w:color w:val="auto"/>
        </w:rPr>
      </w:pPr>
    </w:p>
    <w:p>
      <w:pPr>
        <w:ind w:left="2380" w:hanging="432"/>
        <w:spacing w:after="0"/>
        <w:tabs>
          <w:tab w:leader="none" w:pos="2380" w:val="left"/>
        </w:tabs>
        <w:numPr>
          <w:ilvl w:val="2"/>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Delegation of Authority</w:t>
      </w:r>
      <w:r>
        <w:rPr>
          <w:rFonts w:ascii="Times New Roman" w:cs="Times New Roman" w:eastAsia="Times New Roman" w:hAnsi="Times New Roman"/>
          <w:sz w:val="16"/>
          <w:szCs w:val="16"/>
          <w:color w:val="auto"/>
        </w:rPr>
        <w:t>. Delegation of authority as provided under this Paragraph 3(c) shall continue in effect</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until the earliest of:</w:t>
      </w:r>
    </w:p>
    <w:p>
      <w:pPr>
        <w:spacing w:after="0" w:line="158" w:lineRule="exact"/>
        <w:rPr>
          <w:rFonts w:ascii="Times New Roman" w:cs="Times New Roman" w:eastAsia="Times New Roman" w:hAnsi="Times New Roman"/>
          <w:sz w:val="16"/>
          <w:szCs w:val="16"/>
          <w:color w:val="auto"/>
        </w:rPr>
      </w:pPr>
    </w:p>
    <w:p>
      <w:pPr>
        <w:ind w:left="2780" w:hanging="376"/>
        <w:spacing w:after="0"/>
        <w:tabs>
          <w:tab w:leader="none" w:pos="2780" w:val="left"/>
        </w:tabs>
        <w:numPr>
          <w:ilvl w:val="3"/>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as the Committee shall, in its discretion, revoke such delegation of authority;</w:t>
      </w:r>
    </w:p>
    <w:p>
      <w:pPr>
        <w:spacing w:after="0" w:line="171" w:lineRule="exact"/>
        <w:rPr>
          <w:rFonts w:ascii="Times New Roman" w:cs="Times New Roman" w:eastAsia="Times New Roman" w:hAnsi="Times New Roman"/>
          <w:sz w:val="18"/>
          <w:szCs w:val="18"/>
          <w:color w:val="auto"/>
        </w:rPr>
      </w:pPr>
    </w:p>
    <w:p>
      <w:pPr>
        <w:ind w:firstLine="2404"/>
        <w:spacing w:after="0" w:line="262" w:lineRule="auto"/>
        <w:tabs>
          <w:tab w:leader="none" w:pos="2777" w:val="left"/>
        </w:tabs>
        <w:numPr>
          <w:ilvl w:val="3"/>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delegation under Paragraph 5(c)(ii), the delegate shall cease to serve as Chairman of the Committee or serve as an employee of the Company for any reason, as the case may be and in the case of delegation under Paragraph 5(c)(iii), the delegate shall cease to serve as an employee of the Company for any reason; or</w:t>
      </w:r>
    </w:p>
    <w:p>
      <w:pPr>
        <w:spacing w:after="0" w:line="132" w:lineRule="exact"/>
        <w:rPr>
          <w:rFonts w:ascii="Times New Roman" w:cs="Times New Roman" w:eastAsia="Times New Roman" w:hAnsi="Times New Roman"/>
          <w:sz w:val="18"/>
          <w:szCs w:val="18"/>
          <w:color w:val="auto"/>
        </w:rPr>
      </w:pPr>
    </w:p>
    <w:p>
      <w:pPr>
        <w:ind w:left="2780" w:hanging="376"/>
        <w:spacing w:after="0"/>
        <w:tabs>
          <w:tab w:leader="none" w:pos="2780" w:val="left"/>
        </w:tabs>
        <w:numPr>
          <w:ilvl w:val="3"/>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delegate shall notify the Committee that he declines to continue exercise such authority.</w:t>
      </w:r>
    </w:p>
    <w:p>
      <w:pPr>
        <w:spacing w:after="0" w:line="171" w:lineRule="exact"/>
        <w:rPr>
          <w:rFonts w:ascii="Times New Roman" w:cs="Times New Roman" w:eastAsia="Times New Roman" w:hAnsi="Times New Roman"/>
          <w:sz w:val="18"/>
          <w:szCs w:val="18"/>
          <w:color w:val="auto"/>
        </w:rPr>
      </w:pPr>
    </w:p>
    <w:p>
      <w:pPr>
        <w:ind w:right="140" w:firstLine="1492"/>
        <w:spacing w:after="0" w:line="258" w:lineRule="auto"/>
        <w:tabs>
          <w:tab w:leader="none" w:pos="186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Grantee Information</w:t>
      </w:r>
      <w:r>
        <w:rPr>
          <w:rFonts w:ascii="Times New Roman" w:cs="Times New Roman" w:eastAsia="Times New Roman" w:hAnsi="Times New Roman"/>
          <w:sz w:val="18"/>
          <w:szCs w:val="18"/>
          <w:color w:val="auto"/>
        </w:rPr>
        <w:t>.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255"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92" w:lineRule="exact"/>
        <w:rPr>
          <w:sz w:val="20"/>
          <w:szCs w:val="20"/>
          <w:color w:val="auto"/>
        </w:rPr>
      </w:pPr>
    </w:p>
    <w:p>
      <w:pPr>
        <w:ind w:right="40" w:firstLine="913"/>
        <w:spacing w:after="0" w:line="275" w:lineRule="auto"/>
        <w:rPr>
          <w:sz w:val="20"/>
          <w:szCs w:val="20"/>
          <w:color w:val="auto"/>
        </w:rPr>
      </w:pPr>
      <w:r>
        <w:rPr>
          <w:rFonts w:ascii="Times New Roman" w:cs="Times New Roman" w:eastAsia="Times New Roman" w:hAnsi="Times New Roman"/>
          <w:sz w:val="18"/>
          <w:szCs w:val="18"/>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239" w:lineRule="exact"/>
        <w:rPr>
          <w:sz w:val="20"/>
          <w:szCs w:val="20"/>
          <w:color w:val="auto"/>
        </w:rPr>
      </w:pPr>
    </w:p>
    <w:p>
      <w:pPr>
        <w:ind w:left="1480" w:hanging="567"/>
        <w:spacing w:after="0"/>
        <w:tabs>
          <w:tab w:leader="none" w:pos="148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Committee may grant Awards in accordance with the Plan. The terms and conditions of Awards shall be as determined from time to time by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consistent, however, with the following:</w:t>
      </w:r>
    </w:p>
    <w:p>
      <w:pPr>
        <w:spacing w:after="0" w:line="159" w:lineRule="exact"/>
        <w:rPr>
          <w:sz w:val="20"/>
          <w:szCs w:val="20"/>
          <w:color w:val="auto"/>
        </w:rPr>
      </w:pPr>
    </w:p>
    <w:p>
      <w:pPr>
        <w:ind w:right="200" w:firstLine="1492"/>
        <w:spacing w:after="0" w:line="275" w:lineRule="auto"/>
        <w:tabs>
          <w:tab w:leader="none" w:pos="185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Grant</w:t>
      </w:r>
      <w:r>
        <w:rPr>
          <w:rFonts w:ascii="Times New Roman" w:cs="Times New Roman" w:eastAsia="Times New Roman" w:hAnsi="Times New Roman"/>
          <w:sz w:val="18"/>
          <w:szCs w:val="18"/>
          <w:color w:val="auto"/>
        </w:rPr>
        <w:t>. Awards may be granted at any time from the date of adoption of the Plan by the Board until the Plan is terminated by the Board or the Committee.</w:t>
      </w:r>
    </w:p>
    <w:p>
      <w:pPr>
        <w:spacing w:after="0" w:line="119"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Non-uniformity of Awards</w:t>
      </w:r>
      <w:r>
        <w:rPr>
          <w:rFonts w:ascii="Times New Roman" w:cs="Times New Roman" w:eastAsia="Times New Roman" w:hAnsi="Times New Roman"/>
          <w:sz w:val="18"/>
          <w:szCs w:val="18"/>
          <w:color w:val="auto"/>
        </w:rPr>
        <w:t>. The provisions of Awards need not be the same with respect to each Grantee.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274" w:right="299" w:bottom="1440" w:gutter="0" w:footer="0" w:header="0"/>
        </w:sectPr>
      </w:pPr>
    </w:p>
    <w:bookmarkStart w:id="94" w:name="page95"/>
    <w:bookmarkEnd w:id="94"/>
    <w:p>
      <w:pPr>
        <w:ind w:left="1860" w:hanging="368"/>
        <w:spacing w:after="0"/>
        <w:tabs>
          <w:tab w:leader="none" w:pos="18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Establishment of Targets and Conditions to Payment of Awards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2280" w:hanging="332"/>
        <w:spacing w:after="0"/>
        <w:tabs>
          <w:tab w:leader="none" w:pos="22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shall be expressed as a percentage of a Grantee’s base salary.</w:t>
      </w:r>
    </w:p>
    <w:p>
      <w:pPr>
        <w:spacing w:after="0" w:line="171" w:lineRule="exact"/>
        <w:rPr>
          <w:rFonts w:ascii="Times New Roman" w:cs="Times New Roman" w:eastAsia="Times New Roman" w:hAnsi="Times New Roman"/>
          <w:sz w:val="18"/>
          <w:szCs w:val="18"/>
          <w:color w:val="auto"/>
        </w:rPr>
      </w:pPr>
    </w:p>
    <w:p>
      <w:pPr>
        <w:ind w:left="2340" w:hanging="392"/>
        <w:spacing w:after="0"/>
        <w:tabs>
          <w:tab w:leader="none" w:pos="234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Committee shall establish such conditions on the payment of a bonus pursuant to an Award as it may, in its sole discretion,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 appropriate.</w:t>
      </w:r>
    </w:p>
    <w:p>
      <w:pPr>
        <w:spacing w:after="0" w:line="159" w:lineRule="exact"/>
        <w:rPr>
          <w:sz w:val="20"/>
          <w:szCs w:val="20"/>
          <w:color w:val="auto"/>
        </w:rPr>
      </w:pPr>
    </w:p>
    <w:p>
      <w:pPr>
        <w:ind w:right="620" w:firstLine="1948"/>
        <w:spacing w:after="0" w:line="339" w:lineRule="auto"/>
        <w:tabs>
          <w:tab w:leader="none" w:pos="2376"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Award may provide for the payment of Awards in installments, or upon the satisfaction of Qualitative Performance Standards or Quantitative Performance Standards, on an individual, divisional or Company-wide basis, as determined by the Committee.</w:t>
      </w:r>
    </w:p>
    <w:p>
      <w:pPr>
        <w:spacing w:after="0" w:line="74" w:lineRule="exact"/>
        <w:rPr>
          <w:rFonts w:ascii="Times New Roman" w:cs="Times New Roman" w:eastAsia="Times New Roman" w:hAnsi="Times New Roman"/>
          <w:sz w:val="16"/>
          <w:szCs w:val="16"/>
          <w:color w:val="auto"/>
        </w:rPr>
      </w:pPr>
    </w:p>
    <w:p>
      <w:pPr>
        <w:ind w:firstLine="1948"/>
        <w:spacing w:after="0" w:line="255" w:lineRule="auto"/>
        <w:tabs>
          <w:tab w:leader="none" w:pos="236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establish the Targets for each Plan Year no later than 90 days after the first day of the Plan Year, or, if sooner, within the first 25% of the Plan Year, provided, however, that the Committee must determine that, as of the date the Quantitative Performance Standards are established, it is substantially uncertain whether the Quantitative Performance Standards will be achieved. Each Grantee shall be entitled to receive payment of the Award for a Plan Year only after certification by the Committee that the Targets established by the Committee for such Plan Year have been satisfied. The Company shall pay the Awards under the Plan to each Grantee as soon as practicable with respect to each Plan Year, but not later than 2-1/2 months following the close of such Plan Year.</w:t>
      </w:r>
    </w:p>
    <w:p>
      <w:pPr>
        <w:spacing w:after="0" w:line="139" w:lineRule="exact"/>
        <w:rPr>
          <w:rFonts w:ascii="Times New Roman" w:cs="Times New Roman" w:eastAsia="Times New Roman" w:hAnsi="Times New Roman"/>
          <w:sz w:val="18"/>
          <w:szCs w:val="18"/>
          <w:color w:val="auto"/>
        </w:rPr>
      </w:pPr>
    </w:p>
    <w:p>
      <w:pPr>
        <w:ind w:firstLine="1948"/>
        <w:spacing w:after="0" w:line="253" w:lineRule="auto"/>
        <w:tabs>
          <w:tab w:leader="none" w:pos="2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whether any Quantitative Performance Standard has been met, in the event there is a significant acquisition or disposition of any assets, business division, company or other business operations of the Company or such division or business unit that is reasonably expected to have an effect on the Quantitative Performance Standard as otherwise determined under the terms of the Plan, the relevant performance objectives shall be adjusted to take into account the impact of such acquisition or disposition by increasing or decreasing such goals in the same proportion as the relevant performance measure of the Company or such division or business unit would have been affected for the prior performance measurement period on a pro forma basis had such an acquisition or disposition occurred on the same date during the prior performance measurement period; provided further that such adjustment shall be based upon the historical equivalent of the relevant performance measure of the business or assets so acquired or disposed of for the prior performance measurement period, as shown by such records as are available to the Company, as further adjusted to reflect any aspects of the transaction that should be taken into account to ensure comparability between amounts in the prior performance measurement period and the current performance measurement period.</w:t>
      </w:r>
    </w:p>
    <w:p>
      <w:pPr>
        <w:spacing w:after="0" w:line="140" w:lineRule="exact"/>
        <w:rPr>
          <w:rFonts w:ascii="Times New Roman" w:cs="Times New Roman" w:eastAsia="Times New Roman" w:hAnsi="Times New Roman"/>
          <w:sz w:val="18"/>
          <w:szCs w:val="18"/>
          <w:color w:val="auto"/>
        </w:rPr>
      </w:pPr>
    </w:p>
    <w:p>
      <w:pPr>
        <w:ind w:firstLine="1948"/>
        <w:spacing w:after="0" w:line="256" w:lineRule="auto"/>
        <w:tabs>
          <w:tab w:leader="none" w:pos="236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determination of the amount of a Grantee’s bonus payable with respect to any Plan Year under the Plan, the Committee shall have the discretion to reduce or eliminate the bonus otherwise payable to a Grantee if it determines that such a reduction or elimination of the bonus is in the best interests of the Company. In addition, in the discretion of the Committee, based on the satisfaction of performance standards as it may determine, whether or not previously designated as a Target, such additional amounts as may be determined by the Committee may be included in an Award for a Plan Year.</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274" w:right="279" w:bottom="1440" w:gutter="0" w:footer="0" w:header="0"/>
        </w:sectPr>
      </w:pPr>
    </w:p>
    <w:bookmarkStart w:id="95" w:name="page96"/>
    <w:bookmarkEnd w:id="95"/>
    <w:p>
      <w:pPr>
        <w:ind w:left="1860" w:hanging="368"/>
        <w:spacing w:after="0"/>
        <w:tabs>
          <w:tab w:leader="none" w:pos="18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Grantee’s Employment</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right="80" w:firstLine="1948"/>
        <w:spacing w:after="0" w:line="254" w:lineRule="auto"/>
        <w:tabs>
          <w:tab w:leader="none" w:pos="2311"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141" w:lineRule="exact"/>
        <w:rPr>
          <w:rFonts w:ascii="Times New Roman" w:cs="Times New Roman" w:eastAsia="Times New Roman" w:hAnsi="Times New Roman"/>
          <w:sz w:val="18"/>
          <w:szCs w:val="18"/>
          <w:color w:val="auto"/>
        </w:rPr>
      </w:pPr>
    </w:p>
    <w:p>
      <w:pPr>
        <w:ind w:right="620" w:firstLine="1948"/>
        <w:spacing w:after="0" w:line="275" w:lineRule="auto"/>
        <w:tabs>
          <w:tab w:leader="none" w:pos="23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Grantee terminates employment with the Company and its Affiliates, all Awards remaining subject to conditions to payment shall be forfeited by the Grantee and deemed canceled by the Company.</w:t>
      </w:r>
    </w:p>
    <w:p>
      <w:pPr>
        <w:spacing w:after="0" w:line="119" w:lineRule="exact"/>
        <w:rPr>
          <w:rFonts w:ascii="Times New Roman" w:cs="Times New Roman" w:eastAsia="Times New Roman" w:hAnsi="Times New Roman"/>
          <w:sz w:val="18"/>
          <w:szCs w:val="18"/>
          <w:color w:val="auto"/>
        </w:rPr>
      </w:pPr>
    </w:p>
    <w:p>
      <w:pPr>
        <w:ind w:left="1840" w:hanging="348"/>
        <w:spacing w:after="0"/>
        <w:tabs>
          <w:tab w:leader="none" w:pos="18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Grant</w:t>
      </w:r>
      <w:r>
        <w:rPr>
          <w:rFonts w:ascii="Times New Roman" w:cs="Times New Roman" w:eastAsia="Times New Roman" w:hAnsi="Times New Roman"/>
          <w:sz w:val="18"/>
          <w:szCs w:val="18"/>
          <w:color w:val="auto"/>
        </w:rPr>
        <w:t>. In no event shall the amount paid to any Grantee pursuant to an Award for any Plan Year exceed $12 million.</w:t>
      </w:r>
    </w:p>
    <w:p>
      <w:pPr>
        <w:spacing w:after="0" w:line="171" w:lineRule="exact"/>
        <w:rPr>
          <w:rFonts w:ascii="Times New Roman" w:cs="Times New Roman" w:eastAsia="Times New Roman" w:hAnsi="Times New Roman"/>
          <w:sz w:val="18"/>
          <w:szCs w:val="18"/>
          <w:color w:val="auto"/>
        </w:rPr>
      </w:pPr>
    </w:p>
    <w:p>
      <w:pPr>
        <w:jc w:val="both"/>
        <w:ind w:right="640" w:firstLine="1492"/>
        <w:spacing w:after="0" w:line="262" w:lineRule="auto"/>
        <w:tabs>
          <w:tab w:leader="none" w:pos="186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The effectiveness of the grants of Awards under the Plan relating to payments on the satisfaction of the Quantitative Performance Standards established by the Committee from time to time shall be conditioned on the approval of the Plan by the Company’s shareholders.</w:t>
      </w:r>
    </w:p>
    <w:p>
      <w:pPr>
        <w:spacing w:after="0" w:line="252" w:lineRule="exact"/>
        <w:rPr>
          <w:sz w:val="20"/>
          <w:szCs w:val="20"/>
          <w:color w:val="auto"/>
        </w:rPr>
      </w:pPr>
    </w:p>
    <w:p>
      <w:pPr>
        <w:ind w:left="1480" w:hanging="567"/>
        <w:spacing w:after="0"/>
        <w:tabs>
          <w:tab w:leader="none" w:pos="14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TERMINATING EVENTS</w:t>
      </w:r>
    </w:p>
    <w:p>
      <w:pPr>
        <w:spacing w:after="0" w:line="92" w:lineRule="exact"/>
        <w:rPr>
          <w:sz w:val="20"/>
          <w:szCs w:val="20"/>
          <w:color w:val="auto"/>
        </w:rPr>
      </w:pPr>
    </w:p>
    <w:p>
      <w:pPr>
        <w:jc w:val="both"/>
        <w:ind w:right="20" w:firstLine="913"/>
        <w:spacing w:after="0" w:line="262" w:lineRule="auto"/>
        <w:rPr>
          <w:sz w:val="20"/>
          <w:szCs w:val="20"/>
          <w:color w:val="auto"/>
        </w:rPr>
      </w:pPr>
      <w:r>
        <w:rPr>
          <w:rFonts w:ascii="Times New Roman" w:cs="Times New Roman" w:eastAsia="Times New Roman" w:hAnsi="Times New Roman"/>
          <w:sz w:val="18"/>
          <w:szCs w:val="18"/>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252" w:lineRule="exact"/>
        <w:rPr>
          <w:sz w:val="20"/>
          <w:szCs w:val="20"/>
          <w:color w:val="auto"/>
        </w:rPr>
      </w:pPr>
    </w:p>
    <w:p>
      <w:pPr>
        <w:ind w:left="1480" w:hanging="567"/>
        <w:spacing w:after="0"/>
        <w:tabs>
          <w:tab w:leader="none" w:pos="148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TERMINATION</w:t>
      </w:r>
    </w:p>
    <w:p>
      <w:pPr>
        <w:spacing w:after="0" w:line="92"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No Awards shall be granted for any period commencing after December 31, 2015, provided that the effectiveness of the grants of Awards under the Plan after December 31, 2010 relating to payments on the satisfaction of the Quantitative Performance Standards established by the Committee from time to time shall be conditioned on the approval of the Plan by the Company’s shareholders. To the extent that awards are or have been made pursuant to the terms of the Executive Plan, the Supplemental Plan or the MAP, the Committee may, in its discretion, treat such awards as Awards under this Plan. 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274" w:right="299" w:bottom="1440" w:gutter="0" w:footer="0" w:header="0"/>
        </w:sectPr>
      </w:pPr>
    </w:p>
    <w:bookmarkStart w:id="96" w:name="page97"/>
    <w:bookmarkEnd w:id="96"/>
    <w:p>
      <w:pPr>
        <w:ind w:left="1400" w:hanging="567"/>
        <w:spacing w:after="0"/>
        <w:tabs>
          <w:tab w:leader="none" w:pos="140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 PROVISIONS</w:t>
      </w:r>
    </w:p>
    <w:p>
      <w:pPr>
        <w:spacing w:after="0" w:line="92" w:lineRule="exact"/>
        <w:rPr>
          <w:rFonts w:ascii="Times New Roman" w:cs="Times New Roman" w:eastAsia="Times New Roman" w:hAnsi="Times New Roman"/>
          <w:sz w:val="18"/>
          <w:szCs w:val="18"/>
          <w:b w:val="1"/>
          <w:bCs w:val="1"/>
          <w:color w:val="auto"/>
        </w:rPr>
      </w:pPr>
    </w:p>
    <w:p>
      <w:pPr>
        <w:ind w:left="-80" w:right="100" w:firstLine="1492"/>
        <w:spacing w:after="0" w:line="301" w:lineRule="auto"/>
        <w:tabs>
          <w:tab w:leader="none" w:pos="1774"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Unsecured Creditor Status</w:t>
      </w:r>
      <w:r>
        <w:rPr>
          <w:rFonts w:ascii="Times New Roman" w:cs="Times New Roman" w:eastAsia="Times New Roman" w:hAnsi="Times New Roman"/>
          <w:sz w:val="16"/>
          <w:szCs w:val="16"/>
          <w:color w:val="auto"/>
        </w:rPr>
        <w:t>. A Grantee entitled to payment of an Award hereunder shall rely solely upon the unsecured promise of the Company, as set forth herein, for the payment thereof, and nothing herein contained shall be construed to give to or vest in a Grantee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03" w:lineRule="exact"/>
        <w:rPr>
          <w:rFonts w:ascii="Times New Roman" w:cs="Times New Roman" w:eastAsia="Times New Roman" w:hAnsi="Times New Roman"/>
          <w:sz w:val="16"/>
          <w:szCs w:val="16"/>
          <w:color w:val="auto"/>
        </w:rPr>
      </w:pPr>
    </w:p>
    <w:p>
      <w:pPr>
        <w:ind w:left="-80" w:right="140" w:firstLine="1492"/>
        <w:spacing w:after="0" w:line="275" w:lineRule="auto"/>
        <w:tabs>
          <w:tab w:leader="none" w:pos="178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Non-Assignment of Awards</w:t>
      </w:r>
      <w:r>
        <w:rPr>
          <w:rFonts w:ascii="Times New Roman" w:cs="Times New Roman" w:eastAsia="Times New Roman" w:hAnsi="Times New Roman"/>
          <w:sz w:val="18"/>
          <w:szCs w:val="18"/>
          <w:color w:val="auto"/>
        </w:rPr>
        <w:t>. The Grantee shall not be permitted to sell, transfer, pledge or assign any amount payable pursuant to the Plan or an Award, provided that the right to payment under an Award may pass by will or the laws of descent and distribution.</w:t>
      </w:r>
    </w:p>
    <w:p>
      <w:pPr>
        <w:spacing w:after="0" w:line="119" w:lineRule="exact"/>
        <w:rPr>
          <w:rFonts w:ascii="Times New Roman" w:cs="Times New Roman" w:eastAsia="Times New Roman" w:hAnsi="Times New Roman"/>
          <w:sz w:val="18"/>
          <w:szCs w:val="18"/>
          <w:color w:val="auto"/>
        </w:rPr>
      </w:pPr>
    </w:p>
    <w:p>
      <w:pPr>
        <w:ind w:left="-80" w:right="220" w:firstLine="1492"/>
        <w:spacing w:after="0" w:line="258" w:lineRule="auto"/>
        <w:tabs>
          <w:tab w:leader="none" w:pos="177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Company Plans</w:t>
      </w:r>
      <w:r>
        <w:rPr>
          <w:rFonts w:ascii="Times New Roman" w:cs="Times New Roman" w:eastAsia="Times New Roman" w:hAnsi="Times New Roman"/>
          <w:sz w:val="18"/>
          <w:szCs w:val="18"/>
          <w:color w:val="auto"/>
        </w:rPr>
        <w:t>. It is agreed and understood that any benefits under this Plan are in addition to any and all benefits to which a Grantee may otherwise be entitled under any other contract, arrangement, or voluntary pension, profit sharing or other compensation plan of the Company, whether funded or unfunded, and that this Plan shall not affect or impair the rights or obligations of the Company or a Grantee under any other such contract, arrangement, or voluntary pension, profit sharing or other compensation plan.</w:t>
      </w:r>
    </w:p>
    <w:p>
      <w:pPr>
        <w:spacing w:after="0" w:line="136" w:lineRule="exact"/>
        <w:rPr>
          <w:rFonts w:ascii="Times New Roman" w:cs="Times New Roman" w:eastAsia="Times New Roman" w:hAnsi="Times New Roman"/>
          <w:sz w:val="18"/>
          <w:szCs w:val="18"/>
          <w:color w:val="auto"/>
        </w:rPr>
      </w:pPr>
    </w:p>
    <w:p>
      <w:pPr>
        <w:ind w:left="-80" w:right="80" w:firstLine="1492"/>
        <w:spacing w:after="0" w:line="262" w:lineRule="auto"/>
        <w:tabs>
          <w:tab w:leader="none" w:pos="178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32" w:lineRule="exact"/>
        <w:rPr>
          <w:rFonts w:ascii="Times New Roman" w:cs="Times New Roman" w:eastAsia="Times New Roman" w:hAnsi="Times New Roman"/>
          <w:sz w:val="18"/>
          <w:szCs w:val="18"/>
          <w:color w:val="auto"/>
        </w:rPr>
      </w:pPr>
    </w:p>
    <w:p>
      <w:pPr>
        <w:ind w:left="-80" w:right="260" w:firstLine="1492"/>
        <w:spacing w:after="0" w:line="310" w:lineRule="auto"/>
        <w:tabs>
          <w:tab w:leader="none" w:pos="1774"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Continued Employment</w:t>
      </w:r>
      <w:r>
        <w:rPr>
          <w:rFonts w:ascii="Times New Roman" w:cs="Times New Roman" w:eastAsia="Times New Roman" w:hAnsi="Times New Roman"/>
          <w:sz w:val="16"/>
          <w:szCs w:val="16"/>
          <w:color w:val="auto"/>
        </w:rPr>
        <w:t>. Neither the establishment of the Plan, any provisions of the Plan, nor any action of the Committee shall be held or construed to confer upon any Grantee the right to a continuation of employment by the Company. The Company reserves the right to dismiss any employee (including a Grantee), or otherwise deal with any employee (including a Grantee) to the same extent as though the Plan had not been adopted.</w:t>
      </w:r>
    </w:p>
    <w:p>
      <w:pPr>
        <w:spacing w:after="0" w:line="97" w:lineRule="exact"/>
        <w:rPr>
          <w:rFonts w:ascii="Times New Roman" w:cs="Times New Roman" w:eastAsia="Times New Roman" w:hAnsi="Times New Roman"/>
          <w:sz w:val="16"/>
          <w:szCs w:val="16"/>
          <w:color w:val="auto"/>
        </w:rPr>
      </w:pPr>
    </w:p>
    <w:p>
      <w:pPr>
        <w:jc w:val="both"/>
        <w:ind w:left="-80" w:firstLine="1492"/>
        <w:spacing w:after="0" w:line="258" w:lineRule="auto"/>
        <w:tabs>
          <w:tab w:leader="none" w:pos="175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Incapacity</w:t>
      </w:r>
      <w:r>
        <w:rPr>
          <w:rFonts w:ascii="Times New Roman" w:cs="Times New Roman" w:eastAsia="Times New Roman" w:hAnsi="Times New Roman"/>
          <w:sz w:val="18"/>
          <w:szCs w:val="18"/>
          <w:color w:val="auto"/>
        </w:rPr>
        <w:t>. If the Committee determines that a Grantee is unable to care for his affairs because of illness or accident, any benefit due such Grantee under the Plan may be paid to his spouse, child, parent, or any other person deemed by the Committee to have incurred expense for such Grantee (including a duly appointed guardian, committee, or other legal representative), and any such payment shall be a complete discharge of the Company’s obligation hereunder.</w:t>
      </w:r>
    </w:p>
    <w:p>
      <w:pPr>
        <w:spacing w:after="0" w:line="136" w:lineRule="exact"/>
        <w:rPr>
          <w:rFonts w:ascii="Times New Roman" w:cs="Times New Roman" w:eastAsia="Times New Roman" w:hAnsi="Times New Roman"/>
          <w:sz w:val="18"/>
          <w:szCs w:val="18"/>
          <w:color w:val="auto"/>
        </w:rPr>
      </w:pPr>
    </w:p>
    <w:p>
      <w:pPr>
        <w:ind w:left="-80" w:right="80" w:firstLine="1492"/>
        <w:spacing w:after="0" w:line="275" w:lineRule="auto"/>
        <w:tabs>
          <w:tab w:leader="none" w:pos="178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19" w:lineRule="exact"/>
        <w:rPr>
          <w:rFonts w:ascii="Times New Roman" w:cs="Times New Roman" w:eastAsia="Times New Roman" w:hAnsi="Times New Roman"/>
          <w:sz w:val="18"/>
          <w:szCs w:val="18"/>
          <w:color w:val="auto"/>
        </w:rPr>
      </w:pPr>
    </w:p>
    <w:p>
      <w:pPr>
        <w:ind w:left="-80" w:right="380" w:firstLine="1492"/>
        <w:spacing w:after="0" w:line="275" w:lineRule="auto"/>
        <w:tabs>
          <w:tab w:leader="none" w:pos="178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If it is determined by the Board that gross negligence, intentional misconduct or fraud by a Section 16(b) Officer or a former Section 16(b) Officer caused or partially caused the Company to have to restate all or a portion of its financial</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80"/>
          </w:cols>
          <w:pgMar w:left="320" w:top="272" w:right="299" w:bottom="1440" w:gutter="0" w:footer="0" w:header="0"/>
        </w:sectPr>
      </w:pPr>
    </w:p>
    <w:bookmarkStart w:id="97" w:name="page98"/>
    <w:bookmarkEnd w:id="97"/>
    <w:p>
      <w:pPr>
        <w:spacing w:after="0" w:line="28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statements, the Board, in its sole discretion, may, to the extent permitted by law and to the extent it determines in its sole judgment that it is in the best interests of the Company to do so, require repayment of any Award (or a portion thereof) granted after February 28, 2007 to such Section 16(b) Officer or former</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16(b) Officer if (i) the Award was calculated based upon, or contingent on, the achievement of financial or operating results that were the subject of or affected by the restatement, and (ii) the amount of the Award would have been less had the financial statements been correct. In addition, to the extent that the receipt of an Award subject to repayment under this Paragraph 8(h) has been deferred pursuant to the Comcast Corporation 2005 Deferred Compensation Plan (or any other plan, program or arrangement that permits the deferral of receipt of an Award), such Award (and any earnings credited with respect thereto) shall be forfeited in lieu of repayment.</w:t>
      </w:r>
    </w:p>
    <w:p>
      <w:pPr>
        <w:spacing w:after="0" w:line="259" w:lineRule="exact"/>
        <w:rPr>
          <w:sz w:val="20"/>
          <w:szCs w:val="20"/>
          <w:color w:val="auto"/>
        </w:rPr>
      </w:pPr>
    </w:p>
    <w:p>
      <w:pPr>
        <w:ind w:left="1480" w:hanging="567"/>
        <w:spacing w:after="0"/>
        <w:tabs>
          <w:tab w:leader="none" w:pos="148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Plan and all determinations made and actions taken pursuant to the Plan shall be governed in accordance with Pennsylvania law.</w:t>
      </w:r>
    </w:p>
    <w:p>
      <w:pPr>
        <w:spacing w:after="0" w:line="291" w:lineRule="exact"/>
        <w:rPr>
          <w:sz w:val="20"/>
          <w:szCs w:val="20"/>
          <w:color w:val="auto"/>
        </w:rPr>
      </w:pPr>
    </w:p>
    <w:p>
      <w:pPr>
        <w:ind w:left="1480" w:hanging="567"/>
        <w:spacing w:after="0"/>
        <w:tabs>
          <w:tab w:leader="none" w:pos="14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effective date of this amendment and restatement of the Plan is February 28, 2007.</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Executed as of the 28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February, 2007</w:t>
      </w:r>
    </w:p>
    <w:p>
      <w:pPr>
        <w:spacing w:after="0" w:line="35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jc w:val="right"/>
        <w:ind w:right="1920"/>
        <w:spacing w:after="0"/>
        <w:tabs>
          <w:tab w:leader="none" w:pos="3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DAVID L. COHEN</w:t>
      </w:r>
    </w:p>
    <w:p>
      <w:pPr>
        <w:spacing w:after="0" w:line="23"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Name: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-130175</wp:posOffset>
            </wp:positionV>
            <wp:extent cx="22898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060"/>
        <w:spacing w:after="0"/>
        <w:tabs>
          <w:tab w:leader="none" w:pos="7840" w:val="left"/>
        </w:tabs>
        <w:rPr>
          <w:sz w:val="20"/>
          <w:szCs w:val="20"/>
          <w:color w:val="auto"/>
        </w:rPr>
      </w:pPr>
      <w:r>
        <w:rPr>
          <w:rFonts w:ascii="Times New Roman" w:cs="Times New Roman" w:eastAsia="Times New Roman" w:hAnsi="Times New Roman"/>
          <w:sz w:val="18"/>
          <w:szCs w:val="18"/>
          <w:color w:val="auto"/>
        </w:rPr>
        <w:t>ATTEST:</w:t>
      </w:r>
      <w:r>
        <w:rPr>
          <w:sz w:val="20"/>
          <w:szCs w:val="20"/>
          <w:color w:val="auto"/>
        </w:rPr>
        <w:tab/>
      </w:r>
      <w:r>
        <w:rPr>
          <w:rFonts w:ascii="Times New Roman" w:cs="Times New Roman" w:eastAsia="Times New Roman" w:hAnsi="Times New Roman"/>
          <w:sz w:val="16"/>
          <w:szCs w:val="16"/>
          <w:color w:val="auto"/>
        </w:rPr>
        <w:t>/s/ ARTHUR R. BLOCK</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-130175</wp:posOffset>
            </wp:positionV>
            <wp:extent cx="22898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274" w:right="27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76" w:lineRule="exact"/>
        <w:rPr>
          <w:rFonts w:ascii="Times New Roman" w:cs="Times New Roman" w:eastAsia="Times New Roman" w:hAnsi="Times New Roman"/>
          <w:sz w:val="18"/>
          <w:szCs w:val="18"/>
          <w:color w:val="auto"/>
        </w:rPr>
      </w:pPr>
    </w:p>
    <w:p>
      <w:pPr>
        <w:ind w:left="460" w:hanging="452"/>
        <w:spacing w:after="0" w:line="325" w:lineRule="auto"/>
        <w:tabs>
          <w:tab w:leader="none" w:pos="46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hanging="452"/>
        <w:spacing w:after="0" w:line="275" w:lineRule="auto"/>
        <w:tabs>
          <w:tab w:leader="none" w:pos="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jc w:val="both"/>
        <w:ind w:left="460" w:hanging="452"/>
        <w:spacing w:after="0" w:line="262" w:lineRule="auto"/>
        <w:tabs>
          <w:tab w:leader="none" w:pos="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27, 2007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272"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76" w:lineRule="exact"/>
        <w:rPr>
          <w:rFonts w:ascii="Times New Roman" w:cs="Times New Roman" w:eastAsia="Times New Roman" w:hAnsi="Times New Roman"/>
          <w:sz w:val="18"/>
          <w:szCs w:val="18"/>
          <w:color w:val="auto"/>
        </w:rPr>
      </w:pPr>
    </w:p>
    <w:p>
      <w:pPr>
        <w:ind w:left="460" w:hanging="452"/>
        <w:spacing w:after="0" w:line="325" w:lineRule="auto"/>
        <w:tabs>
          <w:tab w:leader="none" w:pos="46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hanging="452"/>
        <w:spacing w:after="0" w:line="275" w:lineRule="auto"/>
        <w:tabs>
          <w:tab w:leader="none" w:pos="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jc w:val="both"/>
        <w:ind w:left="460" w:hanging="452"/>
        <w:spacing w:after="0" w:line="262" w:lineRule="auto"/>
        <w:tabs>
          <w:tab w:leader="none" w:pos="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27, 2007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ANGELAKIS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Co-Chief Financial Officer</w:t>
      </w:r>
    </w:p>
    <w:p>
      <w:pPr>
        <w:sectPr>
          <w:pgSz w:w="11900" w:h="16838" w:orient="portrait"/>
          <w:cols w:equalWidth="0" w:num="1">
            <w:col w:w="11420"/>
          </w:cols>
          <w:pgMar w:left="240" w:top="422" w:right="239"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John R. Alchin, certify that:</w:t>
      </w:r>
    </w:p>
    <w:p>
      <w:pPr>
        <w:spacing w:after="0" w:line="144" w:lineRule="exact"/>
        <w:rPr>
          <w:sz w:val="20"/>
          <w:szCs w:val="20"/>
          <w:color w:val="auto"/>
        </w:rPr>
      </w:pPr>
    </w:p>
    <w:p>
      <w:pPr>
        <w:ind w:left="460" w:hanging="452"/>
        <w:spacing w:after="0"/>
        <w:tabs>
          <w:tab w:leader="none" w:pos="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76" w:lineRule="exact"/>
        <w:rPr>
          <w:rFonts w:ascii="Times New Roman" w:cs="Times New Roman" w:eastAsia="Times New Roman" w:hAnsi="Times New Roman"/>
          <w:sz w:val="18"/>
          <w:szCs w:val="18"/>
          <w:color w:val="auto"/>
        </w:rPr>
      </w:pPr>
    </w:p>
    <w:p>
      <w:pPr>
        <w:ind w:left="460" w:hanging="452"/>
        <w:spacing w:after="0" w:line="325" w:lineRule="auto"/>
        <w:tabs>
          <w:tab w:leader="none" w:pos="4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hanging="452"/>
        <w:spacing w:after="0" w:line="275" w:lineRule="auto"/>
        <w:tabs>
          <w:tab w:leader="none" w:pos="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jc w:val="both"/>
        <w:ind w:left="460" w:hanging="452"/>
        <w:spacing w:after="0" w:line="262" w:lineRule="auto"/>
        <w:tabs>
          <w:tab w:leader="none" w:pos="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27, 2007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R. ALCHIN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Co-Chief Financial Officer</w:t>
      </w:r>
    </w:p>
    <w:p>
      <w:pPr>
        <w:sectPr>
          <w:pgSz w:w="11900" w:h="16838" w:orient="portrait"/>
          <w:cols w:equalWidth="0" w:num="1">
            <w:col w:w="11420"/>
          </w:cols>
          <w:pgMar w:left="240" w:top="422"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4"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6"/>
          <w:szCs w:val="16"/>
          <w:color w:val="auto"/>
        </w:rPr>
        <w:t>April 27, 2007</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450 Fifth Street, N.W.</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L. Roberts, the Chief Executive Officer, Michael J. Angelakis, the Co-Chief Financial Officer and John R. Alchin, the Co-Chief Financial Officer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 each certifies that, to the best of his knowledge:</w:t>
      </w:r>
    </w:p>
    <w:p>
      <w:pPr>
        <w:spacing w:after="0" w:line="64" w:lineRule="exact"/>
        <w:rPr>
          <w:sz w:val="20"/>
          <w:szCs w:val="20"/>
          <w:color w:val="auto"/>
        </w:rPr>
      </w:pPr>
    </w:p>
    <w:p>
      <w:pPr>
        <w:ind w:left="460" w:hanging="452"/>
        <w:spacing w:after="0"/>
        <w:tabs>
          <w:tab w:leader="none" w:pos="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Comcast Corporation.</w:t>
      </w:r>
    </w:p>
    <w:p>
      <w:pPr>
        <w:spacing w:after="0" w:line="38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MICHAEL J. ANGELAKIS</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Co-Chief Financial Officer</w:t>
      </w:r>
    </w:p>
    <w:p>
      <w:pPr>
        <w:spacing w:after="0" w:line="2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JOHN R. ALCHIN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Co-Chief Financial Officer</w:t>
      </w:r>
    </w:p>
    <w:sectPr>
      <w:pgSz w:w="11900" w:h="16838" w:orient="portrait"/>
      <w:cols w:equalWidth="0" w:num="1">
        <w:col w:w="11420"/>
      </w:cols>
      <w:pgMar w:left="240" w:top="2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1."/>
      <w:numFmt w:val="decimal"/>
      <w:start w:val="48"/>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1)"/>
      <w:numFmt w:val="lowerLetter"/>
      <w:start w:val="1"/>
    </w:lvl>
  </w:abstractNum>
  <w:abstractNum w:abstractNumId="5">
    <w:nsid w:val="BF72B14"/>
    <w:multiLevelType w:val="hybridMultilevel"/>
    <w:lvl w:ilvl="0">
      <w:lvlJc w:val="left"/>
      <w:lvlText w:val="(%1)"/>
      <w:numFmt w:val="lowerLetter"/>
      <w:start w:val="2"/>
    </w:lvl>
  </w:abstractNum>
  <w:abstractNum w:abstractNumId="6">
    <w:nsid w:val="11447B73"/>
    <w:multiLevelType w:val="hybridMultilevel"/>
    <w:lvl w:ilvl="0">
      <w:lvlJc w:val="left"/>
      <w:lvlText w:val="(%1)"/>
      <w:numFmt w:val="lowerLetter"/>
      <w:start w:val="6"/>
    </w:lvl>
    <w:lvl w:ilvl="1">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1."/>
      <w:numFmt w:val="decimal"/>
      <w:start w:val="1"/>
    </w:lvl>
    <w:lvl w:ilvl="1">
      <w:lvlJc w:val="left"/>
      <w:lvlText w:val="(%2)"/>
      <w:numFmt w:val="lowerLetter"/>
      <w:start w:val="1"/>
    </w:lvl>
  </w:abstractNum>
  <w:abstractNum w:abstractNumId="9">
    <w:nsid w:val="8F2B15E"/>
    <w:multiLevelType w:val="hybridMultilevel"/>
    <w:lvl w:ilvl="0">
      <w:lvlJc w:val="left"/>
      <w:lvlText w:val="(%1)"/>
      <w:numFmt w:val="lowerLetter"/>
      <w:start w:val="7"/>
    </w:lvl>
    <w:lvl w:ilvl="1">
      <w:lvlJc w:val="left"/>
      <w:lvlText w:val="(%2)"/>
      <w:numFmt w:val="lowerRoman"/>
      <w:start w:val="1"/>
    </w:lvl>
  </w:abstractNum>
  <w:abstractNum w:abstractNumId="10">
    <w:nsid w:val="1A32234B"/>
    <w:multiLevelType w:val="hybridMultilevel"/>
    <w:lvl w:ilvl="0">
      <w:lvlJc w:val="left"/>
      <w:lvlText w:val="(%1)"/>
      <w:numFmt w:val="lowerLetter"/>
      <w:start w:val="16"/>
    </w:lvl>
    <w:lvl w:ilvl="1">
      <w:lvlJc w:val="left"/>
      <w:lvlText w:val="(%2)"/>
      <w:numFmt w:val="lowerRoman"/>
      <w:start w:val="1"/>
    </w:lvl>
    <w:lvl w:ilvl="2">
      <w:lvlJc w:val="left"/>
      <w:lvlText w:val="(%3)"/>
      <w:numFmt w:val="upperLetter"/>
      <w:start w:val="1"/>
    </w:lvl>
  </w:abstractNum>
  <w:abstractNum w:abstractNumId="11">
    <w:nsid w:val="3B0FD37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2">
    <w:nsid w:val="68EB2F63"/>
    <w:multiLevelType w:val="hybridMultilevel"/>
    <w:lvl w:ilvl="0">
      <w:lvlJc w:val="left"/>
      <w:lvlText w:val="(%1)"/>
      <w:numFmt w:val="lowerLetter"/>
      <w:start w:val="23"/>
    </w:lvl>
    <w:lvl w:ilvl="1">
      <w:lvlJc w:val="left"/>
      <w:lvlText w:val="(%2)"/>
      <w:numFmt w:val="lowerRoman"/>
      <w:start w:val="1"/>
    </w:lvl>
    <w:lvl w:ilvl="2">
      <w:lvlJc w:val="left"/>
      <w:lvlText w:val="%3"/>
      <w:numFmt w:val="decimal"/>
      <w:start w:val="1"/>
    </w:lvl>
  </w:abstractNum>
  <w:abstractNum w:abstractNumId="13">
    <w:nsid w:val="496281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4">
    <w:nsid w:val="60B6DF70"/>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15">
    <w:nsid w:val="6A5EE6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
    <w:nsid w:val="14330624"/>
    <w:multiLevelType w:val="hybridMultilevel"/>
    <w:lvl w:ilvl="0">
      <w:lvlJc w:val="left"/>
      <w:lvlText w:val="%1"/>
      <w:numFmt w:val="lowerLetter"/>
      <w:start w:val="1"/>
    </w:lvl>
    <w:lvl w:ilvl="1">
      <w:lvlJc w:val="left"/>
      <w:lvlText w:val="(%2)"/>
      <w:numFmt w:val="lowerRoman"/>
      <w:start w:val="1"/>
    </w:lvl>
  </w:abstractNum>
  <w:abstractNum w:abstractNumId="17">
    <w:nsid w:val="7FFFCA11"/>
    <w:multiLevelType w:val="hybridMultilevel"/>
    <w:lvl w:ilvl="0">
      <w:lvlJc w:val="left"/>
      <w:lvlText w:val="(%1)"/>
      <w:numFmt w:val="lowerLetter"/>
      <w:start w:val="2"/>
    </w:lvl>
    <w:lvl w:ilvl="1">
      <w:lvlJc w:val="left"/>
      <w:lvlText w:val="%2"/>
      <w:numFmt w:val="lowerRoman"/>
      <w:start w:val="1"/>
    </w:lvl>
  </w:abstractNum>
  <w:abstractNum w:abstractNumId="18">
    <w:nsid w:val="1A27709E"/>
    <w:multiLevelType w:val="hybridMultilevel"/>
    <w:lvl w:ilvl="0">
      <w:lvlJc w:val="left"/>
      <w:lvlText w:val="%1."/>
      <w:numFmt w:val="decimal"/>
      <w:start w:val="4"/>
    </w:lvl>
  </w:abstractNum>
  <w:abstractNum w:abstractNumId="19">
    <w:nsid w:val="71EA110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
    <w:nsid w:val="100F59DC"/>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24"/>
    </w:lvl>
  </w:abstractNum>
  <w:abstractNum w:abstractNumId="21">
    <w:nsid w:val="7FB7E0AA"/>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22">
    <w:nsid w:val="6EB5BD4"/>
    <w:multiLevelType w:val="hybridMultilevel"/>
    <w:lvl w:ilvl="0">
      <w:lvlJc w:val="left"/>
      <w:lvlText w:val="%1."/>
      <w:numFmt w:val="decimal"/>
      <w:start w:val="6"/>
    </w:lvl>
    <w:lvl w:ilvl="1">
      <w:lvlJc w:val="left"/>
      <w:lvlText w:val="(%2)"/>
      <w:numFmt w:val="lowerLetter"/>
      <w:start w:val="1"/>
    </w:lvl>
  </w:abstractNum>
  <w:abstractNum w:abstractNumId="23">
    <w:nsid w:val="6F6DD9AC"/>
    <w:multiLevelType w:val="hybridMultilevel"/>
    <w:lvl w:ilvl="0">
      <w:lvlJc w:val="left"/>
      <w:lvlText w:val="(%1)"/>
      <w:numFmt w:val="lowerLetter"/>
      <w:start w:val="1"/>
    </w:lvl>
  </w:abstractNum>
  <w:abstractNum w:abstractNumId="24">
    <w:nsid w:val="94211F2"/>
    <w:multiLevelType w:val="hybridMultilevel"/>
    <w:lvl w:ilvl="0">
      <w:lvlJc w:val="left"/>
      <w:lvlText w:val="(%1)"/>
      <w:numFmt w:val="lowerLetter"/>
      <w:start w:val="4"/>
    </w:lvl>
    <w:lvl w:ilvl="1">
      <w:lvlJc w:val="left"/>
      <w:lvlText w:val="(%2)"/>
      <w:numFmt w:val="lowerRoman"/>
      <w:start w:val="1"/>
    </w:lvl>
  </w:abstractNum>
  <w:abstractNum w:abstractNumId="25">
    <w:nsid w:val="885E1B"/>
    <w:multiLevelType w:val="hybridMultilevel"/>
    <w:lvl w:ilvl="0">
      <w:lvlJc w:val="left"/>
      <w:lvlText w:val="(%1)"/>
      <w:numFmt w:val="lowerLetter"/>
      <w:start w:val="5"/>
    </w:lvl>
  </w:abstractNum>
  <w:abstractNum w:abstractNumId="26">
    <w:nsid w:val="76272110"/>
    <w:multiLevelType w:val="hybridMultilevel"/>
    <w:lvl w:ilvl="0">
      <w:lvlJc w:val="left"/>
      <w:lvlText w:val="%1"/>
      <w:numFmt w:val="lowerLetter"/>
      <w:start w:val="1"/>
    </w:lvl>
    <w:lvl w:ilvl="1">
      <w:lvlJc w:val="left"/>
      <w:lvlText w:val="(%2)"/>
      <w:numFmt w:val="lowerRoman"/>
      <w:start w:val="1"/>
    </w:lvl>
  </w:abstractNum>
  <w:abstractNum w:abstractNumId="27">
    <w:nsid w:val="4C04A8AF"/>
    <w:multiLevelType w:val="hybridMultilevel"/>
    <w:lvl w:ilvl="0">
      <w:lvlJc w:val="left"/>
      <w:lvlText w:val="(%1)"/>
      <w:numFmt w:val="lowerLetter"/>
      <w:start w:val="8"/>
    </w:lvl>
    <w:lvl w:ilvl="1">
      <w:lvlJc w:val="left"/>
      <w:lvlText w:val="%2"/>
      <w:numFmt w:val="lowerRoman"/>
      <w:start w:val="1"/>
    </w:lvl>
  </w:abstractNum>
  <w:abstractNum w:abstractNumId="28">
    <w:nsid w:val="1716703B"/>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29">
    <w:nsid w:val="14E17E33"/>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30">
    <w:nsid w:val="3222E7CD"/>
    <w:multiLevelType w:val="hybridMultilevel"/>
    <w:lvl w:ilvl="0">
      <w:lvlJc w:val="left"/>
      <w:lvlText w:val="%1."/>
      <w:numFmt w:val="decimal"/>
      <w:start w:val="9"/>
    </w:lvl>
  </w:abstractNum>
  <w:abstractNum w:abstractNumId="31">
    <w:nsid w:val="74DE0EE3"/>
    <w:multiLevelType w:val="hybridMultilevel"/>
    <w:lvl w:ilvl="0">
      <w:lvlJc w:val="left"/>
      <w:lvlText w:val="%1."/>
      <w:numFmt w:val="decimal"/>
      <w:start w:val="10"/>
    </w:lvl>
  </w:abstractNum>
  <w:abstractNum w:abstractNumId="32">
    <w:nsid w:val="68EBC550"/>
    <w:multiLevelType w:val="hybridMultilevel"/>
    <w:lvl w:ilvl="0">
      <w:lvlJc w:val="left"/>
      <w:lvlText w:val="%1."/>
      <w:numFmt w:val="decimal"/>
      <w:start w:val="11"/>
    </w:lvl>
    <w:lvl w:ilvl="1">
      <w:lvlJc w:val="left"/>
      <w:lvlText w:val="(%2)"/>
      <w:numFmt w:val="lowerLetter"/>
      <w:start w:val="1"/>
    </w:lvl>
  </w:abstractNum>
  <w:abstractNum w:abstractNumId="33">
    <w:nsid w:val="2DF6D648"/>
    <w:multiLevelType w:val="hybridMultilevel"/>
    <w:lvl w:ilvl="0">
      <w:lvlJc w:val="left"/>
      <w:lvlText w:val="%1."/>
      <w:numFmt w:val="decimal"/>
      <w:start w:val="13"/>
    </w:lvl>
    <w:lvl w:ilvl="1">
      <w:lvlJc w:val="left"/>
      <w:lvlText w:val="(%2)"/>
      <w:numFmt w:val="lowerLetter"/>
      <w:start w:val="1"/>
    </w:lvl>
  </w:abstractNum>
  <w:abstractNum w:abstractNumId="34">
    <w:nsid w:val="46B7D4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5">
    <w:nsid w:val="4A2AC315"/>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6">
    <w:nsid w:val="39EE015C"/>
    <w:multiLevelType w:val="hybridMultilevel"/>
    <w:lvl w:ilvl="0">
      <w:lvlJc w:val="left"/>
      <w:lvlText w:val="%1"/>
      <w:numFmt w:val="decimal"/>
      <w:start w:val="1"/>
    </w:lvl>
    <w:lvl w:ilvl="1">
      <w:lvlJc w:val="left"/>
      <w:lvlText w:val="(%2)"/>
      <w:numFmt w:val="lowerLetter"/>
      <w:start w:val="3"/>
    </w:lvl>
  </w:abstractNum>
  <w:abstractNum w:abstractNumId="37">
    <w:nsid w:val="57FC4FBB"/>
    <w:multiLevelType w:val="hybridMultilevel"/>
    <w:lvl w:ilvl="0">
      <w:lvlJc w:val="left"/>
      <w:lvlText w:val="%1."/>
      <w:numFmt w:val="decimal"/>
      <w:start w:val="15"/>
    </w:lvl>
    <w:lvl w:ilvl="1">
      <w:lvlJc w:val="left"/>
      <w:lvlText w:val="(%2)"/>
      <w:numFmt w:val="lowerLetter"/>
      <w:start w:val="1"/>
    </w:lvl>
  </w:abstractNum>
  <w:abstractNum w:abstractNumId="38">
    <w:nsid w:val="CC1016F"/>
    <w:multiLevelType w:val="hybridMultilevel"/>
    <w:lvl w:ilvl="0">
      <w:lvlJc w:val="left"/>
      <w:lvlText w:val="%1"/>
      <w:numFmt w:val="decimal"/>
      <w:start w:val="1"/>
    </w:lvl>
    <w:lvl w:ilvl="1">
      <w:lvlJc w:val="left"/>
      <w:lvlText w:val="(%2)"/>
      <w:numFmt w:val="lowerLetter"/>
      <w:start w:val="3"/>
    </w:lvl>
  </w:abstractNum>
  <w:abstractNum w:abstractNumId="39">
    <w:nsid w:val="43F18422"/>
    <w:multiLevelType w:val="hybridMultilevel"/>
    <w:lvl w:ilvl="0">
      <w:lvlJc w:val="left"/>
      <w:lvlText w:val="%1."/>
      <w:numFmt w:val="decimal"/>
      <w:start w:val="16"/>
    </w:lvl>
    <w:lvl w:ilvl="1">
      <w:lvlJc w:val="left"/>
      <w:lvlText w:val="%2"/>
      <w:numFmt w:val="lowerLetter"/>
      <w:start w:val="1"/>
    </w:lvl>
  </w:abstractNum>
  <w:abstractNum w:abstractNumId="40">
    <w:nsid w:val="60EF0119"/>
    <w:multiLevelType w:val="hybridMultilevel"/>
    <w:lvl w:ilvl="0">
      <w:lvlJc w:val="left"/>
      <w:lvlText w:val="%1."/>
      <w:numFmt w:val="decimal"/>
      <w:start w:val="17"/>
    </w:lvl>
  </w:abstractNum>
  <w:abstractNum w:abstractNumId="41">
    <w:nsid w:val="26F324B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42">
    <w:nsid w:val="7F01579B"/>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1"/>
    </w:lvl>
  </w:abstractNum>
  <w:abstractNum w:abstractNumId="43">
    <w:nsid w:val="49DA307D"/>
    <w:multiLevelType w:val="hybridMultilevel"/>
    <w:lvl w:ilvl="0">
      <w:lvlJc w:val="left"/>
      <w:lvlText w:val="(%1)"/>
      <w:numFmt w:val="lowerLetter"/>
      <w:start w:val="6"/>
    </w:lvl>
    <w:lvl w:ilvl="1">
      <w:lvlJc w:val="left"/>
      <w:lvlText w:val="(%2)"/>
      <w:numFmt w:val="lowerRoman"/>
      <w:start w:val="1"/>
    </w:lvl>
  </w:abstractNum>
  <w:abstractNum w:abstractNumId="44">
    <w:nsid w:val="7055A5F5"/>
    <w:multiLevelType w:val="hybridMultilevel"/>
    <w:lvl w:ilvl="0">
      <w:lvlJc w:val="left"/>
      <w:lvlText w:val="(%1)"/>
      <w:numFmt w:val="lowerLetter"/>
      <w:start w:val="15"/>
    </w:lvl>
    <w:lvl w:ilvl="1">
      <w:lvlJc w:val="left"/>
      <w:lvlText w:val="(%2)"/>
      <w:numFmt w:val="lowerRoman"/>
      <w:start w:val="1"/>
    </w:lvl>
    <w:lvl w:ilvl="2">
      <w:lvlJc w:val="left"/>
      <w:lvlText w:val="(%3)"/>
      <w:numFmt w:val="upperLetter"/>
      <w:start w:val="1"/>
    </w:lvl>
  </w:abstractNum>
  <w:abstractNum w:abstractNumId="45">
    <w:nsid w:val="5FB8370B"/>
    <w:multiLevelType w:val="hybridMultilevel"/>
    <w:lvl w:ilvl="0">
      <w:lvlJc w:val="left"/>
      <w:lvlText w:val="(%1)"/>
      <w:numFmt w:val="upperLetter"/>
      <w:start w:val="2"/>
    </w:lvl>
    <w:lvl w:ilvl="1">
      <w:lvlJc w:val="left"/>
      <w:lvlText w:val="(%2)"/>
      <w:numFmt w:val="decimal"/>
      <w:start w:val="1"/>
    </w:lvl>
  </w:abstractNum>
  <w:abstractNum w:abstractNumId="46">
    <w:nsid w:val="50801EE1"/>
    <w:multiLevelType w:val="hybridMultilevel"/>
    <w:lvl w:ilvl="0">
      <w:lvlJc w:val="left"/>
      <w:lvlText w:val="(%1)"/>
      <w:numFmt w:val="lowerLetter"/>
      <w:start w:val="23"/>
    </w:lvl>
    <w:lvl w:ilvl="1">
      <w:lvlJc w:val="left"/>
      <w:lvlText w:val="(%2)"/>
      <w:numFmt w:val="lowerRoman"/>
      <w:start w:val="1"/>
    </w:lvl>
  </w:abstractNum>
  <w:abstractNum w:abstractNumId="47">
    <w:nsid w:val="488AC1A"/>
    <w:multiLevelType w:val="hybridMultilevel"/>
    <w:lvl w:ilvl="0">
      <w:lvlJc w:val="left"/>
      <w:lvlText w:val="%1"/>
      <w:numFmt w:val="lowerLetter"/>
      <w:start w:val="1"/>
    </w:lvl>
    <w:lvl w:ilvl="1">
      <w:lvlJc w:val="left"/>
      <w:lvlText w:val="(%2)"/>
      <w:numFmt w:val="lowerLetter"/>
      <w:start w:val="61"/>
    </w:lvl>
  </w:abstractNum>
  <w:abstractNum w:abstractNumId="48">
    <w:nsid w:val="5FB8011C"/>
    <w:multiLevelType w:val="hybridMultilevel"/>
    <w:lvl w:ilvl="0">
      <w:lvlJc w:val="left"/>
      <w:lvlText w:val="(%1)"/>
      <w:numFmt w:val="lowerLetter"/>
      <w:start w:val="27"/>
    </w:lvl>
    <w:lvl w:ilvl="1">
      <w:lvlJc w:val="left"/>
      <w:lvlText w:val="(%2)"/>
      <w:numFmt w:val="lowerLetter"/>
      <w:start w:val="9"/>
    </w:lvl>
  </w:abstractNum>
  <w:abstractNum w:abstractNumId="49">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0">
    <w:nsid w:val="7672BD23"/>
    <w:multiLevelType w:val="hybridMultilevel"/>
    <w:lvl w:ilvl="0">
      <w:lvlJc w:val="left"/>
      <w:lvlText w:val="%1"/>
      <w:numFmt w:val="decimal"/>
      <w:start w:val="1"/>
    </w:lvl>
    <w:lvl w:ilvl="1">
      <w:lvlJc w:val="left"/>
      <w:lvlText w:val="(%2)"/>
      <w:numFmt w:val="lowerLetter"/>
      <w:start w:val="32"/>
    </w:lvl>
    <w:lvl w:ilvl="2">
      <w:lvlJc w:val="left"/>
      <w:lvlText w:val="%3"/>
      <w:numFmt w:val="lowerLetter"/>
      <w:start w:val="1"/>
    </w:lvl>
  </w:abstractNum>
  <w:abstractNum w:abstractNumId="51">
    <w:nsid w:val="6FC75AF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52">
    <w:nsid w:val="6A5F7029"/>
    <w:multiLevelType w:val="hybridMultilevel"/>
    <w:lvl w:ilvl="0">
      <w:lvlJc w:val="left"/>
      <w:lvlText w:val="%1"/>
      <w:numFmt w:val="lowerLetter"/>
      <w:start w:val="1"/>
    </w:lvl>
    <w:lvl w:ilvl="1">
      <w:lvlJc w:val="left"/>
      <w:lvlText w:val="(%2)"/>
      <w:numFmt w:val="lowerRoman"/>
      <w:start w:val="2"/>
    </w:lvl>
  </w:abstractNum>
  <w:abstractNum w:abstractNumId="53">
    <w:nsid w:val="7D5E18F8"/>
    <w:multiLevelType w:val="hybridMultilevel"/>
    <w:lvl w:ilvl="0">
      <w:lvlJc w:val="left"/>
      <w:lvlText w:val="(%1)"/>
      <w:numFmt w:val="lowerLetter"/>
      <w:start w:val="2"/>
    </w:lvl>
    <w:lvl w:ilvl="1">
      <w:lvlJc w:val="left"/>
      <w:lvlText w:val="%2"/>
      <w:numFmt w:val="lowerRoman"/>
      <w:start w:val="1"/>
    </w:lvl>
  </w:abstractNum>
  <w:abstractNum w:abstractNumId="54">
    <w:nsid w:val="5F3534A4"/>
    <w:multiLevelType w:val="hybridMultilevel"/>
    <w:lvl w:ilvl="0">
      <w:lvlJc w:val="left"/>
      <w:lvlText w:val="%1."/>
      <w:numFmt w:val="decimal"/>
      <w:start w:val="4"/>
    </w:lvl>
  </w:abstractNum>
  <w:abstractNum w:abstractNumId="55">
    <w:nsid w:val="73A1821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56">
    <w:nsid w:val="7DE67713"/>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24"/>
    </w:lvl>
  </w:abstractNum>
  <w:abstractNum w:abstractNumId="57">
    <w:nsid w:val="555C55B5"/>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58">
    <w:nsid w:val="3FA62ACA"/>
    <w:multiLevelType w:val="hybridMultilevel"/>
    <w:lvl w:ilvl="0">
      <w:lvlJc w:val="left"/>
      <w:lvlText w:val="%1."/>
      <w:numFmt w:val="decimal"/>
      <w:start w:val="6"/>
    </w:lvl>
    <w:lvl w:ilvl="1">
      <w:lvlJc w:val="left"/>
      <w:lvlText w:val="(%2)"/>
      <w:numFmt w:val="lowerLetter"/>
      <w:start w:val="1"/>
    </w:lvl>
  </w:abstractNum>
  <w:abstractNum w:abstractNumId="59">
    <w:nsid w:val="14FCE74E"/>
    <w:multiLevelType w:val="hybridMultilevel"/>
    <w:lvl w:ilvl="0">
      <w:lvlJc w:val="left"/>
      <w:lvlText w:val="(%1)"/>
      <w:numFmt w:val="lowerLetter"/>
      <w:start w:val="1"/>
    </w:lvl>
  </w:abstractNum>
  <w:abstractNum w:abstractNumId="60">
    <w:nsid w:val="6A3DD3E8"/>
    <w:multiLevelType w:val="hybridMultilevel"/>
    <w:lvl w:ilvl="0">
      <w:lvlJc w:val="left"/>
      <w:lvlText w:val="(%1)"/>
      <w:numFmt w:val="lowerLetter"/>
      <w:start w:val="4"/>
    </w:lvl>
    <w:lvl w:ilvl="1">
      <w:lvlJc w:val="left"/>
      <w:lvlText w:val="(%2)"/>
      <w:numFmt w:val="lowerRoman"/>
      <w:start w:val="1"/>
    </w:lvl>
  </w:abstractNum>
  <w:abstractNum w:abstractNumId="61">
    <w:nsid w:val="71C91298"/>
    <w:multiLevelType w:val="hybridMultilevel"/>
    <w:lvl w:ilvl="0">
      <w:lvlJc w:val="left"/>
      <w:lvlText w:val="(%1)"/>
      <w:numFmt w:val="lowerLetter"/>
      <w:start w:val="5"/>
    </w:lvl>
  </w:abstractNum>
  <w:abstractNum w:abstractNumId="62">
    <w:nsid w:val="9DAF632"/>
    <w:multiLevelType w:val="hybridMultilevel"/>
    <w:lvl w:ilvl="0">
      <w:lvlJc w:val="left"/>
      <w:lvlText w:val="(%1)"/>
      <w:numFmt w:val="lowerLetter"/>
      <w:start w:val="7"/>
    </w:lvl>
    <w:lvl w:ilvl="1">
      <w:lvlJc w:val="left"/>
      <w:lvlText w:val="(%2)"/>
      <w:numFmt w:val="lowerRoman"/>
      <w:start w:val="1"/>
    </w:lvl>
  </w:abstractNum>
  <w:abstractNum w:abstractNumId="63">
    <w:nsid w:val="53299938"/>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64">
    <w:nsid w:val="1FBFE8E0"/>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65">
    <w:nsid w:val="5092CA79"/>
    <w:multiLevelType w:val="hybridMultilevel"/>
    <w:lvl w:ilvl="0">
      <w:lvlJc w:val="left"/>
      <w:lvlText w:val="%1."/>
      <w:numFmt w:val="decimal"/>
      <w:start w:val="9"/>
    </w:lvl>
  </w:abstractNum>
  <w:abstractNum w:abstractNumId="66">
    <w:nsid w:val="1D545C4D"/>
    <w:multiLevelType w:val="hybridMultilevel"/>
    <w:lvl w:ilvl="0">
      <w:lvlJc w:val="left"/>
      <w:lvlText w:val="%1."/>
      <w:numFmt w:val="decimal"/>
      <w:start w:val="10"/>
    </w:lvl>
  </w:abstractNum>
  <w:abstractNum w:abstractNumId="67">
    <w:nsid w:val="59ADEA3D"/>
    <w:multiLevelType w:val="hybridMultilevel"/>
    <w:lvl w:ilvl="0">
      <w:lvlJc w:val="left"/>
      <w:lvlText w:val="%1."/>
      <w:numFmt w:val="decimal"/>
      <w:start w:val="11"/>
    </w:lvl>
    <w:lvl w:ilvl="1">
      <w:lvlJc w:val="left"/>
      <w:lvlText w:val="(%2)"/>
      <w:numFmt w:val="lowerLetter"/>
      <w:start w:val="1"/>
    </w:lvl>
  </w:abstractNum>
  <w:abstractNum w:abstractNumId="68">
    <w:nsid w:val="288F1A3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69">
    <w:nsid w:val="2A155DBC"/>
    <w:multiLevelType w:val="hybridMultilevel"/>
    <w:lvl w:ilvl="0">
      <w:lvlJc w:val="left"/>
      <w:lvlText w:val="(%1)"/>
      <w:numFmt w:val="lowerRoman"/>
      <w:start w:val="4"/>
    </w:lvl>
  </w:abstractNum>
  <w:abstractNum w:abstractNumId="70">
    <w:nsid w:val="1D9F6E5F"/>
    <w:multiLevelType w:val="hybridMultilevel"/>
    <w:lvl w:ilvl="0">
      <w:lvlJc w:val="left"/>
      <w:lvlText w:val="(%1)"/>
      <w:numFmt w:val="lowerLetter"/>
      <w:start w:val="3"/>
    </w:lvl>
    <w:lvl w:ilvl="1">
      <w:lvlJc w:val="left"/>
      <w:lvlText w:val="%2."/>
      <w:numFmt w:val="decimal"/>
      <w:start w:val="15"/>
    </w:lvl>
    <w:lvl w:ilvl="2">
      <w:lvlJc w:val="left"/>
      <w:lvlText w:val="(%3)"/>
      <w:numFmt w:val="lowerLetter"/>
      <w:start w:val="1"/>
    </w:lvl>
  </w:abstractNum>
  <w:abstractNum w:abstractNumId="71">
    <w:nsid w:val="97E1B4E"/>
    <w:multiLevelType w:val="hybridMultilevel"/>
    <w:lvl w:ilvl="0">
      <w:lvlJc w:val="left"/>
      <w:lvlText w:val="%1"/>
      <w:numFmt w:val="decimal"/>
      <w:start w:val="1"/>
    </w:lvl>
    <w:lvl w:ilvl="1">
      <w:lvlJc w:val="left"/>
      <w:lvlText w:val="(%2)"/>
      <w:numFmt w:val="lowerLetter"/>
      <w:start w:val="3"/>
    </w:lvl>
  </w:abstractNum>
  <w:abstractNum w:abstractNumId="72">
    <w:nsid w:val="51088277"/>
    <w:multiLevelType w:val="hybridMultilevel"/>
    <w:lvl w:ilvl="0">
      <w:lvlJc w:val="left"/>
      <w:lvlText w:val="%1."/>
      <w:numFmt w:val="decimal"/>
      <w:start w:val="16"/>
    </w:lvl>
    <w:lvl w:ilvl="1">
      <w:lvlJc w:val="left"/>
      <w:lvlText w:val="%2"/>
      <w:numFmt w:val="lowerLetter"/>
      <w:start w:val="1"/>
    </w:lvl>
  </w:abstractNum>
  <w:abstractNum w:abstractNumId="73">
    <w:nsid w:val="1CA0C5FA"/>
    <w:multiLevelType w:val="hybridMultilevel"/>
    <w:lvl w:ilvl="0">
      <w:lvlJc w:val="left"/>
      <w:lvlText w:val="%1."/>
      <w:numFmt w:val="decimal"/>
      <w:start w:val="17"/>
    </w:lvl>
  </w:abstractNum>
  <w:abstractNum w:abstractNumId="74">
    <w:nsid w:val="53584BCB"/>
    <w:multiLevelType w:val="hybridMultilevel"/>
    <w:lvl w:ilvl="0">
      <w:lvlJc w:val="left"/>
      <w:lvlText w:val="%1."/>
      <w:numFmt w:val="decimal"/>
      <w:start w:val="1"/>
    </w:lvl>
    <w:lvl w:ilvl="1">
      <w:lvlJc w:val="left"/>
      <w:lvlText w:val="(%2)"/>
      <w:numFmt w:val="lowerLetter"/>
      <w:start w:val="1"/>
    </w:lvl>
  </w:abstractNum>
  <w:abstractNum w:abstractNumId="75">
    <w:nsid w:val="415E286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6">
    <w:nsid w:val="7C58FD05"/>
    <w:multiLevelType w:val="hybridMultilevel"/>
    <w:lvl w:ilvl="0">
      <w:lvlJc w:val="left"/>
      <w:lvlText w:val="%1"/>
      <w:numFmt w:val="lowerLetter"/>
      <w:start w:val="1"/>
    </w:lvl>
    <w:lvl w:ilvl="1">
      <w:lvlJc w:val="left"/>
      <w:lvlText w:val="(%2)"/>
      <w:numFmt w:val="lowerLetter"/>
      <w:start w:val="35"/>
    </w:lvl>
  </w:abstractNum>
  <w:abstractNum w:abstractNumId="77">
    <w:nsid w:val="23D86AAC"/>
    <w:multiLevelType w:val="hybridMultilevel"/>
    <w:lvl w:ilvl="0">
      <w:lvlJc w:val="left"/>
      <w:lvlText w:val="(%1)"/>
      <w:numFmt w:val="lowerLetter"/>
      <w:start w:val="8"/>
    </w:lvl>
    <w:lvl w:ilvl="1">
      <w:lvlJc w:val="left"/>
      <w:lvlText w:val="(%2)"/>
      <w:numFmt w:val="lowerLetter"/>
      <w:start w:val="9"/>
    </w:lvl>
  </w:abstractNum>
  <w:abstractNum w:abstractNumId="78">
    <w:nsid w:val="45E6D486"/>
    <w:multiLevelType w:val="hybridMultilevel"/>
    <w:lvl w:ilvl="0">
      <w:lvlJc w:val="left"/>
      <w:lvlText w:val="(%1)"/>
      <w:numFmt w:val="lowerRoman"/>
      <w:start w:val="2"/>
    </w:lvl>
    <w:lvl w:ilvl="1">
      <w:lvlJc w:val="left"/>
      <w:lvlText w:val="(%2)"/>
      <w:numFmt w:val="decimal"/>
      <w:start w:val="1"/>
    </w:lvl>
  </w:abstractNum>
  <w:abstractNum w:abstractNumId="79">
    <w:nsid w:val="5C10FE21"/>
    <w:multiLevelType w:val="hybridMultilevel"/>
    <w:lvl w:ilvl="0">
      <w:lvlJc w:val="left"/>
      <w:lvlText w:val="(%1)"/>
      <w:numFmt w:val="lowerLetter"/>
      <w:start w:val="12"/>
    </w:lvl>
    <w:lvl w:ilvl="1">
      <w:lvlJc w:val="left"/>
      <w:lvlText w:val="(%2)"/>
      <w:numFmt w:val="lowerRoman"/>
      <w:start w:val="1"/>
    </w:lvl>
  </w:abstractNum>
  <w:abstractNum w:abstractNumId="80">
    <w:nsid w:val="E7FFA2B"/>
    <w:multiLevelType w:val="hybridMultilevel"/>
    <w:lvl w:ilvl="0">
      <w:lvlJc w:val="left"/>
      <w:lvlText w:val="%1"/>
      <w:numFmt w:val="lowerLetter"/>
      <w:start w:val="1"/>
    </w:lvl>
    <w:lvl w:ilvl="1">
      <w:lvlJc w:val="left"/>
      <w:lvlText w:val="(%2)"/>
      <w:numFmt w:val="lowerRoman"/>
      <w:start w:val="2"/>
    </w:lvl>
  </w:abstractNum>
  <w:abstractNum w:abstractNumId="81">
    <w:nsid w:val="3C5991AA"/>
    <w:multiLevelType w:val="hybridMultilevel"/>
    <w:lvl w:ilvl="0">
      <w:lvlJc w:val="left"/>
      <w:lvlText w:val="(%1)"/>
      <w:numFmt w:val="lowerLetter"/>
      <w:start w:val="21"/>
    </w:lvl>
    <w:lvl w:ilvl="1">
      <w:lvlJc w:val="left"/>
      <w:lvlText w:val="(%2)"/>
      <w:numFmt w:val="lowerRoman"/>
      <w:start w:val="1"/>
    </w:lvl>
  </w:abstractNum>
  <w:abstractNum w:abstractNumId="82">
    <w:nsid w:val="4BD8591A"/>
    <w:multiLevelType w:val="hybridMultilevel"/>
    <w:lvl w:ilvl="0">
      <w:lvlJc w:val="left"/>
      <w:lvlText w:val="(%1)"/>
      <w:numFmt w:val="lowerLetter"/>
      <w:start w:val="27"/>
    </w:lvl>
    <w:lvl w:ilvl="1">
      <w:lvlJc w:val="left"/>
      <w:lvlText w:val="(%2)"/>
      <w:numFmt w:val="lowerRoman"/>
      <w:start w:val="1"/>
    </w:lvl>
  </w:abstractNum>
  <w:abstractNum w:abstractNumId="83">
    <w:nsid w:val="78DF6A55"/>
    <w:multiLevelType w:val="hybridMultilevel"/>
    <w:lvl w:ilvl="0">
      <w:lvlJc w:val="left"/>
      <w:lvlText w:val="(%1)"/>
      <w:numFmt w:val="lowerLetter"/>
      <w:start w:val="3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84">
    <w:nsid w:val="39B7AAA2"/>
    <w:multiLevelType w:val="hybridMultilevel"/>
    <w:lvl w:ilvl="0">
      <w:lvlJc w:val="left"/>
      <w:lvlText w:val="(%1)"/>
      <w:numFmt w:val="upperLetter"/>
      <w:start w:val="2"/>
    </w:lvl>
  </w:abstractNum>
  <w:abstractNum w:abstractNumId="85">
    <w:nsid w:val="2B0D8DBE"/>
    <w:multiLevelType w:val="hybridMultilevel"/>
    <w:lvl w:ilvl="0">
      <w:lvlJc w:val="left"/>
      <w:lvlText w:val="(%1)"/>
      <w:numFmt w:val="lowerLetter"/>
      <w:start w:val="37"/>
    </w:lvl>
  </w:abstractNum>
  <w:abstractNum w:abstractNumId="86">
    <w:nsid w:val="6C80EC70"/>
    <w:multiLevelType w:val="hybridMultilevel"/>
    <w:lvl w:ilvl="0">
      <w:lvlJc w:val="left"/>
      <w:lvlText w:val="(%1)"/>
      <w:numFmt w:val="lowerLetter"/>
      <w:start w:val="42"/>
    </w:lvl>
    <w:lvl w:ilvl="1">
      <w:lvlJc w:val="left"/>
      <w:lvlText w:val="(%2)"/>
      <w:numFmt w:val="lowerRoman"/>
      <w:start w:val="1"/>
    </w:lvl>
  </w:abstractNum>
  <w:abstractNum w:abstractNumId="87">
    <w:nsid w:val="379E21B5"/>
    <w:multiLevelType w:val="hybridMultilevel"/>
    <w:lvl w:ilvl="0">
      <w:lvlJc w:val="left"/>
      <w:lvlText w:val="(%1)"/>
      <w:numFmt w:val="lowerLetter"/>
      <w:start w:val="52"/>
    </w:lvl>
  </w:abstractNum>
  <w:abstractNum w:abstractNumId="88">
    <w:nsid w:val="69E373"/>
    <w:multiLevelType w:val="hybridMultilevel"/>
    <w:lvl w:ilvl="0">
      <w:lvlJc w:val="left"/>
      <w:lvlText w:val="(%1)"/>
      <w:numFmt w:val="lowerLetter"/>
      <w:start w:val="53"/>
    </w:lvl>
    <w:lvl w:ilvl="1">
      <w:lvlJc w:val="left"/>
      <w:lvlText w:val="(%2)"/>
      <w:numFmt w:val="lowerRoman"/>
      <w:start w:val="1"/>
    </w:lvl>
  </w:abstractNum>
  <w:abstractNum w:abstractNumId="89">
    <w:nsid w:val="2C27173B"/>
    <w:multiLevelType w:val="hybridMultilevel"/>
    <w:lvl w:ilvl="0">
      <w:lvlJc w:val="left"/>
      <w:lvlText w:val="%1."/>
      <w:numFmt w:val="decimal"/>
      <w:start w:val="3"/>
    </w:lvl>
  </w:abstractNum>
  <w:abstractNum w:abstractNumId="90">
    <w:nsid w:val="4C9B0904"/>
    <w:multiLevelType w:val="hybridMultilevel"/>
    <w:lvl w:ilvl="0">
      <w:lvlJc w:val="left"/>
      <w:lvlText w:val="%1"/>
      <w:numFmt w:val="decimal"/>
      <w:start w:val="1"/>
    </w:lvl>
    <w:lvl w:ilvl="1">
      <w:lvlJc w:val="left"/>
      <w:lvlText w:val="(%2)"/>
      <w:numFmt w:val="lowerLetter"/>
      <w:start w:val="1"/>
    </w:lvl>
  </w:abstractNum>
  <w:abstractNum w:abstractNumId="91">
    <w:nsid w:val="6AA7B75C"/>
    <w:multiLevelType w:val="hybridMultilevel"/>
    <w:lvl w:ilvl="0">
      <w:lvlJc w:val="left"/>
      <w:lvlText w:val="%1."/>
      <w:numFmt w:val="decimal"/>
      <w:start w:val="4"/>
    </w:lvl>
    <w:lvl w:ilvl="1">
      <w:lvlJc w:val="left"/>
      <w:lvlText w:val="(%2)"/>
      <w:numFmt w:val="lowerLetter"/>
      <w:start w:val="1"/>
    </w:lvl>
  </w:abstractNum>
  <w:abstractNum w:abstractNumId="92">
    <w:nsid w:val="1DF029D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3">
    <w:nsid w:val="5675FF3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4">
    <w:nsid w:val="3DD15094"/>
    <w:multiLevelType w:val="hybridMultilevel"/>
    <w:lvl w:ilvl="0">
      <w:lvlJc w:val="left"/>
      <w:lvlText w:val="(%1)"/>
      <w:numFmt w:val="lowerLetter"/>
      <w:start w:val="3"/>
    </w:lvl>
  </w:abstractNum>
  <w:abstractNum w:abstractNumId="95">
    <w:nsid w:val="3DB012B3"/>
    <w:multiLevelType w:val="hybridMultilevel"/>
    <w:lvl w:ilvl="0">
      <w:lvlJc w:val="left"/>
      <w:lvlText w:val="(%1)"/>
      <w:numFmt w:val="lowerLetter"/>
      <w:start w:val="5"/>
    </w:lvl>
    <w:lvl w:ilvl="1">
      <w:lvlJc w:val="left"/>
      <w:lvlText w:val="(%2)"/>
      <w:numFmt w:val="lowerLetter"/>
      <w:start w:val="9"/>
    </w:lvl>
    <w:lvl w:ilvl="2">
      <w:lvlJc w:val="left"/>
      <w:lvlText w:val="(%3)"/>
      <w:numFmt w:val="lowerLetter"/>
      <w:start w:val="24"/>
    </w:lvl>
  </w:abstractNum>
  <w:abstractNum w:abstractNumId="96">
    <w:nsid w:val="2708C9AF"/>
    <w:multiLevelType w:val="hybridMultilevel"/>
    <w:lvl w:ilvl="0">
      <w:lvlJc w:val="left"/>
      <w:lvlText w:val="%1"/>
      <w:numFmt w:val="lowerLetter"/>
      <w:start w:val="1"/>
    </w:lvl>
    <w:lvl w:ilvl="1">
      <w:lvlJc w:val="left"/>
      <w:lvlText w:val="(%2)"/>
      <w:numFmt w:val="lowerRoman"/>
      <w:start w:val="2"/>
    </w:lvl>
  </w:abstractNum>
  <w:abstractNum w:abstractNumId="97">
    <w:nsid w:val="5B25ACE2"/>
    <w:multiLevelType w:val="hybridMultilevel"/>
    <w:lvl w:ilvl="0">
      <w:lvlJc w:val="left"/>
      <w:lvlText w:val="(%1)"/>
      <w:numFmt w:val="lowerLetter"/>
      <w:start w:val="7"/>
    </w:lvl>
    <w:lvl w:ilvl="1">
      <w:lvlJc w:val="left"/>
      <w:lvlText w:val="(%2)"/>
      <w:numFmt w:val="lowerRoman"/>
      <w:start w:val="1"/>
    </w:lvl>
  </w:abstractNum>
  <w:abstractNum w:abstractNumId="98">
    <w:nsid w:val="175DFCF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99">
    <w:nsid w:val="4F97E3E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0">
    <w:nsid w:val="53B0A9E"/>
    <w:multiLevelType w:val="hybridMultilevel"/>
    <w:lvl w:ilvl="0">
      <w:lvlJc w:val="left"/>
      <w:lvlText w:val="(%1)"/>
      <w:numFmt w:val="lowerLetter"/>
      <w:start w:val="6"/>
    </w:lvl>
  </w:abstractNum>
  <w:abstractNum w:abstractNumId="101">
    <w:nsid w:val="34FD6B4F"/>
    <w:multiLevelType w:val="hybridMultilevel"/>
    <w:lvl w:ilvl="0">
      <w:lvlJc w:val="left"/>
      <w:lvlText w:val="%1."/>
      <w:numFmt w:val="decimal"/>
      <w:start w:val="8"/>
    </w:lvl>
  </w:abstractNum>
  <w:abstractNum w:abstractNumId="102">
    <w:nsid w:val="5915FF32"/>
    <w:multiLevelType w:val="hybridMultilevel"/>
    <w:lvl w:ilvl="0">
      <w:lvlJc w:val="left"/>
      <w:lvlText w:val="(%1)"/>
      <w:numFmt w:val="lowerLetter"/>
      <w:start w:val="1"/>
    </w:lvl>
    <w:lvl w:ilvl="1">
      <w:lvlJc w:val="left"/>
      <w:lvlText w:val="(%2)"/>
      <w:numFmt w:val="lowerRoman"/>
      <w:start w:val="1"/>
    </w:lvl>
  </w:abstractNum>
  <w:abstractNum w:abstractNumId="103">
    <w:nsid w:val="56438D15"/>
    <w:multiLevelType w:val="hybridMultilevel"/>
    <w:lvl w:ilvl="0">
      <w:lvlJc w:val="left"/>
      <w:lvlText w:val="(%1)"/>
      <w:numFmt w:val="lowerLetter"/>
      <w:start w:val="2"/>
    </w:lvl>
    <w:lvl w:ilvl="1">
      <w:lvlJc w:val="left"/>
      <w:lvlText w:val="(%2)"/>
      <w:numFmt w:val="lowerRoman"/>
      <w:start w:val="1"/>
    </w:lvl>
  </w:abstractNum>
  <w:abstractNum w:abstractNumId="104">
    <w:nsid w:val="519E3149"/>
    <w:multiLevelType w:val="hybridMultilevel"/>
    <w:lvl w:ilvl="0">
      <w:lvlJc w:val="left"/>
      <w:lvlText w:val="(%1)"/>
      <w:numFmt w:val="lowerRoman"/>
      <w:start w:val="3"/>
    </w:lvl>
    <w:lvl w:ilvl="1">
      <w:lvlJc w:val="left"/>
      <w:lvlText w:val="(%2)"/>
      <w:numFmt w:val="decimal"/>
      <w:start w:val="1"/>
    </w:lvl>
  </w:abstractNum>
  <w:abstractNum w:abstractNumId="105">
    <w:nsid w:val="2C6E4AF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106">
    <w:nsid w:val="17A1B582"/>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107">
    <w:nsid w:val="4DF72E4E"/>
    <w:multiLevelType w:val="hybridMultilevel"/>
    <w:lvl w:ilvl="0">
      <w:lvlJc w:val="left"/>
      <w:lvlText w:val="%1"/>
      <w:numFmt w:val="lowerLetter"/>
      <w:start w:val="1"/>
    </w:lvl>
    <w:lvl w:ilvl="1">
      <w:lvlJc w:val="left"/>
      <w:lvlText w:val="(%2)"/>
      <w:numFmt w:val="lowerLetter"/>
      <w:start w:val="61"/>
    </w:lvl>
  </w:abstractNum>
  <w:abstractNum w:abstractNumId="108">
    <w:nsid w:val="5046B5A9"/>
    <w:multiLevelType w:val="hybridMultilevel"/>
    <w:lvl w:ilvl="0">
      <w:lvlJc w:val="left"/>
      <w:lvlText w:val="(%1)"/>
      <w:numFmt w:val="lowerLetter"/>
      <w:start w:val="7"/>
    </w:lvl>
    <w:lvl w:ilvl="1">
      <w:lvlJc w:val="left"/>
      <w:lvlText w:val="(%2)"/>
      <w:numFmt w:val="lowerLetter"/>
      <w:start w:val="9"/>
    </w:lvl>
  </w:abstractNum>
  <w:abstractNum w:abstractNumId="109">
    <w:nsid w:val="5D888A08"/>
    <w:multiLevelType w:val="hybridMultilevel"/>
    <w:lvl w:ilvl="0">
      <w:lvlJc w:val="left"/>
      <w:lvlText w:val="(%1)"/>
      <w:numFmt w:val="lowerRoman"/>
      <w:start w:val="2"/>
    </w:lvl>
  </w:abstractNum>
  <w:abstractNum w:abstractNumId="110">
    <w:nsid w:val="2A082C70"/>
    <w:multiLevelType w:val="hybridMultilevel"/>
    <w:lvl w:ilvl="0">
      <w:lvlJc w:val="left"/>
      <w:lvlText w:val="%1"/>
      <w:numFmt w:val="lowerRoman"/>
      <w:start w:val="1"/>
    </w:lvl>
    <w:lvl w:ilvl="1">
      <w:lvlJc w:val="left"/>
      <w:lvlText w:val="(%2)"/>
      <w:numFmt w:val="lowerRoman"/>
      <w:start w:val="4"/>
    </w:lvl>
  </w:abstractNum>
  <w:abstractNum w:abstractNumId="111">
    <w:nsid w:val="5EC6AFD4"/>
    <w:multiLevelType w:val="hybridMultilevel"/>
    <w:lvl w:ilvl="0">
      <w:lvlJc w:val="left"/>
      <w:lvlText w:val="(%1)"/>
      <w:numFmt w:val="lowerRoman"/>
      <w:start w:val="1"/>
    </w:lvl>
    <w:lvl w:ilvl="1">
      <w:lvlJc w:val="left"/>
      <w:lvlText w:val="%2"/>
      <w:numFmt w:val="lowerRoman"/>
      <w:start w:val="1"/>
    </w:lvl>
  </w:abstractNum>
  <w:abstractNum w:abstractNumId="112">
    <w:nsid w:val="19E21BB2"/>
    <w:multiLevelType w:val="hybridMultilevel"/>
    <w:lvl w:ilvl="0">
      <w:lvlJc w:val="left"/>
      <w:lvlText w:val="%1"/>
      <w:numFmt w:val="decimal"/>
      <w:start w:val="1"/>
    </w:lvl>
    <w:lvl w:ilvl="1">
      <w:lvlJc w:val="left"/>
      <w:lvlText w:val="(%2)"/>
      <w:numFmt w:val="lowerLetter"/>
      <w:start w:val="10"/>
    </w:lvl>
  </w:abstractNum>
  <w:abstractNum w:abstractNumId="113">
    <w:nsid w:val="75E0858A"/>
    <w:multiLevelType w:val="hybridMultilevel"/>
    <w:lvl w:ilvl="0">
      <w:lvlJc w:val="left"/>
      <w:lvlText w:val="%1."/>
      <w:numFmt w:val="decimal"/>
      <w:start w:val="9"/>
    </w:lvl>
    <w:lvl w:ilvl="1">
      <w:lvlJc w:val="left"/>
      <w:lvlText w:val="(%2)"/>
      <w:numFmt w:val="lowerLetter"/>
      <w:start w:val="1"/>
    </w:lvl>
  </w:abstractNum>
  <w:abstractNum w:abstractNumId="114">
    <w:nsid w:val="57A61A29"/>
    <w:multiLevelType w:val="hybridMultilevel"/>
    <w:lvl w:ilvl="0">
      <w:lvlJc w:val="left"/>
      <w:lvlText w:val="(%1)"/>
      <w:numFmt w:val="lowerLetter"/>
      <w:start w:val="2"/>
    </w:lvl>
    <w:lvl w:ilvl="1">
      <w:lvlJc w:val="left"/>
      <w:lvlText w:val="(%2)"/>
      <w:numFmt w:val="lowerRoman"/>
      <w:start w:val="1"/>
    </w:lvl>
  </w:abstractNum>
  <w:abstractNum w:abstractNumId="115">
    <w:nsid w:val="5399C654"/>
    <w:multiLevelType w:val="hybridMultilevel"/>
    <w:lvl w:ilvl="0">
      <w:lvlJc w:val="left"/>
      <w:lvlText w:val="%1."/>
      <w:numFmt w:val="decimal"/>
      <w:start w:val="10"/>
    </w:lvl>
  </w:abstractNum>
  <w:abstractNum w:abstractNumId="116">
    <w:nsid w:val="20EE1348"/>
    <w:multiLevelType w:val="hybridMultilevel"/>
    <w:lvl w:ilvl="0">
      <w:lvlJc w:val="left"/>
      <w:lvlText w:val="%1."/>
      <w:numFmt w:val="decimal"/>
      <w:start w:val="11"/>
    </w:lvl>
  </w:abstractNum>
  <w:abstractNum w:abstractNumId="117">
    <w:nsid w:val="4427069A"/>
    <w:multiLevelType w:val="hybridMultilevel"/>
    <w:lvl w:ilvl="0">
      <w:lvlJc w:val="left"/>
      <w:lvlText w:val="%1."/>
      <w:numFmt w:val="decimal"/>
      <w:start w:val="12"/>
    </w:lvl>
  </w:abstractNum>
  <w:abstractNum w:abstractNumId="118">
    <w:nsid w:val="B37E80A"/>
    <w:multiLevelType w:val="hybridMultilevel"/>
    <w:lvl w:ilvl="0">
      <w:lvlJc w:val="left"/>
      <w:lvlText w:val="(%1)"/>
      <w:numFmt w:val="lowerLetter"/>
      <w:start w:val="1"/>
    </w:lvl>
  </w:abstractNum>
  <w:abstractNum w:abstractNumId="119">
    <w:nsid w:val="2157F6BC"/>
    <w:multiLevelType w:val="hybridMultilevel"/>
    <w:lvl w:ilvl="0">
      <w:lvlJc w:val="left"/>
      <w:lvlText w:val="%1."/>
      <w:numFmt w:val="decimal"/>
      <w:start w:val="13"/>
    </w:lvl>
  </w:abstractNum>
  <w:abstractNum w:abstractNumId="120">
    <w:nsid w:val="704E1DD5"/>
    <w:multiLevelType w:val="hybridMultilevel"/>
    <w:lvl w:ilvl="0">
      <w:lvlJc w:val="left"/>
      <w:lvlText w:val="%1."/>
      <w:numFmt w:val="decimal"/>
      <w:start w:val="14"/>
    </w:lvl>
  </w:abstractNum>
  <w:abstractNum w:abstractNumId="121">
    <w:nsid w:val="57D2F10E"/>
    <w:multiLevelType w:val="hybridMultilevel"/>
    <w:lvl w:ilvl="0">
      <w:lvlJc w:val="left"/>
      <w:lvlText w:val="%1."/>
      <w:numFmt w:val="decimal"/>
      <w:start w:val="15"/>
    </w:lvl>
  </w:abstractNum>
  <w:abstractNum w:abstractNumId="122">
    <w:nsid w:val="BFFAE18"/>
    <w:multiLevelType w:val="hybridMultilevel"/>
    <w:lvl w:ilvl="0">
      <w:lvlJc w:val="left"/>
      <w:lvlText w:val="%1."/>
      <w:numFmt w:val="decimal"/>
      <w:start w:val="16"/>
    </w:lvl>
  </w:abstractNum>
  <w:abstractNum w:abstractNumId="123">
    <w:nsid w:val="E3E47A8"/>
    <w:multiLevelType w:val="hybridMultilevel"/>
    <w:lvl w:ilvl="0">
      <w:lvlJc w:val="left"/>
      <w:lvlText w:val="%1."/>
      <w:numFmt w:val="decimal"/>
      <w:start w:val="1"/>
    </w:lvl>
  </w:abstractNum>
  <w:abstractNum w:abstractNumId="124">
    <w:nsid w:val="2E48F044"/>
    <w:multiLevelType w:val="hybridMultilevel"/>
    <w:lvl w:ilvl="0">
      <w:lvlJc w:val="left"/>
      <w:lvlText w:val="%1."/>
      <w:numFmt w:val="decimal"/>
      <w:start w:val="2"/>
    </w:lvl>
    <w:lvl w:ilvl="1">
      <w:lvlJc w:val="left"/>
      <w:lvlText w:val="(%2)"/>
      <w:numFmt w:val="lowerLetter"/>
      <w:start w:val="1"/>
    </w:lvl>
  </w:abstractNum>
  <w:abstractNum w:abstractNumId="125">
    <w:nsid w:val="49D0FEAC"/>
    <w:multiLevelType w:val="hybridMultilevel"/>
    <w:lvl w:ilvl="0">
      <w:lvlJc w:val="left"/>
      <w:lvlText w:val="(%1)"/>
      <w:numFmt w:val="lowerLetter"/>
      <w:start w:val="5"/>
    </w:lvl>
  </w:abstractNum>
  <w:abstractNum w:abstractNumId="126">
    <w:nsid w:val="4BEE5A5B"/>
    <w:multiLevelType w:val="hybridMultilevel"/>
    <w:lvl w:ilvl="0">
      <w:lvlJc w:val="left"/>
      <w:lvlText w:val="(%1)"/>
      <w:numFmt w:val="lowerLetter"/>
      <w:start w:val="6"/>
    </w:lvl>
    <w:lvl w:ilvl="1">
      <w:lvlJc w:val="left"/>
      <w:lvlText w:val="(%2)"/>
      <w:numFmt w:val="lowerRoman"/>
      <w:start w:val="1"/>
    </w:lvl>
  </w:abstractNum>
  <w:abstractNum w:abstractNumId="127">
    <w:nsid w:val="5551B9F3"/>
    <w:multiLevelType w:val="hybridMultilevel"/>
    <w:lvl w:ilvl="0">
      <w:lvlJc w:val="left"/>
      <w:lvlText w:val="%1"/>
      <w:numFmt w:val="decimal"/>
      <w:start w:val="1"/>
    </w:lvl>
    <w:lvl w:ilvl="1">
      <w:lvlJc w:val="left"/>
      <w:lvlText w:val="(%2)"/>
      <w:numFmt w:val="lowerLetter"/>
      <w:start w:val="18"/>
    </w:lvl>
    <w:lvl w:ilvl="2">
      <w:lvlJc w:val="left"/>
      <w:lvlText w:val="%3"/>
      <w:numFmt w:val="lowerRoman"/>
      <w:start w:val="1"/>
    </w:lvl>
  </w:abstractNum>
  <w:abstractNum w:abstractNumId="128">
    <w:nsid w:val="24F6AB8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9">
    <w:nsid w:val="634C574C"/>
    <w:multiLevelType w:val="hybridMultilevel"/>
    <w:lvl w:ilvl="0">
      <w:lvlJc w:val="left"/>
      <w:lvlText w:val="(%1)"/>
      <w:numFmt w:val="lowerLetter"/>
      <w:start w:val="2"/>
    </w:lvl>
    <w:lvl w:ilvl="1">
      <w:lvlJc w:val="left"/>
      <w:lvlText w:val="(%2)"/>
      <w:numFmt w:val="lowerRoman"/>
      <w:start w:val="1"/>
    </w:lvl>
  </w:abstractNum>
  <w:abstractNum w:abstractNumId="130">
    <w:nsid w:val="24E99DD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Letter"/>
      <w:start w:val="24"/>
    </w:lvl>
  </w:abstractNum>
  <w:abstractNum w:abstractNumId="131">
    <w:nsid w:val="2A31B62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Letter"/>
      <w:start w:val="1"/>
    </w:lvl>
  </w:abstractNum>
  <w:abstractNum w:abstractNumId="132">
    <w:nsid w:val="1849C29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33">
    <w:nsid w:val="7DFF9D09"/>
    <w:multiLevelType w:val="hybridMultilevel"/>
    <w:lvl w:ilvl="0">
      <w:lvlJc w:val="left"/>
      <w:lvlText w:val="%1."/>
      <w:numFmt w:val="decimal"/>
      <w:start w:val="5"/>
    </w:lvl>
  </w:abstractNum>
  <w:abstractNum w:abstractNumId="134">
    <w:nsid w:val="754342"/>
    <w:multiLevelType w:val="hybridMultilevel"/>
    <w:lvl w:ilvl="0">
      <w:lvlJc w:val="left"/>
      <w:lvlText w:val="(%1)"/>
      <w:numFmt w:val="lowerLetter"/>
      <w:start w:val="1"/>
    </w:lvl>
  </w:abstractNum>
  <w:abstractNum w:abstractNumId="135">
    <w:nsid w:val="69E7F3E5"/>
    <w:multiLevelType w:val="hybridMultilevel"/>
    <w:lvl w:ilvl="0">
      <w:lvlJc w:val="left"/>
      <w:lvlText w:val="(%1)"/>
      <w:numFmt w:val="lowerLetter"/>
      <w:start w:val="3"/>
    </w:lvl>
    <w:lvl w:ilvl="1">
      <w:lvlJc w:val="left"/>
      <w:lvlText w:val="(%2)"/>
      <w:numFmt w:val="lowerRoman"/>
      <w:start w:val="1"/>
    </w:lvl>
  </w:abstractNum>
  <w:abstractNum w:abstractNumId="136">
    <w:nsid w:val="2A6DE806"/>
    <w:multiLevelType w:val="hybridMultilevel"/>
    <w:lvl w:ilvl="0">
      <w:lvlJc w:val="left"/>
      <w:lvlText w:val="(%1)"/>
      <w:numFmt w:val="lowerRoman"/>
      <w:start w:val="3"/>
    </w:lvl>
  </w:abstractNum>
  <w:abstractNum w:abstractNumId="137">
    <w:nsid w:val="1816F8C4"/>
    <w:multiLevelType w:val="hybridMultilevel"/>
    <w:lvl w:ilvl="0">
      <w:lvlJc w:val="left"/>
      <w:lvlText w:val="(%1)"/>
      <w:numFmt w:val="lowerLetter"/>
      <w:start w:val="5"/>
    </w:lvl>
    <w:lvl w:ilvl="1">
      <w:lvlJc w:val="left"/>
      <w:lvlText w:val="(%2)"/>
      <w:numFmt w:val="decimal"/>
      <w:start w:val="1"/>
    </w:lvl>
  </w:abstractNum>
  <w:abstractNum w:abstractNumId="138">
    <w:nsid w:val="37DF2233"/>
    <w:multiLevelType w:val="hybridMultilevel"/>
    <w:lvl w:ilvl="0">
      <w:lvlJc w:val="left"/>
      <w:lvlText w:val="%1."/>
      <w:numFmt w:val="decimal"/>
      <w:start w:val="6"/>
    </w:lvl>
  </w:abstractNum>
  <w:abstractNum w:abstractNumId="139">
    <w:nsid w:val="7AB49DAF"/>
    <w:multiLevelType w:val="hybridMultilevel"/>
    <w:lvl w:ilvl="0">
      <w:lvlJc w:val="left"/>
      <w:lvlText w:val="%1."/>
      <w:numFmt w:val="decimal"/>
      <w:start w:val="7"/>
    </w:lvl>
  </w:abstractNum>
  <w:abstractNum w:abstractNumId="140">
    <w:nsid w:val="759F82CD"/>
    <w:multiLevelType w:val="hybridMultilevel"/>
    <w:lvl w:ilvl="0">
      <w:lvlJc w:val="left"/>
      <w:lvlText w:val="%1."/>
      <w:numFmt w:val="decimal"/>
      <w:start w:val="8"/>
    </w:lvl>
    <w:lvl w:ilvl="1">
      <w:lvlJc w:val="left"/>
      <w:lvlText w:val="(%2)"/>
      <w:numFmt w:val="lowerLetter"/>
      <w:start w:val="1"/>
    </w:lvl>
  </w:abstractNum>
  <w:abstractNum w:abstractNumId="141">
    <w:nsid w:val="61E74EA3"/>
    <w:multiLevelType w:val="hybridMultilevel"/>
    <w:lvl w:ilvl="0">
      <w:lvlJc w:val="left"/>
      <w:lvlText w:val="%1."/>
      <w:numFmt w:val="decimal"/>
      <w:start w:val="9"/>
    </w:lvl>
  </w:abstractNum>
  <w:abstractNum w:abstractNumId="142">
    <w:nsid w:val="597B4D84"/>
    <w:multiLevelType w:val="hybridMultilevel"/>
    <w:lvl w:ilvl="0">
      <w:lvlJc w:val="left"/>
      <w:lvlText w:val="%1."/>
      <w:numFmt w:val="decimal"/>
      <w:start w:val="10"/>
    </w:lvl>
  </w:abstractNum>
  <w:abstractNum w:abstractNumId="143">
    <w:nsid w:val="F819E7F"/>
    <w:multiLevelType w:val="hybridMultilevel"/>
    <w:lvl w:ilvl="0">
      <w:lvlJc w:val="left"/>
      <w:lvlText w:val="%1."/>
      <w:numFmt w:val="decimal"/>
      <w:start w:val="1"/>
    </w:lvl>
    <w:lvl w:ilvl="1">
      <w:lvlJc w:val="left"/>
      <w:lvlText w:val="%2)"/>
      <w:numFmt w:val="lowerLetter"/>
      <w:start w:val="1"/>
    </w:lvl>
  </w:abstractNum>
  <w:abstractNum w:abstractNumId="144">
    <w:nsid w:val="57C7D42D"/>
    <w:multiLevelType w:val="hybridMultilevel"/>
    <w:lvl w:ilvl="0">
      <w:lvlJc w:val="left"/>
      <w:lvlText w:val="%1."/>
      <w:numFmt w:val="decimal"/>
      <w:start w:val="1"/>
    </w:lvl>
    <w:lvl w:ilvl="1">
      <w:lvlJc w:val="left"/>
      <w:lvlText w:val="%2)"/>
      <w:numFmt w:val="lowerLetter"/>
      <w:start w:val="1"/>
    </w:lvl>
  </w:abstractNum>
  <w:abstractNum w:abstractNumId="145">
    <w:nsid w:val="312167AD"/>
    <w:multiLevelType w:val="hybridMultilevel"/>
    <w:lvl w:ilvl="0">
      <w:lvlJc w:val="left"/>
      <w:lvlText w:val="%1."/>
      <w:numFmt w:val="decimal"/>
      <w:start w:val="1"/>
    </w:lvl>
    <w:lvl w:ilvl="1">
      <w:lvlJc w:val="left"/>
      <w:lvlText w:val="%2)"/>
      <w:numFmt w:val="lowerLetter"/>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2019-12-15T06:43:19Z</dcterms:created>
  <dcterms:modified xsi:type="dcterms:W3CDTF">2019-12-15T06:43:19Z</dcterms:modified>
</cp:coreProperties>
</file>