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203835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November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191135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2520" w:type="dxa"/>
            <w:vAlign w:val="bottom"/>
          </w:tcPr>
          <w:p>
            <w:pPr>
              <w:spacing w:after="0"/>
              <w:rPr>
                <w:sz w:val="18"/>
                <w:szCs w:val="18"/>
                <w:color w:val="auto"/>
              </w:rPr>
            </w:pPr>
          </w:p>
        </w:tc>
        <w:tc>
          <w:tcPr>
            <w:tcW w:w="5320" w:type="dxa"/>
            <w:vAlign w:val="bottom"/>
          </w:tcPr>
          <w:p>
            <w:pPr>
              <w:jc w:val="center"/>
              <w:ind w:right="2379"/>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20" w:type="dxa"/>
            <w:vAlign w:val="bottom"/>
          </w:tcPr>
          <w:p>
            <w:pPr>
              <w:spacing w:after="0"/>
              <w:rPr>
                <w:sz w:val="16"/>
                <w:szCs w:val="16"/>
                <w:color w:val="auto"/>
              </w:rPr>
            </w:pPr>
          </w:p>
        </w:tc>
        <w:tc>
          <w:tcPr>
            <w:tcW w:w="532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367"/>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001-32871</w:t>
            </w:r>
          </w:p>
        </w:tc>
        <w:tc>
          <w:tcPr>
            <w:tcW w:w="5320" w:type="dxa"/>
            <w:vAlign w:val="bottom"/>
          </w:tcPr>
          <w:p>
            <w:pPr>
              <w:jc w:val="center"/>
              <w:ind w:left="3139"/>
              <w:spacing w:after="0"/>
              <w:rPr>
                <w:sz w:val="20"/>
                <w:szCs w:val="20"/>
                <w:color w:val="auto"/>
              </w:rPr>
            </w:pPr>
            <w:r>
              <w:rPr>
                <w:rFonts w:ascii="Arial" w:cs="Arial" w:eastAsia="Arial" w:hAnsi="Arial"/>
                <w:sz w:val="18"/>
                <w:szCs w:val="18"/>
                <w:b w:val="1"/>
                <w:bCs w:val="1"/>
                <w:color w:val="auto"/>
                <w:w w:val="89"/>
              </w:rPr>
              <w:t>27-0000798</w:t>
            </w:r>
          </w:p>
        </w:tc>
      </w:tr>
      <w:tr>
        <w:trPr>
          <w:trHeight w:val="186"/>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5320" w:type="dxa"/>
            <w:vAlign w:val="bottom"/>
          </w:tcPr>
          <w:p>
            <w:pPr>
              <w:jc w:val="center"/>
              <w:ind w:left="313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58"/>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One Comcast Center</w:t>
            </w:r>
          </w:p>
        </w:tc>
        <w:tc>
          <w:tcPr>
            <w:tcW w:w="5320" w:type="dxa"/>
            <w:vAlign w:val="bottom"/>
          </w:tcPr>
          <w:p>
            <w:pPr>
              <w:spacing w:after="0"/>
              <w:rPr>
                <w:sz w:val="24"/>
                <w:szCs w:val="24"/>
                <w:color w:val="auto"/>
              </w:rPr>
            </w:pPr>
          </w:p>
        </w:tc>
      </w:tr>
      <w:tr>
        <w:trPr>
          <w:trHeight w:val="212"/>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5320" w:type="dxa"/>
            <w:vAlign w:val="bottom"/>
          </w:tcPr>
          <w:p>
            <w:pPr>
              <w:jc w:val="center"/>
              <w:ind w:left="3139"/>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20" w:type="dxa"/>
            <w:vAlign w:val="bottom"/>
          </w:tcPr>
          <w:p>
            <w:pPr>
              <w:jc w:val="center"/>
              <w:ind w:left="3139"/>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186690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right="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$0.01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6"/>
                <w:szCs w:val="16"/>
                <w:color w:val="auto"/>
              </w:rPr>
            </w:pPr>
          </w:p>
        </w:tc>
        <w:tc>
          <w:tcPr>
            <w:tcW w:w="3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2.0% Exchangeable Subordinated Debentures</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CCZ</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due 2029</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5.50% Notes due 2029</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CCGBP29</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9.455% Guaranteed Notes due 2022</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CMCSA/22</w:t>
            </w:r>
          </w:p>
        </w:tc>
        <w:tc>
          <w:tcPr>
            <w:tcW w:w="1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November 5, 2019 Comcast Corporation (“Comcast”) consummated the issuance and sale of $1,600,000,000 aggregate principal amount of its 2.650% Notes due 2030, $1,350,000,000 aggregate principal amount of its 3.250% Notes due 2039 and $1,800,000,000 aggregate principal amount of its 3.450% Notes due 2050 (collectively, the “Notes”), pursuant to an underwriting agreement dated October 29, 2019 among Comcast, the Guarantors (defined below) and Mizuho Securities USA LLC, Morgan Stanley &amp; Co. LLC and SMBC Nikko Securities America, Inc.,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82"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The Notes were offered pursuant to Comcast’s Registration Statement on Form S-3 filed on August 1, 2019, as amended at the date of the underwriting agreement (Reg. No. 333-232941), including the prospectus contained therein, and a related prospectus supplement dated October 29, 2019.</w:t>
      </w:r>
    </w:p>
    <w:p>
      <w:pPr>
        <w:spacing w:after="0" w:line="181"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4.2 and Exhibit 4.3, respectively, to Comcast’s Registration Statement on Form S-3 filed on August 1, 2019, and incorporated by reference herein.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w w:val="99"/>
              </w:rPr>
              <w:t>Item 9.01(d)</w:t>
            </w:r>
          </w:p>
        </w:tc>
        <w:tc>
          <w:tcPr>
            <w:tcW w:w="588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57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7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59"/>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Form of Officers’ Certificate setting forth the terms of the Notes</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Opinion of Elizabeth Wideman, Esq.</w:t>
              </w:r>
            </w:hyperlink>
          </w:p>
        </w:tc>
        <w:tc>
          <w:tcPr>
            <w:tcW w:w="1980" w:type="dxa"/>
            <w:vAlign w:val="bottom"/>
            <w:tcBorders>
              <w:top w:val="single" w:sz="8" w:color="0000EE"/>
            </w:tcBorders>
            <w:gridSpan w:val="3"/>
          </w:tcPr>
          <w:p>
            <w:pPr>
              <w:spacing w:after="0"/>
              <w:rPr>
                <w:sz w:val="24"/>
                <w:szCs w:val="24"/>
                <w:color w:val="auto"/>
              </w:rPr>
            </w:pPr>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Opinion of Davis Polk &amp; Wardwell LLP</w:t>
              </w:r>
            </w:hyperlink>
          </w:p>
        </w:tc>
        <w:tc>
          <w:tcPr>
            <w:tcW w:w="2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Consent of Elizabeth Wideman, Esq. (contained in Exhibit 5.1)</w:t>
              </w:r>
            </w:hyperlink>
          </w:p>
        </w:tc>
        <w:tc>
          <w:tcPr>
            <w:tcW w:w="1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Consent of Davis Polk &amp; Wardwell LLP (contained in Exhibit 5.2)</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20" w:type="dxa"/>
            <w:vAlign w:val="bottom"/>
            <w:gridSpan w:val="2"/>
          </w:tcPr>
          <w:p>
            <w:pPr>
              <w:jc w:val="right"/>
              <w:ind w:right="99"/>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8"/>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7"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560" w:val="left"/>
          <w:tab w:leader="none" w:pos="6160" w:val="left"/>
        </w:tabs>
        <w:rPr>
          <w:sz w:val="20"/>
          <w:szCs w:val="20"/>
          <w:color w:val="auto"/>
        </w:rPr>
      </w:pPr>
      <w:r>
        <w:rPr>
          <w:rFonts w:ascii="Arial" w:cs="Arial" w:eastAsia="Arial" w:hAnsi="Arial"/>
          <w:sz w:val="18"/>
          <w:szCs w:val="18"/>
          <w:color w:val="auto"/>
        </w:rPr>
        <w:t>Date: November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6"/>
          <w:szCs w:val="16"/>
          <w:color w:val="auto"/>
        </w:rPr>
        <w:t>Title:</w:t>
        <w:tab/>
        <w:t>Vice President, Senior Deputy General Counsel and Assistant</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720"/>
          </w:cols>
          <w:pgMar w:left="440" w:top="297"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5, 2019</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Pursuant to Section 2.03 of the Indenture dated as of September 18, 2013, by and among 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supplemented by the First Supplemental Indenture dated as of November 17, 2015 (as amended,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$1,600,000,000 aggregate principal amount of 2.650% Notes Due 2030 (the “</w:t>
      </w:r>
      <w:r>
        <w:rPr>
          <w:rFonts w:ascii="Arial" w:cs="Arial" w:eastAsia="Arial" w:hAnsi="Arial"/>
          <w:sz w:val="18"/>
          <w:szCs w:val="18"/>
          <w:b w:val="1"/>
          <w:bCs w:val="1"/>
          <w:color w:val="auto"/>
        </w:rPr>
        <w:t>2030 Notes</w:t>
      </w:r>
      <w:r>
        <w:rPr>
          <w:rFonts w:ascii="Arial" w:cs="Arial" w:eastAsia="Arial" w:hAnsi="Arial"/>
          <w:sz w:val="18"/>
          <w:szCs w:val="18"/>
          <w:color w:val="auto"/>
        </w:rPr>
        <w:t>”), $1,350,000,000 aggregate principal amount of 3.250% Notes Due 2039 (the “</w:t>
      </w:r>
      <w:r>
        <w:rPr>
          <w:rFonts w:ascii="Arial" w:cs="Arial" w:eastAsia="Arial" w:hAnsi="Arial"/>
          <w:sz w:val="18"/>
          <w:szCs w:val="18"/>
          <w:b w:val="1"/>
          <w:bCs w:val="1"/>
          <w:color w:val="auto"/>
        </w:rPr>
        <w:t>2039 Notes</w:t>
      </w:r>
      <w:r>
        <w:rPr>
          <w:rFonts w:ascii="Arial" w:cs="Arial" w:eastAsia="Arial" w:hAnsi="Arial"/>
          <w:sz w:val="18"/>
          <w:szCs w:val="18"/>
          <w:color w:val="auto"/>
        </w:rPr>
        <w:t>”) and $1,800,000,000 aggregate principal amount of 3.450% Notes Due 2050 (the “</w:t>
      </w:r>
      <w:r>
        <w:rPr>
          <w:rFonts w:ascii="Arial" w:cs="Arial" w:eastAsia="Arial" w:hAnsi="Arial"/>
          <w:sz w:val="18"/>
          <w:szCs w:val="18"/>
          <w:b w:val="1"/>
          <w:bCs w:val="1"/>
          <w:color w:val="auto"/>
        </w:rPr>
        <w:t>2050 Notes</w:t>
      </w:r>
      <w:r>
        <w:rPr>
          <w:rFonts w:ascii="Arial" w:cs="Arial" w:eastAsia="Arial" w:hAnsi="Arial"/>
          <w:sz w:val="18"/>
          <w:szCs w:val="18"/>
          <w:color w:val="auto"/>
        </w:rPr>
        <w:t>,” and together with the 2030 Notes and 2039 Notes, the “</w:t>
      </w:r>
      <w:r>
        <w:rPr>
          <w:rFonts w:ascii="Arial" w:cs="Arial" w:eastAsia="Arial" w:hAnsi="Arial"/>
          <w:sz w:val="18"/>
          <w:szCs w:val="18"/>
          <w:b w:val="1"/>
          <w:bCs w:val="1"/>
          <w:color w:val="auto"/>
        </w:rPr>
        <w:t>Notes</w:t>
      </w:r>
      <w:r>
        <w:rPr>
          <w:rFonts w:ascii="Arial" w:cs="Arial" w:eastAsia="Arial" w:hAnsi="Arial"/>
          <w:sz w:val="18"/>
          <w:szCs w:val="18"/>
          <w:color w:val="auto"/>
        </w:rPr>
        <w:t>”), that the terms of the Notes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650%</w:t>
            </w:r>
            <w:r>
              <w:rPr>
                <w:rFonts w:ascii="Arial" w:cs="Arial" w:eastAsia="Arial" w:hAnsi="Arial"/>
                <w:sz w:val="18"/>
                <w:szCs w:val="18"/>
                <w:b w:val="1"/>
                <w:bCs w:val="1"/>
                <w:color w:val="auto"/>
              </w:rPr>
              <w:t xml:space="preserve"> Notes Due 2030</w:t>
            </w:r>
          </w:p>
        </w:tc>
      </w:tr>
      <w:tr>
        <w:trPr>
          <w:trHeight w:val="20"/>
        </w:trPr>
        <w:tc>
          <w:tcPr>
            <w:tcW w:w="30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345"/>
        </w:trPr>
        <w:tc>
          <w:tcPr>
            <w:tcW w:w="306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900" w:type="dxa"/>
            <w:vAlign w:val="bottom"/>
            <w:gridSpan w:val="2"/>
          </w:tcPr>
          <w:p>
            <w:pPr>
              <w:ind w:left="360"/>
              <w:spacing w:after="0"/>
              <w:rPr>
                <w:sz w:val="20"/>
                <w:szCs w:val="20"/>
                <w:color w:val="auto"/>
              </w:rPr>
            </w:pPr>
            <w:r>
              <w:rPr>
                <w:rFonts w:ascii="Arial" w:cs="Arial" w:eastAsia="Arial" w:hAnsi="Arial"/>
                <w:sz w:val="18"/>
                <w:szCs w:val="18"/>
                <w:color w:val="auto"/>
              </w:rPr>
              <w:t>2.650% Notes Due 2030</w:t>
            </w:r>
          </w:p>
        </w:tc>
      </w:tr>
      <w:tr>
        <w:trPr>
          <w:trHeight w:val="324"/>
        </w:trPr>
        <w:tc>
          <w:tcPr>
            <w:tcW w:w="3060" w:type="dxa"/>
            <w:vAlign w:val="bottom"/>
          </w:tcPr>
          <w:p>
            <w:pPr>
              <w:spacing w:after="0"/>
              <w:rPr>
                <w:sz w:val="20"/>
                <w:szCs w:val="20"/>
                <w:color w:val="auto"/>
              </w:rPr>
            </w:pPr>
            <w:r>
              <w:rPr>
                <w:rFonts w:ascii="Arial" w:cs="Arial" w:eastAsia="Arial" w:hAnsi="Arial"/>
                <w:sz w:val="18"/>
                <w:szCs w:val="18"/>
                <w:i w:val="1"/>
                <w:iCs w:val="1"/>
                <w:color w:val="auto"/>
                <w:w w:val="95"/>
              </w:rPr>
              <w:t>Aggregate Principal Amount at Maturity:</w:t>
            </w:r>
          </w:p>
        </w:tc>
        <w:tc>
          <w:tcPr>
            <w:tcW w:w="1820" w:type="dxa"/>
            <w:vAlign w:val="bottom"/>
          </w:tcPr>
          <w:p>
            <w:pPr>
              <w:ind w:left="360"/>
              <w:spacing w:after="0"/>
              <w:rPr>
                <w:sz w:val="20"/>
                <w:szCs w:val="20"/>
                <w:color w:val="auto"/>
              </w:rPr>
            </w:pPr>
            <w:r>
              <w:rPr>
                <w:rFonts w:ascii="Arial" w:cs="Arial" w:eastAsia="Arial" w:hAnsi="Arial"/>
                <w:sz w:val="18"/>
                <w:szCs w:val="18"/>
                <w:color w:val="auto"/>
              </w:rPr>
              <w:t>$1,600,000,000</w:t>
            </w:r>
          </w:p>
        </w:tc>
        <w:tc>
          <w:tcPr>
            <w:tcW w:w="6080" w:type="dxa"/>
            <w:vAlign w:val="bottom"/>
          </w:tcPr>
          <w:p>
            <w:pPr>
              <w:spacing w:after="0"/>
              <w:rPr>
                <w:sz w:val="24"/>
                <w:szCs w:val="24"/>
                <w:color w:val="auto"/>
              </w:rPr>
            </w:pPr>
          </w:p>
        </w:tc>
      </w:tr>
      <w:tr>
        <w:trPr>
          <w:trHeight w:val="324"/>
        </w:trPr>
        <w:tc>
          <w:tcPr>
            <w:tcW w:w="306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900" w:type="dxa"/>
            <w:vAlign w:val="bottom"/>
            <w:gridSpan w:val="2"/>
          </w:tcPr>
          <w:p>
            <w:pPr>
              <w:ind w:left="360"/>
              <w:spacing w:after="0"/>
              <w:rPr>
                <w:sz w:val="20"/>
                <w:szCs w:val="20"/>
                <w:color w:val="auto"/>
              </w:rPr>
            </w:pPr>
            <w:r>
              <w:rPr>
                <w:rFonts w:ascii="Arial" w:cs="Arial" w:eastAsia="Arial" w:hAnsi="Arial"/>
                <w:sz w:val="18"/>
                <w:szCs w:val="18"/>
                <w:color w:val="auto"/>
              </w:rPr>
              <w:t>February 1, 2030</w:t>
            </w:r>
          </w:p>
        </w:tc>
      </w:tr>
      <w:tr>
        <w:trPr>
          <w:trHeight w:val="324"/>
        </w:trPr>
        <w:tc>
          <w:tcPr>
            <w:tcW w:w="306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820" w:type="dxa"/>
            <w:vAlign w:val="bottom"/>
          </w:tcPr>
          <w:p>
            <w:pPr>
              <w:ind w:left="360"/>
              <w:spacing w:after="0"/>
              <w:rPr>
                <w:sz w:val="20"/>
                <w:szCs w:val="20"/>
                <w:color w:val="auto"/>
              </w:rPr>
            </w:pPr>
            <w:r>
              <w:rPr>
                <w:rFonts w:ascii="Arial" w:cs="Arial" w:eastAsia="Arial" w:hAnsi="Arial"/>
                <w:sz w:val="18"/>
                <w:szCs w:val="18"/>
                <w:color w:val="auto"/>
              </w:rPr>
              <w:t>2.650%</w:t>
            </w:r>
          </w:p>
        </w:tc>
        <w:tc>
          <w:tcPr>
            <w:tcW w:w="6080" w:type="dxa"/>
            <w:vAlign w:val="bottom"/>
          </w:tcPr>
          <w:p>
            <w:pPr>
              <w:spacing w:after="0"/>
              <w:rPr>
                <w:sz w:val="24"/>
                <w:szCs w:val="24"/>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900" w:type="dxa"/>
            <w:vAlign w:val="bottom"/>
            <w:gridSpan w:val="2"/>
          </w:tcPr>
          <w:p>
            <w:pPr>
              <w:ind w:left="360"/>
              <w:spacing w:after="0"/>
              <w:rPr>
                <w:sz w:val="20"/>
                <w:szCs w:val="20"/>
                <w:color w:val="auto"/>
              </w:rPr>
            </w:pPr>
            <w:r>
              <w:rPr>
                <w:rFonts w:ascii="Arial" w:cs="Arial" w:eastAsia="Arial" w:hAnsi="Arial"/>
                <w:sz w:val="18"/>
                <w:szCs w:val="18"/>
                <w:color w:val="auto"/>
                <w:w w:val="93"/>
              </w:rPr>
              <w:t>The Company may at its option redeem the 2030 Notes in whole or in part, at any time or from time to</w:t>
            </w:r>
          </w:p>
        </w:tc>
      </w:tr>
      <w:tr>
        <w:trPr>
          <w:trHeight w:val="216"/>
        </w:trPr>
        <w:tc>
          <w:tcPr>
            <w:tcW w:w="3060" w:type="dxa"/>
            <w:vAlign w:val="bottom"/>
          </w:tcPr>
          <w:p>
            <w:pPr>
              <w:spacing w:after="0"/>
              <w:rPr>
                <w:sz w:val="18"/>
                <w:szCs w:val="18"/>
                <w:color w:val="auto"/>
              </w:rPr>
            </w:pPr>
          </w:p>
        </w:tc>
        <w:tc>
          <w:tcPr>
            <w:tcW w:w="7900" w:type="dxa"/>
            <w:vAlign w:val="bottom"/>
            <w:gridSpan w:val="2"/>
          </w:tcPr>
          <w:p>
            <w:pPr>
              <w:ind w:left="360"/>
              <w:spacing w:after="0"/>
              <w:rPr>
                <w:sz w:val="20"/>
                <w:szCs w:val="20"/>
                <w:color w:val="auto"/>
              </w:rPr>
            </w:pPr>
            <w:r>
              <w:rPr>
                <w:rFonts w:ascii="Arial" w:cs="Arial" w:eastAsia="Arial" w:hAnsi="Arial"/>
                <w:sz w:val="18"/>
                <w:szCs w:val="18"/>
                <w:color w:val="auto"/>
                <w:w w:val="98"/>
              </w:rPr>
              <w:t>time prior to their maturity, on at least 15 days, but not more than 30 days, prior notice delivered</w:t>
            </w:r>
          </w:p>
        </w:tc>
      </w:tr>
      <w:tr>
        <w:trPr>
          <w:trHeight w:val="216"/>
        </w:trPr>
        <w:tc>
          <w:tcPr>
            <w:tcW w:w="3060" w:type="dxa"/>
            <w:vAlign w:val="bottom"/>
          </w:tcPr>
          <w:p>
            <w:pPr>
              <w:spacing w:after="0"/>
              <w:rPr>
                <w:sz w:val="18"/>
                <w:szCs w:val="18"/>
                <w:color w:val="auto"/>
              </w:rPr>
            </w:pPr>
          </w:p>
        </w:tc>
        <w:tc>
          <w:tcPr>
            <w:tcW w:w="7900" w:type="dxa"/>
            <w:vAlign w:val="bottom"/>
            <w:gridSpan w:val="2"/>
          </w:tcPr>
          <w:p>
            <w:pPr>
              <w:ind w:left="360"/>
              <w:spacing w:after="0"/>
              <w:rPr>
                <w:sz w:val="20"/>
                <w:szCs w:val="20"/>
                <w:color w:val="auto"/>
              </w:rPr>
            </w:pPr>
            <w:r>
              <w:rPr>
                <w:rFonts w:ascii="Arial" w:cs="Arial" w:eastAsia="Arial" w:hAnsi="Arial"/>
                <w:sz w:val="18"/>
                <w:szCs w:val="18"/>
                <w:color w:val="auto"/>
                <w:w w:val="92"/>
              </w:rPr>
              <w:t>electronically or mailed to the registered address of each holder of the 2030 Notes, at the “Redemption</w:t>
            </w:r>
          </w:p>
        </w:tc>
      </w:tr>
      <w:tr>
        <w:trPr>
          <w:trHeight w:val="212"/>
        </w:trPr>
        <w:tc>
          <w:tcPr>
            <w:tcW w:w="3060" w:type="dxa"/>
            <w:vAlign w:val="bottom"/>
          </w:tcPr>
          <w:p>
            <w:pPr>
              <w:spacing w:after="0"/>
              <w:rPr>
                <w:sz w:val="18"/>
                <w:szCs w:val="18"/>
                <w:color w:val="auto"/>
              </w:rPr>
            </w:pPr>
          </w:p>
        </w:tc>
        <w:tc>
          <w:tcPr>
            <w:tcW w:w="7900" w:type="dxa"/>
            <w:vAlign w:val="bottom"/>
            <w:gridSpan w:val="2"/>
          </w:tcPr>
          <w:p>
            <w:pPr>
              <w:ind w:left="360"/>
              <w:spacing w:after="0"/>
              <w:rPr>
                <w:sz w:val="20"/>
                <w:szCs w:val="20"/>
                <w:color w:val="auto"/>
              </w:rPr>
            </w:pPr>
            <w:r>
              <w:rPr>
                <w:rFonts w:ascii="Arial" w:cs="Arial" w:eastAsia="Arial" w:hAnsi="Arial"/>
                <w:sz w:val="18"/>
                <w:szCs w:val="18"/>
                <w:color w:val="auto"/>
                <w:w w:val="91"/>
              </w:rPr>
              <w:t>Price.” The Company will calculate the Redemption Price in connection with any redemption hereunder.</w:t>
            </w:r>
          </w:p>
        </w:tc>
      </w:tr>
      <w:tr>
        <w:trPr>
          <w:trHeight w:val="216"/>
        </w:trPr>
        <w:tc>
          <w:tcPr>
            <w:tcW w:w="3060" w:type="dxa"/>
            <w:vAlign w:val="bottom"/>
          </w:tcPr>
          <w:p>
            <w:pPr>
              <w:spacing w:after="0"/>
              <w:rPr>
                <w:sz w:val="18"/>
                <w:szCs w:val="18"/>
                <w:color w:val="auto"/>
              </w:rPr>
            </w:pPr>
          </w:p>
        </w:tc>
        <w:tc>
          <w:tcPr>
            <w:tcW w:w="7900" w:type="dxa"/>
            <w:vAlign w:val="bottom"/>
            <w:gridSpan w:val="2"/>
          </w:tcPr>
          <w:p>
            <w:pPr>
              <w:ind w:left="360"/>
              <w:spacing w:after="0"/>
              <w:rPr>
                <w:sz w:val="20"/>
                <w:szCs w:val="20"/>
                <w:color w:val="auto"/>
              </w:rPr>
            </w:pPr>
            <w:r>
              <w:rPr>
                <w:rFonts w:ascii="Arial" w:cs="Arial" w:eastAsia="Arial" w:hAnsi="Arial"/>
                <w:sz w:val="18"/>
                <w:szCs w:val="18"/>
                <w:color w:val="auto"/>
                <w:w w:val="95"/>
              </w:rPr>
              <w:t>Prior to November 1, 2029 (three (3) months prior to the maturity of the 2030 Notes) (the “</w:t>
            </w:r>
            <w:r>
              <w:rPr>
                <w:rFonts w:ascii="Arial" w:cs="Arial" w:eastAsia="Arial" w:hAnsi="Arial"/>
                <w:sz w:val="18"/>
                <w:szCs w:val="18"/>
                <w:b w:val="1"/>
                <w:bCs w:val="1"/>
                <w:color w:val="auto"/>
                <w:w w:val="95"/>
              </w:rPr>
              <w:t>2030 Par</w:t>
            </w:r>
          </w:p>
        </w:tc>
      </w:tr>
      <w:tr>
        <w:trPr>
          <w:trHeight w:val="220"/>
        </w:trPr>
        <w:tc>
          <w:tcPr>
            <w:tcW w:w="3060" w:type="dxa"/>
            <w:vAlign w:val="bottom"/>
          </w:tcPr>
          <w:p>
            <w:pPr>
              <w:spacing w:after="0"/>
              <w:rPr>
                <w:sz w:val="19"/>
                <w:szCs w:val="19"/>
                <w:color w:val="auto"/>
              </w:rPr>
            </w:pPr>
          </w:p>
        </w:tc>
        <w:tc>
          <w:tcPr>
            <w:tcW w:w="7900" w:type="dxa"/>
            <w:vAlign w:val="bottom"/>
            <w:gridSpan w:val="2"/>
          </w:tcPr>
          <w:p>
            <w:pPr>
              <w:ind w:left="360"/>
              <w:spacing w:after="0"/>
              <w:rPr>
                <w:sz w:val="20"/>
                <w:szCs w:val="20"/>
                <w:color w:val="auto"/>
              </w:rPr>
            </w:pPr>
            <w:r>
              <w:rPr>
                <w:rFonts w:ascii="Arial" w:cs="Arial" w:eastAsia="Arial" w:hAnsi="Arial"/>
                <w:sz w:val="18"/>
                <w:szCs w:val="18"/>
                <w:b w:val="1"/>
                <w:bCs w:val="1"/>
                <w:color w:val="auto"/>
                <w:w w:val="92"/>
              </w:rPr>
              <w:t>Call Date</w:t>
            </w:r>
            <w:r>
              <w:rPr>
                <w:rFonts w:ascii="Arial" w:cs="Arial" w:eastAsia="Arial" w:hAnsi="Arial"/>
                <w:sz w:val="18"/>
                <w:szCs w:val="18"/>
                <w:color w:val="auto"/>
                <w:w w:val="92"/>
              </w:rPr>
              <w:t>”), the Redemption Price is the greater of (i) 100% of the principal amount of the 2030 Notes,</w:t>
            </w:r>
          </w:p>
        </w:tc>
      </w:tr>
      <w:tr>
        <w:trPr>
          <w:trHeight w:val="230"/>
        </w:trPr>
        <w:tc>
          <w:tcPr>
            <w:tcW w:w="3060" w:type="dxa"/>
            <w:vAlign w:val="bottom"/>
          </w:tcPr>
          <w:p>
            <w:pPr>
              <w:spacing w:after="0"/>
              <w:rPr>
                <w:sz w:val="20"/>
                <w:szCs w:val="20"/>
                <w:color w:val="auto"/>
              </w:rPr>
            </w:pPr>
          </w:p>
        </w:tc>
        <w:tc>
          <w:tcPr>
            <w:tcW w:w="7900" w:type="dxa"/>
            <w:vAlign w:val="bottom"/>
            <w:gridSpan w:val="2"/>
          </w:tcPr>
          <w:p>
            <w:pPr>
              <w:ind w:left="360"/>
              <w:spacing w:after="0"/>
              <w:rPr>
                <w:sz w:val="20"/>
                <w:szCs w:val="20"/>
                <w:color w:val="auto"/>
              </w:rPr>
            </w:pPr>
            <w:r>
              <w:rPr>
                <w:rFonts w:ascii="Arial" w:cs="Arial" w:eastAsia="Arial" w:hAnsi="Arial"/>
                <w:sz w:val="18"/>
                <w:szCs w:val="18"/>
                <w:color w:val="auto"/>
              </w:rPr>
              <w:t>and (ii) the sum of the present values of the principal amount of such notes and the scheduled</w:t>
            </w:r>
          </w:p>
        </w:tc>
      </w:tr>
    </w:tbl>
    <w:p>
      <w:pPr>
        <w:sectPr>
          <w:pgSz w:w="11900" w:h="16838" w:orient="portrait"/>
          <w:cols w:equalWidth="0" w:num="1">
            <w:col w:w="11020"/>
          </w:cols>
          <w:pgMar w:left="440" w:top="121"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rPr>
              <w:t>payments of interest thereon (exclusive of interest accrued to the date of redemption) from the</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8"/>
              </w:rPr>
              <w:t>redemption date to the 2030 Par Call Date, in each case discounted to the redemption date on a</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89"/>
              </w:rPr>
              <w:t>semiannual basis (assuming a 360-day year consisting of twelve 30-day months) at the Treasury Rate (as</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3"/>
              </w:rPr>
              <w:t>defined in the 2030 Notes) plus 15 basis points. On and after the 2030 Par Call Date, the Redemption</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0"/>
              </w:rPr>
              <w:t>Price will equal 100% of the principal amount of such notes. In each case described in this paragraph, the</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0"/>
              </w:rPr>
              <w:t>Redemption Price will include accrued and unpaid interest thereon to the date of redemption, and in each</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2"/>
              </w:rPr>
              <w:t>case described in this paragraph, subject to the further description in the Prospectus Supplement dated</w:t>
            </w:r>
          </w:p>
        </w:tc>
      </w:tr>
      <w:tr>
        <w:trPr>
          <w:trHeight w:val="230"/>
        </w:trPr>
        <w:tc>
          <w:tcPr>
            <w:tcW w:w="3060" w:type="dxa"/>
            <w:vAlign w:val="bottom"/>
          </w:tcPr>
          <w:p>
            <w:pPr>
              <w:spacing w:after="0"/>
              <w:rPr>
                <w:sz w:val="20"/>
                <w:szCs w:val="20"/>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rPr>
              <w:t>October 29, 2019.</w:t>
            </w:r>
          </w:p>
        </w:tc>
      </w:tr>
      <w:tr>
        <w:trPr>
          <w:trHeight w:val="310"/>
        </w:trPr>
        <w:tc>
          <w:tcPr>
            <w:tcW w:w="306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0"/>
              </w:rPr>
              <w:t>The 2030 Notes need not be issued at the same time and the series may be reopened for issuance of an</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6"/>
              </w:rPr>
              <w:t>unlimited principal amount of additional 2030 Notes under this series. Additional 2030 Notes of this</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2"/>
              </w:rPr>
              <w:t>series may be consolidated with, and form a single series with, 2030 Notes then outstanding, including</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1"/>
              </w:rPr>
              <w:t>for purposes of determining whether the required percentage of the holders of record has given approval</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1"/>
              </w:rPr>
              <w:t>or consent to an amendment or waiver or joined in directing the Trustee to take certain actions on behalf</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6"/>
              </w:rPr>
              <w:t>of all holders; provided that if such additional 2030 Notes are not fungible with the 2030 Notes then</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5"/>
              </w:rPr>
              <w:t>outstanding for U.S. federal income tax purposes, such additional 2030 Notes will have one or more</w:t>
            </w:r>
          </w:p>
        </w:tc>
      </w:tr>
      <w:tr>
        <w:trPr>
          <w:trHeight w:val="230"/>
        </w:trPr>
        <w:tc>
          <w:tcPr>
            <w:tcW w:w="3060" w:type="dxa"/>
            <w:vAlign w:val="bottom"/>
          </w:tcPr>
          <w:p>
            <w:pPr>
              <w:spacing w:after="0"/>
              <w:rPr>
                <w:sz w:val="20"/>
                <w:szCs w:val="20"/>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rPr>
              <w:t>separate CUSIP numbers.</w:t>
            </w:r>
          </w:p>
        </w:tc>
      </w:tr>
      <w:tr>
        <w:trPr>
          <w:trHeight w:val="324"/>
        </w:trPr>
        <w:tc>
          <w:tcPr>
            <w:tcW w:w="30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rPr>
              <w:t>None</w:t>
            </w:r>
          </w:p>
        </w:tc>
      </w:tr>
      <w:tr>
        <w:trPr>
          <w:trHeight w:val="324"/>
        </w:trPr>
        <w:tc>
          <w:tcPr>
            <w:tcW w:w="30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rPr>
              <w:t>None</w:t>
            </w:r>
          </w:p>
        </w:tc>
      </w:tr>
      <w:tr>
        <w:trPr>
          <w:trHeight w:val="306"/>
        </w:trPr>
        <w:tc>
          <w:tcPr>
            <w:tcW w:w="30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0"/>
              </w:rPr>
              <w:t>The terms of the 2030 Notes shall include such other terms as are set forth in the Form of Note Due 2030</w:t>
            </w:r>
          </w:p>
        </w:tc>
      </w:tr>
      <w:tr>
        <w:trPr>
          <w:trHeight w:val="194"/>
        </w:trPr>
        <w:tc>
          <w:tcPr>
            <w:tcW w:w="3060" w:type="dxa"/>
            <w:vAlign w:val="bottom"/>
          </w:tcPr>
          <w:p>
            <w:pPr>
              <w:spacing w:after="0"/>
              <w:rPr>
                <w:sz w:val="16"/>
                <w:szCs w:val="16"/>
                <w:color w:val="auto"/>
              </w:rPr>
            </w:pPr>
          </w:p>
        </w:tc>
        <w:tc>
          <w:tcPr>
            <w:tcW w:w="7940" w:type="dxa"/>
            <w:vAlign w:val="bottom"/>
            <w:gridSpan w:val="4"/>
          </w:tcPr>
          <w:p>
            <w:pPr>
              <w:ind w:left="360"/>
              <w:spacing w:after="0" w:line="194" w:lineRule="exact"/>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3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439"/>
        </w:trPr>
        <w:tc>
          <w:tcPr>
            <w:tcW w:w="3060" w:type="dxa"/>
            <w:vAlign w:val="bottom"/>
          </w:tcPr>
          <w:p>
            <w:pPr>
              <w:spacing w:after="0"/>
              <w:rPr>
                <w:sz w:val="24"/>
                <w:szCs w:val="24"/>
                <w:color w:val="auto"/>
              </w:rPr>
            </w:pPr>
          </w:p>
        </w:tc>
        <w:tc>
          <w:tcPr>
            <w:tcW w:w="7940" w:type="dxa"/>
            <w:vAlign w:val="bottom"/>
            <w:gridSpan w:val="4"/>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250%</w:t>
            </w:r>
            <w:r>
              <w:rPr>
                <w:rFonts w:ascii="Arial" w:cs="Arial" w:eastAsia="Arial" w:hAnsi="Arial"/>
                <w:sz w:val="18"/>
                <w:szCs w:val="18"/>
                <w:b w:val="1"/>
                <w:bCs w:val="1"/>
                <w:color w:val="auto"/>
              </w:rPr>
              <w:t xml:space="preserve"> Notes Due 2039</w:t>
            </w:r>
          </w:p>
        </w:tc>
      </w:tr>
      <w:tr>
        <w:trPr>
          <w:trHeight w:val="20"/>
        </w:trPr>
        <w:tc>
          <w:tcPr>
            <w:tcW w:w="3060" w:type="dxa"/>
            <w:vAlign w:val="bottom"/>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345"/>
        </w:trPr>
        <w:tc>
          <w:tcPr>
            <w:tcW w:w="306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rPr>
              <w:t>3.250% Notes Due 2039</w:t>
            </w:r>
          </w:p>
        </w:tc>
      </w:tr>
      <w:tr>
        <w:trPr>
          <w:trHeight w:val="324"/>
        </w:trPr>
        <w:tc>
          <w:tcPr>
            <w:tcW w:w="3060" w:type="dxa"/>
            <w:vAlign w:val="bottom"/>
          </w:tcPr>
          <w:p>
            <w:pPr>
              <w:spacing w:after="0"/>
              <w:rPr>
                <w:sz w:val="20"/>
                <w:szCs w:val="20"/>
                <w:color w:val="auto"/>
              </w:rPr>
            </w:pPr>
            <w:r>
              <w:rPr>
                <w:rFonts w:ascii="Arial" w:cs="Arial" w:eastAsia="Arial" w:hAnsi="Arial"/>
                <w:sz w:val="18"/>
                <w:szCs w:val="18"/>
                <w:i w:val="1"/>
                <w:iCs w:val="1"/>
                <w:color w:val="auto"/>
                <w:w w:val="95"/>
              </w:rPr>
              <w:t>Aggregate Principal Amount at Maturity:</w:t>
            </w:r>
          </w:p>
        </w:tc>
        <w:tc>
          <w:tcPr>
            <w:tcW w:w="1700" w:type="dxa"/>
            <w:vAlign w:val="bottom"/>
          </w:tcPr>
          <w:p>
            <w:pPr>
              <w:ind w:left="360"/>
              <w:spacing w:after="0"/>
              <w:rPr>
                <w:sz w:val="20"/>
                <w:szCs w:val="20"/>
                <w:color w:val="auto"/>
              </w:rPr>
            </w:pPr>
            <w:r>
              <w:rPr>
                <w:rFonts w:ascii="Arial" w:cs="Arial" w:eastAsia="Arial" w:hAnsi="Arial"/>
                <w:sz w:val="18"/>
                <w:szCs w:val="18"/>
                <w:color w:val="auto"/>
              </w:rPr>
              <w:t>$1,350,000,000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-269875</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700" w:space="720"/>
            <w:col w:w="7540"/>
          </w:cols>
          <w:pgMar w:left="440" w:top="382" w:right="499" w:bottom="1440" w:gutter="0" w:footer="0" w:header="0"/>
        </w:sectPr>
      </w:pPr>
    </w:p>
    <w:p>
      <w:pPr>
        <w:spacing w:after="0"/>
        <w:rPr>
          <w:sz w:val="20"/>
          <w:szCs w:val="20"/>
          <w:color w:val="auto"/>
        </w:rPr>
      </w:pPr>
      <w:r>
        <w:rPr>
          <w:rFonts w:ascii="Arial" w:cs="Arial" w:eastAsia="Arial" w:hAnsi="Arial"/>
          <w:sz w:val="16"/>
          <w:szCs w:val="16"/>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3.250%</w:t>
      </w:r>
    </w:p>
    <w:p>
      <w:pPr>
        <w:spacing w:after="0" w:line="140" w:lineRule="exact"/>
        <w:rPr>
          <w:sz w:val="20"/>
          <w:szCs w:val="20"/>
          <w:color w:val="auto"/>
        </w:rPr>
      </w:pPr>
    </w:p>
    <w:p>
      <w:pPr>
        <w:sectPr>
          <w:pgSz w:w="11900" w:h="16838" w:orient="portrait"/>
          <w:cols w:equalWidth="0" w:num="2">
            <w:col w:w="2700" w:space="720"/>
            <w:col w:w="7540"/>
          </w:cols>
          <w:pgMar w:left="440" w:top="382" w:right="4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The Company may at its option redeem the 2039 Notes in whole or in part, at any time or from time to time prior to their maturity, on at least 15 days, but not more than 30 days, prior notice delivered electronically or mailed to the registered address of each holder of the 2039 Notes, at the “Redemption Price.” The Company will calculate the Redemption Price in connection with any redemption hereunder. Prior to May 1, 2039 (six (6) months prior to the maturity of the 2039 Notes) (the “</w:t>
      </w:r>
      <w:r>
        <w:rPr>
          <w:rFonts w:ascii="Arial" w:cs="Arial" w:eastAsia="Arial" w:hAnsi="Arial"/>
          <w:sz w:val="16"/>
          <w:szCs w:val="16"/>
          <w:b w:val="1"/>
          <w:bCs w:val="1"/>
          <w:color w:val="auto"/>
        </w:rPr>
        <w:t>2039 Par Call</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Redemption Price is the greater of (i) 100% of the principal amount of the 2039 Notes, and</w:t>
      </w:r>
      <w:r>
        <w:rPr>
          <w:rFonts w:ascii="Arial" w:cs="Arial" w:eastAsia="Arial" w:hAnsi="Arial"/>
          <w:sz w:val="16"/>
          <w:szCs w:val="16"/>
          <w:b w:val="1"/>
          <w:bCs w:val="1"/>
          <w:color w:val="auto"/>
        </w:rPr>
        <w:t xml:space="preserve"> </w:t>
      </w:r>
      <w:r>
        <w:rPr>
          <w:rFonts w:ascii="Arial" w:cs="Arial" w:eastAsia="Arial" w:hAnsi="Arial"/>
          <w:sz w:val="16"/>
          <w:szCs w:val="16"/>
          <w:color w:val="auto"/>
        </w:rPr>
        <w:t>(ii) the sum of the present values of the principal amount of such notes and the scheduled payments of interest thereon (exclusive of interest accrued to the date of redemption) from the redemption date to the 2039 Par Call Date, in each case discounted to the redemption date on a semiannual basis (assuming a 360-day year consisting of twelve 30-day months) at the Treasury Rate (as defined in the 2039 Notes) plus 15 basis points. On and after the 2039 Par Call Date, the Redemption Price will equal 100% of the principal amount of such notes. In each case described in this paragraph, the Redemption Price will include accrued and unpaid interest thereon to the date of redemption, and in each case described in this paragraph, subject to the further description in the Prospectus Supplement dated October 29, 2019.</w:t>
      </w:r>
    </w:p>
    <w:p>
      <w:pPr>
        <w:spacing w:after="0" w:line="200" w:lineRule="exact"/>
        <w:rPr>
          <w:sz w:val="20"/>
          <w:szCs w:val="20"/>
          <w:color w:val="auto"/>
        </w:rPr>
      </w:pPr>
    </w:p>
    <w:p>
      <w:pPr>
        <w:sectPr>
          <w:pgSz w:w="11900" w:h="16838" w:orient="portrait"/>
          <w:cols w:equalWidth="0" w:num="2">
            <w:col w:w="2700" w:space="720"/>
            <w:col w:w="7540"/>
          </w:cols>
          <w:pgMar w:left="440" w:top="382" w:right="49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Issuances: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2039 Notes need not be issued at the same time and the series may be reopened for issuance of an unlimited principal amount of additional 2039 Notes under this series. Additional 2039 Notes of this series may be consolidated with, and form a single series with, 2039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2039 Notes are not fungible with the 2039 Notes then outstanding for U.S. federal income tax purposes, such additional 2039 Notes will have one or more separate CUSIP numbers.</w:t>
      </w:r>
    </w:p>
    <w:p>
      <w:pPr>
        <w:sectPr>
          <w:pgSz w:w="11900" w:h="16838" w:orient="portrait"/>
          <w:cols w:equalWidth="0" w:num="2">
            <w:col w:w="2700" w:space="720"/>
            <w:col w:w="7540"/>
          </w:cols>
          <w:pgMar w:left="440" w:top="382" w:right="4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rPr>
              <w:t>None</w:t>
            </w:r>
          </w:p>
        </w:tc>
      </w:tr>
      <w:tr>
        <w:trPr>
          <w:trHeight w:val="324"/>
        </w:trPr>
        <w:tc>
          <w:tcPr>
            <w:tcW w:w="30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rPr>
              <w:t>None</w:t>
            </w:r>
          </w:p>
        </w:tc>
      </w:tr>
      <w:tr>
        <w:trPr>
          <w:trHeight w:val="306"/>
        </w:trPr>
        <w:tc>
          <w:tcPr>
            <w:tcW w:w="30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0"/>
              </w:rPr>
              <w:t>The terms of the 2039 Notes shall include such other terms as are set forth in the Form of Note Due 2039</w:t>
            </w:r>
          </w:p>
        </w:tc>
      </w:tr>
      <w:tr>
        <w:trPr>
          <w:trHeight w:val="194"/>
        </w:trPr>
        <w:tc>
          <w:tcPr>
            <w:tcW w:w="3060" w:type="dxa"/>
            <w:vAlign w:val="bottom"/>
          </w:tcPr>
          <w:p>
            <w:pPr>
              <w:spacing w:after="0"/>
              <w:rPr>
                <w:sz w:val="16"/>
                <w:szCs w:val="16"/>
                <w:color w:val="auto"/>
              </w:rPr>
            </w:pPr>
          </w:p>
        </w:tc>
        <w:tc>
          <w:tcPr>
            <w:tcW w:w="7940" w:type="dxa"/>
            <w:vAlign w:val="bottom"/>
            <w:gridSpan w:val="4"/>
          </w:tcPr>
          <w:p>
            <w:pPr>
              <w:ind w:left="360"/>
              <w:spacing w:after="0" w:line="194" w:lineRule="exact"/>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3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412"/>
        </w:trPr>
        <w:tc>
          <w:tcPr>
            <w:tcW w:w="3060" w:type="dxa"/>
            <w:vAlign w:val="bottom"/>
          </w:tcPr>
          <w:p>
            <w:pPr>
              <w:spacing w:after="0"/>
              <w:rPr>
                <w:sz w:val="24"/>
                <w:szCs w:val="24"/>
                <w:color w:val="auto"/>
              </w:rPr>
            </w:pPr>
          </w:p>
        </w:tc>
        <w:tc>
          <w:tcPr>
            <w:tcW w:w="7940" w:type="dxa"/>
            <w:vAlign w:val="bottom"/>
            <w:gridSpan w:val="4"/>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450%</w:t>
            </w:r>
            <w:r>
              <w:rPr>
                <w:rFonts w:ascii="Arial" w:cs="Arial" w:eastAsia="Arial" w:hAnsi="Arial"/>
                <w:sz w:val="18"/>
                <w:szCs w:val="18"/>
                <w:b w:val="1"/>
                <w:bCs w:val="1"/>
                <w:color w:val="auto"/>
              </w:rPr>
              <w:t xml:space="preserve"> Notes Due 2050</w:t>
            </w:r>
          </w:p>
        </w:tc>
      </w:tr>
      <w:tr>
        <w:trPr>
          <w:trHeight w:val="20"/>
        </w:trPr>
        <w:tc>
          <w:tcPr>
            <w:tcW w:w="3060" w:type="dxa"/>
            <w:vAlign w:val="bottom"/>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345"/>
        </w:trPr>
        <w:tc>
          <w:tcPr>
            <w:tcW w:w="306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rPr>
              <w:t>3.450% Notes Due 2050</w:t>
            </w:r>
          </w:p>
        </w:tc>
      </w:tr>
      <w:tr>
        <w:trPr>
          <w:trHeight w:val="324"/>
        </w:trPr>
        <w:tc>
          <w:tcPr>
            <w:tcW w:w="3060" w:type="dxa"/>
            <w:vAlign w:val="bottom"/>
          </w:tcPr>
          <w:p>
            <w:pPr>
              <w:spacing w:after="0"/>
              <w:rPr>
                <w:sz w:val="20"/>
                <w:szCs w:val="20"/>
                <w:color w:val="auto"/>
              </w:rPr>
            </w:pPr>
            <w:r>
              <w:rPr>
                <w:rFonts w:ascii="Arial" w:cs="Arial" w:eastAsia="Arial" w:hAnsi="Arial"/>
                <w:sz w:val="18"/>
                <w:szCs w:val="18"/>
                <w:i w:val="1"/>
                <w:iCs w:val="1"/>
                <w:color w:val="auto"/>
                <w:w w:val="95"/>
              </w:rPr>
              <w:t>Aggregate Principal Amount at Maturity:</w:t>
            </w:r>
          </w:p>
        </w:tc>
        <w:tc>
          <w:tcPr>
            <w:tcW w:w="1700" w:type="dxa"/>
            <w:vAlign w:val="bottom"/>
          </w:tcPr>
          <w:p>
            <w:pPr>
              <w:ind w:left="360"/>
              <w:spacing w:after="0"/>
              <w:rPr>
                <w:sz w:val="20"/>
                <w:szCs w:val="20"/>
                <w:color w:val="auto"/>
              </w:rPr>
            </w:pPr>
            <w:r>
              <w:rPr>
                <w:rFonts w:ascii="Arial" w:cs="Arial" w:eastAsia="Arial" w:hAnsi="Arial"/>
                <w:sz w:val="18"/>
                <w:szCs w:val="18"/>
                <w:color w:val="auto"/>
              </w:rPr>
              <w:t>$1,800,000,000</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324"/>
        </w:trPr>
        <w:tc>
          <w:tcPr>
            <w:tcW w:w="306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rPr>
              <w:t>February 1, 2050</w:t>
            </w:r>
          </w:p>
        </w:tc>
      </w:tr>
      <w:tr>
        <w:trPr>
          <w:trHeight w:val="324"/>
        </w:trPr>
        <w:tc>
          <w:tcPr>
            <w:tcW w:w="306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1700" w:type="dxa"/>
            <w:vAlign w:val="bottom"/>
          </w:tcPr>
          <w:p>
            <w:pPr>
              <w:ind w:left="360"/>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3"/>
              </w:rPr>
              <w:t>The Company may at its option redeem the 2050 Notes in whole or in part, at any time or from time to</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9"/>
              </w:rPr>
              <w:t>time prior to their maturity, on at least 15 days, but not more than 30 days, prior notice delivered</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2"/>
              </w:rPr>
              <w:t>electronically or mailed to the registered address of each holder of the 2050 Notes, at the “Redemption</w:t>
            </w:r>
          </w:p>
        </w:tc>
      </w:tr>
      <w:tr>
        <w:trPr>
          <w:trHeight w:val="212"/>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1"/>
              </w:rPr>
              <w:t>Price.” The Company will calculate the Redemption Price in connection with any redemption hereunder.</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6"/>
              </w:rPr>
              <w:t>Prior to August 1, 2049 (six (6) months prior to the maturity of the 2050 Notes) (the “</w:t>
            </w:r>
            <w:r>
              <w:rPr>
                <w:rFonts w:ascii="Arial" w:cs="Arial" w:eastAsia="Arial" w:hAnsi="Arial"/>
                <w:sz w:val="18"/>
                <w:szCs w:val="18"/>
                <w:b w:val="1"/>
                <w:bCs w:val="1"/>
                <w:color w:val="auto"/>
                <w:w w:val="96"/>
              </w:rPr>
              <w:t>2050 Par Call</w:t>
            </w:r>
          </w:p>
        </w:tc>
      </w:tr>
      <w:tr>
        <w:trPr>
          <w:trHeight w:val="220"/>
        </w:trPr>
        <w:tc>
          <w:tcPr>
            <w:tcW w:w="3060" w:type="dxa"/>
            <w:vAlign w:val="bottom"/>
          </w:tcPr>
          <w:p>
            <w:pPr>
              <w:spacing w:after="0"/>
              <w:rPr>
                <w:sz w:val="19"/>
                <w:szCs w:val="19"/>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b w:val="1"/>
                <w:bCs w:val="1"/>
                <w:color w:val="auto"/>
                <w:w w:val="93"/>
              </w:rPr>
              <w:t>Date</w:t>
            </w:r>
            <w:r>
              <w:rPr>
                <w:rFonts w:ascii="Arial" w:cs="Arial" w:eastAsia="Arial" w:hAnsi="Arial"/>
                <w:sz w:val="18"/>
                <w:szCs w:val="18"/>
                <w:color w:val="auto"/>
                <w:w w:val="93"/>
              </w:rPr>
              <w:t>”), the Redemption Price is the greater of (i) 100% of the principal amount of the 2050 Notes, and</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2"/>
              </w:rPr>
              <w:t>(ii) the sum of the present values of the principal amount of such notes and the scheduled payments of</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1"/>
              </w:rPr>
              <w:t>interest thereon (exclusive of interest accrued to the date of redemption) from the redemption date to the</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1"/>
              </w:rPr>
              <w:t>2050 Par Call Date, in each case discounted to the redemption date on a semiannual basis (assuming a</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3"/>
              </w:rPr>
              <w:t>360-day year consisting of twelve 30-day months) at the Treasury Rate (as defined in the 2050 Notes)</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2"/>
              </w:rPr>
              <w:t>plus 20 basis points. On and after the 2050 Par Call Date, the Redemption Price will equal 100% of the</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5"/>
              </w:rPr>
              <w:t>principal amount of such notes. In each case described in this paragraph, the Redemption Price will</w:t>
            </w:r>
          </w:p>
        </w:tc>
      </w:tr>
      <w:tr>
        <w:trPr>
          <w:trHeight w:val="216"/>
        </w:trPr>
        <w:tc>
          <w:tcPr>
            <w:tcW w:w="3060" w:type="dxa"/>
            <w:vAlign w:val="bottom"/>
          </w:tcPr>
          <w:p>
            <w:pPr>
              <w:spacing w:after="0"/>
              <w:rPr>
                <w:sz w:val="18"/>
                <w:szCs w:val="18"/>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0"/>
              </w:rPr>
              <w:t>include accrued and unpaid interest thereon to the date of redemption, and in each case described in this</w:t>
            </w:r>
          </w:p>
        </w:tc>
      </w:tr>
      <w:tr>
        <w:trPr>
          <w:trHeight w:val="230"/>
        </w:trPr>
        <w:tc>
          <w:tcPr>
            <w:tcW w:w="3060" w:type="dxa"/>
            <w:vAlign w:val="bottom"/>
          </w:tcPr>
          <w:p>
            <w:pPr>
              <w:spacing w:after="0"/>
              <w:rPr>
                <w:sz w:val="20"/>
                <w:szCs w:val="20"/>
                <w:color w:val="auto"/>
              </w:rPr>
            </w:pPr>
          </w:p>
        </w:tc>
        <w:tc>
          <w:tcPr>
            <w:tcW w:w="7940" w:type="dxa"/>
            <w:vAlign w:val="bottom"/>
            <w:gridSpan w:val="4"/>
          </w:tcPr>
          <w:p>
            <w:pPr>
              <w:ind w:left="360"/>
              <w:spacing w:after="0"/>
              <w:rPr>
                <w:sz w:val="20"/>
                <w:szCs w:val="20"/>
                <w:color w:val="auto"/>
              </w:rPr>
            </w:pPr>
            <w:r>
              <w:rPr>
                <w:rFonts w:ascii="Arial" w:cs="Arial" w:eastAsia="Arial" w:hAnsi="Arial"/>
                <w:sz w:val="18"/>
                <w:szCs w:val="18"/>
                <w:color w:val="auto"/>
                <w:w w:val="95"/>
              </w:rPr>
              <w:t>paragraph, subject to the further description in the Prospectus Supplement dated October 29, 2019.</w:t>
            </w:r>
          </w:p>
        </w:tc>
      </w:tr>
    </w:tbl>
    <w:p>
      <w:pPr>
        <w:ind w:left="360"/>
        <w:spacing w:after="0"/>
        <w:rPr>
          <w:sz w:val="20"/>
          <w:szCs w:val="20"/>
          <w:color w:val="auto"/>
        </w:rPr>
        <w:sectPr>
          <w:pgSz w:w="11900" w:h="16838" w:orient="portrait"/>
          <w:cols w:equalWidth="0" w:num="1">
            <w:col w:w="11000"/>
          </w:cols>
          <w:pgMar w:left="440" w:top="382" w:right="4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500" w:type="dxa"/>
            <w:vAlign w:val="bottom"/>
            <w:gridSpan w:val="3"/>
          </w:tcPr>
          <w:p>
            <w:pPr>
              <w:ind w:left="920"/>
              <w:spacing w:after="0"/>
              <w:rPr>
                <w:sz w:val="20"/>
                <w:szCs w:val="20"/>
                <w:color w:val="auto"/>
              </w:rPr>
            </w:pPr>
            <w:r>
              <w:rPr>
                <w:rFonts w:ascii="Arial" w:cs="Arial" w:eastAsia="Arial" w:hAnsi="Arial"/>
                <w:sz w:val="18"/>
                <w:szCs w:val="18"/>
                <w:color w:val="auto"/>
                <w:w w:val="90"/>
              </w:rPr>
              <w:t>The 2050 Notes need not be issued at the same time and the series may be reopened for issuance of an</w:t>
            </w:r>
          </w:p>
        </w:tc>
      </w:tr>
      <w:tr>
        <w:trPr>
          <w:trHeight w:val="216"/>
        </w:trPr>
        <w:tc>
          <w:tcPr>
            <w:tcW w:w="2500" w:type="dxa"/>
            <w:vAlign w:val="bottom"/>
          </w:tcPr>
          <w:p>
            <w:pPr>
              <w:spacing w:after="0"/>
              <w:rPr>
                <w:sz w:val="18"/>
                <w:szCs w:val="18"/>
                <w:color w:val="auto"/>
              </w:rPr>
            </w:pPr>
          </w:p>
        </w:tc>
        <w:tc>
          <w:tcPr>
            <w:tcW w:w="8500" w:type="dxa"/>
            <w:vAlign w:val="bottom"/>
            <w:gridSpan w:val="3"/>
          </w:tcPr>
          <w:p>
            <w:pPr>
              <w:ind w:left="920"/>
              <w:spacing w:after="0"/>
              <w:rPr>
                <w:sz w:val="20"/>
                <w:szCs w:val="20"/>
                <w:color w:val="auto"/>
              </w:rPr>
            </w:pPr>
            <w:r>
              <w:rPr>
                <w:rFonts w:ascii="Arial" w:cs="Arial" w:eastAsia="Arial" w:hAnsi="Arial"/>
                <w:sz w:val="18"/>
                <w:szCs w:val="18"/>
                <w:color w:val="auto"/>
                <w:w w:val="96"/>
              </w:rPr>
              <w:t>unlimited principal amount of additional 2050 Notes under this series. Additional 2050 Notes of this</w:t>
            </w:r>
          </w:p>
        </w:tc>
      </w:tr>
      <w:tr>
        <w:trPr>
          <w:trHeight w:val="216"/>
        </w:trPr>
        <w:tc>
          <w:tcPr>
            <w:tcW w:w="2500" w:type="dxa"/>
            <w:vAlign w:val="bottom"/>
          </w:tcPr>
          <w:p>
            <w:pPr>
              <w:spacing w:after="0"/>
              <w:rPr>
                <w:sz w:val="18"/>
                <w:szCs w:val="18"/>
                <w:color w:val="auto"/>
              </w:rPr>
            </w:pPr>
          </w:p>
        </w:tc>
        <w:tc>
          <w:tcPr>
            <w:tcW w:w="8500" w:type="dxa"/>
            <w:vAlign w:val="bottom"/>
            <w:gridSpan w:val="3"/>
          </w:tcPr>
          <w:p>
            <w:pPr>
              <w:ind w:left="920"/>
              <w:spacing w:after="0"/>
              <w:rPr>
                <w:sz w:val="20"/>
                <w:szCs w:val="20"/>
                <w:color w:val="auto"/>
              </w:rPr>
            </w:pPr>
            <w:r>
              <w:rPr>
                <w:rFonts w:ascii="Arial" w:cs="Arial" w:eastAsia="Arial" w:hAnsi="Arial"/>
                <w:sz w:val="18"/>
                <w:szCs w:val="18"/>
                <w:color w:val="auto"/>
                <w:w w:val="92"/>
              </w:rPr>
              <w:t>series may be consolidated with, and form a single series with, 2050 Notes then outstanding, including</w:t>
            </w:r>
          </w:p>
        </w:tc>
      </w:tr>
      <w:tr>
        <w:trPr>
          <w:trHeight w:val="216"/>
        </w:trPr>
        <w:tc>
          <w:tcPr>
            <w:tcW w:w="2500" w:type="dxa"/>
            <w:vAlign w:val="bottom"/>
          </w:tcPr>
          <w:p>
            <w:pPr>
              <w:spacing w:after="0"/>
              <w:rPr>
                <w:sz w:val="18"/>
                <w:szCs w:val="18"/>
                <w:color w:val="auto"/>
              </w:rPr>
            </w:pPr>
          </w:p>
        </w:tc>
        <w:tc>
          <w:tcPr>
            <w:tcW w:w="8500" w:type="dxa"/>
            <w:vAlign w:val="bottom"/>
            <w:gridSpan w:val="3"/>
          </w:tcPr>
          <w:p>
            <w:pPr>
              <w:ind w:left="920"/>
              <w:spacing w:after="0"/>
              <w:rPr>
                <w:sz w:val="20"/>
                <w:szCs w:val="20"/>
                <w:color w:val="auto"/>
              </w:rPr>
            </w:pPr>
            <w:r>
              <w:rPr>
                <w:rFonts w:ascii="Arial" w:cs="Arial" w:eastAsia="Arial" w:hAnsi="Arial"/>
                <w:sz w:val="18"/>
                <w:szCs w:val="18"/>
                <w:color w:val="auto"/>
                <w:w w:val="91"/>
              </w:rPr>
              <w:t>for purposes of determining whether the required percentage of the holders of record has given approval</w:t>
            </w:r>
          </w:p>
        </w:tc>
      </w:tr>
      <w:tr>
        <w:trPr>
          <w:trHeight w:val="216"/>
        </w:trPr>
        <w:tc>
          <w:tcPr>
            <w:tcW w:w="2500" w:type="dxa"/>
            <w:vAlign w:val="bottom"/>
          </w:tcPr>
          <w:p>
            <w:pPr>
              <w:spacing w:after="0"/>
              <w:rPr>
                <w:sz w:val="18"/>
                <w:szCs w:val="18"/>
                <w:color w:val="auto"/>
              </w:rPr>
            </w:pPr>
          </w:p>
        </w:tc>
        <w:tc>
          <w:tcPr>
            <w:tcW w:w="8500" w:type="dxa"/>
            <w:vAlign w:val="bottom"/>
            <w:gridSpan w:val="3"/>
          </w:tcPr>
          <w:p>
            <w:pPr>
              <w:ind w:left="920"/>
              <w:spacing w:after="0"/>
              <w:rPr>
                <w:sz w:val="20"/>
                <w:szCs w:val="20"/>
                <w:color w:val="auto"/>
              </w:rPr>
            </w:pPr>
            <w:r>
              <w:rPr>
                <w:rFonts w:ascii="Arial" w:cs="Arial" w:eastAsia="Arial" w:hAnsi="Arial"/>
                <w:sz w:val="18"/>
                <w:szCs w:val="18"/>
                <w:color w:val="auto"/>
                <w:w w:val="91"/>
              </w:rPr>
              <w:t>or consent to an amendment or waiver or joined in directing the Trustee to take certain actions on behalf</w:t>
            </w:r>
          </w:p>
        </w:tc>
      </w:tr>
      <w:tr>
        <w:trPr>
          <w:trHeight w:val="216"/>
        </w:trPr>
        <w:tc>
          <w:tcPr>
            <w:tcW w:w="2500" w:type="dxa"/>
            <w:vAlign w:val="bottom"/>
          </w:tcPr>
          <w:p>
            <w:pPr>
              <w:spacing w:after="0"/>
              <w:rPr>
                <w:sz w:val="18"/>
                <w:szCs w:val="18"/>
                <w:color w:val="auto"/>
              </w:rPr>
            </w:pPr>
          </w:p>
        </w:tc>
        <w:tc>
          <w:tcPr>
            <w:tcW w:w="8500" w:type="dxa"/>
            <w:vAlign w:val="bottom"/>
            <w:gridSpan w:val="3"/>
          </w:tcPr>
          <w:p>
            <w:pPr>
              <w:ind w:left="920"/>
              <w:spacing w:after="0"/>
              <w:rPr>
                <w:sz w:val="20"/>
                <w:szCs w:val="20"/>
                <w:color w:val="auto"/>
              </w:rPr>
            </w:pPr>
            <w:r>
              <w:rPr>
                <w:rFonts w:ascii="Arial" w:cs="Arial" w:eastAsia="Arial" w:hAnsi="Arial"/>
                <w:sz w:val="18"/>
                <w:szCs w:val="18"/>
                <w:color w:val="auto"/>
                <w:w w:val="96"/>
              </w:rPr>
              <w:t>of all holders; provided that if such additional 2050 Notes are not fungible with the 2050 Notes then</w:t>
            </w:r>
          </w:p>
        </w:tc>
      </w:tr>
      <w:tr>
        <w:trPr>
          <w:trHeight w:val="216"/>
        </w:trPr>
        <w:tc>
          <w:tcPr>
            <w:tcW w:w="2500" w:type="dxa"/>
            <w:vAlign w:val="bottom"/>
          </w:tcPr>
          <w:p>
            <w:pPr>
              <w:spacing w:after="0"/>
              <w:rPr>
                <w:sz w:val="18"/>
                <w:szCs w:val="18"/>
                <w:color w:val="auto"/>
              </w:rPr>
            </w:pPr>
          </w:p>
        </w:tc>
        <w:tc>
          <w:tcPr>
            <w:tcW w:w="8500" w:type="dxa"/>
            <w:vAlign w:val="bottom"/>
            <w:gridSpan w:val="3"/>
          </w:tcPr>
          <w:p>
            <w:pPr>
              <w:ind w:left="920"/>
              <w:spacing w:after="0"/>
              <w:rPr>
                <w:sz w:val="20"/>
                <w:szCs w:val="20"/>
                <w:color w:val="auto"/>
              </w:rPr>
            </w:pPr>
            <w:r>
              <w:rPr>
                <w:rFonts w:ascii="Arial" w:cs="Arial" w:eastAsia="Arial" w:hAnsi="Arial"/>
                <w:sz w:val="18"/>
                <w:szCs w:val="18"/>
                <w:color w:val="auto"/>
                <w:w w:val="95"/>
              </w:rPr>
              <w:t>outstanding for U.S. federal income tax purposes, such additional 2050 Notes will have one or more</w:t>
            </w:r>
          </w:p>
        </w:tc>
      </w:tr>
      <w:tr>
        <w:trPr>
          <w:trHeight w:val="230"/>
        </w:trPr>
        <w:tc>
          <w:tcPr>
            <w:tcW w:w="2500" w:type="dxa"/>
            <w:vAlign w:val="bottom"/>
          </w:tcPr>
          <w:p>
            <w:pPr>
              <w:spacing w:after="0"/>
              <w:rPr>
                <w:sz w:val="20"/>
                <w:szCs w:val="20"/>
                <w:color w:val="auto"/>
              </w:rPr>
            </w:pPr>
          </w:p>
        </w:tc>
        <w:tc>
          <w:tcPr>
            <w:tcW w:w="8500" w:type="dxa"/>
            <w:vAlign w:val="bottom"/>
            <w:gridSpan w:val="3"/>
          </w:tcPr>
          <w:p>
            <w:pPr>
              <w:ind w:left="920"/>
              <w:spacing w:after="0"/>
              <w:rPr>
                <w:sz w:val="20"/>
                <w:szCs w:val="20"/>
                <w:color w:val="auto"/>
              </w:rPr>
            </w:pPr>
            <w:r>
              <w:rPr>
                <w:rFonts w:ascii="Arial" w:cs="Arial" w:eastAsia="Arial" w:hAnsi="Arial"/>
                <w:sz w:val="18"/>
                <w:szCs w:val="18"/>
                <w:color w:val="auto"/>
              </w:rPr>
              <w:t>separate CUSIP numbers.</w:t>
            </w:r>
          </w:p>
        </w:tc>
      </w:tr>
      <w:tr>
        <w:trPr>
          <w:trHeight w:val="324"/>
        </w:trPr>
        <w:tc>
          <w:tcPr>
            <w:tcW w:w="25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500" w:type="dxa"/>
            <w:vAlign w:val="bottom"/>
            <w:gridSpan w:val="3"/>
          </w:tcPr>
          <w:p>
            <w:pPr>
              <w:ind w:left="920"/>
              <w:spacing w:after="0"/>
              <w:rPr>
                <w:sz w:val="20"/>
                <w:szCs w:val="20"/>
                <w:color w:val="auto"/>
              </w:rPr>
            </w:pPr>
            <w:r>
              <w:rPr>
                <w:rFonts w:ascii="Arial" w:cs="Arial" w:eastAsia="Arial" w:hAnsi="Arial"/>
                <w:sz w:val="18"/>
                <w:szCs w:val="18"/>
                <w:color w:val="auto"/>
              </w:rPr>
              <w:t>None</w:t>
            </w:r>
          </w:p>
        </w:tc>
      </w:tr>
      <w:tr>
        <w:trPr>
          <w:trHeight w:val="324"/>
        </w:trPr>
        <w:tc>
          <w:tcPr>
            <w:tcW w:w="25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500" w:type="dxa"/>
            <w:vAlign w:val="bottom"/>
            <w:gridSpan w:val="3"/>
          </w:tcPr>
          <w:p>
            <w:pPr>
              <w:ind w:left="920"/>
              <w:spacing w:after="0"/>
              <w:rPr>
                <w:sz w:val="20"/>
                <w:szCs w:val="20"/>
                <w:color w:val="auto"/>
              </w:rPr>
            </w:pPr>
            <w:r>
              <w:rPr>
                <w:rFonts w:ascii="Arial" w:cs="Arial" w:eastAsia="Arial" w:hAnsi="Arial"/>
                <w:sz w:val="18"/>
                <w:szCs w:val="18"/>
                <w:color w:val="auto"/>
              </w:rPr>
              <w:t>None</w:t>
            </w:r>
          </w:p>
        </w:tc>
      </w:tr>
      <w:tr>
        <w:trPr>
          <w:trHeight w:val="306"/>
        </w:trPr>
        <w:tc>
          <w:tcPr>
            <w:tcW w:w="25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500" w:type="dxa"/>
            <w:vAlign w:val="bottom"/>
            <w:gridSpan w:val="3"/>
          </w:tcPr>
          <w:p>
            <w:pPr>
              <w:ind w:left="920"/>
              <w:spacing w:after="0"/>
              <w:rPr>
                <w:sz w:val="20"/>
                <w:szCs w:val="20"/>
                <w:color w:val="auto"/>
              </w:rPr>
            </w:pPr>
            <w:r>
              <w:rPr>
                <w:rFonts w:ascii="Arial" w:cs="Arial" w:eastAsia="Arial" w:hAnsi="Arial"/>
                <w:sz w:val="18"/>
                <w:szCs w:val="18"/>
                <w:color w:val="auto"/>
                <w:w w:val="90"/>
              </w:rPr>
              <w:t>The terms of the 2050 Notes shall include such other terms as are set forth in the Form of Note Due 2050</w:t>
            </w:r>
          </w:p>
        </w:tc>
      </w:tr>
      <w:tr>
        <w:trPr>
          <w:trHeight w:val="194"/>
        </w:trPr>
        <w:tc>
          <w:tcPr>
            <w:tcW w:w="2500" w:type="dxa"/>
            <w:vAlign w:val="bottom"/>
          </w:tcPr>
          <w:p>
            <w:pPr>
              <w:spacing w:after="0"/>
              <w:rPr>
                <w:sz w:val="16"/>
                <w:szCs w:val="16"/>
                <w:color w:val="auto"/>
              </w:rPr>
            </w:pPr>
          </w:p>
        </w:tc>
        <w:tc>
          <w:tcPr>
            <w:tcW w:w="8500" w:type="dxa"/>
            <w:vAlign w:val="bottom"/>
            <w:gridSpan w:val="3"/>
          </w:tcPr>
          <w:p>
            <w:pPr>
              <w:ind w:left="920"/>
              <w:spacing w:after="0" w:line="194" w:lineRule="exact"/>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20"/>
        </w:trPr>
        <w:tc>
          <w:tcPr>
            <w:tcW w:w="2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1000"/>
          </w:cols>
          <w:pgMar w:left="440" w:top="382" w:right="4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4152265</wp:posOffset>
            </wp:positionH>
            <wp:positionV relativeFrom="paragraph">
              <wp:posOffset>14605</wp:posOffset>
            </wp:positionV>
            <wp:extent cx="257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Title:</w:t>
        <w:tab/>
        <w:t>Senior Vice President and Treasurer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4152265</wp:posOffset>
            </wp:positionH>
            <wp:positionV relativeFrom="paragraph">
              <wp:posOffset>5715</wp:posOffset>
            </wp:positionV>
            <wp:extent cx="25730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jc w:val="both"/>
        <w:ind w:left="6540"/>
        <w:spacing w:after="0"/>
        <w:tabs>
          <w:tab w:leader="none" w:pos="7100" w:val="left"/>
        </w:tabs>
        <w:rPr>
          <w:sz w:val="20"/>
          <w:szCs w:val="20"/>
          <w:color w:val="auto"/>
        </w:rPr>
      </w:pPr>
      <w:r>
        <w:rPr>
          <w:rFonts w:ascii="Arial" w:cs="Arial" w:eastAsia="Arial" w:hAnsi="Arial"/>
          <w:sz w:val="18"/>
          <w:szCs w:val="18"/>
          <w:color w:val="auto"/>
        </w:rPr>
        <w:t>Title:</w:t>
        <w:tab/>
        <w:t>Vice President, Senior Deputy General Counsel</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and Assistant Secretary</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540"/>
          </w:cols>
          <w:pgMar w:left="880" w:top="274" w:right="4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2030]</w:t>
      </w:r>
    </w:p>
    <w:p>
      <w:pPr>
        <w:spacing w:after="0" w:line="2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2.650% Note Due 2030</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DA6</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US20030NDA63</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7740" w:space="720"/>
            <w:col w:w="2000"/>
          </w:cols>
          <w:pgMar w:left="440" w:top="270" w:right="439" w:bottom="1440" w:gutter="0" w:footer="0" w:header="0"/>
          <w:type w:val="continuous"/>
        </w:sectPr>
      </w:pPr>
    </w:p>
    <w:p>
      <w:pPr>
        <w:spacing w:after="0" w:line="7" w:lineRule="exact"/>
        <w:rPr>
          <w:sz w:val="20"/>
          <w:szCs w:val="20"/>
          <w:color w:val="auto"/>
        </w:rPr>
      </w:pPr>
    </w:p>
    <w:p>
      <w:pPr>
        <w:ind w:right="440" w:firstLine="441"/>
        <w:spacing w:after="0" w:line="313" w:lineRule="auto"/>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Issuer</w:t>
      </w:r>
      <w:r>
        <w:rPr>
          <w:rFonts w:ascii="Arial" w:cs="Arial" w:eastAsia="Arial" w:hAnsi="Arial"/>
          <w:sz w:val="17"/>
          <w:szCs w:val="17"/>
          <w:color w:val="auto"/>
        </w:rPr>
        <w:t>”, which term includes any successor corporation), for value received promises to pay to CEDE &amp; CO. or registered assigns, the principal sum of $[ ] ([ ] Million Dollars) on February 1, 2030.</w:t>
      </w:r>
    </w:p>
    <w:p>
      <w:pPr>
        <w:sectPr>
          <w:pgSz w:w="11900" w:h="16838" w:orient="portrait"/>
          <w:cols w:equalWidth="0" w:num="1">
            <w:col w:w="11020"/>
          </w:cols>
          <w:pgMar w:left="440" w:top="270" w:right="439" w:bottom="1440" w:gutter="0" w:footer="0" w:header="0"/>
          <w:type w:val="continuous"/>
        </w:sectPr>
      </w:pP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February 1 and August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1,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January 15 and July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0" w:name="page11"/>
    <w:bookmarkEnd w:id="1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 Senior Deputy General</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Counsel and Assistant Secretary</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2030 Note</w:t>
      </w:r>
      <w:r>
        <w:rPr>
          <w:rFonts w:ascii="Arial" w:cs="Arial" w:eastAsia="Arial" w:hAnsi="Arial"/>
          <w:sz w:val="18"/>
          <w:szCs w:val="18"/>
          <w:color w:val="auto"/>
        </w:rPr>
        <w:t>]</w:t>
      </w:r>
    </w:p>
    <w:p>
      <w:pPr>
        <w:sectPr>
          <w:pgSz w:w="11900" w:h="16838" w:orient="portrait"/>
          <w:cols w:equalWidth="0" w:num="1">
            <w:col w:w="10460"/>
          </w:cols>
          <w:pgMar w:left="440" w:top="274" w:right="99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2030 Note</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2.650% Note Due 2030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November 5, 2019. The Issuer will pay interest semi-annually in arrears on each Interest Payment Date, commencing February 1, 2020. Interest will be computed on the basis of a 360-day year of twelve 30-day months.</w:t>
      </w:r>
    </w:p>
    <w:p>
      <w:pPr>
        <w:spacing w:after="0" w:line="184"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Method of Payment.</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Paying 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20"/>
          </w:cols>
          <w:pgMar w:left="440" w:top="274" w:right="4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Indenture.</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Guarantees.</w:t>
      </w:r>
    </w:p>
    <w:p>
      <w:pPr>
        <w:spacing w:after="0" w:line="117"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Denominations; Transfer; Exchange.</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Persons Deemed Owners.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Unclaimed Funds.</w:t>
      </w:r>
    </w:p>
    <w:p>
      <w:pPr>
        <w:spacing w:after="0" w:line="117" w:lineRule="exact"/>
        <w:rPr>
          <w:sz w:val="20"/>
          <w:szCs w:val="20"/>
          <w:color w:val="auto"/>
        </w:rPr>
      </w:pPr>
    </w:p>
    <w:p>
      <w:pPr>
        <w:ind w:right="420" w:firstLine="441"/>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20"/>
          </w:cols>
          <w:pgMar w:left="440" w:top="274" w:right="4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Legal Defeasance and Covenant Defeasance.</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Amendment; Supplement; Waiver.</w:t>
      </w:r>
    </w:p>
    <w:p>
      <w:pPr>
        <w:spacing w:after="0" w:line="11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Restrictive Covenants.</w:t>
      </w:r>
    </w:p>
    <w:p>
      <w:pPr>
        <w:spacing w:after="0" w:line="117"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Redemption.</w:t>
      </w:r>
    </w:p>
    <w:p>
      <w:pPr>
        <w:spacing w:after="0" w:line="117"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3" w:lineRule="exact"/>
        <w:rPr>
          <w:sz w:val="20"/>
          <w:szCs w:val="20"/>
          <w:color w:val="auto"/>
        </w:rPr>
      </w:pPr>
    </w:p>
    <w:p>
      <w:pPr>
        <w:ind w:right="100"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November 1, 2029 (three (3) months prior to the maturity of the Securities) (the “</w:t>
      </w:r>
      <w:r>
        <w:rPr>
          <w:rFonts w:ascii="Arial" w:cs="Arial" w:eastAsia="Arial" w:hAnsi="Arial"/>
          <w:sz w:val="17"/>
          <w:szCs w:val="17"/>
          <w:b w:val="1"/>
          <w:bCs w:val="1"/>
          <w:color w:val="auto"/>
        </w:rPr>
        <w:t>Par Call</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greater of (i) 100% of the principal amount of such Securities and (ii) the sum of the present values of the principal amount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ectPr>
          <w:pgSz w:w="11900" w:h="16838" w:orient="portrait"/>
          <w:cols w:equalWidth="0" w:num="1">
            <w:col w:w="11000"/>
          </w:cols>
          <w:pgMar w:left="440" w:top="274" w:right="459" w:bottom="1440" w:gutter="0" w:footer="0" w:header="0"/>
        </w:sectPr>
      </w:pPr>
    </w:p>
    <w:bookmarkStart w:id="15" w:name="page16"/>
    <w:bookmarkEnd w:id="15"/>
    <w:p>
      <w:pPr>
        <w:ind w:right="4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jc w:val="both"/>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xml:space="preserve">” means each of Mizuho Securities USA LLC, Morgan Stanley &amp; Co. LLC and a Primary Treasury Dealer (as defined below) selected by SMBC Nikko Securities America, Inc., or their affiliates which are primary United States government securities dealers and their respective successors;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of the foregoing shall cease to be a primary United States government securities dealer in the United States (a “</w:t>
      </w:r>
      <w:r>
        <w:rPr>
          <w:rFonts w:ascii="Arial" w:cs="Arial" w:eastAsia="Arial" w:hAnsi="Arial"/>
          <w:sz w:val="17"/>
          <w:szCs w:val="17"/>
          <w:b w:val="1"/>
          <w:bCs w:val="1"/>
          <w:color w:val="auto"/>
        </w:rPr>
        <w:t>Primary Treasury Dealer</w:t>
      </w:r>
      <w:r>
        <w:rPr>
          <w:rFonts w:ascii="Arial" w:cs="Arial" w:eastAsia="Arial" w:hAnsi="Arial"/>
          <w:sz w:val="17"/>
          <w:szCs w:val="17"/>
          <w:color w:val="auto"/>
        </w:rPr>
        <w:t>”), the Issuer will substitute therefor another Primary Treasury Dealer.</w:t>
      </w:r>
    </w:p>
    <w:p>
      <w:pPr>
        <w:spacing w:after="0" w:line="16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ectPr>
          <w:pgSz w:w="11900" w:h="16838" w:orient="portrait"/>
          <w:cols w:equalWidth="0" w:num="1">
            <w:col w:w="11000"/>
          </w:cols>
          <w:pgMar w:left="440" w:top="270" w:right="45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Defaults and Remedies.</w:t>
      </w:r>
    </w:p>
    <w:p>
      <w:pPr>
        <w:spacing w:after="0" w:line="11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Trustee Dealings with Issuer.</w:t>
      </w:r>
    </w:p>
    <w:p>
      <w:pPr>
        <w:spacing w:after="0" w:line="11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No Recourse Against Others.</w:t>
      </w:r>
    </w:p>
    <w:p>
      <w:pPr>
        <w:spacing w:after="0" w:line="11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Abbreviations and Defined Terms.</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CUSIP Numbers.</w:t>
      </w:r>
    </w:p>
    <w:p>
      <w:pPr>
        <w:spacing w:after="0" w:line="117"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ectPr>
          <w:pgSz w:w="11900" w:h="16838" w:orient="portrait"/>
          <w:cols w:equalWidth="0" w:num="1">
            <w:col w:w="11000"/>
          </w:cols>
          <w:pgMar w:left="440" w:top="274"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 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ectPr>
          <w:pgSz w:w="11900" w:h="16838" w:orient="portrait"/>
          <w:cols w:equalWidth="0" w:num="1">
            <w:col w:w="9579"/>
          </w:cols>
          <w:pgMar w:left="880" w:top="274" w:right="1440" w:bottom="1440" w:gutter="0" w:footer="0" w:header="0"/>
        </w:sectPr>
      </w:pPr>
    </w:p>
    <w:bookmarkStart w:id="18" w:name="page19"/>
    <w:bookmarkEnd w:id="18"/>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and irrevocably appoint agent to transfer this Security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1116330</wp:posOffset>
            </wp:positionH>
            <wp:positionV relativeFrom="paragraph">
              <wp:posOffset>-20320</wp:posOffset>
            </wp:positionV>
            <wp:extent cx="2457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-10160</wp:posOffset>
            </wp:positionV>
            <wp:extent cx="2457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(Signed exactly as name appears on the other side of this Security)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-1905</wp:posOffset>
            </wp:positionV>
            <wp:extent cx="54540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3" w:lineRule="exact"/>
        <w:rPr>
          <w:sz w:val="20"/>
          <w:szCs w:val="20"/>
          <w:color w:val="auto"/>
        </w:rPr>
      </w:pPr>
    </w:p>
    <w:p>
      <w:pPr>
        <w:ind w:left="2440" w:right="740"/>
        <w:spacing w:after="0" w:line="261"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ectPr>
          <w:pgSz w:w="11900" w:h="16838" w:orient="portrait"/>
          <w:cols w:equalWidth="0" w:num="1">
            <w:col w:w="10840"/>
          </w:cols>
          <w:pgMar w:left="440" w:top="274" w:right="6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2039]</w:t>
      </w:r>
    </w:p>
    <w:p>
      <w:pPr>
        <w:spacing w:after="0" w:line="2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3.250% Note Due 2039</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20030NCY5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US20030NCY58</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7740" w:space="720"/>
            <w:col w:w="2000"/>
          </w:cols>
          <w:pgMar w:left="440" w:top="270" w:right="439" w:bottom="1440" w:gutter="0" w:footer="0" w:header="0"/>
          <w:type w:val="continuous"/>
        </w:sectPr>
      </w:pPr>
    </w:p>
    <w:p>
      <w:pPr>
        <w:spacing w:after="0" w:line="7" w:lineRule="exact"/>
        <w:rPr>
          <w:sz w:val="20"/>
          <w:szCs w:val="20"/>
          <w:color w:val="auto"/>
        </w:rPr>
      </w:pPr>
    </w:p>
    <w:p>
      <w:pPr>
        <w:ind w:right="440" w:firstLine="441"/>
        <w:spacing w:after="0" w:line="313" w:lineRule="auto"/>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Issuer</w:t>
      </w:r>
      <w:r>
        <w:rPr>
          <w:rFonts w:ascii="Arial" w:cs="Arial" w:eastAsia="Arial" w:hAnsi="Arial"/>
          <w:sz w:val="17"/>
          <w:szCs w:val="17"/>
          <w:color w:val="auto"/>
        </w:rPr>
        <w:t>”, which term includes any successor corporation), for value received promises to pay to CEDE &amp; CO. or registered assigns, the principal sum of $[ ] ([ ] Million Dollars) on November 1, 2039.</w:t>
      </w:r>
    </w:p>
    <w:p>
      <w:pPr>
        <w:sectPr>
          <w:pgSz w:w="11900" w:h="16838" w:orient="portrait"/>
          <w:cols w:equalWidth="0" w:num="1">
            <w:col w:w="11020"/>
          </w:cols>
          <w:pgMar w:left="440" w:top="270" w:right="439" w:bottom="1440" w:gutter="0" w:footer="0" w:header="0"/>
          <w:type w:val="continuous"/>
        </w:sectPr>
      </w:pP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May 1,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20" w:name="page21"/>
    <w:bookmarkEnd w:id="2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14605</wp:posOffset>
            </wp:positionV>
            <wp:extent cx="25730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Title:</w:t>
        <w:tab/>
        <w:t>Vice President, Senior Deputy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Assistant Secretary</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2039 Note</w:t>
      </w:r>
      <w:r>
        <w:rPr>
          <w:rFonts w:ascii="Arial" w:cs="Arial" w:eastAsia="Arial" w:hAnsi="Arial"/>
          <w:sz w:val="18"/>
          <w:szCs w:val="18"/>
          <w:color w:val="auto"/>
        </w:rPr>
        <w:t>]</w:t>
      </w:r>
    </w:p>
    <w:p>
      <w:pPr>
        <w:sectPr>
          <w:pgSz w:w="11900" w:h="16838" w:orient="portrait"/>
          <w:cols w:equalWidth="0" w:num="1">
            <w:col w:w="10460"/>
          </w:cols>
          <w:pgMar w:left="440" w:top="274" w:right="99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2039 Note</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3.250% Note Due 2039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November 5, 2019. The Issuer will pay interest semi-annually in arrears on each Interest Payment Date, commencing May 1, 2020. Interest will be computed on the basis of a 360-day year of twelve 30-day months.</w:t>
      </w:r>
    </w:p>
    <w:p>
      <w:pPr>
        <w:spacing w:after="0" w:line="184" w:lineRule="exact"/>
        <w:rPr>
          <w:sz w:val="20"/>
          <w:szCs w:val="20"/>
          <w:color w:val="auto"/>
        </w:rPr>
      </w:pPr>
    </w:p>
    <w:p>
      <w:pPr>
        <w:jc w:val="both"/>
        <w:ind w:right="160" w:firstLine="441"/>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Method of Payment.</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Paying 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20"/>
          </w:cols>
          <w:pgMar w:left="440" w:top="274" w:right="43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Indenture.</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Guarantees.</w:t>
      </w:r>
    </w:p>
    <w:p>
      <w:pPr>
        <w:spacing w:after="0" w:line="117"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Denominations; Transfer; Exchange.</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Persons Deemed Owners.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Unclaimed Funds.</w:t>
      </w:r>
    </w:p>
    <w:p>
      <w:pPr>
        <w:spacing w:after="0" w:line="117" w:lineRule="exact"/>
        <w:rPr>
          <w:sz w:val="20"/>
          <w:szCs w:val="20"/>
          <w:color w:val="auto"/>
        </w:rPr>
      </w:pPr>
    </w:p>
    <w:p>
      <w:pPr>
        <w:ind w:right="420" w:firstLine="441"/>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20"/>
          </w:cols>
          <w:pgMar w:left="440" w:top="274" w:right="43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Legal Defeasance and Covenant Defeasance.</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Amendment; Supplement; Waiver.</w:t>
      </w:r>
    </w:p>
    <w:p>
      <w:pPr>
        <w:spacing w:after="0" w:line="11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Restrictive Covenants.</w:t>
      </w:r>
    </w:p>
    <w:p>
      <w:pPr>
        <w:spacing w:after="0" w:line="117"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Redemption.</w:t>
      </w:r>
    </w:p>
    <w:p>
      <w:pPr>
        <w:spacing w:after="0" w:line="117"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3"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May 1, 2039 (six (6) months prior to the maturity of the Securities) (the “</w:t>
      </w:r>
      <w:r>
        <w:rPr>
          <w:rFonts w:ascii="Arial" w:cs="Arial" w:eastAsia="Arial" w:hAnsi="Arial"/>
          <w:sz w:val="17"/>
          <w:szCs w:val="17"/>
          <w:b w:val="1"/>
          <w:bCs w:val="1"/>
          <w:color w:val="auto"/>
        </w:rPr>
        <w:t>Par Call Date</w:t>
      </w:r>
      <w:r>
        <w:rPr>
          <w:rFonts w:ascii="Arial" w:cs="Arial" w:eastAsia="Arial" w:hAnsi="Arial"/>
          <w:sz w:val="17"/>
          <w:szCs w:val="17"/>
          <w:color w:val="auto"/>
        </w:rPr>
        <w:t>”),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ectPr>
          <w:pgSz w:w="11900" w:h="16838" w:orient="portrait"/>
          <w:cols w:equalWidth="0" w:num="1">
            <w:col w:w="11000"/>
          </w:cols>
          <w:pgMar w:left="440" w:top="274" w:right="459" w:bottom="1440" w:gutter="0" w:footer="0" w:header="0"/>
        </w:sectPr>
      </w:pPr>
    </w:p>
    <w:bookmarkStart w:id="25" w:name="page26"/>
    <w:bookmarkEnd w:id="25"/>
    <w:p>
      <w:pPr>
        <w:ind w:right="4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jc w:val="both"/>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xml:space="preserve">” means each of Mizuho Securities USA LLC, Morgan Stanley &amp; Co. LLC and a Primary Treasury Dealer (as defined below) selected by SMBC Nikko Securities America, Inc., or their affiliates which are primary United States government securities dealers and their respective successors;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of the foregoing shall cease to be a primary United States government securities dealer in the United States (a “</w:t>
      </w:r>
      <w:r>
        <w:rPr>
          <w:rFonts w:ascii="Arial" w:cs="Arial" w:eastAsia="Arial" w:hAnsi="Arial"/>
          <w:sz w:val="17"/>
          <w:szCs w:val="17"/>
          <w:b w:val="1"/>
          <w:bCs w:val="1"/>
          <w:color w:val="auto"/>
        </w:rPr>
        <w:t>Primary Treasury Dealer</w:t>
      </w:r>
      <w:r>
        <w:rPr>
          <w:rFonts w:ascii="Arial" w:cs="Arial" w:eastAsia="Arial" w:hAnsi="Arial"/>
          <w:sz w:val="17"/>
          <w:szCs w:val="17"/>
          <w:color w:val="auto"/>
        </w:rPr>
        <w:t>”), the Issuer will substitute therefor another Primary Treasury Dealer.</w:t>
      </w:r>
    </w:p>
    <w:p>
      <w:pPr>
        <w:spacing w:after="0" w:line="16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ectPr>
          <w:pgSz w:w="11900" w:h="16838" w:orient="portrait"/>
          <w:cols w:equalWidth="0" w:num="1">
            <w:col w:w="11000"/>
          </w:cols>
          <w:pgMar w:left="440" w:top="270" w:right="45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Defaults and Remedies.</w:t>
      </w:r>
    </w:p>
    <w:p>
      <w:pPr>
        <w:spacing w:after="0" w:line="11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Trustee Dealings with Issuer.</w:t>
      </w:r>
    </w:p>
    <w:p>
      <w:pPr>
        <w:spacing w:after="0" w:line="11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No Recourse Against Others.</w:t>
      </w:r>
    </w:p>
    <w:p>
      <w:pPr>
        <w:spacing w:after="0" w:line="11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Abbreviations and Defined Terms.</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ectPr>
          <w:pgSz w:w="11900" w:h="16838" w:orient="portrait"/>
          <w:cols w:equalWidth="0" w:num="1">
            <w:col w:w="11000"/>
          </w:cols>
          <w:pgMar w:left="440" w:top="274" w:right="4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 CUSIP Numbers.</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 Governing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ectPr>
          <w:pgSz w:w="11900" w:h="16838" w:orient="portrait"/>
          <w:cols w:equalWidth="0" w:num="1">
            <w:col w:w="10900"/>
          </w:cols>
          <w:pgMar w:left="440" w:top="274" w:right="55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Dated:</w:t>
            </w:r>
          </w:p>
        </w:tc>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980" w:type="dxa"/>
            <w:vAlign w:val="bottom"/>
            <w:gridSpan w:val="3"/>
          </w:tcPr>
          <w:p>
            <w:pPr>
              <w:ind w:left="700"/>
              <w:spacing w:after="0"/>
              <w:rPr>
                <w:sz w:val="20"/>
                <w:szCs w:val="20"/>
                <w:color w:val="auto"/>
              </w:rPr>
            </w:pPr>
            <w:r>
              <w:rPr>
                <w:rFonts w:ascii="Arial" w:cs="Arial" w:eastAsia="Arial" w:hAnsi="Arial"/>
                <w:sz w:val="18"/>
                <w:szCs w:val="18"/>
                <w:color w:val="auto"/>
              </w:rPr>
              <w:t>Signed:</w:t>
            </w:r>
          </w:p>
        </w:tc>
      </w:tr>
      <w:tr>
        <w:trPr>
          <w:trHeight w:val="209"/>
        </w:trPr>
        <w:tc>
          <w:tcPr>
            <w:tcW w:w="6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4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(Signed exactly as name appears on the other side of this</w:t>
            </w:r>
          </w:p>
        </w:tc>
      </w:tr>
      <w:tr>
        <w:trPr>
          <w:trHeight w:val="230"/>
        </w:trPr>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980" w:type="dxa"/>
            <w:vAlign w:val="bottom"/>
            <w:gridSpan w:val="3"/>
          </w:tcPr>
          <w:p>
            <w:pPr>
              <w:ind w:left="1460"/>
              <w:spacing w:after="0"/>
              <w:rPr>
                <w:sz w:val="20"/>
                <w:szCs w:val="20"/>
                <w:color w:val="auto"/>
              </w:rPr>
            </w:pPr>
            <w:r>
              <w:rPr>
                <w:rFonts w:ascii="Arial" w:cs="Arial" w:eastAsia="Arial" w:hAnsi="Arial"/>
                <w:sz w:val="18"/>
                <w:szCs w:val="18"/>
                <w:color w:val="auto"/>
              </w:rPr>
              <w:t>Security)</w:t>
            </w:r>
          </w:p>
        </w:tc>
      </w:tr>
      <w:tr>
        <w:trPr>
          <w:trHeight w:val="459"/>
        </w:trPr>
        <w:tc>
          <w:tcPr>
            <w:tcW w:w="19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46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w w:val="99"/>
              </w:rPr>
              <w:t>Participant in a recognized Signature Guarantee Medallion Program (or other signature guarantor program</w:t>
            </w:r>
          </w:p>
        </w:tc>
        <w:tc>
          <w:tcPr>
            <w:tcW w:w="1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80" w:type="dxa"/>
            <w:vAlign w:val="bottom"/>
            <w:gridSpan w:val="5"/>
          </w:tcPr>
          <w:p>
            <w:pPr>
              <w:ind w:left="440"/>
              <w:spacing w:after="0"/>
              <w:rPr>
                <w:sz w:val="20"/>
                <w:szCs w:val="20"/>
                <w:color w:val="auto"/>
              </w:rPr>
            </w:pPr>
            <w:r>
              <w:rPr>
                <w:rFonts w:ascii="Arial" w:cs="Arial" w:eastAsia="Arial" w:hAnsi="Arial"/>
                <w:sz w:val="18"/>
                <w:szCs w:val="18"/>
                <w:color w:val="auto"/>
              </w:rPr>
              <w:t>reasonably acceptable to the Trustee)</w:t>
            </w:r>
          </w:p>
        </w:tc>
      </w:tr>
    </w:tbl>
    <w:p>
      <w:pPr>
        <w:sectPr>
          <w:pgSz w:w="11900" w:h="16838" w:orient="portrait"/>
          <w:cols w:equalWidth="0" w:num="1">
            <w:col w:w="11040"/>
          </w:cols>
          <w:pgMar w:left="440" w:top="274" w:right="4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2050]</w:t>
      </w:r>
    </w:p>
    <w:p>
      <w:pPr>
        <w:spacing w:after="0" w:line="2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3.450% Note Due 2050</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20030NCZ2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US20030NCZ24</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7760" w:space="720"/>
            <w:col w:w="1980"/>
          </w:cols>
          <w:pgMar w:left="440" w:top="270" w:right="439" w:bottom="1440" w:gutter="0" w:footer="0" w:header="0"/>
          <w:type w:val="continuous"/>
        </w:sectPr>
      </w:pPr>
    </w:p>
    <w:p>
      <w:pPr>
        <w:spacing w:after="0" w:line="7" w:lineRule="exact"/>
        <w:rPr>
          <w:sz w:val="20"/>
          <w:szCs w:val="20"/>
          <w:color w:val="auto"/>
        </w:rPr>
      </w:pPr>
    </w:p>
    <w:p>
      <w:pPr>
        <w:ind w:right="440" w:firstLine="441"/>
        <w:spacing w:after="0" w:line="313" w:lineRule="auto"/>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Issuer</w:t>
      </w:r>
      <w:r>
        <w:rPr>
          <w:rFonts w:ascii="Arial" w:cs="Arial" w:eastAsia="Arial" w:hAnsi="Arial"/>
          <w:sz w:val="17"/>
          <w:szCs w:val="17"/>
          <w:color w:val="auto"/>
        </w:rPr>
        <w:t>”, which term includes any successor corporation), for value received promises to pay to CEDE &amp; CO. or registered assigns, the principal sum of $[ ] ([ ] Million Dollars) on February 1, 2050.</w:t>
      </w:r>
    </w:p>
    <w:p>
      <w:pPr>
        <w:sectPr>
          <w:pgSz w:w="11900" w:h="16838" w:orient="portrait"/>
          <w:cols w:equalWidth="0" w:num="1">
            <w:col w:w="11020"/>
          </w:cols>
          <w:pgMar w:left="440" w:top="270" w:right="439" w:bottom="1440" w:gutter="0" w:footer="0" w:header="0"/>
          <w:type w:val="continuous"/>
        </w:sectPr>
      </w:pP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February 1 and August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1,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January 15 and July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30" w:name="page31"/>
    <w:bookmarkEnd w:id="3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14605</wp:posOffset>
            </wp:positionV>
            <wp:extent cx="25730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Title:</w:t>
        <w:tab/>
        <w:t>Vice President, Senior Deputy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Assistant Secretary</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2050 Note</w:t>
      </w:r>
      <w:r>
        <w:rPr>
          <w:rFonts w:ascii="Arial" w:cs="Arial" w:eastAsia="Arial" w:hAnsi="Arial"/>
          <w:sz w:val="18"/>
          <w:szCs w:val="18"/>
          <w:color w:val="auto"/>
        </w:rPr>
        <w:t>]</w:t>
      </w:r>
    </w:p>
    <w:p>
      <w:pPr>
        <w:sectPr>
          <w:pgSz w:w="11900" w:h="16838" w:orient="portrait"/>
          <w:cols w:equalWidth="0" w:num="1">
            <w:col w:w="10460"/>
          </w:cols>
          <w:pgMar w:left="440" w:top="274" w:right="99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2050 Note</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3.450% Note Due 2050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November 5, 2019. The Issuer will pay interest semi-annually in arrears on each Interest Payment Date, commencing February 1, 2020. Interest will be computed on the basis of a 360-day year of twelve 30-day months.</w:t>
      </w:r>
    </w:p>
    <w:p>
      <w:pPr>
        <w:spacing w:after="0" w:line="76"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Method of Payment.</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Paying 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20"/>
          </w:cols>
          <w:pgMar w:left="440" w:top="274" w:right="43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Indenture.</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Guarantees.</w:t>
      </w:r>
    </w:p>
    <w:p>
      <w:pPr>
        <w:spacing w:after="0" w:line="117"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Denominations; Transfer; Exchange.</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Persons Deemed Owners.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Unclaimed Funds.</w:t>
      </w:r>
    </w:p>
    <w:p>
      <w:pPr>
        <w:spacing w:after="0" w:line="117" w:lineRule="exact"/>
        <w:rPr>
          <w:sz w:val="20"/>
          <w:szCs w:val="20"/>
          <w:color w:val="auto"/>
        </w:rPr>
      </w:pPr>
    </w:p>
    <w:p>
      <w:pPr>
        <w:ind w:right="420" w:firstLine="441"/>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20"/>
          </w:cols>
          <w:pgMar w:left="440" w:top="274" w:right="43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Legal Defeasance and Covenant Defeasance.</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Amendment; Supplement; Waiver.</w:t>
      </w:r>
    </w:p>
    <w:p>
      <w:pPr>
        <w:spacing w:after="0" w:line="11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Restrictive Covenants.</w:t>
      </w:r>
    </w:p>
    <w:p>
      <w:pPr>
        <w:spacing w:after="0" w:line="117"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Redemption.</w:t>
      </w:r>
    </w:p>
    <w:p>
      <w:pPr>
        <w:spacing w:after="0" w:line="117"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43" w:lineRule="exact"/>
        <w:rPr>
          <w:sz w:val="20"/>
          <w:szCs w:val="20"/>
          <w:color w:val="auto"/>
        </w:rPr>
      </w:pPr>
    </w:p>
    <w:p>
      <w:pPr>
        <w:ind w:right="140"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August 1, 2049 (six (6) months prior to the maturity of the Securities) (the “Par Call Date”), the greater of (i) 100% of the principal amount of such Securities and (ii) the sum of the present values of the principal amount of such Securities and the scheduled 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ectPr>
          <w:pgSz w:w="11900" w:h="16838" w:orient="portrait"/>
          <w:cols w:equalWidth="0" w:num="1">
            <w:col w:w="11000"/>
          </w:cols>
          <w:pgMar w:left="440" w:top="274" w:right="459" w:bottom="1440" w:gutter="0" w:footer="0" w:header="0"/>
        </w:sectPr>
      </w:pPr>
    </w:p>
    <w:bookmarkStart w:id="35" w:name="page36"/>
    <w:bookmarkEnd w:id="35"/>
    <w:p>
      <w:pPr>
        <w:ind w:right="4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jc w:val="both"/>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xml:space="preserve">” means each of Mizuho Securities USA LLC, Morgan Stanley &amp; Co. LLC and a Primary Treasury Dealer (as defined below) selected by SMBC Nikko Securities America, Inc., or their affiliates which are primary United States government securities dealers and their respective successors;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of the foregoing shall cease to be a primary United States government securities dealer in the United States (a “</w:t>
      </w:r>
      <w:r>
        <w:rPr>
          <w:rFonts w:ascii="Arial" w:cs="Arial" w:eastAsia="Arial" w:hAnsi="Arial"/>
          <w:sz w:val="17"/>
          <w:szCs w:val="17"/>
          <w:b w:val="1"/>
          <w:bCs w:val="1"/>
          <w:color w:val="auto"/>
        </w:rPr>
        <w:t>Primary Treasury Dealer</w:t>
      </w:r>
      <w:r>
        <w:rPr>
          <w:rFonts w:ascii="Arial" w:cs="Arial" w:eastAsia="Arial" w:hAnsi="Arial"/>
          <w:sz w:val="17"/>
          <w:szCs w:val="17"/>
          <w:color w:val="auto"/>
        </w:rPr>
        <w:t>”), the Issuer will substitute therefor another Primary Treasury Dealer.</w:t>
      </w:r>
    </w:p>
    <w:p>
      <w:pPr>
        <w:spacing w:after="0" w:line="16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Defaults and Remedies.</w:t>
      </w:r>
    </w:p>
    <w:p>
      <w:pPr>
        <w:spacing w:after="0" w:line="11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Trustee Dealings with Issuer.</w:t>
      </w:r>
    </w:p>
    <w:p>
      <w:pPr>
        <w:spacing w:after="0" w:line="11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No Recourse Against Others.</w:t>
      </w:r>
    </w:p>
    <w:p>
      <w:pPr>
        <w:spacing w:after="0" w:line="11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Abbreviations and Defined Terms.</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CUSIP Numbers.</w:t>
      </w:r>
    </w:p>
    <w:p>
      <w:pPr>
        <w:spacing w:after="0" w:line="117"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ectPr>
          <w:pgSz w:w="11900" w:h="16838" w:orient="portrait"/>
          <w:cols w:equalWidth="0" w:num="1">
            <w:col w:w="11000"/>
          </w:cols>
          <w:pgMar w:left="440" w:top="274"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 Governing Law.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laws of the State of New York shall govern the Indenture and this Security thereof.</w:t>
      </w:r>
    </w:p>
    <w:p>
      <w:pPr>
        <w:sectPr>
          <w:pgSz w:w="11900" w:h="16838" w:orient="portrait"/>
          <w:cols w:equalWidth="0" w:num="1">
            <w:col w:w="9579"/>
          </w:cols>
          <w:pgMar w:left="880" w:top="274" w:right="1440"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20" w:type="dxa"/>
            <w:vAlign w:val="bottom"/>
            <w:gridSpan w:val="5"/>
          </w:tcPr>
          <w:p>
            <w:pPr>
              <w:jc w:val="center"/>
              <w:ind w:right="242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57"/>
        </w:trPr>
        <w:tc>
          <w:tcPr>
            <w:tcW w:w="2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3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20" w:type="dxa"/>
            <w:vAlign w:val="bottom"/>
            <w:gridSpan w:val="5"/>
          </w:tcPr>
          <w:p>
            <w:pPr>
              <w:jc w:val="center"/>
              <w:ind w:right="244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2"/>
        </w:trPr>
        <w:tc>
          <w:tcPr>
            <w:tcW w:w="1720" w:type="dxa"/>
            <w:vAlign w:val="bottom"/>
            <w:gridSpan w:val="3"/>
          </w:tcPr>
          <w:p>
            <w:pPr>
              <w:spacing w:after="0"/>
              <w:rPr>
                <w:sz w:val="20"/>
                <w:szCs w:val="20"/>
                <w:color w:val="auto"/>
              </w:rPr>
            </w:pPr>
            <w:r>
              <w:rPr>
                <w:rFonts w:ascii="Arial" w:cs="Arial" w:eastAsia="Arial" w:hAnsi="Arial"/>
                <w:sz w:val="18"/>
                <w:szCs w:val="18"/>
                <w:color w:val="auto"/>
                <w:w w:val="91"/>
              </w:rPr>
              <w:t>and irrevocably appoint</w:t>
            </w: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60" w:type="dxa"/>
            <w:vAlign w:val="bottom"/>
            <w:gridSpan w:val="3"/>
          </w:tcPr>
          <w:p>
            <w:pPr>
              <w:ind w:left="40"/>
              <w:spacing w:after="0"/>
              <w:rPr>
                <w:sz w:val="20"/>
                <w:szCs w:val="20"/>
                <w:color w:val="auto"/>
              </w:rPr>
            </w:pPr>
            <w:r>
              <w:rPr>
                <w:rFonts w:ascii="Arial" w:cs="Arial" w:eastAsia="Arial" w:hAnsi="Arial"/>
                <w:sz w:val="18"/>
                <w:szCs w:val="18"/>
                <w:color w:val="auto"/>
                <w:w w:val="93"/>
              </w:rPr>
              <w:t>agent to transfer this Security on the books of the Issuer. The agent may</w:t>
            </w:r>
          </w:p>
        </w:tc>
      </w:tr>
      <w:tr>
        <w:trPr>
          <w:trHeight w:val="237"/>
        </w:trPr>
        <w:tc>
          <w:tcPr>
            <w:tcW w:w="2380" w:type="dxa"/>
            <w:vAlign w:val="bottom"/>
            <w:gridSpan w:val="4"/>
          </w:tcPr>
          <w:p>
            <w:pPr>
              <w:spacing w:after="0"/>
              <w:rPr>
                <w:sz w:val="20"/>
                <w:szCs w:val="20"/>
                <w:color w:val="auto"/>
              </w:rPr>
            </w:pPr>
            <w:r>
              <w:rPr>
                <w:rFonts w:ascii="Arial" w:cs="Arial" w:eastAsia="Arial" w:hAnsi="Arial"/>
                <w:sz w:val="18"/>
                <w:szCs w:val="18"/>
                <w:color w:val="auto"/>
                <w:w w:val="91"/>
              </w:rPr>
              <w:t>substitute another to act for him.</w:t>
            </w:r>
          </w:p>
        </w:tc>
        <w:tc>
          <w:tcPr>
            <w:tcW w:w="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9"/>
        </w:trPr>
        <w:tc>
          <w:tcPr>
            <w:tcW w:w="2380" w:type="dxa"/>
            <w:vAlign w:val="bottom"/>
            <w:gridSpan w:val="4"/>
          </w:tcPr>
          <w:p>
            <w:pPr>
              <w:spacing w:after="0"/>
              <w:rPr>
                <w:sz w:val="20"/>
                <w:szCs w:val="20"/>
                <w:color w:val="auto"/>
              </w:rPr>
            </w:pPr>
            <w:r>
              <w:rPr>
                <w:rFonts w:ascii="Arial" w:cs="Arial" w:eastAsia="Arial" w:hAnsi="Arial"/>
                <w:sz w:val="18"/>
                <w:szCs w:val="18"/>
                <w:color w:val="auto"/>
              </w:rPr>
              <w:t>Dated:</w:t>
            </w:r>
          </w:p>
        </w:tc>
        <w:tc>
          <w:tcPr>
            <w:tcW w:w="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60" w:type="dxa"/>
            <w:vAlign w:val="bottom"/>
            <w:gridSpan w:val="3"/>
          </w:tcPr>
          <w:p>
            <w:pPr>
              <w:ind w:left="180"/>
              <w:spacing w:after="0"/>
              <w:rPr>
                <w:sz w:val="20"/>
                <w:szCs w:val="20"/>
                <w:color w:val="auto"/>
              </w:rPr>
            </w:pPr>
            <w:r>
              <w:rPr>
                <w:rFonts w:ascii="Arial" w:cs="Arial" w:eastAsia="Arial" w:hAnsi="Arial"/>
                <w:sz w:val="18"/>
                <w:szCs w:val="18"/>
                <w:color w:val="auto"/>
              </w:rPr>
              <w:t>Signed:</w:t>
            </w: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(Signed exactly as name appears on the other side of this</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60" w:type="dxa"/>
            <w:vAlign w:val="bottom"/>
            <w:gridSpan w:val="3"/>
          </w:tcPr>
          <w:p>
            <w:pPr>
              <w:ind w:left="940"/>
              <w:spacing w:after="0"/>
              <w:rPr>
                <w:sz w:val="20"/>
                <w:szCs w:val="20"/>
                <w:color w:val="auto"/>
              </w:rPr>
            </w:pPr>
            <w:r>
              <w:rPr>
                <w:rFonts w:ascii="Arial" w:cs="Arial" w:eastAsia="Arial" w:hAnsi="Arial"/>
                <w:sz w:val="18"/>
                <w:szCs w:val="18"/>
                <w:color w:val="auto"/>
              </w:rPr>
              <w:t>Security)</w:t>
            </w:r>
          </w:p>
        </w:tc>
      </w:tr>
      <w:tr>
        <w:trPr>
          <w:trHeight w:val="459"/>
        </w:trPr>
        <w:tc>
          <w:tcPr>
            <w:tcW w:w="2380" w:type="dxa"/>
            <w:vAlign w:val="bottom"/>
            <w:gridSpan w:val="4"/>
          </w:tcPr>
          <w:p>
            <w:pPr>
              <w:spacing w:after="0"/>
              <w:rPr>
                <w:sz w:val="20"/>
                <w:szCs w:val="20"/>
                <w:color w:val="auto"/>
              </w:rPr>
            </w:pPr>
            <w:r>
              <w:rPr>
                <w:rFonts w:ascii="Arial" w:cs="Arial" w:eastAsia="Arial" w:hAnsi="Arial"/>
                <w:sz w:val="18"/>
                <w:szCs w:val="18"/>
                <w:color w:val="auto"/>
              </w:rPr>
              <w:t>Signature Guarantee:</w:t>
            </w:r>
          </w:p>
        </w:tc>
        <w:tc>
          <w:tcPr>
            <w:tcW w:w="4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80" w:type="dxa"/>
            <w:vAlign w:val="bottom"/>
            <w:gridSpan w:val="4"/>
          </w:tcPr>
          <w:p>
            <w:pPr>
              <w:spacing w:after="0"/>
              <w:rPr>
                <w:sz w:val="20"/>
                <w:szCs w:val="20"/>
                <w:color w:val="auto"/>
              </w:rPr>
            </w:pPr>
            <w:r>
              <w:rPr>
                <w:rFonts w:ascii="Arial" w:cs="Arial" w:eastAsia="Arial" w:hAnsi="Arial"/>
                <w:sz w:val="18"/>
                <w:szCs w:val="18"/>
                <w:color w:val="auto"/>
                <w:w w:val="99"/>
              </w:rPr>
              <w:t>Participant in a recognized Signature Guarantee Medallion Program (or other signature guarantor program</w:t>
            </w: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gridSpan w:val="6"/>
          </w:tcPr>
          <w:p>
            <w:pPr>
              <w:ind w:left="20"/>
              <w:spacing w:after="0"/>
              <w:rPr>
                <w:sz w:val="20"/>
                <w:szCs w:val="20"/>
                <w:color w:val="auto"/>
              </w:rPr>
            </w:pPr>
            <w:r>
              <w:rPr>
                <w:rFonts w:ascii="Arial" w:cs="Arial" w:eastAsia="Arial" w:hAnsi="Arial"/>
                <w:sz w:val="18"/>
                <w:szCs w:val="18"/>
                <w:color w:val="auto"/>
              </w:rPr>
              <w:t>reasonably acceptable to the Trustee</w:t>
            </w:r>
          </w:p>
        </w:tc>
      </w:tr>
    </w:tbl>
    <w:p>
      <w:pPr>
        <w:sectPr>
          <w:pgSz w:w="11900" w:h="16838" w:orient="portrait"/>
          <w:cols w:equalWidth="0" w:num="1">
            <w:col w:w="11040"/>
          </w:cols>
          <w:pgMar w:left="440" w:top="274" w:right="4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November 5,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am Vice President, Senior Deputy General Counsel and Assistant Secretary of Comcast Corporation, a Pennsylvania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and have acted for the Company in connection with the issuance by the Company, pursuant to the Underwriting Agreement 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29, 2019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Guarantors (as defined below) and the several underwriters named therein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Underwriters</w:t>
      </w:r>
      <w:r>
        <w:rPr>
          <w:rFonts w:ascii="Arial" w:cs="Arial" w:eastAsia="Arial" w:hAnsi="Arial"/>
          <w:sz w:val="17"/>
          <w:szCs w:val="17"/>
          <w:color w:val="auto"/>
        </w:rPr>
        <w:t>”), of $1,600,000,000 aggregate principal amount of its 2.650% Notes due 2030 (the “</w:t>
      </w:r>
      <w:r>
        <w:rPr>
          <w:rFonts w:ascii="Arial" w:cs="Arial" w:eastAsia="Arial" w:hAnsi="Arial"/>
          <w:sz w:val="17"/>
          <w:szCs w:val="17"/>
          <w:b w:val="1"/>
          <w:bCs w:val="1"/>
          <w:color w:val="auto"/>
        </w:rPr>
        <w:t>2030 Notes</w:t>
      </w:r>
      <w:r>
        <w:rPr>
          <w:rFonts w:ascii="Arial" w:cs="Arial" w:eastAsia="Arial" w:hAnsi="Arial"/>
          <w:sz w:val="17"/>
          <w:szCs w:val="17"/>
          <w:color w:val="auto"/>
        </w:rPr>
        <w:t>”), $1,350,000,000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its 3.250% Notes due 2039 (the “</w:t>
      </w:r>
      <w:r>
        <w:rPr>
          <w:rFonts w:ascii="Arial" w:cs="Arial" w:eastAsia="Arial" w:hAnsi="Arial"/>
          <w:sz w:val="16"/>
          <w:szCs w:val="16"/>
          <w:b w:val="1"/>
          <w:bCs w:val="1"/>
          <w:color w:val="auto"/>
        </w:rPr>
        <w:t>2039 Notes</w:t>
      </w:r>
      <w:r>
        <w:rPr>
          <w:rFonts w:ascii="Arial" w:cs="Arial" w:eastAsia="Arial" w:hAnsi="Arial"/>
          <w:sz w:val="16"/>
          <w:szCs w:val="16"/>
          <w:color w:val="auto"/>
        </w:rPr>
        <w:t>”) and $1,800,000,000 aggregate principal amount of its 3.450% Notes due 2050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2050 Notes</w:t>
      </w:r>
      <w:r>
        <w:rPr>
          <w:rFonts w:ascii="Arial" w:cs="Arial" w:eastAsia="Arial" w:hAnsi="Arial"/>
          <w:sz w:val="16"/>
          <w:szCs w:val="16"/>
          <w:color w:val="auto"/>
        </w:rPr>
        <w:t>,” and together with the 2030 Notes and 2039 Notes,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as of September 18, 2013, as amended by the First Supplemental Indenture thereto dated as of November 17, 2015, by and among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guaranteed on an unsecured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unsubordinated basis by the Guarantors.</w:t>
      </w:r>
    </w:p>
    <w:p>
      <w:pPr>
        <w:spacing w:after="0" w:line="211" w:lineRule="exact"/>
        <w:rPr>
          <w:sz w:val="20"/>
          <w:szCs w:val="20"/>
          <w:color w:val="auto"/>
        </w:rPr>
      </w:pPr>
    </w:p>
    <w:p>
      <w:pPr>
        <w:ind w:right="460" w:firstLine="441"/>
        <w:spacing w:after="0" w:line="308" w:lineRule="auto"/>
        <w:rPr>
          <w:sz w:val="20"/>
          <w:szCs w:val="20"/>
          <w:color w:val="auto"/>
        </w:rPr>
      </w:pPr>
      <w:r>
        <w:rPr>
          <w:rFonts w:ascii="Arial" w:cs="Arial" w:eastAsia="Arial" w:hAnsi="Arial"/>
          <w:sz w:val="17"/>
          <w:szCs w:val="17"/>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I am of the opinion that:</w:t>
      </w:r>
    </w:p>
    <w:p>
      <w:pPr>
        <w:spacing w:after="0" w:line="131" w:lineRule="exact"/>
        <w:rPr>
          <w:sz w:val="20"/>
          <w:szCs w:val="20"/>
          <w:color w:val="auto"/>
        </w:rPr>
      </w:pPr>
    </w:p>
    <w:p>
      <w:pPr>
        <w:ind w:left="980" w:hanging="54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ectPr>
          <w:pgSz w:w="11900" w:h="16838" w:orient="portrait"/>
          <w:cols w:equalWidth="0" w:num="1">
            <w:col w:w="11020"/>
          </w:cols>
          <w:pgMar w:left="440" w:top="121" w:right="439" w:bottom="1440" w:gutter="0" w:footer="0" w:header="0"/>
        </w:sectPr>
      </w:pPr>
    </w:p>
    <w:bookmarkStart w:id="40" w:name="page41"/>
    <w:bookmarkEnd w:id="40"/>
    <w:p>
      <w:pPr>
        <w:spacing w:after="0"/>
        <w:tabs>
          <w:tab w:leader="none" w:pos="5680" w:val="left"/>
          <w:tab w:leader="none" w:pos="9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November 5, 2019</w:t>
      </w:r>
    </w:p>
    <w:p>
      <w:pPr>
        <w:spacing w:after="0" w:line="158"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August 1, 2019, as amended as of the date of the Underwriting Agreement (File No. 333-232941).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Elizabeth Wideman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Elizabeth Wideman</w:t>
      </w:r>
    </w:p>
    <w:p>
      <w:pPr>
        <w:sectPr>
          <w:pgSz w:w="11900" w:h="16838" w:orient="portrait"/>
          <w:cols w:equalWidth="0" w:num="1">
            <w:col w:w="11020"/>
          </w:cols>
          <w:pgMar w:left="440" w:top="274" w:right="439" w:bottom="1440" w:gutter="0" w:footer="0" w:header="0"/>
        </w:sectPr>
      </w:pPr>
    </w:p>
    <w:bookmarkStart w:id="41" w:name="page42"/>
    <w:bookmarkEnd w:id="41"/>
    <w:p>
      <w:pPr>
        <w:ind w:left="10180"/>
        <w:spacing w:after="0"/>
        <w:rPr>
          <w:sz w:val="20"/>
          <w:szCs w:val="20"/>
          <w:color w:val="auto"/>
        </w:rPr>
      </w:pPr>
      <w:r>
        <w:rPr>
          <w:rFonts w:ascii="Arial" w:cs="Arial" w:eastAsia="Arial" w:hAnsi="Arial"/>
          <w:sz w:val="16"/>
          <w:szCs w:val="16"/>
          <w:b w:val="1"/>
          <w:bCs w:val="1"/>
          <w:color w:val="auto"/>
        </w:rPr>
        <w:t>Exhibit 5.2</w:t>
      </w:r>
    </w:p>
    <w:p>
      <w:pPr>
        <w:sectPr>
          <w:pgSz w:w="11900" w:h="16838" w:orient="portrait"/>
          <w:cols w:equalWidth="0" w:num="1">
            <w:col w:w="11020"/>
          </w:cols>
          <w:pgMar w:left="440" w:top="121" w:right="439" w:bottom="1440" w:gutter="0" w:footer="0" w:header="0"/>
        </w:sectPr>
      </w:pPr>
    </w:p>
    <w:p>
      <w:pPr>
        <w:spacing w:after="0" w:line="275"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7"/>
          <w:szCs w:val="17"/>
          <w:b w:val="1"/>
          <w:bCs w:val="1"/>
          <w:color w:val="auto"/>
        </w:rPr>
        <w:t>Northern California</w:t>
      </w:r>
    </w:p>
    <w:p>
      <w:pPr>
        <w:spacing w:after="0" w:line="21"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1337945" cy="266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3794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8860" w:space="520"/>
            <w:col w:w="1640"/>
          </w:cols>
          <w:pgMar w:left="440" w:top="121" w:right="4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1500" w:type="dxa"/>
            <w:vAlign w:val="bottom"/>
          </w:tcPr>
          <w:p>
            <w:pPr>
              <w:ind w:left="240"/>
              <w:spacing w:after="0"/>
              <w:rPr>
                <w:sz w:val="20"/>
                <w:szCs w:val="20"/>
                <w:color w:val="auto"/>
              </w:rPr>
            </w:pPr>
            <w:r>
              <w:rPr>
                <w:rFonts w:ascii="Arial" w:cs="Arial" w:eastAsia="Arial" w:hAnsi="Arial"/>
                <w:sz w:val="18"/>
                <w:szCs w:val="18"/>
                <w:color w:val="auto"/>
                <w:w w:val="92"/>
              </w:rPr>
              <w:t>212 450 4000 tel</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450 Lexington Avenue</w:t>
            </w:r>
          </w:p>
        </w:tc>
        <w:tc>
          <w:tcPr>
            <w:tcW w:w="1500" w:type="dxa"/>
            <w:vAlign w:val="bottom"/>
          </w:tcPr>
          <w:p>
            <w:pPr>
              <w:ind w:left="240"/>
              <w:spacing w:after="0"/>
              <w:rPr>
                <w:sz w:val="20"/>
                <w:szCs w:val="20"/>
                <w:color w:val="auto"/>
              </w:rPr>
            </w:pPr>
            <w:r>
              <w:rPr>
                <w:rFonts w:ascii="Arial" w:cs="Arial" w:eastAsia="Arial" w:hAnsi="Arial"/>
                <w:sz w:val="18"/>
                <w:szCs w:val="18"/>
                <w:color w:val="auto"/>
                <w:w w:val="89"/>
              </w:rPr>
              <w:t>212 701 5800 fax</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New York, NY 10017</w:t>
            </w:r>
          </w:p>
        </w:tc>
        <w:tc>
          <w:tcPr>
            <w:tcW w:w="150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November 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guarantors listed in Schedule I hereto (the “</w:t>
      </w:r>
      <w:r>
        <w:rPr>
          <w:rFonts w:ascii="Arial" w:cs="Arial" w:eastAsia="Arial" w:hAnsi="Arial"/>
          <w:sz w:val="16"/>
          <w:szCs w:val="16"/>
          <w:b w:val="1"/>
          <w:bCs w:val="1"/>
          <w:color w:val="auto"/>
        </w:rPr>
        <w:t>Guarantors</w:t>
      </w:r>
      <w:r>
        <w:rPr>
          <w:rFonts w:ascii="Arial" w:cs="Arial" w:eastAsia="Arial" w:hAnsi="Arial"/>
          <w:sz w:val="16"/>
          <w:szCs w:val="16"/>
          <w:color w:val="auto"/>
        </w:rPr>
        <w:t>”), have filed with</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a Registration Statement on Form S-3 (File No. 333-232941)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certain securities, including $1,600,000,000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its 2.650% Notes due 2030 (the “</w:t>
      </w:r>
      <w:r>
        <w:rPr>
          <w:rFonts w:ascii="Arial" w:cs="Arial" w:eastAsia="Arial" w:hAnsi="Arial"/>
          <w:sz w:val="16"/>
          <w:szCs w:val="16"/>
          <w:b w:val="1"/>
          <w:bCs w:val="1"/>
          <w:color w:val="auto"/>
        </w:rPr>
        <w:t>2030 Notes</w:t>
      </w:r>
      <w:r>
        <w:rPr>
          <w:rFonts w:ascii="Arial" w:cs="Arial" w:eastAsia="Arial" w:hAnsi="Arial"/>
          <w:sz w:val="16"/>
          <w:szCs w:val="16"/>
          <w:color w:val="auto"/>
        </w:rPr>
        <w:t>”), $1,350,000,000 aggregate principal amount of its 3.250% Notes due 2039 (the “</w:t>
      </w:r>
      <w:r>
        <w:rPr>
          <w:rFonts w:ascii="Arial" w:cs="Arial" w:eastAsia="Arial" w:hAnsi="Arial"/>
          <w:sz w:val="16"/>
          <w:szCs w:val="16"/>
          <w:b w:val="1"/>
          <w:bCs w:val="1"/>
          <w:color w:val="auto"/>
        </w:rPr>
        <w:t>2039 Notes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$1,800,000,000 aggregate principal amount of its 3.450% Notes due 2050 (the “</w:t>
      </w:r>
      <w:r>
        <w:rPr>
          <w:rFonts w:ascii="Arial" w:cs="Arial" w:eastAsia="Arial" w:hAnsi="Arial"/>
          <w:sz w:val="16"/>
          <w:szCs w:val="16"/>
          <w:b w:val="1"/>
          <w:bCs w:val="1"/>
          <w:color w:val="auto"/>
        </w:rPr>
        <w:t>2050 Notes</w:t>
      </w:r>
      <w:r>
        <w:rPr>
          <w:rFonts w:ascii="Arial" w:cs="Arial" w:eastAsia="Arial" w:hAnsi="Arial"/>
          <w:sz w:val="16"/>
          <w:szCs w:val="16"/>
          <w:color w:val="auto"/>
        </w:rPr>
        <w:t>,” and together with the 2030 Notes and 2039 Notes,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September 18, 2013 (the “</w:t>
      </w:r>
      <w:r>
        <w:rPr>
          <w:rFonts w:ascii="Arial" w:cs="Arial" w:eastAsia="Arial" w:hAnsi="Arial"/>
          <w:sz w:val="16"/>
          <w:szCs w:val="16"/>
          <w:b w:val="1"/>
          <w:bCs w:val="1"/>
          <w:color w:val="auto"/>
        </w:rPr>
        <w:t>Base Indenture”</w:t>
      </w:r>
      <w:r>
        <w:rPr>
          <w:rFonts w:ascii="Arial" w:cs="Arial" w:eastAsia="Arial" w:hAnsi="Arial"/>
          <w:sz w:val="16"/>
          <w:szCs w:val="16"/>
          <w:color w:val="auto"/>
        </w:rPr>
        <w:t>), as amended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Supplemental Indenture thereto dated as of November 17, 2015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and together with the Base Indenture,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party thereto (the “</w:t>
      </w:r>
      <w:r>
        <w:rPr>
          <w:rFonts w:ascii="Arial" w:cs="Arial" w:eastAsia="Arial" w:hAnsi="Arial"/>
          <w:sz w:val="17"/>
          <w:szCs w:val="17"/>
          <w:b w:val="1"/>
          <w:bCs w:val="1"/>
          <w:color w:val="auto"/>
        </w:rPr>
        <w:t>Guarantors</w:t>
      </w:r>
      <w:r>
        <w:rPr>
          <w:rFonts w:ascii="Arial" w:cs="Arial" w:eastAsia="Arial" w:hAnsi="Arial"/>
          <w:sz w:val="17"/>
          <w:szCs w:val="17"/>
          <w:color w:val="auto"/>
        </w:rPr>
        <w:t>”) and The Bank of New York Mellon,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The Notes will be guaranteed by each of the Guarantors (the “</w:t>
      </w:r>
      <w:r>
        <w:rPr>
          <w:rFonts w:ascii="Arial" w:cs="Arial" w:eastAsia="Arial" w:hAnsi="Arial"/>
          <w:sz w:val="16"/>
          <w:szCs w:val="16"/>
          <w:b w:val="1"/>
          <w:bCs w:val="1"/>
          <w:color w:val="auto"/>
        </w:rPr>
        <w:t>Guarantees</w:t>
      </w:r>
      <w:r>
        <w:rPr>
          <w:rFonts w:ascii="Arial" w:cs="Arial" w:eastAsia="Arial" w:hAnsi="Arial"/>
          <w:sz w:val="16"/>
          <w:szCs w:val="16"/>
          <w:color w:val="auto"/>
        </w:rPr>
        <w:t>” and, together with the Notes,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to be sold pursuant to the Underwriting Agreement dated October 29, 2019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Guarantors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ectPr>
          <w:pgSz w:w="11900" w:h="16838" w:orient="portrait"/>
          <w:cols w:equalWidth="0" w:num="1">
            <w:col w:w="11020"/>
          </w:cols>
          <w:pgMar w:left="440" w:top="121" w:right="439" w:bottom="1440" w:gutter="0" w:footer="0" w:header="0"/>
          <w:type w:val="continuous"/>
        </w:sectPr>
      </w:pPr>
    </w:p>
    <w:bookmarkStart w:id="42" w:name="page43"/>
    <w:bookmarkEnd w:id="4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the foregoing, and subject to the additional assumptions and qualifications set forth below, we advise you that, in our opinion, assuming the Notes have been duly executed and authenticated in accordance with the provisions of the Indenture and delivered to and paid for by the Underwriters pursuant to the Underwriting Agreement, the Notes will constitute valid and binding obligations of the Company and the Guarantors, as applicable, enforceable in accordance with their terms, subject to applicable bankruptcy, insolvency and similar laws affecting creditors’ rights generally, concepts of reasonableness and equitable principles of general applicability, provided that we express no opinion as to, (w)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 or</w:t>
      </w:r>
    </w:p>
    <w:p>
      <w:pPr>
        <w:spacing w:after="0" w:line="3" w:lineRule="exact"/>
        <w:rPr>
          <w:sz w:val="20"/>
          <w:szCs w:val="20"/>
          <w:color w:val="auto"/>
        </w:rPr>
      </w:pPr>
    </w:p>
    <w:p>
      <w:pPr>
        <w:ind w:right="480" w:firstLine="4"/>
        <w:spacing w:after="0" w:line="26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validity, legally binding effect or enforceability of any provision that permits holders to collect any portion of stated principal amount upon acceleration of the Debt Securities to the extent determined to constitute unearned interest.</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Assuming the due authorization of the Notes by the Company and the due authorization of the Guarantee endorsed on each Note by each Guarantor (other than any Guarantor organized under the laws of Delaware or New York), the Guarantees, assuming the Notes (and the Guarantees endorsed thereon) have been duly executed and authenticated in accordance with the provisions of the Indenture and delivered to and paid for by the Underwriters pursuant to the Underwriting Agreement, will be valid and binding obligations of each Guarantor, enforceable in accordance with their terms, subject to applicable bankruptcy, insolvency and similar laws affecting creditors’ rights generally, concepts of reasonableness and equitable principles of general applicability; provided that we express no opinion as to the (w) (i) effect of fraudulent conveyance, fraudulent transfer or similar provision of applicable law on the conclusions expressed above or (ii) any provision of the Guarantee that purports to avoid the effect of fraudulent conveyance, fraudulent transfer or similar provision of applicable law by limiting the amount of the Guarantor’s obligation or (y) validity, legally binding effect or enforceability of any provision that permits holders to collect any portion of stated principal amount upon acceleration of the Notes to the extent determined to constitute unearned interest.</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connection with the opinion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 provided that we make no such assumption to the extent that we have specifically opined as to such matters with respect to the Company and each Guarantor.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3" w:name="page44"/>
    <w:bookmarkEnd w:id="43"/>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members of the Bar of the State of New York and the foregoing opinion is limited to the laws of the State of New York and the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2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2019-12-28T03:01:58Z</dcterms:created>
  <dcterms:modified xsi:type="dcterms:W3CDTF">2019-12-28T03:01:58Z</dcterms:modified>
</cp:coreProperties>
</file>