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auto"/>
              </w:rPr>
              <w:t>FORM 3</w:t>
            </w: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vMerge w:val="restart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54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60" w:type="dxa"/>
            <w:vAlign w:val="bottom"/>
            <w:gridSpan w:val="9"/>
          </w:tcPr>
          <w:p>
            <w:pPr>
              <w:ind w:left="80"/>
              <w:spacing w:after="0" w:line="3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6"/>
              </w:rPr>
              <w:t xml:space="preserve">INITIAL STATEMENT OF BENEFICIAL OWNERSHIP OF SECURITIES </w:t>
            </w:r>
            <w:r>
              <w:rPr>
                <w:rFonts w:ascii="Arial" w:cs="Arial" w:eastAsia="Arial" w:hAnsi="Arial"/>
                <w:sz w:val="35"/>
                <w:szCs w:val="35"/>
                <w:color w:val="auto"/>
                <w:w w:val="96"/>
                <w:vertAlign w:val="superscript"/>
              </w:rPr>
              <w:t>OMB Number: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Expires: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restart"/>
          </w:tcPr>
          <w:p>
            <w:pPr>
              <w:jc w:val="center"/>
              <w:ind w:right="1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hours per response..................0.5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</w:tcPr>
          <w:p>
            <w:pPr>
              <w:jc w:val="center"/>
              <w:ind w:right="12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restart"/>
          </w:tcPr>
          <w:p>
            <w:pPr>
              <w:jc w:val="center"/>
              <w:ind w:right="1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Section 30(h) of the Investment Company Act of 1940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(Print or Type Responses)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1. Name and Address of Reporting Person*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Issuer Name and Ticker or Trading Symbol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Requiring Statement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636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 Corporation): CMCSA and CMCSK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Bacon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Kenneth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J.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(First)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I.R.S. Identification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6.If Amendment, Date of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Fannie Mae, Multi Family Lending &amp; Investment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Director</w:t>
            </w:r>
          </w:p>
        </w:tc>
        <w:tc>
          <w:tcPr>
            <w:tcW w:w="20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10% Owner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3900 Wissahickon Avenue, N.W.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Officer</w:t>
            </w:r>
          </w:p>
        </w:tc>
        <w:tc>
          <w:tcPr>
            <w:tcW w:w="2020" w:type="dxa"/>
            <w:vAlign w:val="bottom"/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Other (specify below)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5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(give title below)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7. Individual or Joint/Group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Washington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DC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7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20016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jc w:val="right"/>
              <w:ind w:righ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 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Table I -- Non-Derivative Securities Beneficially Owned</w:t>
            </w: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 Title of 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Amount of Securities</w:t>
            </w:r>
          </w:p>
        </w:tc>
        <w:tc>
          <w:tcPr>
            <w:tcW w:w="152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Ownership</w:t>
            </w:r>
          </w:p>
        </w:tc>
        <w:tc>
          <w:tcPr>
            <w:tcW w:w="3580" w:type="dxa"/>
            <w:vAlign w:val="bottom"/>
            <w:gridSpan w:val="3"/>
          </w:tcPr>
          <w:p>
            <w:pPr>
              <w:ind w:left="4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Nature of Indirect Beneficial 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 Owned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 Direct</w:t>
            </w:r>
          </w:p>
        </w:tc>
        <w:tc>
          <w:tcPr>
            <w:tcW w:w="2020" w:type="dxa"/>
            <w:vAlign w:val="bottom"/>
          </w:tcPr>
          <w:p>
            <w:pPr>
              <w:jc w:val="center"/>
              <w:ind w:right="27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 Indirect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 (Instr. 5)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436245</wp:posOffset>
            </wp:positionV>
            <wp:extent cx="7272020" cy="54108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inline distT="0" distB="0" distL="0" distR="0">
            <wp:extent cx="34290" cy="171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4"/>
          <w:szCs w:val="14"/>
          <w:color w:val="auto"/>
        </w:rPr>
        <w:t>No securities owned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87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3 (continued)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Beneficially Owned 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113665</wp:posOffset>
            </wp:positionV>
            <wp:extent cx="42545" cy="28384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1390015</wp:posOffset>
            </wp:positionH>
            <wp:positionV relativeFrom="paragraph">
              <wp:posOffset>122555</wp:posOffset>
            </wp:positionV>
            <wp:extent cx="42545" cy="2821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2496820</wp:posOffset>
            </wp:positionH>
            <wp:positionV relativeFrom="paragraph">
              <wp:posOffset>122555</wp:posOffset>
            </wp:positionV>
            <wp:extent cx="42545" cy="28213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4572000</wp:posOffset>
            </wp:positionH>
            <wp:positionV relativeFrom="paragraph">
              <wp:posOffset>122555</wp:posOffset>
            </wp:positionV>
            <wp:extent cx="42545" cy="28213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122555</wp:posOffset>
            </wp:positionV>
            <wp:extent cx="42545" cy="28213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113665</wp:posOffset>
            </wp:positionV>
            <wp:extent cx="42545" cy="28384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6064250</wp:posOffset>
            </wp:positionH>
            <wp:positionV relativeFrom="paragraph">
              <wp:posOffset>122555</wp:posOffset>
            </wp:positionV>
            <wp:extent cx="42545" cy="28213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 Security</w:t>
            </w: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Exercisable and</w:t>
            </w:r>
          </w:p>
        </w:tc>
        <w:tc>
          <w:tcPr>
            <w:tcW w:w="33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Title and Amount of Securities Underlying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Conversion</w:t>
            </w: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Ownership</w:t>
            </w:r>
          </w:p>
        </w:tc>
        <w:tc>
          <w:tcPr>
            <w:tcW w:w="19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Nature of Indirect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 Security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Exercise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Securities: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 (D)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Date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Expira-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Amount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Indirect (I)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Exer-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8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or Number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cisable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of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1922145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3576955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125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/s/ Kenneth J. Bacon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Kenneth J. Bacon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13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*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2019-12-15T06:11:16Z</dcterms:created>
  <dcterms:modified xsi:type="dcterms:W3CDTF">2019-12-15T06:11:16Z</dcterms:modified>
</cp:coreProperties>
</file>